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386715</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344805</wp:posOffset>
            </wp:positionV>
            <wp:extent cx="71189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49" w:lineRule="exact"/>
        <w:rPr>
          <w:sz w:val="24"/>
          <w:szCs w:val="24"/>
          <w:color w:val="auto"/>
        </w:rPr>
      </w:pPr>
    </w:p>
    <w:p>
      <w:pPr>
        <w:ind w:left="2700" w:hanging="143"/>
        <w:spacing w:after="0"/>
        <w:tabs>
          <w:tab w:leader="none" w:pos="2700"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 THE FISCAL YEAR ENDED DECEMBER 31, 2022</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46" w:lineRule="exact"/>
        <w:rPr>
          <w:sz w:val="24"/>
          <w:szCs w:val="24"/>
          <w:color w:val="auto"/>
        </w:rPr>
      </w:pPr>
    </w:p>
    <w:p>
      <w:pPr>
        <w:jc w:val="center"/>
        <w:ind w:left="3860" w:right="2420" w:hanging="1431"/>
        <w:spacing w:after="0" w:line="358" w:lineRule="auto"/>
        <w:tabs>
          <w:tab w:leader="none" w:pos="2563"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 FOR THE TRANSITION PERIOD FROM ________ TO 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No. 1-12504</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6" w:lineRule="exact"/>
        <w:rPr>
          <w:sz w:val="24"/>
          <w:szCs w:val="24"/>
          <w:color w:val="auto"/>
        </w:rPr>
      </w:pPr>
    </w:p>
    <w:p>
      <w:pPr>
        <w:ind w:left="2560"/>
        <w:spacing w:after="0"/>
        <w:tabs>
          <w:tab w:leader="none" w:pos="8100" w:val="left"/>
        </w:tabs>
        <w:rPr>
          <w:sz w:val="20"/>
          <w:szCs w:val="20"/>
          <w:color w:val="auto"/>
        </w:rPr>
      </w:pPr>
      <w:r>
        <w:rPr>
          <w:rFonts w:ascii="Arial" w:cs="Arial" w:eastAsia="Arial" w:hAnsi="Arial"/>
          <w:sz w:val="14"/>
          <w:szCs w:val="14"/>
          <w:b w:val="1"/>
          <w:bCs w:val="1"/>
          <w:color w:val="auto"/>
        </w:rPr>
        <w:t>Maryland</w:t>
      </w:r>
      <w:r>
        <w:rPr>
          <w:sz w:val="20"/>
          <w:szCs w:val="20"/>
          <w:color w:val="auto"/>
        </w:rPr>
        <w:tab/>
      </w:r>
      <w:r>
        <w:rPr>
          <w:rFonts w:ascii="Arial" w:cs="Arial" w:eastAsia="Arial" w:hAnsi="Arial"/>
          <w:sz w:val="14"/>
          <w:szCs w:val="14"/>
          <w:b w:val="1"/>
          <w:bCs w:val="1"/>
          <w:color w:val="auto"/>
        </w:rPr>
        <w:t>95-4448705</w:t>
      </w:r>
    </w:p>
    <w:p>
      <w:pPr>
        <w:spacing w:after="0" w:line="37" w:lineRule="exact"/>
        <w:rPr>
          <w:sz w:val="24"/>
          <w:szCs w:val="24"/>
          <w:color w:val="auto"/>
        </w:rPr>
      </w:pPr>
    </w:p>
    <w:p>
      <w:pPr>
        <w:ind w:left="2040"/>
        <w:spacing w:after="0"/>
        <w:tabs>
          <w:tab w:leader="none" w:pos="7280" w:val="left"/>
        </w:tabs>
        <w:rPr>
          <w:sz w:val="20"/>
          <w:szCs w:val="20"/>
          <w:color w:val="auto"/>
        </w:rPr>
      </w:pPr>
      <w:r>
        <w:rPr>
          <w:rFonts w:ascii="Arial" w:cs="Arial" w:eastAsia="Arial" w:hAnsi="Arial"/>
          <w:sz w:val="14"/>
          <w:szCs w:val="14"/>
          <w:color w:val="auto"/>
        </w:rPr>
        <w:t>(State or other jurisdiction of</w:t>
      </w:r>
      <w:r>
        <w:rPr>
          <w:sz w:val="20"/>
          <w:szCs w:val="20"/>
          <w:color w:val="auto"/>
        </w:rPr>
        <w:tab/>
      </w:r>
      <w:r>
        <w:rPr>
          <w:rFonts w:ascii="Arial" w:cs="Arial" w:eastAsia="Arial" w:hAnsi="Arial"/>
          <w:sz w:val="13"/>
          <w:szCs w:val="13"/>
          <w:color w:val="auto"/>
        </w:rPr>
        <w:t>(I.R.S. Employer Identification Number)</w:t>
      </w:r>
    </w:p>
    <w:p>
      <w:pPr>
        <w:ind w:left="2020"/>
        <w:spacing w:after="0"/>
        <w:rPr>
          <w:sz w:val="20"/>
          <w:szCs w:val="20"/>
          <w:color w:val="auto"/>
        </w:rPr>
      </w:pPr>
      <w:r>
        <w:rPr>
          <w:rFonts w:ascii="Arial" w:cs="Arial" w:eastAsia="Arial" w:hAnsi="Arial"/>
          <w:sz w:val="14"/>
          <w:szCs w:val="14"/>
          <w:color w:val="auto"/>
        </w:rPr>
        <w:t>incorporation or organization)</w:t>
      </w:r>
    </w:p>
    <w:p>
      <w:pPr>
        <w:spacing w:after="0" w:line="7" w:lineRule="exact"/>
        <w:rPr>
          <w:sz w:val="24"/>
          <w:szCs w:val="24"/>
          <w:color w:val="auto"/>
        </w:rPr>
      </w:pPr>
    </w:p>
    <w:p>
      <w:pPr>
        <w:ind w:left="780"/>
        <w:spacing w:after="0"/>
        <w:tabs>
          <w:tab w:leader="none" w:pos="2420" w:val="left"/>
          <w:tab w:leader="none" w:pos="3220" w:val="left"/>
          <w:tab w:leader="none" w:pos="4780" w:val="left"/>
          <w:tab w:leader="none" w:pos="8260" w:val="left"/>
        </w:tabs>
        <w:rPr>
          <w:sz w:val="20"/>
          <w:szCs w:val="20"/>
          <w:color w:val="auto"/>
        </w:rPr>
      </w:pPr>
      <w:r>
        <w:rPr>
          <w:rFonts w:ascii="Arial" w:cs="Arial" w:eastAsia="Arial" w:hAnsi="Arial"/>
          <w:sz w:val="14"/>
          <w:szCs w:val="14"/>
          <w:b w:val="1"/>
          <w:bCs w:val="1"/>
          <w:color w:val="auto"/>
        </w:rPr>
        <w:t>401 Wilshire Boulevard,</w:t>
        <w:tab/>
        <w:t>Suite 700,</w:t>
        <w:tab/>
        <w:t>Santa Monica,</w:t>
      </w:r>
      <w:r>
        <w:rPr>
          <w:sz w:val="20"/>
          <w:szCs w:val="20"/>
          <w:color w:val="auto"/>
        </w:rPr>
        <w:tab/>
      </w:r>
      <w:r>
        <w:rPr>
          <w:rFonts w:ascii="Arial" w:cs="Arial" w:eastAsia="Arial" w:hAnsi="Arial"/>
          <w:sz w:val="14"/>
          <w:szCs w:val="14"/>
          <w:b w:val="1"/>
          <w:bCs w:val="1"/>
          <w:color w:val="auto"/>
        </w:rPr>
        <w:t>California</w:t>
      </w:r>
      <w:r>
        <w:rPr>
          <w:sz w:val="20"/>
          <w:szCs w:val="20"/>
          <w:color w:val="auto"/>
        </w:rPr>
        <w:tab/>
      </w:r>
      <w:r>
        <w:rPr>
          <w:rFonts w:ascii="Arial" w:cs="Arial" w:eastAsia="Arial" w:hAnsi="Arial"/>
          <w:sz w:val="12"/>
          <w:szCs w:val="12"/>
          <w:b w:val="1"/>
          <w:bCs w:val="1"/>
          <w:color w:val="auto"/>
        </w:rPr>
        <w:t>90401</w:t>
      </w:r>
    </w:p>
    <w:p>
      <w:pPr>
        <w:spacing w:after="0" w:line="41" w:lineRule="exact"/>
        <w:rPr>
          <w:sz w:val="24"/>
          <w:szCs w:val="24"/>
          <w:color w:val="auto"/>
        </w:rPr>
      </w:pPr>
    </w:p>
    <w:p>
      <w:pPr>
        <w:ind w:left="1220"/>
        <w:spacing w:after="0"/>
        <w:tabs>
          <w:tab w:leader="none" w:pos="8120" w:val="left"/>
        </w:tabs>
        <w:rPr>
          <w:sz w:val="20"/>
          <w:szCs w:val="20"/>
          <w:color w:val="auto"/>
        </w:rPr>
      </w:pPr>
      <w:r>
        <w:rPr>
          <w:rFonts w:ascii="Arial" w:cs="Arial" w:eastAsia="Arial" w:hAnsi="Arial"/>
          <w:sz w:val="14"/>
          <w:szCs w:val="14"/>
          <w:color w:val="auto"/>
        </w:rPr>
        <w:t>(Address of principal executive office, including zip code)</w:t>
      </w:r>
      <w:r>
        <w:rPr>
          <w:sz w:val="20"/>
          <w:szCs w:val="20"/>
          <w:color w:val="auto"/>
        </w:rPr>
        <w:tab/>
      </w:r>
      <w:r>
        <w:rPr>
          <w:rFonts w:ascii="Arial" w:cs="Arial" w:eastAsia="Arial" w:hAnsi="Arial"/>
          <w:sz w:val="13"/>
          <w:szCs w:val="13"/>
          <w:color w:val="auto"/>
        </w:rPr>
        <w:t>(Zip Code)</w:t>
      </w:r>
    </w:p>
    <w:p>
      <w:pPr>
        <w:spacing w:after="0" w:line="33" w:lineRule="exact"/>
        <w:rPr>
          <w:sz w:val="24"/>
          <w:szCs w:val="24"/>
          <w:color w:val="auto"/>
        </w:rPr>
      </w:pPr>
    </w:p>
    <w:p>
      <w:pPr>
        <w:ind w:left="5320"/>
        <w:spacing w:after="0"/>
        <w:rPr>
          <w:sz w:val="20"/>
          <w:szCs w:val="20"/>
          <w:color w:val="auto"/>
        </w:rPr>
      </w:pPr>
      <w:r>
        <w:rPr>
          <w:rFonts w:ascii="Arial" w:cs="Arial" w:eastAsia="Arial" w:hAnsi="Arial"/>
          <w:sz w:val="14"/>
          <w:szCs w:val="14"/>
          <w:b w:val="1"/>
          <w:bCs w:val="1"/>
          <w:color w:val="auto"/>
        </w:rPr>
        <w:t>(310) 394-6000</w:t>
      </w:r>
    </w:p>
    <w:p>
      <w:pPr>
        <w:spacing w:after="0" w:line="41"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(Registrant's telephone number, including area code)</w:t>
      </w:r>
    </w:p>
    <w:p>
      <w:pPr>
        <w:spacing w:after="0" w:line="25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Title of each class</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Trading Symbol(s)</w:t>
            </w:r>
          </w:p>
        </w:tc>
        <w:tc>
          <w:tcPr>
            <w:tcW w:w="4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4"/>
        </w:trPr>
        <w:tc>
          <w:tcPr>
            <w:tcW w:w="3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20" w:type="dxa"/>
            <w:vAlign w:val="bottom"/>
            <w:tcBorders>
              <w:bottom w:val="single" w:sz="8" w:color="auto"/>
            </w:tcBorders>
            <w:gridSpan w:val="2"/>
          </w:tcPr>
          <w:p>
            <w:pPr>
              <w:spacing w:after="0"/>
              <w:rPr>
                <w:sz w:val="2"/>
                <w:szCs w:val="2"/>
                <w:color w:val="auto"/>
              </w:rPr>
            </w:pPr>
          </w:p>
        </w:tc>
      </w:tr>
      <w:tr>
        <w:trPr>
          <w:trHeight w:val="172"/>
        </w:trPr>
        <w:tc>
          <w:tcPr>
            <w:tcW w:w="3740" w:type="dxa"/>
            <w:vAlign w:val="bottom"/>
          </w:tcPr>
          <w:p>
            <w:pPr>
              <w:jc w:val="center"/>
              <w:spacing w:after="0"/>
              <w:rPr>
                <w:sz w:val="20"/>
                <w:szCs w:val="20"/>
                <w:color w:val="auto"/>
              </w:rPr>
            </w:pPr>
            <w:r>
              <w:rPr>
                <w:rFonts w:ascii="Arial" w:cs="Arial" w:eastAsia="Arial" w:hAnsi="Arial"/>
                <w:sz w:val="14"/>
                <w:szCs w:val="14"/>
                <w:color w:val="auto"/>
                <w:w w:val="90"/>
              </w:rPr>
              <w:t>Common Stock, $0.01 Par Value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ind w:right="210"/>
              <w:spacing w:after="0"/>
              <w:rPr>
                <w:sz w:val="20"/>
                <w:szCs w:val="20"/>
                <w:color w:val="auto"/>
              </w:rPr>
            </w:pPr>
            <w:r>
              <w:rPr>
                <w:rFonts w:ascii="Arial" w:cs="Arial" w:eastAsia="Arial" w:hAnsi="Arial"/>
                <w:sz w:val="14"/>
                <w:szCs w:val="14"/>
                <w:color w:val="auto"/>
              </w:rPr>
              <w:t>MAC</w:t>
            </w:r>
          </w:p>
        </w:tc>
        <w:tc>
          <w:tcPr>
            <w:tcW w:w="80" w:type="dxa"/>
            <w:vAlign w:val="bottom"/>
          </w:tcPr>
          <w:p>
            <w:pPr>
              <w:spacing w:after="0"/>
              <w:rPr>
                <w:sz w:val="14"/>
                <w:szCs w:val="14"/>
                <w:color w:val="auto"/>
              </w:rPr>
            </w:pPr>
          </w:p>
        </w:tc>
        <w:tc>
          <w:tcPr>
            <w:tcW w:w="4820" w:type="dxa"/>
            <w:vAlign w:val="bottom"/>
            <w:gridSpan w:val="2"/>
          </w:tcPr>
          <w:p>
            <w:pPr>
              <w:jc w:val="center"/>
              <w:spacing w:after="0"/>
              <w:rPr>
                <w:sz w:val="20"/>
                <w:szCs w:val="20"/>
                <w:color w:val="auto"/>
              </w:rPr>
            </w:pPr>
            <w:r>
              <w:rPr>
                <w:rFonts w:ascii="Arial" w:cs="Arial" w:eastAsia="Arial" w:hAnsi="Arial"/>
                <w:sz w:val="14"/>
                <w:szCs w:val="14"/>
                <w:color w:val="auto"/>
                <w:w w:val="91"/>
              </w:rPr>
              <w:t>New York Stock Exchange</w:t>
            </w:r>
          </w:p>
        </w:tc>
      </w:tr>
      <w:tr>
        <w:trPr>
          <w:trHeight w:val="403"/>
        </w:trPr>
        <w:tc>
          <w:tcPr>
            <w:tcW w:w="4080" w:type="dxa"/>
            <w:vAlign w:val="bottom"/>
            <w:gridSpan w:val="3"/>
          </w:tcPr>
          <w:p>
            <w:pPr>
              <w:ind w:left="440"/>
              <w:spacing w:after="0"/>
              <w:rPr>
                <w:sz w:val="20"/>
                <w:szCs w:val="20"/>
                <w:color w:val="auto"/>
              </w:rPr>
            </w:pPr>
            <w:r>
              <w:rPr>
                <w:rFonts w:ascii="Arial" w:cs="Arial" w:eastAsia="Arial" w:hAnsi="Arial"/>
                <w:sz w:val="14"/>
                <w:szCs w:val="14"/>
                <w:color w:val="auto"/>
                <w:w w:val="91"/>
              </w:rPr>
              <w:t xml:space="preserve">Securities registered pursuant to Section 12(g) of the Act: </w:t>
            </w:r>
            <w:r>
              <w:rPr>
                <w:rFonts w:ascii="Arial" w:cs="Arial" w:eastAsia="Arial" w:hAnsi="Arial"/>
                <w:sz w:val="14"/>
                <w:szCs w:val="14"/>
                <w:b w:val="1"/>
                <w:bCs w:val="1"/>
                <w:color w:val="auto"/>
                <w:w w:val="91"/>
              </w:rPr>
              <w:t>None</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32"/>
        </w:trPr>
        <w:tc>
          <w:tcPr>
            <w:tcW w:w="7540" w:type="dxa"/>
            <w:vAlign w:val="bottom"/>
            <w:gridSpan w:val="6"/>
          </w:tcPr>
          <w:p>
            <w:pPr>
              <w:ind w:left="440"/>
              <w:spacing w:after="0" w:line="161" w:lineRule="exact"/>
              <w:rPr>
                <w:sz w:val="20"/>
                <w:szCs w:val="20"/>
                <w:color w:val="auto"/>
              </w:rPr>
            </w:pPr>
            <w:r>
              <w:rPr>
                <w:rFonts w:ascii="Arial" w:cs="Arial" w:eastAsia="Arial" w:hAnsi="Arial"/>
                <w:sz w:val="14"/>
                <w:szCs w:val="14"/>
                <w:color w:val="auto"/>
                <w:w w:val="92"/>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2"/>
              </w:rPr>
              <w:t>☒</w:t>
            </w:r>
          </w:p>
        </w:tc>
        <w:tc>
          <w:tcPr>
            <w:tcW w:w="292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329"/>
        </w:trPr>
        <w:tc>
          <w:tcPr>
            <w:tcW w:w="7540" w:type="dxa"/>
            <w:vAlign w:val="bottom"/>
            <w:gridSpan w:val="6"/>
          </w:tcPr>
          <w:p>
            <w:pPr>
              <w:ind w:left="440"/>
              <w:spacing w:after="0" w:line="161" w:lineRule="exact"/>
              <w:rPr>
                <w:sz w:val="20"/>
                <w:szCs w:val="20"/>
                <w:color w:val="auto"/>
              </w:rPr>
            </w:pPr>
            <w:r>
              <w:rPr>
                <w:rFonts w:ascii="Arial" w:cs="Arial" w:eastAsia="Arial" w:hAnsi="Arial"/>
                <w:sz w:val="14"/>
                <w:szCs w:val="14"/>
                <w:color w:val="auto"/>
                <w:w w:val="91"/>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1"/>
              </w:rPr>
              <w:t>☐</w:t>
            </w:r>
          </w:p>
        </w:tc>
        <w:tc>
          <w:tcPr>
            <w:tcW w:w="292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08" w:lineRule="exact"/>
        <w:rPr>
          <w:sz w:val="24"/>
          <w:szCs w:val="24"/>
          <w:color w:val="auto"/>
        </w:rPr>
      </w:pPr>
    </w:p>
    <w:p>
      <w:pPr>
        <w:ind w:right="40" w:firstLine="435"/>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2" w:lineRule="exact"/>
        <w:rPr>
          <w:sz w:val="24"/>
          <w:szCs w:val="24"/>
          <w:color w:val="auto"/>
        </w:rPr>
      </w:pPr>
    </w:p>
    <w:p>
      <w:pPr>
        <w:ind w:right="380" w:firstLine="435"/>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1" w:lineRule="exact"/>
        <w:rPr>
          <w:sz w:val="24"/>
          <w:szCs w:val="24"/>
          <w:color w:val="auto"/>
        </w:rPr>
      </w:pPr>
    </w:p>
    <w:p>
      <w:pPr>
        <w:ind w:right="300" w:firstLine="435"/>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520"/>
        <w:spacing w:after="0" w:line="161" w:lineRule="exact"/>
        <w:tabs>
          <w:tab w:leader="none" w:pos="2340" w:val="left"/>
          <w:tab w:leader="none" w:pos="3060" w:val="left"/>
          <w:tab w:leader="none" w:pos="4560" w:val="left"/>
          <w:tab w:leader="none" w:pos="5340" w:val="left"/>
          <w:tab w:leader="none" w:pos="7260" w:val="left"/>
          <w:tab w:leader="none" w:pos="8740" w:val="left"/>
          <w:tab w:leader="none" w:pos="105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59" w:lineRule="exact"/>
        <w:rPr>
          <w:sz w:val="24"/>
          <w:szCs w:val="24"/>
          <w:color w:val="auto"/>
        </w:rPr>
      </w:pPr>
    </w:p>
    <w:p>
      <w:pPr>
        <w:ind w:left="8780"/>
        <w:spacing w:after="0" w:line="161" w:lineRule="exact"/>
        <w:tabs>
          <w:tab w:leader="none" w:pos="1050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50" w:lineRule="exact"/>
        <w:rPr>
          <w:sz w:val="24"/>
          <w:szCs w:val="24"/>
          <w:color w:val="auto"/>
        </w:rPr>
      </w:pPr>
    </w:p>
    <w:p>
      <w:pPr>
        <w:ind w:right="400" w:firstLine="435"/>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rPr>
        <w:t>☐</w:t>
      </w:r>
    </w:p>
    <w:p>
      <w:pPr>
        <w:spacing w:after="0" w:line="121" w:lineRule="exact"/>
        <w:rPr>
          <w:sz w:val="24"/>
          <w:szCs w:val="24"/>
          <w:color w:val="auto"/>
        </w:rPr>
      </w:pPr>
    </w:p>
    <w:p>
      <w:pPr>
        <w:ind w:firstLine="435"/>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0" w:lineRule="exact"/>
        <w:rPr>
          <w:sz w:val="24"/>
          <w:szCs w:val="24"/>
          <w:color w:val="auto"/>
        </w:rPr>
      </w:pPr>
    </w:p>
    <w:p>
      <w:pPr>
        <w:ind w:firstLine="435"/>
        <w:spacing w:after="0" w:line="184"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0" w:lineRule="exact"/>
        <w:rPr>
          <w:sz w:val="24"/>
          <w:szCs w:val="24"/>
          <w:color w:val="auto"/>
        </w:rPr>
      </w:pPr>
    </w:p>
    <w:p>
      <w:pPr>
        <w:ind w:firstLine="435"/>
        <w:spacing w:after="0" w:line="177"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96" w:lineRule="exact"/>
        <w:rPr>
          <w:sz w:val="24"/>
          <w:szCs w:val="24"/>
          <w:color w:val="auto"/>
        </w:rPr>
      </w:pPr>
    </w:p>
    <w:p>
      <w:pPr>
        <w:ind w:left="440"/>
        <w:spacing w:after="0" w:line="150" w:lineRule="exact"/>
        <w:tabs>
          <w:tab w:leader="none" w:pos="73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92" w:lineRule="exact"/>
        <w:rPr>
          <w:sz w:val="24"/>
          <w:szCs w:val="24"/>
          <w:color w:val="auto"/>
        </w:rPr>
      </w:pPr>
    </w:p>
    <w:p>
      <w:pPr>
        <w:ind w:right="140" w:firstLine="435"/>
        <w:spacing w:after="0" w:line="262" w:lineRule="auto"/>
        <w:rPr>
          <w:sz w:val="20"/>
          <w:szCs w:val="20"/>
          <w:color w:val="auto"/>
        </w:rPr>
      </w:pPr>
      <w:r>
        <w:rPr>
          <w:rFonts w:ascii="Arial" w:cs="Arial" w:eastAsia="Arial" w:hAnsi="Arial"/>
          <w:sz w:val="14"/>
          <w:szCs w:val="14"/>
          <w:color w:val="auto"/>
        </w:rPr>
        <w:t>The aggregate market value of voting and non-voting common equity held by non-affiliates of the registrant was approximately $1.9 billion as of the last business day of the registrant's most recently completed second fiscal quarter based upon the price at which the common stock was last sold on that day.</w:t>
      </w:r>
    </w:p>
    <w:p>
      <w:pPr>
        <w:spacing w:after="0" w:line="123" w:lineRule="exact"/>
        <w:rPr>
          <w:sz w:val="24"/>
          <w:szCs w:val="24"/>
          <w:color w:val="auto"/>
        </w:rPr>
      </w:pPr>
    </w:p>
    <w:p>
      <w:pPr>
        <w:ind w:left="440"/>
        <w:spacing w:after="0"/>
        <w:rPr>
          <w:sz w:val="20"/>
          <w:szCs w:val="20"/>
          <w:color w:val="auto"/>
        </w:rPr>
      </w:pPr>
      <w:r>
        <w:rPr>
          <w:rFonts w:ascii="Arial" w:cs="Arial" w:eastAsia="Arial" w:hAnsi="Arial"/>
          <w:sz w:val="14"/>
          <w:szCs w:val="14"/>
          <w:color w:val="auto"/>
        </w:rPr>
        <w:t>Number of shares outstanding of the registrant's common stock, as of February 24, 2023: 215,026,549 shares</w:t>
      </w:r>
    </w:p>
    <w:p>
      <w:pPr>
        <w:spacing w:after="0" w:line="138"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9" w:lineRule="exact"/>
        <w:rPr>
          <w:sz w:val="24"/>
          <w:szCs w:val="24"/>
          <w:color w:val="auto"/>
        </w:rPr>
      </w:pPr>
    </w:p>
    <w:p>
      <w:pPr>
        <w:ind w:left="440"/>
        <w:spacing w:after="0"/>
        <w:rPr>
          <w:sz w:val="20"/>
          <w:szCs w:val="20"/>
          <w:color w:val="auto"/>
        </w:rPr>
      </w:pPr>
      <w:r>
        <w:rPr>
          <w:rFonts w:ascii="Arial" w:cs="Arial" w:eastAsia="Arial" w:hAnsi="Arial"/>
          <w:sz w:val="14"/>
          <w:szCs w:val="14"/>
          <w:color w:val="auto"/>
        </w:rPr>
        <w:t>Portions of the proxy statement for the annual stockholders meeting to be held in 2023 are incorporated by reference into Part III of this Form 10-K.</w:t>
      </w: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60" w:type="dxa"/>
            <w:vAlign w:val="bottom"/>
            <w:gridSpan w:val="11"/>
          </w:tcPr>
          <w:p>
            <w:pPr>
              <w:jc w:val="center"/>
              <w:ind w:right="3420"/>
              <w:spacing w:after="0"/>
              <w:rPr>
                <w:sz w:val="20"/>
                <w:szCs w:val="20"/>
                <w:color w:val="auto"/>
              </w:rPr>
            </w:pPr>
            <w:r>
              <w:rPr>
                <w:rFonts w:ascii="Arial" w:cs="Arial" w:eastAsia="Arial" w:hAnsi="Arial"/>
                <w:sz w:val="18"/>
                <w:szCs w:val="18"/>
                <w:b w:val="1"/>
                <w:bCs w:val="1"/>
                <w:color w:val="auto"/>
              </w:rPr>
              <w:t>THE MACERICH COMPANY</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60" w:type="dxa"/>
            <w:vAlign w:val="bottom"/>
            <w:gridSpan w:val="11"/>
          </w:tcPr>
          <w:p>
            <w:pPr>
              <w:jc w:val="center"/>
              <w:ind w:right="3400"/>
              <w:spacing w:after="0"/>
              <w:rPr>
                <w:sz w:val="20"/>
                <w:szCs w:val="20"/>
                <w:color w:val="auto"/>
              </w:rPr>
            </w:pPr>
            <w:r>
              <w:rPr>
                <w:rFonts w:ascii="Arial" w:cs="Arial" w:eastAsia="Arial" w:hAnsi="Arial"/>
                <w:sz w:val="18"/>
                <w:szCs w:val="18"/>
                <w:b w:val="1"/>
                <w:bCs w:val="1"/>
                <w:color w:val="auto"/>
                <w:w w:val="97"/>
              </w:rPr>
              <w:t>ANNUAL REPORT ON FORM 10-K</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60" w:type="dxa"/>
            <w:vAlign w:val="bottom"/>
            <w:gridSpan w:val="12"/>
          </w:tcPr>
          <w:p>
            <w:pPr>
              <w:jc w:val="center"/>
              <w:ind w:right="2600"/>
              <w:spacing w:after="0"/>
              <w:rPr>
                <w:sz w:val="20"/>
                <w:szCs w:val="20"/>
                <w:color w:val="auto"/>
              </w:rPr>
            </w:pPr>
            <w:r>
              <w:rPr>
                <w:rFonts w:ascii="Arial" w:cs="Arial" w:eastAsia="Arial" w:hAnsi="Arial"/>
                <w:sz w:val="18"/>
                <w:szCs w:val="18"/>
                <w:b w:val="1"/>
                <w:bCs w:val="1"/>
                <w:color w:val="auto"/>
                <w:w w:val="96"/>
              </w:rPr>
              <w:t>FOR THE YEAR ENDED DECEMBER 31, 2022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0" w:type="dxa"/>
            <w:vAlign w:val="bottom"/>
            <w:gridSpan w:val="9"/>
          </w:tcPr>
          <w:p>
            <w:pPr>
              <w:jc w:val="center"/>
              <w:ind w:right="388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440" w:type="dxa"/>
            <w:vAlign w:val="bottom"/>
            <w:vMerge w:val="restart"/>
          </w:tcPr>
          <w:p>
            <w:pPr>
              <w:spacing w:after="0"/>
              <w:rPr>
                <w:sz w:val="20"/>
                <w:szCs w:val="20"/>
                <w:color w:val="auto"/>
              </w:rPr>
            </w:pPr>
            <w:r>
              <w:rPr>
                <w:rFonts w:ascii="Arial" w:cs="Arial" w:eastAsia="Arial" w:hAnsi="Arial"/>
                <w:sz w:val="18"/>
                <w:szCs w:val="18"/>
                <w:b w:val="1"/>
                <w:bCs w:val="1"/>
                <w:color w:val="0000FF"/>
                <w:w w:val="93"/>
              </w:rPr>
              <w:t>Part I</w:t>
            </w:r>
          </w:p>
        </w:tc>
        <w:tc>
          <w:tcPr>
            <w:tcW w:w="920" w:type="dxa"/>
            <w:vAlign w:val="bottom"/>
            <w:gridSpan w:val="6"/>
            <w:vMerge w:val="restart"/>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0" w:type="dxa"/>
            <w:vAlign w:val="bottom"/>
            <w:tcBorders>
              <w:bottom w:val="single" w:sz="8" w:color="0000FF"/>
            </w:tcBorders>
            <w:vMerge w:val="continue"/>
          </w:tcPr>
          <w:p>
            <w:pPr>
              <w:spacing w:after="0"/>
              <w:rPr>
                <w:sz w:val="14"/>
                <w:szCs w:val="14"/>
                <w:color w:val="auto"/>
              </w:rPr>
            </w:pPr>
          </w:p>
        </w:tc>
        <w:tc>
          <w:tcPr>
            <w:tcW w:w="92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Item 1.</w:t>
            </w:r>
          </w:p>
        </w:tc>
        <w:tc>
          <w:tcPr>
            <w:tcW w:w="860" w:type="dxa"/>
            <w:vAlign w:val="bottom"/>
            <w:gridSpan w:val="5"/>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8420" w:type="dxa"/>
            <w:vAlign w:val="bottom"/>
            <w:gridSpan w:val="19"/>
          </w:tcPr>
          <w:p>
            <w:pPr>
              <w:spacing w:after="0"/>
              <w:rPr>
                <w:sz w:val="18"/>
                <w:szCs w:val="18"/>
                <w:color w:val="auto"/>
              </w:rPr>
            </w:pPr>
          </w:p>
        </w:tc>
        <w:tc>
          <w:tcPr>
            <w:tcW w:w="660" w:type="dxa"/>
            <w:vAlign w:val="bottom"/>
            <w:gridSpan w:val="3"/>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Arial" w:cs="Arial" w:eastAsia="Arial" w:hAnsi="Arial"/>
                <w:sz w:val="18"/>
                <w:szCs w:val="18"/>
                <w:color w:val="0000FF"/>
                <w:w w:val="89"/>
              </w:rPr>
              <w:t>Item 1A.</w:t>
            </w:r>
          </w:p>
        </w:tc>
        <w:tc>
          <w:tcPr>
            <w:tcW w:w="720" w:type="dxa"/>
            <w:vAlign w:val="bottom"/>
            <w:gridSpan w:val="2"/>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Risk Factors</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7"/>
              </w:rPr>
              <w:t>Item 1B.</w:t>
            </w: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Unresolved Staff Comments</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2.</w:t>
            </w:r>
          </w:p>
        </w:tc>
        <w:tc>
          <w:tcPr>
            <w:tcW w:w="60" w:type="dxa"/>
            <w:vAlign w:val="bottom"/>
            <w:gridSpan w:val="2"/>
          </w:tcPr>
          <w:p>
            <w:pPr>
              <w:spacing w:after="0"/>
              <w:rPr>
                <w:sz w:val="17"/>
                <w:szCs w:val="17"/>
                <w:color w:val="auto"/>
              </w:rPr>
            </w:pPr>
          </w:p>
        </w:tc>
        <w:tc>
          <w:tcPr>
            <w:tcW w:w="800" w:type="dxa"/>
            <w:vAlign w:val="bottom"/>
            <w:gridSpan w:val="3"/>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Arial" w:cs="Arial" w:eastAsia="Arial" w:hAnsi="Arial"/>
                <w:sz w:val="18"/>
                <w:szCs w:val="18"/>
                <w:color w:val="0000FF"/>
                <w:w w:val="75"/>
              </w:rPr>
              <w:t>Properties</w:t>
            </w:r>
          </w:p>
        </w:tc>
        <w:tc>
          <w:tcPr>
            <w:tcW w:w="1340" w:type="dxa"/>
            <w:vAlign w:val="bottom"/>
            <w:gridSpan w:val="6"/>
          </w:tcPr>
          <w:p>
            <w:pPr>
              <w:spacing w:after="0"/>
              <w:rPr>
                <w:sz w:val="17"/>
                <w:szCs w:val="17"/>
                <w:color w:val="auto"/>
              </w:rPr>
            </w:pPr>
          </w:p>
        </w:tc>
        <w:tc>
          <w:tcPr>
            <w:tcW w:w="7060" w:type="dxa"/>
            <w:vAlign w:val="bottom"/>
            <w:gridSpan w:val="1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3.</w:t>
            </w:r>
          </w:p>
        </w:tc>
        <w:tc>
          <w:tcPr>
            <w:tcW w:w="860" w:type="dxa"/>
            <w:vAlign w:val="bottom"/>
            <w:gridSpan w:val="5"/>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Legal Proceedings</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4.</w:t>
            </w:r>
          </w:p>
        </w:tc>
        <w:tc>
          <w:tcPr>
            <w:tcW w:w="860" w:type="dxa"/>
            <w:vAlign w:val="bottom"/>
            <w:gridSpan w:val="5"/>
          </w:tcPr>
          <w:p>
            <w:pPr>
              <w:spacing w:after="0"/>
              <w:rPr>
                <w:sz w:val="17"/>
                <w:szCs w:val="17"/>
                <w:color w:val="auto"/>
              </w:rPr>
            </w:pPr>
          </w:p>
        </w:tc>
        <w:tc>
          <w:tcPr>
            <w:tcW w:w="1740" w:type="dxa"/>
            <w:vAlign w:val="bottom"/>
            <w:gridSpan w:val="6"/>
          </w:tcPr>
          <w:p>
            <w:pPr>
              <w:spacing w:after="0" w:line="204" w:lineRule="exact"/>
              <w:rPr>
                <w:sz w:val="20"/>
                <w:szCs w:val="20"/>
                <w:color w:val="auto"/>
              </w:rPr>
            </w:pPr>
            <w:r>
              <w:rPr>
                <w:rFonts w:ascii="Arial" w:cs="Arial" w:eastAsia="Arial" w:hAnsi="Arial"/>
                <w:sz w:val="18"/>
                <w:szCs w:val="18"/>
                <w:color w:val="0000FF"/>
                <w:w w:val="89"/>
              </w:rPr>
              <w:t>Mine Safety Disclosures</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 w:type="dxa"/>
            <w:vAlign w:val="bottom"/>
            <w:tcBorders>
              <w:bottom w:val="single" w:sz="8" w:color="0000FF"/>
            </w:tcBorders>
            <w:gridSpan w:val="3"/>
          </w:tcPr>
          <w:p>
            <w:pPr>
              <w:spacing w:after="0" w:line="204" w:lineRule="exact"/>
              <w:rPr>
                <w:sz w:val="20"/>
                <w:szCs w:val="20"/>
                <w:color w:val="auto"/>
              </w:rPr>
            </w:pPr>
            <w:r>
              <w:rPr>
                <w:rFonts w:ascii="Arial" w:cs="Arial" w:eastAsia="Arial" w:hAnsi="Arial"/>
                <w:sz w:val="18"/>
                <w:szCs w:val="18"/>
                <w:b w:val="1"/>
                <w:bCs w:val="1"/>
                <w:color w:val="0000FF"/>
                <w:w w:val="99"/>
              </w:rPr>
              <w:t>Part II</w:t>
            </w:r>
          </w:p>
        </w:tc>
        <w:tc>
          <w:tcPr>
            <w:tcW w:w="8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5.</w:t>
            </w:r>
          </w:p>
        </w:tc>
        <w:tc>
          <w:tcPr>
            <w:tcW w:w="860" w:type="dxa"/>
            <w:vAlign w:val="bottom"/>
            <w:gridSpan w:val="5"/>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6.</w:t>
            </w:r>
          </w:p>
        </w:tc>
        <w:tc>
          <w:tcPr>
            <w:tcW w:w="860" w:type="dxa"/>
            <w:vAlign w:val="bottom"/>
            <w:gridSpan w:val="5"/>
          </w:tcPr>
          <w:p>
            <w:pPr>
              <w:spacing w:after="0"/>
              <w:rPr>
                <w:sz w:val="17"/>
                <w:szCs w:val="17"/>
                <w:color w:val="auto"/>
              </w:rPr>
            </w:pPr>
          </w:p>
        </w:tc>
        <w:tc>
          <w:tcPr>
            <w:tcW w:w="660" w:type="dxa"/>
            <w:vAlign w:val="bottom"/>
            <w:gridSpan w:val="2"/>
          </w:tcPr>
          <w:p>
            <w:pPr>
              <w:spacing w:after="0" w:line="204" w:lineRule="exact"/>
              <w:rPr>
                <w:sz w:val="20"/>
                <w:szCs w:val="20"/>
                <w:color w:val="auto"/>
              </w:rPr>
            </w:pPr>
            <w:r>
              <w:rPr>
                <w:rFonts w:ascii="Arial" w:cs="Arial" w:eastAsia="Arial" w:hAnsi="Arial"/>
                <w:sz w:val="18"/>
                <w:szCs w:val="18"/>
                <w:color w:val="0000FF"/>
                <w:w w:val="80"/>
              </w:rPr>
              <w:t>Reserved</w:t>
            </w:r>
          </w:p>
        </w:tc>
        <w:tc>
          <w:tcPr>
            <w:tcW w:w="7200" w:type="dxa"/>
            <w:vAlign w:val="bottom"/>
            <w:gridSpan w:val="17"/>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7.</w:t>
            </w:r>
          </w:p>
        </w:tc>
        <w:tc>
          <w:tcPr>
            <w:tcW w:w="860" w:type="dxa"/>
            <w:vAlign w:val="bottom"/>
            <w:gridSpan w:val="5"/>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Arial" w:cs="Arial" w:eastAsia="Arial" w:hAnsi="Arial"/>
                <w:sz w:val="18"/>
                <w:szCs w:val="18"/>
                <w:color w:val="0000FF"/>
                <w:w w:val="89"/>
              </w:rPr>
              <w:t>Item 7A.</w:t>
            </w:r>
          </w:p>
        </w:tc>
        <w:tc>
          <w:tcPr>
            <w:tcW w:w="720" w:type="dxa"/>
            <w:vAlign w:val="bottom"/>
            <w:gridSpan w:val="2"/>
          </w:tcPr>
          <w:p>
            <w:pPr>
              <w:spacing w:after="0"/>
              <w:rPr>
                <w:sz w:val="17"/>
                <w:szCs w:val="17"/>
                <w:color w:val="auto"/>
              </w:rPr>
            </w:pPr>
          </w:p>
        </w:tc>
        <w:tc>
          <w:tcPr>
            <w:tcW w:w="4260" w:type="dxa"/>
            <w:vAlign w:val="bottom"/>
            <w:gridSpan w:val="13"/>
          </w:tcPr>
          <w:p>
            <w:pPr>
              <w:spacing w:after="0" w:line="204" w:lineRule="exact"/>
              <w:rPr>
                <w:sz w:val="20"/>
                <w:szCs w:val="20"/>
                <w:color w:val="auto"/>
              </w:rPr>
            </w:pPr>
            <w:r>
              <w:rPr>
                <w:rFonts w:ascii="Arial" w:cs="Arial" w:eastAsia="Arial" w:hAnsi="Arial"/>
                <w:sz w:val="18"/>
                <w:szCs w:val="18"/>
                <w:color w:val="0000FF"/>
                <w:w w:val="89"/>
              </w:rPr>
              <w:t>Quantitative and Qualitative Disclosures About Market Risk</w:t>
            </w:r>
          </w:p>
        </w:tc>
        <w:tc>
          <w:tcPr>
            <w:tcW w:w="4800" w:type="dxa"/>
            <w:vAlign w:val="bottom"/>
            <w:gridSpan w:val="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8.</w:t>
            </w:r>
          </w:p>
        </w:tc>
        <w:tc>
          <w:tcPr>
            <w:tcW w:w="14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3260" w:type="dxa"/>
            <w:vAlign w:val="bottom"/>
            <w:gridSpan w:val="11"/>
          </w:tcPr>
          <w:p>
            <w:pPr>
              <w:spacing w:after="0" w:line="204" w:lineRule="exact"/>
              <w:rPr>
                <w:sz w:val="20"/>
                <w:szCs w:val="20"/>
                <w:color w:val="auto"/>
              </w:rPr>
            </w:pPr>
            <w:r>
              <w:rPr>
                <w:rFonts w:ascii="Arial" w:cs="Arial" w:eastAsia="Arial" w:hAnsi="Arial"/>
                <w:sz w:val="18"/>
                <w:szCs w:val="18"/>
                <w:color w:val="0000FF"/>
                <w:w w:val="87"/>
              </w:rPr>
              <w:t>Financial Statements and Supplementary Data</w:t>
            </w:r>
          </w:p>
        </w:tc>
        <w:tc>
          <w:tcPr>
            <w:tcW w:w="1000" w:type="dxa"/>
            <w:vAlign w:val="bottom"/>
            <w:gridSpan w:val="2"/>
          </w:tcPr>
          <w:p>
            <w:pPr>
              <w:spacing w:after="0"/>
              <w:rPr>
                <w:sz w:val="17"/>
                <w:szCs w:val="17"/>
                <w:color w:val="auto"/>
              </w:rPr>
            </w:pPr>
          </w:p>
        </w:tc>
        <w:tc>
          <w:tcPr>
            <w:tcW w:w="4800" w:type="dxa"/>
            <w:vAlign w:val="bottom"/>
            <w:gridSpan w:val="7"/>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gridSpan w:val="2"/>
          </w:tcPr>
          <w:p>
            <w:pPr>
              <w:spacing w:after="0" w:line="204" w:lineRule="exact"/>
              <w:rPr>
                <w:sz w:val="20"/>
                <w:szCs w:val="20"/>
                <w:color w:val="auto"/>
              </w:rPr>
            </w:pPr>
            <w:r>
              <w:rPr>
                <w:rFonts w:ascii="Arial" w:cs="Arial" w:eastAsia="Arial" w:hAnsi="Arial"/>
                <w:sz w:val="18"/>
                <w:szCs w:val="18"/>
                <w:color w:val="0000FF"/>
                <w:w w:val="87"/>
              </w:rPr>
              <w:t>Item 9.</w:t>
            </w:r>
          </w:p>
        </w:tc>
        <w:tc>
          <w:tcPr>
            <w:tcW w:w="860" w:type="dxa"/>
            <w:vAlign w:val="bottom"/>
            <w:gridSpan w:val="5"/>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Arial" w:cs="Arial" w:eastAsia="Arial" w:hAnsi="Arial"/>
                <w:sz w:val="18"/>
                <w:szCs w:val="18"/>
                <w:color w:val="0000FF"/>
                <w:w w:val="89"/>
              </w:rPr>
              <w:t>Item 9A.</w:t>
            </w:r>
          </w:p>
        </w:tc>
        <w:tc>
          <w:tcPr>
            <w:tcW w:w="720" w:type="dxa"/>
            <w:vAlign w:val="bottom"/>
            <w:gridSpan w:val="2"/>
          </w:tcPr>
          <w:p>
            <w:pPr>
              <w:spacing w:after="0"/>
              <w:rPr>
                <w:sz w:val="17"/>
                <w:szCs w:val="17"/>
                <w:color w:val="auto"/>
              </w:rPr>
            </w:pPr>
          </w:p>
        </w:tc>
        <w:tc>
          <w:tcPr>
            <w:tcW w:w="1740" w:type="dxa"/>
            <w:vAlign w:val="bottom"/>
            <w:gridSpan w:val="6"/>
          </w:tcPr>
          <w:p>
            <w:pPr>
              <w:spacing w:after="0" w:line="204" w:lineRule="exact"/>
              <w:rPr>
                <w:sz w:val="20"/>
                <w:szCs w:val="20"/>
                <w:color w:val="auto"/>
              </w:rPr>
            </w:pPr>
            <w:r>
              <w:rPr>
                <w:rFonts w:ascii="Arial" w:cs="Arial" w:eastAsia="Arial" w:hAnsi="Arial"/>
                <w:sz w:val="18"/>
                <w:szCs w:val="18"/>
                <w:color w:val="0000FF"/>
                <w:w w:val="86"/>
              </w:rPr>
              <w:t>Controls and Procedures</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0" w:type="dxa"/>
            <w:vAlign w:val="bottom"/>
            <w:gridSpan w:val="5"/>
          </w:tcPr>
          <w:p>
            <w:pPr>
              <w:spacing w:after="0" w:line="204" w:lineRule="exact"/>
              <w:rPr>
                <w:sz w:val="20"/>
                <w:szCs w:val="20"/>
                <w:color w:val="auto"/>
              </w:rPr>
            </w:pPr>
            <w:r>
              <w:rPr>
                <w:rFonts w:ascii="Arial" w:cs="Arial" w:eastAsia="Arial" w:hAnsi="Arial"/>
                <w:sz w:val="18"/>
                <w:szCs w:val="18"/>
                <w:color w:val="0000FF"/>
                <w:w w:val="89"/>
              </w:rPr>
              <w:t>Item 9B.</w:t>
            </w:r>
          </w:p>
        </w:tc>
        <w:tc>
          <w:tcPr>
            <w:tcW w:w="720" w:type="dxa"/>
            <w:vAlign w:val="bottom"/>
            <w:gridSpan w:val="2"/>
          </w:tcPr>
          <w:p>
            <w:pPr>
              <w:spacing w:after="0"/>
              <w:rPr>
                <w:sz w:val="17"/>
                <w:szCs w:val="17"/>
                <w:color w:val="auto"/>
              </w:rPr>
            </w:pPr>
          </w:p>
        </w:tc>
        <w:tc>
          <w:tcPr>
            <w:tcW w:w="1740" w:type="dxa"/>
            <w:vAlign w:val="bottom"/>
            <w:gridSpan w:val="6"/>
          </w:tcPr>
          <w:p>
            <w:pPr>
              <w:spacing w:after="0" w:line="204" w:lineRule="exact"/>
              <w:rPr>
                <w:sz w:val="20"/>
                <w:szCs w:val="20"/>
                <w:color w:val="auto"/>
              </w:rPr>
            </w:pPr>
            <w:r>
              <w:rPr>
                <w:rFonts w:ascii="Arial" w:cs="Arial" w:eastAsia="Arial" w:hAnsi="Arial"/>
                <w:sz w:val="18"/>
                <w:szCs w:val="18"/>
                <w:color w:val="0000FF"/>
              </w:rPr>
              <w:t>Other Information</w:t>
            </w:r>
          </w:p>
        </w:tc>
        <w:tc>
          <w:tcPr>
            <w:tcW w:w="7320" w:type="dxa"/>
            <w:vAlign w:val="bottom"/>
            <w:gridSpan w:val="14"/>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6"/>
              </w:rPr>
              <w:t>Item 9C.</w:t>
            </w:r>
          </w:p>
        </w:tc>
        <w:tc>
          <w:tcPr>
            <w:tcW w:w="8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4"/>
        </w:trPr>
        <w:tc>
          <w:tcPr>
            <w:tcW w:w="560" w:type="dxa"/>
            <w:vAlign w:val="bottom"/>
            <w:tcBorders>
              <w:top w:val="single" w:sz="8" w:color="0000FF"/>
              <w:bottom w:val="single" w:sz="8" w:color="0000FF"/>
            </w:tcBorders>
            <w:gridSpan w:val="4"/>
          </w:tcPr>
          <w:p>
            <w:pPr>
              <w:spacing w:after="0" w:line="204" w:lineRule="exact"/>
              <w:rPr>
                <w:sz w:val="20"/>
                <w:szCs w:val="20"/>
                <w:color w:val="auto"/>
              </w:rPr>
            </w:pPr>
            <w:r>
              <w:rPr>
                <w:rFonts w:ascii="Arial" w:cs="Arial" w:eastAsia="Arial" w:hAnsi="Arial"/>
                <w:sz w:val="18"/>
                <w:szCs w:val="18"/>
                <w:b w:val="1"/>
                <w:bCs w:val="1"/>
                <w:color w:val="0000FF"/>
                <w:w w:val="94"/>
              </w:rPr>
              <w:t>Part III</w:t>
            </w:r>
          </w:p>
        </w:tc>
        <w:tc>
          <w:tcPr>
            <w:tcW w:w="800" w:type="dxa"/>
            <w:vAlign w:val="bottom"/>
            <w:gridSpan w:val="3"/>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gridSpan w:val="7"/>
          </w:tcPr>
          <w:p>
            <w:pPr>
              <w:spacing w:after="0" w:line="204" w:lineRule="exact"/>
              <w:rPr>
                <w:sz w:val="20"/>
                <w:szCs w:val="20"/>
                <w:color w:val="auto"/>
              </w:rPr>
            </w:pPr>
            <w:r>
              <w:rPr>
                <w:rFonts w:ascii="Arial" w:cs="Arial" w:eastAsia="Arial" w:hAnsi="Arial"/>
                <w:sz w:val="18"/>
                <w:szCs w:val="18"/>
                <w:color w:val="0000FF"/>
              </w:rPr>
              <w:t>Item 10.</w:t>
            </w: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Directors, Executive Officers and Corporate Governance</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9"/>
              </w:rPr>
              <w:t>Item 11.</w:t>
            </w:r>
          </w:p>
        </w:tc>
        <w:tc>
          <w:tcPr>
            <w:tcW w:w="800" w:type="dxa"/>
            <w:vAlign w:val="bottom"/>
            <w:gridSpan w:val="3"/>
          </w:tcPr>
          <w:p>
            <w:pPr>
              <w:spacing w:after="0"/>
              <w:rPr>
                <w:sz w:val="17"/>
                <w:szCs w:val="17"/>
                <w:color w:val="auto"/>
              </w:rPr>
            </w:pPr>
          </w:p>
        </w:tc>
        <w:tc>
          <w:tcPr>
            <w:tcW w:w="4000" w:type="dxa"/>
            <w:vAlign w:val="bottom"/>
            <w:gridSpan w:val="12"/>
          </w:tcPr>
          <w:p>
            <w:pPr>
              <w:spacing w:after="0" w:line="204" w:lineRule="exact"/>
              <w:rPr>
                <w:sz w:val="20"/>
                <w:szCs w:val="20"/>
                <w:color w:val="auto"/>
              </w:rPr>
            </w:pPr>
            <w:r>
              <w:rPr>
                <w:rFonts w:ascii="Arial" w:cs="Arial" w:eastAsia="Arial" w:hAnsi="Arial"/>
                <w:sz w:val="18"/>
                <w:szCs w:val="18"/>
                <w:color w:val="0000FF"/>
              </w:rPr>
              <w:t>Executive Compensation</w:t>
            </w:r>
          </w:p>
        </w:tc>
        <w:tc>
          <w:tcPr>
            <w:tcW w:w="5060" w:type="dxa"/>
            <w:vAlign w:val="bottom"/>
            <w:gridSpan w:val="8"/>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9"/>
              </w:rPr>
              <w:t>Item 12.</w:t>
            </w:r>
          </w:p>
        </w:tc>
        <w:tc>
          <w:tcPr>
            <w:tcW w:w="800" w:type="dxa"/>
            <w:vAlign w:val="bottom"/>
            <w:gridSpan w:val="3"/>
          </w:tcPr>
          <w:p>
            <w:pPr>
              <w:spacing w:after="0"/>
              <w:rPr>
                <w:sz w:val="17"/>
                <w:szCs w:val="17"/>
                <w:color w:val="auto"/>
              </w:rPr>
            </w:pPr>
          </w:p>
        </w:tc>
        <w:tc>
          <w:tcPr>
            <w:tcW w:w="7120" w:type="dxa"/>
            <w:vAlign w:val="bottom"/>
            <w:gridSpan w:val="18"/>
          </w:tcPr>
          <w:p>
            <w:pPr>
              <w:spacing w:after="0" w:line="204" w:lineRule="exact"/>
              <w:rPr>
                <w:sz w:val="20"/>
                <w:szCs w:val="20"/>
                <w:color w:val="auto"/>
              </w:rPr>
            </w:pPr>
            <w:r>
              <w:rPr>
                <w:rFonts w:ascii="Arial" w:cs="Arial" w:eastAsia="Arial" w:hAnsi="Arial"/>
                <w:sz w:val="18"/>
                <w:szCs w:val="18"/>
                <w:color w:val="0000FF"/>
                <w:w w:val="88"/>
              </w:rPr>
              <w:t>Security Ownership of Certain Beneficial Owners and Management and Related Stockholder Matters</w:t>
            </w:r>
          </w:p>
        </w:tc>
        <w:tc>
          <w:tcPr>
            <w:tcW w:w="1940" w:type="dxa"/>
            <w:vAlign w:val="bottom"/>
            <w:gridSpan w:val="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9"/>
              </w:rPr>
              <w:t>Item 13.</w:t>
            </w:r>
          </w:p>
        </w:tc>
        <w:tc>
          <w:tcPr>
            <w:tcW w:w="800" w:type="dxa"/>
            <w:vAlign w:val="bottom"/>
            <w:gridSpan w:val="3"/>
          </w:tcPr>
          <w:p>
            <w:pPr>
              <w:spacing w:after="0"/>
              <w:rPr>
                <w:sz w:val="17"/>
                <w:szCs w:val="17"/>
                <w:color w:val="auto"/>
              </w:rPr>
            </w:pPr>
          </w:p>
        </w:tc>
        <w:tc>
          <w:tcPr>
            <w:tcW w:w="7120" w:type="dxa"/>
            <w:vAlign w:val="bottom"/>
            <w:gridSpan w:val="18"/>
          </w:tcPr>
          <w:p>
            <w:pPr>
              <w:spacing w:after="0" w:line="204"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940" w:type="dxa"/>
            <w:vAlign w:val="bottom"/>
            <w:gridSpan w:val="2"/>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9"/>
              </w:rPr>
              <w:t>Item 14.</w:t>
            </w:r>
          </w:p>
        </w:tc>
        <w:tc>
          <w:tcPr>
            <w:tcW w:w="800" w:type="dxa"/>
            <w:vAlign w:val="bottom"/>
            <w:gridSpan w:val="3"/>
          </w:tcPr>
          <w:p>
            <w:pPr>
              <w:spacing w:after="0"/>
              <w:rPr>
                <w:sz w:val="17"/>
                <w:szCs w:val="17"/>
                <w:color w:val="auto"/>
              </w:rPr>
            </w:pPr>
          </w:p>
        </w:tc>
        <w:tc>
          <w:tcPr>
            <w:tcW w:w="5320" w:type="dxa"/>
            <w:vAlign w:val="bottom"/>
            <w:gridSpan w:val="15"/>
          </w:tcPr>
          <w:p>
            <w:pPr>
              <w:spacing w:after="0" w:line="204" w:lineRule="exact"/>
              <w:rPr>
                <w:sz w:val="20"/>
                <w:szCs w:val="20"/>
                <w:color w:val="auto"/>
              </w:rPr>
            </w:pPr>
            <w:r>
              <w:rPr>
                <w:rFonts w:ascii="Arial" w:cs="Arial" w:eastAsia="Arial" w:hAnsi="Arial"/>
                <w:sz w:val="18"/>
                <w:szCs w:val="18"/>
                <w:color w:val="0000FF"/>
              </w:rPr>
              <w:t>Principal Accountant Fees and Services</w:t>
            </w:r>
          </w:p>
        </w:tc>
        <w:tc>
          <w:tcPr>
            <w:tcW w:w="3740" w:type="dxa"/>
            <w:vAlign w:val="bottom"/>
            <w:gridSpan w:val="5"/>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4"/>
        </w:trPr>
        <w:tc>
          <w:tcPr>
            <w:tcW w:w="560" w:type="dxa"/>
            <w:vAlign w:val="bottom"/>
            <w:tcBorders>
              <w:top w:val="single" w:sz="8" w:color="0000FF"/>
            </w:tcBorders>
            <w:gridSpan w:val="4"/>
          </w:tcPr>
          <w:p>
            <w:pPr>
              <w:spacing w:after="0" w:line="204" w:lineRule="exact"/>
              <w:rPr>
                <w:sz w:val="20"/>
                <w:szCs w:val="20"/>
                <w:color w:val="auto"/>
              </w:rPr>
            </w:pPr>
            <w:r>
              <w:rPr>
                <w:rFonts w:ascii="Arial" w:cs="Arial" w:eastAsia="Arial" w:hAnsi="Arial"/>
                <w:sz w:val="18"/>
                <w:szCs w:val="18"/>
                <w:b w:val="1"/>
                <w:bCs w:val="1"/>
                <w:color w:val="0000FF"/>
                <w:w w:val="91"/>
              </w:rPr>
              <w:t>Part IV</w:t>
            </w:r>
          </w:p>
        </w:tc>
        <w:tc>
          <w:tcPr>
            <w:tcW w:w="800" w:type="dxa"/>
            <w:vAlign w:val="bottom"/>
            <w:gridSpan w:val="3"/>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9"/>
              </w:rPr>
              <w:t>Item 15.</w:t>
            </w:r>
          </w:p>
        </w:tc>
        <w:tc>
          <w:tcPr>
            <w:tcW w:w="800" w:type="dxa"/>
            <w:vAlign w:val="bottom"/>
            <w:gridSpan w:val="3"/>
          </w:tcPr>
          <w:p>
            <w:pPr>
              <w:spacing w:after="0"/>
              <w:rPr>
                <w:sz w:val="17"/>
                <w:szCs w:val="17"/>
                <w:color w:val="auto"/>
              </w:rPr>
            </w:pPr>
          </w:p>
        </w:tc>
        <w:tc>
          <w:tcPr>
            <w:tcW w:w="9060" w:type="dxa"/>
            <w:vAlign w:val="bottom"/>
            <w:gridSpan w:val="20"/>
          </w:tcPr>
          <w:p>
            <w:pPr>
              <w:spacing w:after="0" w:line="204" w:lineRule="exact"/>
              <w:rPr>
                <w:sz w:val="20"/>
                <w:szCs w:val="20"/>
                <w:color w:val="auto"/>
              </w:rPr>
            </w:pPr>
            <w:r>
              <w:rPr>
                <w:rFonts w:ascii="Arial" w:cs="Arial" w:eastAsia="Arial" w:hAnsi="Arial"/>
                <w:sz w:val="18"/>
                <w:szCs w:val="18"/>
                <w:color w:val="0000FF"/>
              </w:rPr>
              <w:t>Exhibits and Financial Statement Schedules</w:t>
            </w: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 w:type="dxa"/>
            <w:vAlign w:val="bottom"/>
            <w:gridSpan w:val="4"/>
          </w:tcPr>
          <w:p>
            <w:pPr>
              <w:spacing w:after="0" w:line="204" w:lineRule="exact"/>
              <w:rPr>
                <w:sz w:val="20"/>
                <w:szCs w:val="20"/>
                <w:color w:val="auto"/>
              </w:rPr>
            </w:pPr>
            <w:r>
              <w:rPr>
                <w:rFonts w:ascii="Arial" w:cs="Arial" w:eastAsia="Arial" w:hAnsi="Arial"/>
                <w:sz w:val="18"/>
                <w:szCs w:val="18"/>
                <w:color w:val="0000FF"/>
                <w:w w:val="79"/>
              </w:rPr>
              <w:t>Item 16.</w:t>
            </w:r>
          </w:p>
        </w:tc>
        <w:tc>
          <w:tcPr>
            <w:tcW w:w="800" w:type="dxa"/>
            <w:vAlign w:val="bottom"/>
            <w:gridSpan w:val="3"/>
          </w:tcPr>
          <w:p>
            <w:pPr>
              <w:spacing w:after="0"/>
              <w:rPr>
                <w:sz w:val="17"/>
                <w:szCs w:val="17"/>
                <w:color w:val="auto"/>
              </w:rPr>
            </w:pPr>
          </w:p>
        </w:tc>
        <w:tc>
          <w:tcPr>
            <w:tcW w:w="1520" w:type="dxa"/>
            <w:vAlign w:val="bottom"/>
            <w:gridSpan w:val="5"/>
          </w:tcPr>
          <w:p>
            <w:pPr>
              <w:spacing w:after="0" w:line="204" w:lineRule="exact"/>
              <w:rPr>
                <w:sz w:val="20"/>
                <w:szCs w:val="20"/>
                <w:color w:val="auto"/>
              </w:rPr>
            </w:pPr>
            <w:r>
              <w:rPr>
                <w:rFonts w:ascii="Arial" w:cs="Arial" w:eastAsia="Arial" w:hAnsi="Arial"/>
                <w:sz w:val="18"/>
                <w:szCs w:val="18"/>
                <w:color w:val="0000FF"/>
                <w:w w:val="89"/>
              </w:rPr>
              <w:t>Form 10-K Summary</w:t>
            </w:r>
          </w:p>
        </w:tc>
        <w:tc>
          <w:tcPr>
            <w:tcW w:w="1560" w:type="dxa"/>
            <w:vAlign w:val="bottom"/>
            <w:gridSpan w:val="5"/>
          </w:tcPr>
          <w:p>
            <w:pPr>
              <w:spacing w:after="0"/>
              <w:rPr>
                <w:sz w:val="17"/>
                <w:szCs w:val="17"/>
                <w:color w:val="auto"/>
              </w:rPr>
            </w:pPr>
          </w:p>
        </w:tc>
        <w:tc>
          <w:tcPr>
            <w:tcW w:w="5980" w:type="dxa"/>
            <w:vAlign w:val="bottom"/>
            <w:gridSpan w:val="10"/>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0"/>
        </w:trPr>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 w:type="dxa"/>
            <w:vAlign w:val="bottom"/>
            <w:tcBorders>
              <w:bottom w:val="single" w:sz="8" w:color="0000FF"/>
            </w:tcBorders>
            <w:gridSpan w:val="6"/>
          </w:tcPr>
          <w:p>
            <w:pPr>
              <w:spacing w:after="0" w:line="204" w:lineRule="exact"/>
              <w:rPr>
                <w:sz w:val="20"/>
                <w:szCs w:val="20"/>
                <w:color w:val="auto"/>
              </w:rPr>
            </w:pPr>
            <w:r>
              <w:rPr>
                <w:rFonts w:ascii="Arial" w:cs="Arial" w:eastAsia="Arial" w:hAnsi="Arial"/>
                <w:sz w:val="18"/>
                <w:szCs w:val="18"/>
                <w:b w:val="1"/>
                <w:bCs w:val="1"/>
                <w:color w:val="0000FF"/>
                <w:w w:val="83"/>
              </w:rPr>
              <w:t>Signatures</w:t>
            </w: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Borders>
              <w:bottom w:val="single" w:sz="8" w:color="0000FF"/>
            </w:tcBorders>
            <w:gridSpan w:val="3"/>
          </w:tcPr>
          <w:p>
            <w:pPr>
              <w:jc w:val="right"/>
              <w:spacing w:after="0" w:line="204" w:lineRule="exact"/>
              <w:rPr>
                <w:sz w:val="20"/>
                <w:szCs w:val="20"/>
                <w:color w:val="auto"/>
              </w:rPr>
            </w:pPr>
            <w:r>
              <w:rPr>
                <w:rFonts w:ascii="Arial" w:cs="Arial" w:eastAsia="Arial" w:hAnsi="Arial"/>
                <w:sz w:val="18"/>
                <w:szCs w:val="18"/>
                <w:color w:val="0000FF"/>
                <w:w w:val="79"/>
              </w:rPr>
              <w:t>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872"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FACTORS RELATED TO FORWARD-LOOKING STATEMENTS</w:t>
      </w:r>
    </w:p>
    <w:p>
      <w:pPr>
        <w:spacing w:after="0" w:line="155" w:lineRule="exact"/>
        <w:rPr>
          <w:sz w:val="20"/>
          <w:szCs w:val="20"/>
          <w:color w:val="auto"/>
        </w:rPr>
      </w:pPr>
    </w:p>
    <w:p>
      <w:pPr>
        <w:ind w:right="80" w:firstLine="435"/>
        <w:spacing w:after="0" w:line="284" w:lineRule="auto"/>
        <w:rPr>
          <w:sz w:val="20"/>
          <w:szCs w:val="20"/>
          <w:color w:val="auto"/>
        </w:rPr>
      </w:pPr>
      <w:r>
        <w:rPr>
          <w:rFonts w:ascii="Arial" w:cs="Arial" w:eastAsia="Arial" w:hAnsi="Arial"/>
          <w:sz w:val="16"/>
          <w:szCs w:val="16"/>
          <w:color w:val="auto"/>
        </w:rPr>
        <w:t>This Annual Report on Form 10-K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10-K and include statements regarding, among other matters:</w:t>
      </w:r>
    </w:p>
    <w:p>
      <w:pPr>
        <w:spacing w:after="0" w:line="103" w:lineRule="exact"/>
        <w:rPr>
          <w:sz w:val="20"/>
          <w:szCs w:val="20"/>
          <w:color w:val="auto"/>
        </w:rPr>
      </w:pPr>
    </w:p>
    <w:p>
      <w:pPr>
        <w:ind w:left="1260" w:hanging="62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135" w:lineRule="exact"/>
        <w:rPr>
          <w:rFonts w:ascii="Arial" w:cs="Arial" w:eastAsia="Arial" w:hAnsi="Arial"/>
          <w:sz w:val="18"/>
          <w:szCs w:val="18"/>
          <w:color w:val="auto"/>
        </w:rPr>
      </w:pPr>
    </w:p>
    <w:p>
      <w:pPr>
        <w:ind w:left="1280" w:right="140" w:hanging="642"/>
        <w:spacing w:after="0" w:line="262" w:lineRule="auto"/>
        <w:tabs>
          <w:tab w:leader="none" w:pos="1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and financial stability of its retailers;</w:t>
      </w:r>
    </w:p>
    <w:p>
      <w:pPr>
        <w:spacing w:after="0" w:line="114" w:lineRule="exact"/>
        <w:rPr>
          <w:rFonts w:ascii="Arial" w:cs="Arial" w:eastAsia="Arial" w:hAnsi="Arial"/>
          <w:sz w:val="18"/>
          <w:szCs w:val="18"/>
          <w:color w:val="auto"/>
        </w:rPr>
      </w:pPr>
    </w:p>
    <w:p>
      <w:pPr>
        <w:ind w:left="1260" w:hanging="62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148" w:lineRule="exact"/>
        <w:rPr>
          <w:rFonts w:ascii="Arial" w:cs="Arial" w:eastAsia="Arial" w:hAnsi="Arial"/>
          <w:sz w:val="18"/>
          <w:szCs w:val="18"/>
          <w:color w:val="auto"/>
        </w:rPr>
      </w:pPr>
    </w:p>
    <w:p>
      <w:pPr>
        <w:ind w:left="1260" w:hanging="62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135" w:lineRule="exact"/>
        <w:rPr>
          <w:rFonts w:ascii="Arial" w:cs="Arial" w:eastAsia="Arial" w:hAnsi="Arial"/>
          <w:sz w:val="18"/>
          <w:szCs w:val="18"/>
          <w:color w:val="auto"/>
        </w:rPr>
      </w:pPr>
    </w:p>
    <w:p>
      <w:pPr>
        <w:ind w:left="1260" w:hanging="62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148" w:lineRule="exact"/>
        <w:rPr>
          <w:rFonts w:ascii="Arial" w:cs="Arial" w:eastAsia="Arial" w:hAnsi="Arial"/>
          <w:sz w:val="18"/>
          <w:szCs w:val="18"/>
          <w:color w:val="auto"/>
        </w:rPr>
      </w:pPr>
    </w:p>
    <w:p>
      <w:pPr>
        <w:ind w:left="1260" w:hanging="62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148" w:lineRule="exact"/>
        <w:rPr>
          <w:rFonts w:ascii="Arial" w:cs="Arial" w:eastAsia="Arial" w:hAnsi="Arial"/>
          <w:sz w:val="18"/>
          <w:szCs w:val="18"/>
          <w:color w:val="auto"/>
        </w:rPr>
      </w:pPr>
    </w:p>
    <w:p>
      <w:pPr>
        <w:ind w:left="1260" w:hanging="62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135" w:lineRule="exact"/>
        <w:rPr>
          <w:rFonts w:ascii="Arial" w:cs="Arial" w:eastAsia="Arial" w:hAnsi="Arial"/>
          <w:sz w:val="18"/>
          <w:szCs w:val="18"/>
          <w:color w:val="auto"/>
        </w:rPr>
      </w:pPr>
    </w:p>
    <w:p>
      <w:pPr>
        <w:ind w:left="1280" w:right="460" w:hanging="642"/>
        <w:spacing w:after="0" w:line="262" w:lineRule="auto"/>
        <w:tabs>
          <w:tab w:leader="none" w:pos="127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115" w:lineRule="exact"/>
        <w:rPr>
          <w:sz w:val="20"/>
          <w:szCs w:val="20"/>
          <w:color w:val="auto"/>
        </w:rPr>
      </w:pPr>
    </w:p>
    <w:p>
      <w:pPr>
        <w:ind w:right="20" w:firstLine="435"/>
        <w:spacing w:after="0" w:line="266" w:lineRule="auto"/>
        <w:rPr>
          <w:sz w:val="20"/>
          <w:szCs w:val="20"/>
          <w:color w:val="auto"/>
        </w:rPr>
      </w:pPr>
      <w:r>
        <w:rPr>
          <w:rFonts w:ascii="Arial" w:cs="Arial" w:eastAsia="Arial" w:hAnsi="Arial"/>
          <w:sz w:val="16"/>
          <w:szCs w:val="16"/>
          <w:color w:val="auto"/>
        </w:rPr>
        <w:t>Stockholders are cautioned that any such forward-looking statements are not guarantees of future performance and involve risks, uncertainties and other factors that may cause actual results, performance or achievements of the Company or the industry to differ materially from the Company's future results, performance or achievements, or those of the industry, expressed or implied in such forward-looking statements. Such factors include, among others, general industry, as well as global, national, regional and local economic and business conditions, which will, among other things, affect demand for retail space or retail goods, availability and creditworthiness of current and prospective tenants, anchor or tenant bankruptcies, closures, mergers or consolidations, lease rates, terms and payments, rising interest rates and inflation and its impact on the financial condition and results of operation of the Company and its tenants, availability, terms and cost of financing and operating expenses; adverse changes in the real estate markets including, among other things, competition from other companies, retail formats and technology, risks of real estate development and redevelopment (including rising inflation, supply chain disruptions and construction delays), acquisitions and dispositions; adverse impacts from COVID-19 or any future pandemic, epidemic or outbreak of any other highly infectious disease on the U.S., regional and global economies and the financial condition and results of operations of the Company and its tenants; the liquidity of real estate investments, governmental actions and initiatives (including legislative and regulatory changes); environmental and safety requirements; and terrorist activities or other acts of violence which could adversely affect all of the above factors. You are urged to carefully review the disclosures we make concerning these risks and other factors that may affect our business and operating results, including those made in "Item 1A. Risk Factors" of this Annual Report on Form 10-K, as well as our other reports filed with the Securities and Exchange Commission (the "SEC"), which disclosures are incorporated herein by reference. You are cautioned not to place undue reliance on these forward-looking statements, which speak only as of the date of this document. The Company does not intend, and undertakes no obligation, to update any forward-looking information to reflect events or circumstances after the date of this document or to reflect the occurrence of unanticipated events, unless required by law to do so.</w:t>
      </w:r>
    </w:p>
    <w:p>
      <w:pPr>
        <w:spacing w:after="0" w:line="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8"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a Delaware limited partnership (the "Operating Partnership"). As of December 31, 2022, the Operating Partnership owned or had an ownership interest in 44 regional town centers (including office, hotel and residential space adjacent to these shopping centers), five community/power shopping centers, one office property and one redevelopment property. These 51 regional town centers, community/power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3" w:name="page4"/>
    <w:bookmarkEnd w:id="3"/>
    <w:p>
      <w:pPr>
        <w:ind w:right="20"/>
        <w:spacing w:after="0" w:line="253" w:lineRule="auto"/>
        <w:rPr>
          <w:sz w:val="20"/>
          <w:szCs w:val="20"/>
          <w:color w:val="auto"/>
        </w:rPr>
      </w:pPr>
      <w:r>
        <w:rPr>
          <w:rFonts w:ascii="Arial" w:cs="Arial" w:eastAsia="Arial" w:hAnsi="Arial"/>
          <w:sz w:val="18"/>
          <w:szCs w:val="18"/>
          <w:color w:val="auto"/>
        </w:rPr>
        <w:t>shopping centers, office and redevelopment properties consist of approximately 47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w:t>
      </w:r>
    </w:p>
    <w:p>
      <w:pPr>
        <w:spacing w:after="0" w:line="109" w:lineRule="exact"/>
        <w:rPr>
          <w:sz w:val="20"/>
          <w:szCs w:val="20"/>
          <w:color w:val="auto"/>
        </w:rPr>
      </w:pPr>
    </w:p>
    <w:p>
      <w:pPr>
        <w:ind w:firstLine="435"/>
        <w:spacing w:after="0" w:line="247" w:lineRule="auto"/>
        <w:rPr>
          <w:sz w:val="20"/>
          <w:szCs w:val="20"/>
          <w:color w:val="auto"/>
        </w:rPr>
      </w:pPr>
      <w:r>
        <w:rPr>
          <w:rFonts w:ascii="Arial" w:cs="Arial" w:eastAsia="Arial" w:hAnsi="Arial"/>
          <w:sz w:val="18"/>
          <w:szCs w:val="18"/>
          <w:color w:val="auto"/>
        </w:rPr>
        <w:t>The Company is a self-administered and self-managed real estate investment trust ("REIT") and conducts all of its operations through the Operating Partnership and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129" w:lineRule="exact"/>
        <w:rPr>
          <w:sz w:val="20"/>
          <w:szCs w:val="20"/>
          <w:color w:val="auto"/>
        </w:rPr>
      </w:pPr>
    </w:p>
    <w:p>
      <w:pPr>
        <w:ind w:right="80" w:firstLine="435"/>
        <w:spacing w:after="0" w:line="325" w:lineRule="auto"/>
        <w:rPr>
          <w:sz w:val="20"/>
          <w:szCs w:val="20"/>
          <w:color w:val="auto"/>
        </w:rPr>
      </w:pPr>
      <w:r>
        <w:rPr>
          <w:rFonts w:ascii="Arial" w:cs="Arial" w:eastAsia="Arial" w:hAnsi="Arial"/>
          <w:sz w:val="16"/>
          <w:szCs w:val="16"/>
          <w:color w:val="auto"/>
        </w:rPr>
        <w:t>The Company was organized as a Maryland corporation in September 1993. All references to the Company in this Annual Report on Form 10-K include the Company, those entities owned or controlled by the Company and predecessors of the Company, unless the context indicates otherwise.</w:t>
      </w:r>
    </w:p>
    <w:p>
      <w:pPr>
        <w:spacing w:after="0" w:line="68" w:lineRule="exact"/>
        <w:rPr>
          <w:sz w:val="20"/>
          <w:szCs w:val="20"/>
          <w:color w:val="auto"/>
        </w:rPr>
      </w:pPr>
    </w:p>
    <w:p>
      <w:pPr>
        <w:ind w:right="360" w:firstLine="435"/>
        <w:spacing w:after="0" w:line="262" w:lineRule="auto"/>
        <w:rPr>
          <w:sz w:val="20"/>
          <w:szCs w:val="20"/>
          <w:color w:val="auto"/>
        </w:rPr>
      </w:pPr>
      <w:r>
        <w:rPr>
          <w:rFonts w:ascii="Arial" w:cs="Arial" w:eastAsia="Arial" w:hAnsi="Arial"/>
          <w:sz w:val="18"/>
          <w:szCs w:val="18"/>
          <w:color w:val="auto"/>
        </w:rPr>
        <w:t>Financial information regarding the Company for each of the last three fiscal years is contained in the Company's Consolidated Financial Statements included in "Item 15. Exhibits and Financial Statement Schedules."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149" w:lineRule="exact"/>
        <w:rPr>
          <w:sz w:val="20"/>
          <w:szCs w:val="20"/>
          <w:color w:val="auto"/>
        </w:rPr>
      </w:pPr>
    </w:p>
    <w:p>
      <w:pPr>
        <w:jc w:val="both"/>
        <w:ind w:right="60" w:firstLine="435"/>
        <w:spacing w:after="0" w:line="300" w:lineRule="auto"/>
        <w:rPr>
          <w:sz w:val="20"/>
          <w:szCs w:val="20"/>
          <w:color w:val="auto"/>
        </w:rPr>
      </w:pPr>
      <w:r>
        <w:rPr>
          <w:rFonts w:ascii="Arial" w:cs="Arial" w:eastAsia="Arial" w:hAnsi="Arial"/>
          <w:sz w:val="16"/>
          <w:szCs w:val="16"/>
          <w:color w:val="auto"/>
        </w:rPr>
        <w:t>On August 2, 2022, the Company acquired the remaining 50% ownership interest in two former Sears parcels (Deptford Mall and Vintage Faire Mall) in the MS Portfolio LLC joint venture that it did not previously own for a total purchase price of $24.5 million. Effective as of August 2, 2022, the Company now owns and has consolidated its 100% interest in these two former Sears parcels in its consolidated financial statements.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Dispositions:</w:t>
      </w:r>
    </w:p>
    <w:p>
      <w:pPr>
        <w:spacing w:after="0" w:line="149"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For the twelve months ended December 31, 2022, the Company and certain joint venture partners sold various land parcels in separate transactions, resulting in the Company’s share of the gain on sale of land of $23.9 million. The Company used its share of the proceeds from these sales of $60.3 million to pay down debt and for other general corporate purposes.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36" w:lineRule="exact"/>
        <w:rPr>
          <w:sz w:val="20"/>
          <w:szCs w:val="20"/>
          <w:color w:val="auto"/>
        </w:rPr>
      </w:pPr>
    </w:p>
    <w:p>
      <w:pPr>
        <w:ind w:right="160" w:firstLine="435"/>
        <w:spacing w:after="0" w:line="253" w:lineRule="auto"/>
        <w:rPr>
          <w:sz w:val="20"/>
          <w:szCs w:val="20"/>
          <w:color w:val="auto"/>
        </w:rPr>
      </w:pPr>
      <w:r>
        <w:rPr>
          <w:rFonts w:ascii="Arial" w:cs="Arial" w:eastAsia="Arial" w:hAnsi="Arial"/>
          <w:sz w:val="18"/>
          <w:szCs w:val="18"/>
          <w:color w:val="auto"/>
        </w:rPr>
        <w:t>On February 2, 2022, the Company’s joint venture in FlatIron Crossing replaced the existing $197.0 million loan on the property with a new $175.0 million loan that bears interest at SOFR plus 3.70% and matures on February 9, 2025, including extension options. The loan is covered by an interest rate cap agreement that effectively prevents SOFR from exceeding 4.0% through February 15, 2024.</w:t>
      </w:r>
    </w:p>
    <w:p>
      <w:pPr>
        <w:spacing w:after="0" w:line="123"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On April 29, 2022, the Company replaced the existing $110.6 million loan on Pacific View with a new $72.0 million loan that bears interest at a fixed rate of 5.29% and matures on May 6, 2032.</w:t>
      </w:r>
    </w:p>
    <w:p>
      <w:pPr>
        <w:spacing w:after="0" w:line="115" w:lineRule="exact"/>
        <w:rPr>
          <w:sz w:val="20"/>
          <w:szCs w:val="20"/>
          <w:color w:val="auto"/>
        </w:rPr>
      </w:pPr>
    </w:p>
    <w:p>
      <w:pPr>
        <w:ind w:right="240" w:firstLine="435"/>
        <w:spacing w:after="0" w:line="262" w:lineRule="auto"/>
        <w:rPr>
          <w:sz w:val="20"/>
          <w:szCs w:val="20"/>
          <w:color w:val="auto"/>
        </w:rPr>
      </w:pPr>
      <w:r>
        <w:rPr>
          <w:rFonts w:ascii="Arial" w:cs="Arial" w:eastAsia="Arial" w:hAnsi="Arial"/>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101" w:lineRule="exact"/>
        <w:rPr>
          <w:sz w:val="20"/>
          <w:szCs w:val="20"/>
          <w:color w:val="auto"/>
        </w:rPr>
      </w:pPr>
    </w:p>
    <w:p>
      <w:pPr>
        <w:ind w:right="180" w:firstLine="435"/>
        <w:spacing w:after="0" w:line="262" w:lineRule="auto"/>
        <w:rPr>
          <w:sz w:val="20"/>
          <w:szCs w:val="20"/>
          <w:color w:val="auto"/>
        </w:rPr>
      </w:pPr>
      <w:r>
        <w:rPr>
          <w:rFonts w:ascii="Arial" w:cs="Arial" w:eastAsia="Arial" w:hAnsi="Arial"/>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115" w:lineRule="exact"/>
        <w:rPr>
          <w:sz w:val="20"/>
          <w:szCs w:val="20"/>
          <w:color w:val="auto"/>
        </w:rPr>
      </w:pPr>
    </w:p>
    <w:p>
      <w:pPr>
        <w:ind w:right="40" w:firstLine="435"/>
        <w:spacing w:after="0" w:line="262" w:lineRule="auto"/>
        <w:rPr>
          <w:sz w:val="20"/>
          <w:szCs w:val="20"/>
          <w:color w:val="auto"/>
        </w:rPr>
      </w:pPr>
      <w:r>
        <w:rPr>
          <w:rFonts w:ascii="Arial" w:cs="Arial" w:eastAsia="Arial" w:hAnsi="Arial"/>
          <w:sz w:val="18"/>
          <w:szCs w:val="18"/>
          <w:color w:val="auto"/>
        </w:rPr>
        <w:t>The Company did not repay the loan on Towne Mall on its maturity date of November 1, 2022, and has begun the process of transitioning the property to a loan receiver.</w:t>
      </w:r>
    </w:p>
    <w:p>
      <w:pPr>
        <w:spacing w:after="0" w:line="115" w:lineRule="exact"/>
        <w:rPr>
          <w:sz w:val="20"/>
          <w:szCs w:val="20"/>
          <w:color w:val="auto"/>
        </w:rPr>
      </w:pPr>
    </w:p>
    <w:p>
      <w:pPr>
        <w:ind w:right="140" w:firstLine="435"/>
        <w:spacing w:after="0" w:line="250" w:lineRule="auto"/>
        <w:rPr>
          <w:sz w:val="20"/>
          <w:szCs w:val="20"/>
          <w:color w:val="auto"/>
        </w:rPr>
      </w:pPr>
      <w:r>
        <w:rPr>
          <w:rFonts w:ascii="Arial" w:cs="Arial" w:eastAsia="Arial" w:hAnsi="Arial"/>
          <w:sz w:val="18"/>
          <w:szCs w:val="18"/>
          <w:color w:val="auto"/>
        </w:rPr>
        <w:t>On November 14, 2022, the Company’s joint venture in Washington Square extended the maturity date on the $503.0 million loan on the property to November 1, 2026, including extension options. The loan bears interest at a floating interest rate of SOFR plus 4.0%, subject to an interest rate cap agreement that effectively prevents SOFR from exceeding 4.0% through November 1, 2023. The joint venture repaid $15.0 million ($9.0 million at the Company's pro rata share) of the loan at closing.</w:t>
      </w:r>
    </w:p>
    <w:p>
      <w:pPr>
        <w:spacing w:after="0" w:line="112" w:lineRule="exact"/>
        <w:rPr>
          <w:sz w:val="20"/>
          <w:szCs w:val="20"/>
          <w:color w:val="auto"/>
        </w:rPr>
      </w:pPr>
    </w:p>
    <w:p>
      <w:pPr>
        <w:ind w:right="480" w:firstLine="435"/>
        <w:spacing w:after="0" w:line="262" w:lineRule="auto"/>
        <w:rPr>
          <w:sz w:val="20"/>
          <w:szCs w:val="20"/>
          <w:color w:val="auto"/>
        </w:rPr>
      </w:pPr>
      <w:r>
        <w:rPr>
          <w:rFonts w:ascii="Arial" w:cs="Arial" w:eastAsia="Arial" w:hAnsi="Arial"/>
          <w:sz w:val="18"/>
          <w:szCs w:val="18"/>
          <w:color w:val="auto"/>
        </w:rPr>
        <w:t>On December 9, 2022, the Company extended the maturity date on the $300.0 million loan on Santa Monica Place to December 9, 2025, including extension options. The loan bears interest at a floating interest rate of LIBOR plus 1.48%.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 w:name="page5"/>
    <w:bookmarkEnd w:id="4"/>
    <w:p>
      <w:pPr>
        <w:ind w:right="200" w:firstLine="435"/>
        <w:spacing w:after="0" w:line="253" w:lineRule="auto"/>
        <w:rPr>
          <w:sz w:val="20"/>
          <w:szCs w:val="20"/>
          <w:color w:val="auto"/>
        </w:rPr>
      </w:pPr>
      <w:r>
        <w:rPr>
          <w:rFonts w:ascii="Arial" w:cs="Arial" w:eastAsia="Arial" w:hAnsi="Arial"/>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109" w:lineRule="exact"/>
        <w:rPr>
          <w:sz w:val="20"/>
          <w:szCs w:val="20"/>
          <w:color w:val="auto"/>
        </w:rPr>
      </w:pPr>
    </w:p>
    <w:p>
      <w:pPr>
        <w:ind w:right="60" w:firstLine="435"/>
        <w:spacing w:after="0" w:line="262" w:lineRule="auto"/>
        <w:rPr>
          <w:sz w:val="20"/>
          <w:szCs w:val="20"/>
          <w:color w:val="auto"/>
        </w:rPr>
      </w:pPr>
      <w:r>
        <w:rPr>
          <w:rFonts w:ascii="Arial" w:cs="Arial" w:eastAsia="Arial" w:hAnsi="Arial"/>
          <w:sz w:val="18"/>
          <w:szCs w:val="18"/>
          <w:color w:val="auto"/>
        </w:rPr>
        <w:t>On January 20, 2023, the Company exercised its one-year extension option of the loan on Fashion District Philadelphia to January 22, 2024. The interest rate is SOFR plus 3.60% and the Company repaid $26.1 million of the outstanding loan balance at closing.</w:t>
      </w:r>
    </w:p>
    <w:p>
      <w:pPr>
        <w:spacing w:after="0" w:line="115" w:lineRule="exact"/>
        <w:rPr>
          <w:sz w:val="20"/>
          <w:szCs w:val="20"/>
          <w:color w:val="auto"/>
        </w:rPr>
      </w:pPr>
    </w:p>
    <w:p>
      <w:pPr>
        <w:ind w:right="240" w:firstLine="435"/>
        <w:spacing w:after="0" w:line="253" w:lineRule="auto"/>
        <w:rPr>
          <w:sz w:val="20"/>
          <w:szCs w:val="20"/>
          <w:color w:val="auto"/>
        </w:rPr>
      </w:pPr>
      <w:r>
        <w:rPr>
          <w:rFonts w:ascii="Arial" w:cs="Arial" w:eastAsia="Arial" w:hAnsi="Arial"/>
          <w:sz w:val="18"/>
          <w:szCs w:val="18"/>
          <w:color w:val="auto"/>
        </w:rPr>
        <w:t>The Company’s joint venture that owns Scottsdale Fashion Square expects to replace the existing $406.0 million mortgage loan on the property with a $700.0 million, five-year, fixed-rate loan. The Company expects the joint venture to close this refinancing during the first quarter of 2023, subject to negotiating final documentation and customary closing conditions.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136" w:lineRule="exact"/>
        <w:rPr>
          <w:sz w:val="20"/>
          <w:szCs w:val="20"/>
          <w:color w:val="auto"/>
        </w:rPr>
      </w:pPr>
    </w:p>
    <w:p>
      <w:pPr>
        <w:jc w:val="both"/>
        <w:ind w:right="260" w:firstLine="435"/>
        <w:spacing w:after="0" w:line="325" w:lineRule="auto"/>
        <w:rPr>
          <w:sz w:val="20"/>
          <w:szCs w:val="20"/>
          <w:color w:val="auto"/>
        </w:rPr>
      </w:pPr>
      <w:r>
        <w:rPr>
          <w:rFonts w:ascii="Arial" w:cs="Arial" w:eastAsia="Arial" w:hAnsi="Arial"/>
          <w:sz w:val="16"/>
          <w:szCs w:val="16"/>
          <w:color w:val="auto"/>
        </w:rPr>
        <w:t>The Company has a 50/50 joint venture with Simon Property Group, which was initially formed to develop Los Angeles Premium Outlets, a premium outlet center in Carson, California. The Company has funded $38.6 million of the total $77.2 million incurred by the joint venture as of December 31, 2022.</w:t>
      </w:r>
    </w:p>
    <w:p>
      <w:pPr>
        <w:spacing w:after="0" w:line="68" w:lineRule="exact"/>
        <w:rPr>
          <w:sz w:val="20"/>
          <w:szCs w:val="20"/>
          <w:color w:val="auto"/>
        </w:rPr>
      </w:pPr>
    </w:p>
    <w:p>
      <w:pPr>
        <w:ind w:right="60" w:firstLine="435"/>
        <w:spacing w:after="0" w:line="250" w:lineRule="auto"/>
        <w:rPr>
          <w:sz w:val="20"/>
          <w:szCs w:val="20"/>
          <w:color w:val="auto"/>
        </w:rPr>
      </w:pPr>
      <w:r>
        <w:rPr>
          <w:rFonts w:ascii="Arial" w:cs="Arial" w:eastAsia="Arial" w:hAnsi="Arial"/>
          <w:sz w:val="18"/>
          <w:szCs w:val="18"/>
          <w:color w:val="auto"/>
        </w:rPr>
        <w:t>The Company is redeveloping an approximately 150,000 square foot, three-level space (formerly occupied by Bloomingdale’s and Arclight Theatre) at Santa Monica Place, a 527,000 square foot regional town center in Santa Monica, California, with an entertainment destination use, high-end fitness, and co-working space. The total cost of the project is estimated to be between $35.0 million and $40.0 million. The Company has incurred approximately $1.2 million as of December 31, 2022. The anticipated opening is in 2024.</w:t>
      </w:r>
    </w:p>
    <w:p>
      <w:pPr>
        <w:spacing w:after="0" w:line="126" w:lineRule="exact"/>
        <w:rPr>
          <w:sz w:val="20"/>
          <w:szCs w:val="20"/>
          <w:color w:val="auto"/>
        </w:rPr>
      </w:pPr>
    </w:p>
    <w:p>
      <w:pPr>
        <w:jc w:val="both"/>
        <w:ind w:right="180" w:firstLine="435"/>
        <w:spacing w:after="0" w:line="250" w:lineRule="auto"/>
        <w:rPr>
          <w:sz w:val="20"/>
          <w:szCs w:val="20"/>
          <w:color w:val="auto"/>
        </w:rPr>
      </w:pPr>
      <w:r>
        <w:rPr>
          <w:rFonts w:ascii="Arial" w:cs="Arial" w:eastAsia="Arial" w:hAnsi="Arial"/>
          <w:sz w:val="18"/>
          <w:szCs w:val="18"/>
          <w:color w:val="auto"/>
        </w:rPr>
        <w:t>The Company’s joint venture in Scottsdale Fashion Square, a 1,884,000 square foot regional town center in Scottsdale, Arizona, is redeveloping a two-level Nordstrom wing with luxury-focused retail and restaurant uses. The total cost of the project is estimated to be between $80.0 million and $90.0 million, with $40.0 million and $45.0 million estimated to be the Company’s pro rata share. The Company has incurred $2.6 million of the total $5.1 million incurred by the joint venture as of December 31, 2022. The anticipated opening is in 2024.</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Transactions and Events:</w:t>
      </w:r>
    </w:p>
    <w:p>
      <w:pPr>
        <w:spacing w:after="0" w:line="136" w:lineRule="exact"/>
        <w:rPr>
          <w:sz w:val="20"/>
          <w:szCs w:val="20"/>
          <w:color w:val="auto"/>
        </w:rPr>
      </w:pPr>
    </w:p>
    <w:p>
      <w:pPr>
        <w:jc w:val="both"/>
        <w:ind w:right="120" w:firstLine="435"/>
        <w:spacing w:after="0" w:line="236" w:lineRule="auto"/>
        <w:rPr>
          <w:sz w:val="20"/>
          <w:szCs w:val="20"/>
          <w:color w:val="auto"/>
        </w:rPr>
      </w:pPr>
      <w:r>
        <w:rPr>
          <w:rFonts w:ascii="Arial" w:cs="Arial" w:eastAsia="Arial" w:hAnsi="Arial"/>
          <w:sz w:val="18"/>
          <w:szCs w:val="18"/>
          <w:color w:val="auto"/>
        </w:rPr>
        <w:t>The Company declared a cash dividend of $0.15 per share of its common stock for each of the first three quarters of 2022 and a cash dividend of $0.17 per share of its common stock for the fourth quarter of 2022. On January 27, 2023, the Company announced a first quarter cash dividend of $0.17 per share of its common stock, which will be paid on March 3, 2023 to stockholders of record on February 17, 2023. The dividend amount will be reviewed by the Board on a quarterly basis.</w:t>
      </w:r>
    </w:p>
    <w:p>
      <w:pPr>
        <w:spacing w:after="0" w:line="121" w:lineRule="exact"/>
        <w:rPr>
          <w:sz w:val="20"/>
          <w:szCs w:val="20"/>
          <w:color w:val="auto"/>
        </w:rPr>
      </w:pPr>
    </w:p>
    <w:p>
      <w:pPr>
        <w:ind w:right="80" w:firstLine="435"/>
        <w:spacing w:after="0" w:line="250" w:lineRule="auto"/>
        <w:rPr>
          <w:sz w:val="20"/>
          <w:szCs w:val="20"/>
          <w:color w:val="auto"/>
        </w:rPr>
      </w:pPr>
      <w:r>
        <w:rPr>
          <w:rFonts w:ascii="Arial" w:cs="Arial" w:eastAsia="Arial" w:hAnsi="Arial"/>
          <w:sz w:val="18"/>
          <w:szCs w:val="18"/>
          <w:color w:val="auto"/>
        </w:rPr>
        <w:t>In connection with the commencement of an "at the market" offering program on March 26, 2021, which is referred to as the "March 2021 ATM Program," the Company entered into an equity distribution agreement with certain sales agents pursuant to which the Company may issue and sell shares of its common stock having an aggregate offering price of up to $500 million. As of December 31, 2022, the Company had approximately $151.7 million of gross sales of its common stock available under the March 2021 ATM Program.</w:t>
      </w:r>
    </w:p>
    <w:p>
      <w:pPr>
        <w:spacing w:after="0" w:line="126" w:lineRule="exact"/>
        <w:rPr>
          <w:sz w:val="20"/>
          <w:szCs w:val="20"/>
          <w:color w:val="auto"/>
        </w:rPr>
      </w:pPr>
    </w:p>
    <w:p>
      <w:pPr>
        <w:ind w:right="160" w:firstLine="435"/>
        <w:spacing w:after="0" w:line="325" w:lineRule="auto"/>
        <w:rPr>
          <w:sz w:val="20"/>
          <w:szCs w:val="20"/>
          <w:color w:val="auto"/>
        </w:rPr>
      </w:pPr>
      <w:r>
        <w:rPr>
          <w:rFonts w:ascii="Arial" w:cs="Arial" w:eastAsia="Arial" w:hAnsi="Arial"/>
          <w:sz w:val="16"/>
          <w:szCs w:val="16"/>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Shopping Center Industry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w:t>
      </w:r>
    </w:p>
    <w:p>
      <w:pPr>
        <w:spacing w:after="0" w:line="149" w:lineRule="exact"/>
        <w:rPr>
          <w:sz w:val="20"/>
          <w:szCs w:val="20"/>
          <w:color w:val="auto"/>
        </w:rPr>
      </w:pPr>
    </w:p>
    <w:p>
      <w:pPr>
        <w:ind w:firstLine="435"/>
        <w:spacing w:after="0" w:line="279" w:lineRule="auto"/>
        <w:rPr>
          <w:sz w:val="20"/>
          <w:szCs w:val="20"/>
          <w:color w:val="auto"/>
        </w:rPr>
      </w:pPr>
      <w:r>
        <w:rPr>
          <w:rFonts w:ascii="Arial" w:cs="Arial" w:eastAsia="Arial" w:hAnsi="Arial"/>
          <w:sz w:val="16"/>
          <w:szCs w:val="16"/>
          <w:color w:val="auto"/>
        </w:rPr>
        <w:t>There are several types of retail shopping centers, which are differentiated primarily based on size and marketing strategy. Regional shopping centers generally contain in excess of 400,000 square feet of GLA and are typically anchored by two or more department or large retail stores ("Anchors") and are referred to as "Regional Town Centers" or "Malls." Regional Town Centers also typically contain numerous diversified retail stores ("Mall Stores"), most of which are national or regional retailers typically located along corridors connecting the Anchors. "Strip centers", "urban villages" or "specialty centers" ("Community/Power Shopping Centers") are retail shopping centers that are designed to attract local or neighborhood customers and are typically anchored by one or more supermarkets, discount department stores and/or drug stores. Community/Power Shopping Centers typically contain 100,000 to 400,000 square feet of GLA. Outlet Centers generally contain a wide variety of designer and manufacturer stores, often located in an open-air center, and typically range in size from 200,000 to 850,000 square feet of GLA ("Outlet Centers"). In addition, freestanding retail stores are located along the perimeter of the shopping centers ("Freestanding Stores"). Mall Stores and Freestanding Stores over 10,000 square feet of GLA are also referred to as "Big Box." Anchors, Mall Stores, Freestanding Stores and other tenants typically contribute funds for the maintenance of the common areas, property taxes, insurance, advertising and other expenditures related to the operation of the shopping center.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i w:val="1"/>
          <w:iCs w:val="1"/>
          <w:color w:val="auto"/>
        </w:rPr>
        <w:t>Regional Town Centers:</w:t>
      </w:r>
    </w:p>
    <w:p>
      <w:pPr>
        <w:spacing w:after="0" w:line="136" w:lineRule="exact"/>
        <w:rPr>
          <w:sz w:val="20"/>
          <w:szCs w:val="20"/>
          <w:color w:val="auto"/>
        </w:rPr>
      </w:pPr>
    </w:p>
    <w:p>
      <w:pPr>
        <w:ind w:right="180" w:firstLine="435"/>
        <w:spacing w:after="0" w:line="300" w:lineRule="auto"/>
        <w:rPr>
          <w:sz w:val="20"/>
          <w:szCs w:val="20"/>
          <w:color w:val="auto"/>
        </w:rPr>
      </w:pPr>
      <w:r>
        <w:rPr>
          <w:rFonts w:ascii="Arial" w:cs="Arial" w:eastAsia="Arial" w:hAnsi="Arial"/>
          <w:sz w:val="16"/>
          <w:szCs w:val="16"/>
          <w:color w:val="auto"/>
        </w:rPr>
        <w:t>A Regional Town Center draws from its trade area by offering a variety of fashion merchandise, hard goods and services and entertainment, often in an enclosed, climate controlled environment with convenient parking. Regional Town Centers provide an array of retail shops and entertainment facilities and often serve as the town center and a gathering place for community, charity and promotional events.</w:t>
      </w:r>
    </w:p>
    <w:p>
      <w:pPr>
        <w:spacing w:after="0" w:line="87" w:lineRule="exact"/>
        <w:rPr>
          <w:sz w:val="20"/>
          <w:szCs w:val="20"/>
          <w:color w:val="auto"/>
        </w:rPr>
      </w:pPr>
    </w:p>
    <w:p>
      <w:pPr>
        <w:ind w:right="240" w:firstLine="435"/>
        <w:spacing w:after="0" w:line="262" w:lineRule="auto"/>
        <w:rPr>
          <w:sz w:val="20"/>
          <w:szCs w:val="20"/>
          <w:color w:val="auto"/>
        </w:rPr>
      </w:pPr>
      <w:r>
        <w:rPr>
          <w:rFonts w:ascii="Arial" w:cs="Arial" w:eastAsia="Arial" w:hAnsi="Arial"/>
          <w:sz w:val="18"/>
          <w:szCs w:val="18"/>
          <w:color w:val="auto"/>
        </w:rPr>
        <w:t>Regional Town Centers have generally provided owners with relatively stable income despite the cyclical nature of the retail business. This stability is due both to the diversity of tenants and to the typical dominance of Regional Town Centers in their trade areas.</w:t>
      </w:r>
    </w:p>
    <w:p>
      <w:pPr>
        <w:spacing w:after="0" w:line="115" w:lineRule="exact"/>
        <w:rPr>
          <w:sz w:val="20"/>
          <w:szCs w:val="20"/>
          <w:color w:val="auto"/>
        </w:rPr>
      </w:pPr>
    </w:p>
    <w:p>
      <w:pPr>
        <w:ind w:right="40" w:firstLine="435"/>
        <w:spacing w:after="0" w:line="250" w:lineRule="auto"/>
        <w:rPr>
          <w:sz w:val="20"/>
          <w:szCs w:val="20"/>
          <w:color w:val="auto"/>
        </w:rPr>
      </w:pPr>
      <w:r>
        <w:rPr>
          <w:rFonts w:ascii="Arial" w:cs="Arial" w:eastAsia="Arial" w:hAnsi="Arial"/>
          <w:sz w:val="18"/>
          <w:szCs w:val="18"/>
          <w:color w:val="auto"/>
        </w:rPr>
        <w:t>Regional Town Centers have different strategies with regard to price, merchandise offered and tenant mix, and are generally tailored to meet the needs of their trade areas. Anchors are located along common areas in a configuration designed to maximize consumer traffic for the benefit of the Mall Stores. Mall GLA, which generally refers to GLA contiguous to the Anchors for tenants other than Anchors, is leased to a wide variety of smaller retailers. Mall Stores typically account for the majority of the revenues of a Regional Town Center.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the Company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Strategy:</w:t>
      </w:r>
    </w:p>
    <w:p>
      <w:pPr>
        <w:spacing w:after="0" w:line="149" w:lineRule="exact"/>
        <w:rPr>
          <w:sz w:val="20"/>
          <w:szCs w:val="20"/>
          <w:color w:val="auto"/>
        </w:rPr>
      </w:pPr>
    </w:p>
    <w:p>
      <w:pPr>
        <w:ind w:right="80" w:firstLine="435"/>
        <w:spacing w:after="0" w:line="262" w:lineRule="auto"/>
        <w:rPr>
          <w:sz w:val="20"/>
          <w:szCs w:val="20"/>
          <w:color w:val="auto"/>
        </w:rPr>
      </w:pPr>
      <w:r>
        <w:rPr>
          <w:rFonts w:ascii="Arial" w:cs="Arial" w:eastAsia="Arial" w:hAnsi="Arial"/>
          <w:sz w:val="18"/>
          <w:szCs w:val="18"/>
          <w:color w:val="auto"/>
        </w:rPr>
        <w:t>The Company has a long-term four-pronged business strategy that focuses on the acquisition, leasing and management, redevelopment and development of Regional Town Centers.</w:t>
      </w:r>
    </w:p>
    <w:p>
      <w:pPr>
        <w:spacing w:after="0" w:line="101" w:lineRule="exact"/>
        <w:rPr>
          <w:sz w:val="20"/>
          <w:szCs w:val="20"/>
          <w:color w:val="auto"/>
        </w:rPr>
      </w:pPr>
    </w:p>
    <w:p>
      <w:pPr>
        <w:ind w:right="140" w:firstLine="435"/>
        <w:spacing w:after="0" w:line="24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Company principally focuses on well-located, quality Regional Town Centers that can be dominant in their trade area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strong revenue enhancement potential. In addition, the Company pursues other opportunistic acquisitions of property that include retail and will complement the Company's portfolio. The Company subsequently seeks to improve operating performance and returns from these properties through leasing, management and redevelopment. Since its initial public offering, the Company has acquired interests in shopping centers nationwide. The Company believes that it is geographically well positioned to cultivate and maintain ongoing relationships with potential sellers and financial institutions and to act quickly when acquisition opportunities arise.</w:t>
      </w:r>
    </w:p>
    <w:p>
      <w:pPr>
        <w:spacing w:after="0" w:line="131" w:lineRule="exact"/>
        <w:rPr>
          <w:sz w:val="20"/>
          <w:szCs w:val="20"/>
          <w:color w:val="auto"/>
        </w:rPr>
      </w:pPr>
    </w:p>
    <w:p>
      <w:pPr>
        <w:ind w:right="180" w:firstLine="435"/>
        <w:spacing w:after="0" w:line="247" w:lineRule="auto"/>
        <w:rPr>
          <w:sz w:val="20"/>
          <w:szCs w:val="20"/>
          <w:color w:val="auto"/>
        </w:rPr>
      </w:pPr>
      <w:r>
        <w:rPr>
          <w:rFonts w:ascii="Arial" w:cs="Arial" w:eastAsia="Arial" w:hAnsi="Arial"/>
          <w:sz w:val="18"/>
          <w:szCs w:val="18"/>
          <w:i w:val="1"/>
          <w:iCs w:val="1"/>
          <w:color w:val="auto"/>
        </w:rPr>
        <w:t xml:space="preserve">Leasing and Management. </w:t>
      </w:r>
      <w:r>
        <w:rPr>
          <w:rFonts w:ascii="Arial" w:cs="Arial" w:eastAsia="Arial" w:hAnsi="Arial"/>
          <w:sz w:val="18"/>
          <w:szCs w:val="18"/>
          <w:color w:val="auto"/>
        </w:rPr>
        <w:t>The Company believes that the shopping center business requires specialized skills across a broad array of disciplines for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and profitable operations. For this reason, the Company has developed a fully integrated real estate organization with in-house acquisition, accounting, development, finance, information technology, leasing, legal, marketing, property management and redevelopment expertise. In addition, the Company emphasizes a philosophy of decentralized property management, leasing and marketing performed by on-site professionals. The Company believes that this strategy results in the optimal operation, tenant mix and drawing power of each Center, as well as the ability to quickly respond to changing competitive conditions of the Center's trade area.</w:t>
      </w:r>
    </w:p>
    <w:p>
      <w:pPr>
        <w:spacing w:after="0" w:line="131" w:lineRule="exact"/>
        <w:rPr>
          <w:sz w:val="20"/>
          <w:szCs w:val="20"/>
          <w:color w:val="auto"/>
        </w:rPr>
      </w:pPr>
    </w:p>
    <w:p>
      <w:pPr>
        <w:ind w:right="380" w:firstLine="435"/>
        <w:spacing w:after="0" w:line="328" w:lineRule="auto"/>
        <w:rPr>
          <w:sz w:val="20"/>
          <w:szCs w:val="20"/>
          <w:color w:val="auto"/>
        </w:rPr>
      </w:pPr>
      <w:r>
        <w:rPr>
          <w:rFonts w:ascii="Arial" w:cs="Arial" w:eastAsia="Arial" w:hAnsi="Arial"/>
          <w:sz w:val="15"/>
          <w:szCs w:val="15"/>
          <w:color w:val="auto"/>
        </w:rPr>
        <w:t>The Company believes that on-site property managers can most effectively operate the Centers. Each Center's property manager is responsible for overseeing the operations, marketing, maintenance and security functions at the Center. Property managers focus special attention on controlling operating costs, a key element in the profitability of the Centers, and seek to develop strong relationships with, and be responsive to, the needs of retailers.</w:t>
      </w:r>
    </w:p>
    <w:p>
      <w:pPr>
        <w:spacing w:after="0" w:line="57"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The Company generally utilizes regionally located leasing managers to better understand the market and the community in which a Center is located. The Company continually assesses and fine tunes each Center's tenant mix, identifies and replaces underperforming tenants and seeks to optimize existing tenant sizes and configurations.</w:t>
      </w:r>
    </w:p>
    <w:p>
      <w:pPr>
        <w:spacing w:after="0" w:line="123" w:lineRule="exact"/>
        <w:rPr>
          <w:sz w:val="20"/>
          <w:szCs w:val="20"/>
          <w:color w:val="auto"/>
        </w:rPr>
      </w:pPr>
    </w:p>
    <w:p>
      <w:pPr>
        <w:ind w:right="220" w:firstLine="435"/>
        <w:spacing w:after="0" w:line="262" w:lineRule="auto"/>
        <w:rPr>
          <w:sz w:val="20"/>
          <w:szCs w:val="20"/>
          <w:color w:val="auto"/>
        </w:rPr>
      </w:pPr>
      <w:r>
        <w:rPr>
          <w:rFonts w:ascii="Arial" w:cs="Arial" w:eastAsia="Arial" w:hAnsi="Arial"/>
          <w:sz w:val="18"/>
          <w:szCs w:val="18"/>
          <w:color w:val="auto"/>
        </w:rPr>
        <w:t>On a selective basis, the Company provides property management and leasing services for third parties. The Company currently manages one regional town center and two community centers for third party owners on a fee basis.</w:t>
      </w:r>
    </w:p>
    <w:p>
      <w:pPr>
        <w:spacing w:after="0" w:line="115" w:lineRule="exact"/>
        <w:rPr>
          <w:sz w:val="20"/>
          <w:szCs w:val="20"/>
          <w:color w:val="auto"/>
        </w:rPr>
      </w:pPr>
    </w:p>
    <w:p>
      <w:pPr>
        <w:ind w:right="60" w:firstLine="435"/>
        <w:spacing w:after="0" w:line="284" w:lineRule="auto"/>
        <w:rPr>
          <w:sz w:val="20"/>
          <w:szCs w:val="20"/>
          <w:color w:val="auto"/>
        </w:rPr>
      </w:pPr>
      <w:r>
        <w:rPr>
          <w:rFonts w:ascii="Arial" w:cs="Arial" w:eastAsia="Arial" w:hAnsi="Arial"/>
          <w:sz w:val="16"/>
          <w:szCs w:val="16"/>
          <w:i w:val="1"/>
          <w:iCs w:val="1"/>
          <w:color w:val="auto"/>
        </w:rPr>
        <w:t xml:space="preserve">Redevelopment. </w:t>
      </w:r>
      <w:r>
        <w:rPr>
          <w:rFonts w:ascii="Arial" w:cs="Arial" w:eastAsia="Arial" w:hAnsi="Arial"/>
          <w:sz w:val="16"/>
          <w:szCs w:val="16"/>
          <w:color w:val="auto"/>
        </w:rPr>
        <w:t>One of the major components of the Company's growth strategy is its ability to redevelop acquired properties. On a selective basis,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business strategy may include mixed-use densification to maximize space at the Company’s Regional Town Centers, including by developing available land at the Regional Town Centers or by demolishing underperforming department store boxes and redeveloping the land. For this reason, the Company has built a staff of redevelopment professionals who have primary responsibility for identifying redevelopment opportunities that they believe will result in enhanced long-term financial returns and market position for the Centers. The redevelopment professionals oversee the design and construction of the projects in addition to obtaining required governmental approvals (See "Redevelopment and Development Activities" in Recent Developments).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 w:name="page7"/>
    <w:bookmarkEnd w:id="6"/>
    <w:p>
      <w:pPr>
        <w:ind w:right="420" w:firstLine="435"/>
        <w:spacing w:after="0" w:line="325" w:lineRule="auto"/>
        <w:rPr>
          <w:sz w:val="20"/>
          <w:szCs w:val="20"/>
          <w:color w:val="auto"/>
        </w:rPr>
      </w:pPr>
      <w:r>
        <w:rPr>
          <w:rFonts w:ascii="Arial" w:cs="Arial" w:eastAsia="Arial" w:hAnsi="Arial"/>
          <w:sz w:val="16"/>
          <w:szCs w:val="16"/>
          <w:i w:val="1"/>
          <w:iCs w:val="1"/>
          <w:color w:val="auto"/>
        </w:rPr>
        <w:t xml:space="preserve">Development. </w:t>
      </w:r>
      <w:r>
        <w:rPr>
          <w:rFonts w:ascii="Arial" w:cs="Arial" w:eastAsia="Arial" w:hAnsi="Arial"/>
          <w:sz w:val="16"/>
          <w:szCs w:val="16"/>
          <w:color w:val="auto"/>
        </w:rPr>
        <w:t>The Company pursues ground-up development projects on a selective basis. The Company has supplemented its strong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redevelopment skills with its ground-up development expertise to further increase growth opportunities.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The Centers:</w:t>
      </w:r>
    </w:p>
    <w:p>
      <w:pPr>
        <w:spacing w:after="0" w:line="149" w:lineRule="exact"/>
        <w:rPr>
          <w:sz w:val="20"/>
          <w:szCs w:val="20"/>
          <w:color w:val="auto"/>
        </w:rPr>
      </w:pPr>
    </w:p>
    <w:p>
      <w:pPr>
        <w:ind w:right="80" w:firstLine="435"/>
        <w:spacing w:after="0" w:line="287" w:lineRule="auto"/>
        <w:rPr>
          <w:sz w:val="20"/>
          <w:szCs w:val="20"/>
          <w:color w:val="auto"/>
        </w:rPr>
      </w:pPr>
      <w:r>
        <w:rPr>
          <w:rFonts w:ascii="Arial" w:cs="Arial" w:eastAsia="Arial" w:hAnsi="Arial"/>
          <w:sz w:val="16"/>
          <w:szCs w:val="16"/>
          <w:color w:val="auto"/>
        </w:rPr>
        <w:t>As of December 31, 2022, the Centers primarily included 44 Regional Town Centers (including office, hotel and residential space adjacent to these shopping centers), five Community/Power Shopping Centers, one office property and one redevelopment property totaling approximately 47 million square feet of GLA. These 51 Centers average approximately 925,000 square feet of GLA and range in size from 3.2 million square feet of GLA at Tysons Corner Center to 185,000 square feet of GLA at Boulevard Shops. As of December 31, 2022, the Centers primarily included 163 Anchors totaling approximately 21.7 million square feet of GLA and approximately 5,000 Mall Stores and Freestanding Stores totaling approximately 23.6 million square feet of GLA.</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Competition:</w:t>
      </w:r>
    </w:p>
    <w:p>
      <w:pPr>
        <w:spacing w:after="0" w:line="136" w:lineRule="exact"/>
        <w:rPr>
          <w:sz w:val="20"/>
          <w:szCs w:val="20"/>
          <w:color w:val="auto"/>
        </w:rPr>
      </w:pPr>
    </w:p>
    <w:p>
      <w:pPr>
        <w:ind w:right="60" w:firstLine="435"/>
        <w:spacing w:after="0" w:line="281" w:lineRule="auto"/>
        <w:rPr>
          <w:sz w:val="20"/>
          <w:szCs w:val="20"/>
          <w:color w:val="auto"/>
        </w:rPr>
      </w:pPr>
      <w:r>
        <w:rPr>
          <w:rFonts w:ascii="Arial" w:cs="Arial" w:eastAsia="Arial" w:hAnsi="Arial"/>
          <w:sz w:val="16"/>
          <w:szCs w:val="16"/>
          <w:color w:val="auto"/>
        </w:rPr>
        <w:t>Numerous owners, developers and managers of malls, shopping centers and other retail-oriented real estate compete with the Company for the acquisition of properties and in attracting tenants or Anchors to occupy space. There are a number of other publicly traded mall companies and several large private mall companies in the United States, any of which under certain circumstances could compete against the Company for an Anchor or a tenant. In addition, these companies, as well as other REITs, private real estate companies or investors compete with the Company in terms of property acquisitions. This results in competition both for the acquisition of properties or centers and for tenants or Anchors to occupy space. Competition for property acquisitions may result in increased purchase prices and may adversely affect the Company's ability to make suitable property acquisitions on favorable terms. The existence of competing shopping centers could have a material adverse impact on the Company's ability to lease space and on the level of rents that can be achieved. There is also increasing competition from other retail formats and technologies, such as lifestyle centers, power centers, outlet centers and online retail shopping that could adversely affect the Company's revenues.</w:t>
      </w:r>
    </w:p>
    <w:p>
      <w:pPr>
        <w:spacing w:after="0" w:line="103" w:lineRule="exact"/>
        <w:rPr>
          <w:sz w:val="20"/>
          <w:szCs w:val="20"/>
          <w:color w:val="auto"/>
        </w:rPr>
      </w:pPr>
    </w:p>
    <w:p>
      <w:pPr>
        <w:ind w:right="100" w:firstLine="435"/>
        <w:spacing w:after="0" w:line="250" w:lineRule="auto"/>
        <w:rPr>
          <w:sz w:val="20"/>
          <w:szCs w:val="20"/>
          <w:color w:val="auto"/>
        </w:rPr>
      </w:pPr>
      <w:r>
        <w:rPr>
          <w:rFonts w:ascii="Arial" w:cs="Arial" w:eastAsia="Arial" w:hAnsi="Arial"/>
          <w:sz w:val="18"/>
          <w:szCs w:val="18"/>
          <w:color w:val="auto"/>
        </w:rPr>
        <w:t>In making leasing decisions, the Company believes that retailers consider the following material factors relating to a center: quality, design and location, including consumer demographics; rental rates; type and quality of Anchors and retailers at the center; and management and operational experience and strategy of the center. The Company believes it is able to compete effectively for retail tenants in its local markets based on these criteria in light of the overall size, quality and diversity of its Centers.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Major Tenants:</w:t>
      </w:r>
    </w:p>
    <w:p>
      <w:pPr>
        <w:spacing w:after="0" w:line="136" w:lineRule="exact"/>
        <w:rPr>
          <w:sz w:val="20"/>
          <w:szCs w:val="20"/>
          <w:color w:val="auto"/>
        </w:rPr>
      </w:pPr>
    </w:p>
    <w:p>
      <w:pPr>
        <w:jc w:val="both"/>
        <w:ind w:right="400" w:firstLine="435"/>
        <w:spacing w:after="0" w:line="253" w:lineRule="auto"/>
        <w:rPr>
          <w:sz w:val="20"/>
          <w:szCs w:val="20"/>
          <w:color w:val="auto"/>
        </w:rPr>
      </w:pPr>
      <w:r>
        <w:rPr>
          <w:rFonts w:ascii="Arial" w:cs="Arial" w:eastAsia="Arial" w:hAnsi="Arial"/>
          <w:sz w:val="18"/>
          <w:szCs w:val="18"/>
          <w:color w:val="auto"/>
        </w:rPr>
        <w:t>For the year ended December 31, 2022, the Centers derived approximately 73% of their total rents from Mall Stores and Freestanding Stores under 10,000 square feet and 27% of their total rents from Big Box and Anchor tenants. Total rents as set forth in "Item 1. Business" include minimum rents and percentage rents.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retailers (including their subsidiaries) represent the 10 largest tenants in the Centers based upon total rents in place as of December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Locations</w:t>
            </w: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5"/>
        </w:trPr>
        <w:tc>
          <w:tcPr>
            <w:tcW w:w="400" w:type="dxa"/>
            <w:vAlign w:val="bottom"/>
          </w:tcPr>
          <w:p>
            <w:pPr>
              <w:spacing w:after="0"/>
              <w:rPr>
                <w:sz w:val="12"/>
                <w:szCs w:val="12"/>
                <w:color w:val="auto"/>
              </w:rPr>
            </w:pPr>
          </w:p>
        </w:tc>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Tenant</w:t>
            </w:r>
          </w:p>
        </w:tc>
        <w:tc>
          <w:tcPr>
            <w:tcW w:w="120" w:type="dxa"/>
            <w:vAlign w:val="bottom"/>
            <w:vMerge w:val="restart"/>
          </w:tcPr>
          <w:p>
            <w:pPr>
              <w:spacing w:after="0"/>
              <w:rPr>
                <w:sz w:val="12"/>
                <w:szCs w:val="12"/>
                <w:color w:val="auto"/>
              </w:rPr>
            </w:pPr>
          </w:p>
        </w:tc>
        <w:tc>
          <w:tcPr>
            <w:tcW w:w="520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Primary DBAs</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in the</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Portfolio</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Rents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Victoria's Secret &amp; Co.</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Pink, Victoria's Secret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29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Signet Jewelers Limited</w:t>
            </w:r>
          </w:p>
        </w:tc>
        <w:tc>
          <w:tcPr>
            <w:tcW w:w="5300" w:type="dxa"/>
            <w:vAlign w:val="bottom"/>
            <w:gridSpan w:val="2"/>
          </w:tcPr>
          <w:p>
            <w:pPr>
              <w:ind w:left="20"/>
              <w:spacing w:after="0" w:line="172" w:lineRule="exact"/>
              <w:rPr>
                <w:sz w:val="20"/>
                <w:szCs w:val="20"/>
                <w:color w:val="auto"/>
              </w:rPr>
            </w:pPr>
            <w:r>
              <w:rPr>
                <w:rFonts w:ascii="Arial" w:cs="Arial" w:eastAsia="Arial" w:hAnsi="Arial"/>
                <w:sz w:val="18"/>
                <w:szCs w:val="18"/>
                <w:color w:val="auto"/>
                <w:w w:val="97"/>
              </w:rPr>
              <w:t>Banter by Piercing Pagoda, Jared, Kay Jewelers, Pandora, Piercing</w:t>
            </w:r>
          </w:p>
        </w:tc>
        <w:tc>
          <w:tcPr>
            <w:tcW w:w="1020" w:type="dxa"/>
            <w:vAlign w:val="bottom"/>
          </w:tcPr>
          <w:p>
            <w:pPr>
              <w:jc w:val="right"/>
              <w:spacing w:after="0" w:line="172" w:lineRule="exact"/>
              <w:rPr>
                <w:sz w:val="20"/>
                <w:szCs w:val="20"/>
                <w:color w:val="auto"/>
              </w:rPr>
            </w:pPr>
            <w:r>
              <w:rPr>
                <w:rFonts w:ascii="Arial" w:cs="Arial" w:eastAsia="Arial" w:hAnsi="Arial"/>
                <w:sz w:val="18"/>
                <w:szCs w:val="18"/>
                <w:color w:val="auto"/>
              </w:rPr>
              <w:t>99</w:t>
            </w:r>
          </w:p>
        </w:tc>
        <w:tc>
          <w:tcPr>
            <w:tcW w:w="12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Arial" w:cs="Arial" w:eastAsia="Arial" w:hAnsi="Arial"/>
                <w:sz w:val="18"/>
                <w:szCs w:val="18"/>
                <w:color w:val="auto"/>
              </w:rPr>
              <w:t>1.9 %</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Pagoda, Zales, and others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0" w:type="dxa"/>
            <w:vAlign w:val="bottom"/>
          </w:tcPr>
          <w:p>
            <w:pPr>
              <w:spacing w:after="0"/>
              <w:rPr>
                <w:sz w:val="15"/>
                <w:szCs w:val="15"/>
                <w:color w:val="auto"/>
              </w:rPr>
            </w:pPr>
          </w:p>
        </w:tc>
        <w:tc>
          <w:tcPr>
            <w:tcW w:w="292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rPr>
              <w:t>Foot Locker, Inc.</w:t>
            </w:r>
          </w:p>
        </w:tc>
        <w:tc>
          <w:tcPr>
            <w:tcW w:w="5300" w:type="dxa"/>
            <w:vAlign w:val="bottom"/>
            <w:gridSpan w:val="2"/>
            <w:shd w:val="clear" w:color="auto" w:fill="CCEEFF"/>
          </w:tcPr>
          <w:p>
            <w:pPr>
              <w:ind w:left="20"/>
              <w:spacing w:after="0" w:line="179" w:lineRule="exact"/>
              <w:rPr>
                <w:sz w:val="20"/>
                <w:szCs w:val="20"/>
                <w:color w:val="auto"/>
              </w:rPr>
            </w:pPr>
            <w:r>
              <w:rPr>
                <w:rFonts w:ascii="Arial" w:cs="Arial" w:eastAsia="Arial" w:hAnsi="Arial"/>
                <w:sz w:val="18"/>
                <w:szCs w:val="18"/>
                <w:color w:val="auto"/>
                <w:w w:val="90"/>
              </w:rPr>
              <w:t>Champs Sports, Foot Locker, House of Hoops by Foot Locker, Kids Foot</w:t>
            </w:r>
          </w:p>
        </w:tc>
        <w:tc>
          <w:tcPr>
            <w:tcW w:w="102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1.9 %</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Locker, and others</w:t>
            </w: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The Gap, Inc.</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Athleta, Banana Republic, Gap, Gap Kids, Old Navy, and others</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Dick's Sporting Goods, Inc.</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Dick's Sporting Goods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29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SPARC Group LLC</w:t>
            </w:r>
          </w:p>
        </w:tc>
        <w:tc>
          <w:tcPr>
            <w:tcW w:w="5300" w:type="dxa"/>
            <w:vAlign w:val="bottom"/>
            <w:gridSpan w:val="2"/>
          </w:tcPr>
          <w:p>
            <w:pPr>
              <w:ind w:left="20"/>
              <w:spacing w:after="0" w:line="172" w:lineRule="exact"/>
              <w:rPr>
                <w:sz w:val="20"/>
                <w:szCs w:val="20"/>
                <w:color w:val="auto"/>
              </w:rPr>
            </w:pPr>
            <w:r>
              <w:rPr>
                <w:rFonts w:ascii="Arial" w:cs="Arial" w:eastAsia="Arial" w:hAnsi="Arial"/>
                <w:sz w:val="18"/>
                <w:szCs w:val="18"/>
                <w:color w:val="auto"/>
                <w:w w:val="94"/>
              </w:rPr>
              <w:t>Aeropostale, Brooks Brothers, Eddie Bauer, Forever 21, Lucky Brand,</w:t>
            </w:r>
          </w:p>
        </w:tc>
        <w:tc>
          <w:tcPr>
            <w:tcW w:w="1020" w:type="dxa"/>
            <w:vAlign w:val="bottom"/>
          </w:tcPr>
          <w:p>
            <w:pPr>
              <w:jc w:val="right"/>
              <w:spacing w:after="0" w:line="17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4"/>
                <w:szCs w:val="14"/>
                <w:color w:val="auto"/>
              </w:rPr>
            </w:pPr>
          </w:p>
        </w:tc>
        <w:tc>
          <w:tcPr>
            <w:tcW w:w="980" w:type="dxa"/>
            <w:vAlign w:val="bottom"/>
          </w:tcPr>
          <w:p>
            <w:pPr>
              <w:jc w:val="right"/>
              <w:spacing w:after="0" w:line="172" w:lineRule="exact"/>
              <w:rPr>
                <w:sz w:val="20"/>
                <w:szCs w:val="20"/>
                <w:color w:val="auto"/>
              </w:rPr>
            </w:pPr>
            <w:r>
              <w:rPr>
                <w:rFonts w:ascii="Arial" w:cs="Arial" w:eastAsia="Arial" w:hAnsi="Arial"/>
                <w:sz w:val="18"/>
                <w:szCs w:val="18"/>
                <w:color w:val="auto"/>
              </w:rPr>
              <w:t>1.7 %</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and others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Best Buy Co., Inc.</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Best Buy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H &amp; M Hennes &amp; Mauritz L.P.</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H&amp;M</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LVMH, Inc.</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Louis Vuitton, Sephora, and others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3320" w:type="dxa"/>
            <w:vAlign w:val="bottom"/>
            <w:gridSpan w:val="3"/>
          </w:tcPr>
          <w:p>
            <w:pPr>
              <w:spacing w:after="0"/>
              <w:rPr>
                <w:sz w:val="20"/>
                <w:szCs w:val="20"/>
                <w:color w:val="auto"/>
              </w:rPr>
            </w:pPr>
            <w:r>
              <w:rPr>
                <w:rFonts w:ascii="Arial" w:cs="Arial" w:eastAsia="Arial" w:hAnsi="Arial"/>
                <w:sz w:val="35"/>
                <w:szCs w:val="35"/>
                <w:color w:val="auto"/>
                <w:vertAlign w:val="subscript"/>
              </w:rPr>
              <w:t>2022:</w:t>
            </w:r>
            <w:r>
              <w:rPr>
                <w:rFonts w:ascii="Arial" w:cs="Arial" w:eastAsia="Arial" w:hAnsi="Arial"/>
                <w:sz w:val="18"/>
                <w:szCs w:val="18"/>
                <w:color w:val="auto"/>
              </w:rPr>
              <w:t>American Eagle Outfitters, Inc.</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Aerie, American Eagle Outfitters</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1.3 %</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0" w:type="dxa"/>
            <w:vAlign w:val="bottom"/>
          </w:tcPr>
          <w:p>
            <w:pPr>
              <w:ind w:left="22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i w:val="1"/>
          <w:iCs w:val="1"/>
          <w:color w:val="auto"/>
        </w:rPr>
        <w:t>Mall Stores and Freestanding Stores:</w:t>
      </w:r>
    </w:p>
    <w:p>
      <w:pPr>
        <w:spacing w:after="0" w:line="136" w:lineRule="exact"/>
        <w:rPr>
          <w:sz w:val="20"/>
          <w:szCs w:val="20"/>
          <w:color w:val="auto"/>
        </w:rPr>
      </w:pPr>
    </w:p>
    <w:p>
      <w:pPr>
        <w:ind w:right="80" w:firstLine="435"/>
        <w:spacing w:after="0" w:line="284" w:lineRule="auto"/>
        <w:rPr>
          <w:sz w:val="20"/>
          <w:szCs w:val="20"/>
          <w:color w:val="auto"/>
        </w:rPr>
      </w:pPr>
      <w:r>
        <w:rPr>
          <w:rFonts w:ascii="Arial" w:cs="Arial" w:eastAsia="Arial" w:hAnsi="Arial"/>
          <w:sz w:val="16"/>
          <w:szCs w:val="16"/>
          <w:color w:val="auto"/>
        </w:rPr>
        <w:t>Mall Store and Freestanding Store leases generally provide for tenants to pay rent comprised of a base (or "minimum") rent and a percentage rent based on sales. In some cases, tenants pay only minimum rent, and in other cases, tenants pay only percentage rent. The Company generally enters into leases for Mall Stores and Freestanding Stores that also require tenants to pay their pro rata share of property taxes and to pay a stated amount for operating expenses, excluding property taxes, regardless of the expenses the Company actually incurs at any Center. However, certain leases for Mall Stores and Freestanding Stores contain provisions that require tenants to pay their pro rata share of maintenance of the common areas, property taxes, insurance, advertising and other expenditures related to the operations of the Center.</w:t>
      </w:r>
    </w:p>
    <w:p>
      <w:pPr>
        <w:spacing w:after="0" w:line="103"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Tenant space of 10,000 square feet and under in the Company's portfolio at December 31, 2022 comprises approximately 61% of all Mall Store and Freestanding Store space. The Company uses tenant spaces of 10,000 square feet and under for comparing rental rate activity because this space is more consistent in terms of shape and configuration and, as such, the Company is able to provide a meaningful comparison of rental rate activity for this space. Mall Store and Freestanding Store space greater than 10,000 square feet is inconsistent in size and configuration throughout the Company's portfolio and as a result does not lend itself to a meaningful comparison of rental rate activity with the Company's other space. Much of the non-Anchor space over 10,000 square feet is not physically connected to the mall, does not share the same common area amenities and does not benefit from the foot traffic in the mall. As a result, space greater than 10,000 square feet has a unique rent structure that is inconsistent with mall space under 10,000 square feet.</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Occupancy:</w:t>
      </w:r>
    </w:p>
    <w:p>
      <w:pPr>
        <w:spacing w:after="0" w:line="136" w:lineRule="exact"/>
        <w:rPr>
          <w:sz w:val="20"/>
          <w:szCs w:val="20"/>
          <w:color w:val="auto"/>
        </w:rPr>
      </w:pPr>
    </w:p>
    <w:p>
      <w:pPr>
        <w:ind w:right="40" w:firstLine="435"/>
        <w:spacing w:after="0" w:line="283" w:lineRule="auto"/>
        <w:rPr>
          <w:sz w:val="20"/>
          <w:szCs w:val="20"/>
          <w:color w:val="auto"/>
        </w:rPr>
      </w:pPr>
      <w:r>
        <w:rPr>
          <w:rFonts w:ascii="Arial" w:cs="Arial" w:eastAsia="Arial" w:hAnsi="Arial"/>
          <w:sz w:val="16"/>
          <w:szCs w:val="16"/>
          <w:color w:val="auto"/>
        </w:rPr>
        <w:t>A major factor contributing to tenant profitability is cost of occupancy, which consists of tenant occupancy costs charged by the Company. Tenant occupancy costs include tenant expenses such as minimum rents, percentage rents and recoverable expenditures, which consist primarily of property operating expenses, real estate taxes and repair and maintenance expenditures. These costs are then compared to tenant sales to present tenant occupancy costs as a percentage of tenant sales. A low cost of occupancy percentage shows more potential capacity for the Company to increase rents at the time of lease renewal than a high cost of occupancy percentage. The following table summarizes occupancy costs for Mall Store and Freestanding Store tenants in the Centers as a percentage of total Mall Store sales for the twelve months ended December 31, 2022 and December 31, 2019, the most immediately comparative period prior to the COVID-19 pandemic:</w:t>
      </w:r>
    </w:p>
    <w:p>
      <w:pPr>
        <w:spacing w:after="0" w:line="200" w:lineRule="exact"/>
        <w:rPr>
          <w:sz w:val="20"/>
          <w:szCs w:val="20"/>
          <w:color w:val="auto"/>
        </w:rPr>
      </w:pPr>
    </w:p>
    <w:p>
      <w:pPr>
        <w:spacing w:after="0" w:line="287" w:lineRule="exact"/>
        <w:rPr>
          <w:sz w:val="20"/>
          <w:szCs w:val="20"/>
          <w:color w:val="auto"/>
        </w:rPr>
      </w:pPr>
    </w:p>
    <w:tbl>
      <w:tblPr>
        <w:tblLayout w:type="fixed"/>
        <w:tblInd w:w="2920" w:type="dxa"/>
        <w:tblCellMar>
          <w:top w:w="0" w:type="dxa"/>
          <w:left w:w="0" w:type="dxa"/>
          <w:bottom w:w="0" w:type="dxa"/>
          <w:right w:w="0" w:type="dxa"/>
        </w:tblCellMar>
      </w:tblPr>
      <w:tr>
        <w:trPr>
          <w:trHeight w:val="207"/>
        </w:trPr>
        <w:tc>
          <w:tcPr>
            <w:tcW w:w="2100" w:type="dxa"/>
            <w:vAlign w:val="bottom"/>
          </w:tcPr>
          <w:p>
            <w:pPr>
              <w:spacing w:after="0"/>
              <w:rPr>
                <w:sz w:val="18"/>
                <w:szCs w:val="18"/>
                <w:color w:val="auto"/>
              </w:rPr>
            </w:pPr>
          </w:p>
        </w:tc>
        <w:tc>
          <w:tcPr>
            <w:tcW w:w="332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w w:val="91"/>
              </w:rPr>
              <w:t>For the Twelve Months Ended December</w:t>
            </w:r>
          </w:p>
        </w:tc>
        <w:tc>
          <w:tcPr>
            <w:tcW w:w="0" w:type="dxa"/>
            <w:vAlign w:val="bottom"/>
          </w:tcPr>
          <w:p>
            <w:pPr>
              <w:spacing w:after="0"/>
              <w:rPr>
                <w:sz w:val="1"/>
                <w:szCs w:val="1"/>
                <w:color w:val="auto"/>
              </w:rPr>
            </w:pPr>
          </w:p>
        </w:tc>
      </w:tr>
      <w:tr>
        <w:trPr>
          <w:trHeight w:val="233"/>
        </w:trPr>
        <w:tc>
          <w:tcPr>
            <w:tcW w:w="210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ind w:right="1472"/>
              <w:spacing w:after="0"/>
              <w:rPr>
                <w:sz w:val="20"/>
                <w:szCs w:val="20"/>
                <w:color w:val="auto"/>
              </w:rPr>
            </w:pPr>
            <w:r>
              <w:rPr>
                <w:rFonts w:ascii="Arial" w:cs="Arial" w:eastAsia="Arial" w:hAnsi="Arial"/>
                <w:sz w:val="18"/>
                <w:szCs w:val="18"/>
                <w:b w:val="1"/>
                <w:bCs w:val="1"/>
                <w:color w:val="auto"/>
                <w:w w:val="79"/>
              </w:rPr>
              <w:t>31,</w:t>
            </w:r>
          </w:p>
        </w:tc>
        <w:tc>
          <w:tcPr>
            <w:tcW w:w="0" w:type="dxa"/>
            <w:vAlign w:val="bottom"/>
          </w:tcPr>
          <w:p>
            <w:pPr>
              <w:spacing w:after="0"/>
              <w:rPr>
                <w:sz w:val="1"/>
                <w:szCs w:val="1"/>
                <w:color w:val="auto"/>
              </w:rPr>
            </w:pPr>
          </w:p>
        </w:tc>
      </w:tr>
      <w:tr>
        <w:trPr>
          <w:trHeight w:val="221"/>
        </w:trPr>
        <w:tc>
          <w:tcPr>
            <w:tcW w:w="2100" w:type="dxa"/>
            <w:vAlign w:val="bottom"/>
          </w:tcPr>
          <w:p>
            <w:pPr>
              <w:spacing w:after="0"/>
              <w:rPr>
                <w:sz w:val="19"/>
                <w:szCs w:val="19"/>
                <w:color w:val="auto"/>
              </w:rPr>
            </w:pPr>
          </w:p>
        </w:tc>
        <w:tc>
          <w:tcPr>
            <w:tcW w:w="1540" w:type="dxa"/>
            <w:vAlign w:val="bottom"/>
          </w:tcPr>
          <w:p>
            <w:pPr>
              <w:jc w:val="right"/>
              <w:ind w:right="512"/>
              <w:spacing w:after="0"/>
              <w:rPr>
                <w:sz w:val="20"/>
                <w:szCs w:val="20"/>
                <w:color w:val="auto"/>
              </w:rPr>
            </w:pPr>
            <w:r>
              <w:rPr>
                <w:rFonts w:ascii="Arial" w:cs="Arial" w:eastAsia="Arial" w:hAnsi="Arial"/>
                <w:sz w:val="18"/>
                <w:szCs w:val="18"/>
                <w:b w:val="1"/>
                <w:bCs w:val="1"/>
                <w:color w:val="auto"/>
              </w:rPr>
              <w:t>2022</w:t>
            </w:r>
          </w:p>
        </w:tc>
        <w:tc>
          <w:tcPr>
            <w:tcW w:w="178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2019(1)</w:t>
            </w:r>
          </w:p>
        </w:tc>
        <w:tc>
          <w:tcPr>
            <w:tcW w:w="0" w:type="dxa"/>
            <w:vAlign w:val="bottom"/>
          </w:tcPr>
          <w:p>
            <w:pPr>
              <w:spacing w:after="0"/>
              <w:rPr>
                <w:sz w:val="1"/>
                <w:szCs w:val="1"/>
                <w:color w:val="auto"/>
              </w:rPr>
            </w:pPr>
          </w:p>
        </w:tc>
      </w:tr>
      <w:tr>
        <w:trPr>
          <w:trHeight w:val="204"/>
        </w:trPr>
        <w:tc>
          <w:tcPr>
            <w:tcW w:w="210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 Centers:</w:t>
            </w:r>
          </w:p>
        </w:tc>
        <w:tc>
          <w:tcPr>
            <w:tcW w:w="1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00" w:type="dxa"/>
            <w:vAlign w:val="bottom"/>
          </w:tcPr>
          <w:p>
            <w:pPr>
              <w:spacing w:after="0"/>
              <w:rPr>
                <w:sz w:val="20"/>
                <w:szCs w:val="20"/>
                <w:color w:val="auto"/>
              </w:rPr>
            </w:pPr>
            <w:r>
              <w:rPr>
                <w:rFonts w:ascii="Arial" w:cs="Arial" w:eastAsia="Arial" w:hAnsi="Arial"/>
                <w:sz w:val="18"/>
                <w:szCs w:val="18"/>
                <w:color w:val="auto"/>
              </w:rPr>
              <w:t>Minimum rents</w:t>
            </w:r>
          </w:p>
        </w:tc>
        <w:tc>
          <w:tcPr>
            <w:tcW w:w="1540" w:type="dxa"/>
            <w:vAlign w:val="bottom"/>
          </w:tcPr>
          <w:p>
            <w:pPr>
              <w:jc w:val="right"/>
              <w:spacing w:after="0"/>
              <w:rPr>
                <w:sz w:val="20"/>
                <w:szCs w:val="20"/>
                <w:color w:val="auto"/>
              </w:rPr>
            </w:pPr>
            <w:r>
              <w:rPr>
                <w:rFonts w:ascii="Arial" w:cs="Arial" w:eastAsia="Arial" w:hAnsi="Arial"/>
                <w:sz w:val="18"/>
                <w:szCs w:val="18"/>
                <w:color w:val="auto"/>
              </w:rPr>
              <w:t>7.4 %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4"/>
        </w:trPr>
        <w:tc>
          <w:tcPr>
            <w:tcW w:w="2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 recoveries(2)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3.1 %</w:t>
            </w:r>
          </w:p>
        </w:tc>
        <w:tc>
          <w:tcPr>
            <w:tcW w:w="2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2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bottom w:val="single" w:sz="8" w:color="CCEEFF"/>
            </w:tcBorders>
            <w:vMerge w:val="restart"/>
          </w:tcPr>
          <w:p>
            <w:pPr>
              <w:spacing w:after="0" w:line="158" w:lineRule="exact"/>
              <w:rPr>
                <w:sz w:val="20"/>
                <w:szCs w:val="20"/>
                <w:color w:val="auto"/>
              </w:rPr>
            </w:pPr>
            <w:r>
              <w:rPr>
                <w:rFonts w:ascii="Arial" w:cs="Arial" w:eastAsia="Arial" w:hAnsi="Arial"/>
                <w:sz w:val="18"/>
                <w:szCs w:val="18"/>
                <w:b w:val="1"/>
                <w:bCs w:val="1"/>
                <w:color w:val="auto"/>
              </w:rPr>
              <w:t>Unconsolidated Joint</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1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100" w:type="dxa"/>
            <w:vAlign w:val="bottom"/>
          </w:tcPr>
          <w:p>
            <w:pPr>
              <w:spacing w:after="0"/>
              <w:rPr>
                <w:sz w:val="20"/>
                <w:szCs w:val="20"/>
                <w:color w:val="auto"/>
              </w:rPr>
            </w:pPr>
            <w:r>
              <w:rPr>
                <w:rFonts w:ascii="Arial" w:cs="Arial" w:eastAsia="Arial" w:hAnsi="Arial"/>
                <w:sz w:val="18"/>
                <w:szCs w:val="18"/>
                <w:b w:val="1"/>
                <w:bCs w:val="1"/>
                <w:color w:val="auto"/>
              </w:rPr>
              <w:t>Venture Centers: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4"/>
        </w:trPr>
        <w:tc>
          <w:tcPr>
            <w:tcW w:w="2100" w:type="dxa"/>
            <w:vAlign w:val="bottom"/>
          </w:tcPr>
          <w:p>
            <w:pPr>
              <w:spacing w:after="0"/>
              <w:rPr>
                <w:sz w:val="20"/>
                <w:szCs w:val="20"/>
                <w:color w:val="auto"/>
              </w:rPr>
            </w:pPr>
            <w:r>
              <w:rPr>
                <w:rFonts w:ascii="Arial" w:cs="Arial" w:eastAsia="Arial" w:hAnsi="Arial"/>
                <w:sz w:val="18"/>
                <w:szCs w:val="18"/>
                <w:color w:val="auto"/>
              </w:rPr>
              <w:t>Percentage rents</w:t>
            </w:r>
          </w:p>
        </w:tc>
        <w:tc>
          <w:tcPr>
            <w:tcW w:w="1540" w:type="dxa"/>
            <w:vAlign w:val="bottom"/>
          </w:tcPr>
          <w:p>
            <w:pPr>
              <w:jc w:val="right"/>
              <w:spacing w:after="0"/>
              <w:rPr>
                <w:sz w:val="20"/>
                <w:szCs w:val="20"/>
                <w:color w:val="auto"/>
              </w:rPr>
            </w:pPr>
            <w:r>
              <w:rPr>
                <w:rFonts w:ascii="Arial" w:cs="Arial" w:eastAsia="Arial" w:hAnsi="Arial"/>
                <w:sz w:val="18"/>
                <w:szCs w:val="18"/>
                <w:color w:val="auto"/>
              </w:rPr>
              <w:t>1.0 %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Expense recoveries(2)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10.3 %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1200" w:right="200" w:hanging="562"/>
        <w:spacing w:after="0" w:line="262" w:lineRule="auto"/>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 of Occupancy is compared to the trailing twelve months ended December 31, 2019, the most immediately comparative period prior to the COVID-19 pandemic.</w:t>
      </w:r>
    </w:p>
    <w:p>
      <w:pPr>
        <w:spacing w:after="0" w:line="112" w:lineRule="exact"/>
        <w:rPr>
          <w:rFonts w:ascii="Arial" w:cs="Arial" w:eastAsia="Arial" w:hAnsi="Arial"/>
          <w:sz w:val="16"/>
          <w:szCs w:val="16"/>
          <w:color w:val="auto"/>
        </w:rPr>
      </w:pPr>
    </w:p>
    <w:p>
      <w:pPr>
        <w:ind w:left="1200" w:hanging="562"/>
        <w:spacing w:after="0"/>
        <w:tabs>
          <w:tab w:leader="none" w:pos="1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real estate tax and common area maintenance charges.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21" w:right="399" w:bottom="1440" w:gutter="0" w:footer="0" w:header="0"/>
        </w:sectPr>
      </w:pPr>
    </w:p>
    <w:bookmarkStart w:id="8" w:name="page9"/>
    <w:bookmarkEnd w:id="8"/>
    <w:p>
      <w:pPr>
        <w:ind w:left="440"/>
        <w:spacing w:after="0"/>
        <w:rPr>
          <w:sz w:val="20"/>
          <w:szCs w:val="20"/>
          <w:color w:val="auto"/>
        </w:rPr>
      </w:pPr>
      <w:r>
        <w:rPr>
          <w:rFonts w:ascii="Arial" w:cs="Arial" w:eastAsia="Arial" w:hAnsi="Arial"/>
          <w:sz w:val="16"/>
          <w:szCs w:val="16"/>
          <w:color w:val="auto"/>
        </w:rPr>
        <w:t>The following tables set forth the average base rent per square foot for the Centers, as of December 31 for each of the past three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Avg. Base</w:t>
            </w:r>
          </w:p>
        </w:tc>
        <w:tc>
          <w:tcPr>
            <w:tcW w:w="2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Avg. Base Rent</w:t>
            </w:r>
          </w:p>
        </w:tc>
        <w:tc>
          <w:tcPr>
            <w:tcW w:w="200" w:type="dxa"/>
            <w:vAlign w:val="bottom"/>
          </w:tcPr>
          <w:p>
            <w:pPr>
              <w:spacing w:after="0"/>
              <w:rPr>
                <w:sz w:val="14"/>
                <w:szCs w:val="14"/>
                <w:color w:val="auto"/>
              </w:rPr>
            </w:pPr>
          </w:p>
        </w:tc>
        <w:tc>
          <w:tcPr>
            <w:tcW w:w="168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Avg. Base Rent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Per Sq. Ft. on</w:t>
            </w:r>
          </w:p>
        </w:tc>
        <w:tc>
          <w:tcPr>
            <w:tcW w:w="200" w:type="dxa"/>
            <w:vAlign w:val="bottom"/>
          </w:tcPr>
          <w:p>
            <w:pPr>
              <w:spacing w:after="0"/>
              <w:rPr>
                <w:sz w:val="12"/>
                <w:szCs w:val="12"/>
                <w:color w:val="auto"/>
              </w:rPr>
            </w:pPr>
          </w:p>
        </w:tc>
        <w:tc>
          <w:tcPr>
            <w:tcW w:w="1680" w:type="dxa"/>
            <w:vAlign w:val="bottom"/>
          </w:tcPr>
          <w:p>
            <w:pPr>
              <w:jc w:val="center"/>
              <w:ind w:right="119"/>
              <w:spacing w:after="0" w:line="145" w:lineRule="exact"/>
              <w:rPr>
                <w:sz w:val="20"/>
                <w:szCs w:val="20"/>
                <w:color w:val="auto"/>
              </w:rPr>
            </w:pPr>
            <w:r>
              <w:rPr>
                <w:rFonts w:ascii="Arial" w:cs="Arial" w:eastAsia="Arial" w:hAnsi="Arial"/>
                <w:sz w:val="14"/>
                <w:szCs w:val="14"/>
                <w:b w:val="1"/>
                <w:bCs w:val="1"/>
                <w:color w:val="auto"/>
                <w:w w:val="92"/>
              </w:rPr>
              <w:t>Per Sq. Ft.</w:t>
            </w:r>
          </w:p>
        </w:tc>
        <w:tc>
          <w:tcPr>
            <w:tcW w:w="0" w:type="dxa"/>
            <w:vAlign w:val="bottom"/>
          </w:tcPr>
          <w:p>
            <w:pPr>
              <w:spacing w:after="0"/>
              <w:rPr>
                <w:sz w:val="1"/>
                <w:szCs w:val="1"/>
                <w:color w:val="auto"/>
              </w:rPr>
            </w:pPr>
          </w:p>
        </w:tc>
      </w:tr>
      <w:tr>
        <w:trPr>
          <w:trHeight w:val="141"/>
        </w:trPr>
        <w:tc>
          <w:tcPr>
            <w:tcW w:w="5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Rent Per</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Leases Executed</w:t>
            </w:r>
          </w:p>
        </w:tc>
        <w:tc>
          <w:tcPr>
            <w:tcW w:w="200" w:type="dxa"/>
            <w:vAlign w:val="bottom"/>
          </w:tcPr>
          <w:p>
            <w:pPr>
              <w:spacing w:after="0"/>
              <w:rPr>
                <w:sz w:val="12"/>
                <w:szCs w:val="12"/>
                <w:color w:val="auto"/>
              </w:rPr>
            </w:pPr>
          </w:p>
        </w:tc>
        <w:tc>
          <w:tcPr>
            <w:tcW w:w="1680" w:type="dxa"/>
            <w:vAlign w:val="bottom"/>
          </w:tcPr>
          <w:p>
            <w:pPr>
              <w:jc w:val="center"/>
              <w:ind w:right="119"/>
              <w:spacing w:after="0" w:line="141" w:lineRule="exact"/>
              <w:rPr>
                <w:sz w:val="20"/>
                <w:szCs w:val="20"/>
                <w:color w:val="auto"/>
              </w:rPr>
            </w:pPr>
            <w:r>
              <w:rPr>
                <w:rFonts w:ascii="Arial" w:cs="Arial" w:eastAsia="Arial" w:hAnsi="Arial"/>
                <w:sz w:val="14"/>
                <w:szCs w:val="14"/>
                <w:b w:val="1"/>
                <w:bCs w:val="1"/>
                <w:color w:val="auto"/>
                <w:w w:val="90"/>
              </w:rPr>
              <w:t>on Leases Expiring</w:t>
            </w:r>
          </w:p>
        </w:tc>
        <w:tc>
          <w:tcPr>
            <w:tcW w:w="0" w:type="dxa"/>
            <w:vAlign w:val="bottom"/>
          </w:tcPr>
          <w:p>
            <w:pPr>
              <w:spacing w:after="0"/>
              <w:rPr>
                <w:sz w:val="1"/>
                <w:szCs w:val="1"/>
                <w:color w:val="auto"/>
              </w:rPr>
            </w:pPr>
          </w:p>
        </w:tc>
      </w:tr>
      <w:tr>
        <w:trPr>
          <w:trHeight w:val="145"/>
        </w:trPr>
        <w:tc>
          <w:tcPr>
            <w:tcW w:w="5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3"/>
              </w:rPr>
              <w:t>Sq. Ft.(1)(2)</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3"/>
              </w:rPr>
              <w:t>During the Year(2)(3)</w:t>
            </w:r>
          </w:p>
        </w:tc>
        <w:tc>
          <w:tcPr>
            <w:tcW w:w="200" w:type="dxa"/>
            <w:vAlign w:val="bottom"/>
          </w:tcPr>
          <w:p>
            <w:pPr>
              <w:spacing w:after="0"/>
              <w:rPr>
                <w:sz w:val="12"/>
                <w:szCs w:val="12"/>
                <w:color w:val="auto"/>
              </w:rPr>
            </w:pPr>
          </w:p>
        </w:tc>
        <w:tc>
          <w:tcPr>
            <w:tcW w:w="1680" w:type="dxa"/>
            <w:vAlign w:val="bottom"/>
          </w:tcPr>
          <w:p>
            <w:pPr>
              <w:jc w:val="center"/>
              <w:ind w:right="119"/>
              <w:spacing w:after="0" w:line="125" w:lineRule="exact"/>
              <w:rPr>
                <w:sz w:val="20"/>
                <w:szCs w:val="20"/>
                <w:color w:val="auto"/>
              </w:rPr>
            </w:pPr>
            <w:r>
              <w:rPr>
                <w:rFonts w:ascii="Arial" w:cs="Arial" w:eastAsia="Arial" w:hAnsi="Arial"/>
                <w:sz w:val="14"/>
                <w:szCs w:val="14"/>
                <w:b w:val="1"/>
                <w:bCs w:val="1"/>
                <w:color w:val="auto"/>
                <w:w w:val="92"/>
              </w:rPr>
              <w:t>During the Year(2)(4)</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Consolidated Centers (at the Company's pro rata share):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60.72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24"/>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Unconsolidated Joint Venture Centers (at the Company's pro rata share):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8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38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 Box and Anchors: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Avg. Base Rent</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4"/>
                <w:szCs w:val="14"/>
                <w:color w:val="auto"/>
              </w:rPr>
            </w:pPr>
          </w:p>
        </w:tc>
        <w:tc>
          <w:tcPr>
            <w:tcW w:w="17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Avg. Base Rent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Avg. Base</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4"/>
              </w:rPr>
              <w:t>Leases</w:t>
            </w: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Per Sq. Ft. on</w:t>
            </w:r>
          </w:p>
        </w:tc>
        <w:tc>
          <w:tcPr>
            <w:tcW w:w="12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Executed</w:t>
            </w:r>
          </w:p>
        </w:tc>
        <w:tc>
          <w:tcPr>
            <w:tcW w:w="200" w:type="dxa"/>
            <w:vAlign w:val="bottom"/>
          </w:tcPr>
          <w:p>
            <w:pPr>
              <w:spacing w:after="0"/>
              <w:rPr>
                <w:sz w:val="12"/>
                <w:szCs w:val="12"/>
                <w:color w:val="auto"/>
              </w:rPr>
            </w:pPr>
          </w:p>
        </w:tc>
        <w:tc>
          <w:tcPr>
            <w:tcW w:w="17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2"/>
              </w:rPr>
              <w:t>Per Sq. Ft.</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Expiring</w:t>
            </w:r>
          </w:p>
        </w:tc>
        <w:tc>
          <w:tcPr>
            <w:tcW w:w="0" w:type="dxa"/>
            <w:vAlign w:val="bottom"/>
          </w:tcPr>
          <w:p>
            <w:pPr>
              <w:spacing w:after="0"/>
              <w:rPr>
                <w:sz w:val="1"/>
                <w:szCs w:val="1"/>
                <w:color w:val="auto"/>
              </w:rPr>
            </w:pPr>
          </w:p>
        </w:tc>
      </w:tr>
      <w:tr>
        <w:trPr>
          <w:trHeight w:val="132"/>
        </w:trPr>
        <w:tc>
          <w:tcPr>
            <w:tcW w:w="3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93"/>
              </w:rPr>
              <w:t>Rent Per</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86"/>
              </w:rPr>
              <w:t>Leases Executed</w:t>
            </w:r>
          </w:p>
        </w:tc>
        <w:tc>
          <w:tcPr>
            <w:tcW w:w="124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7"/>
              </w:rPr>
              <w:t>During</w:t>
            </w:r>
          </w:p>
        </w:tc>
        <w:tc>
          <w:tcPr>
            <w:tcW w:w="200" w:type="dxa"/>
            <w:vAlign w:val="bottom"/>
          </w:tcPr>
          <w:p>
            <w:pPr>
              <w:spacing w:after="0"/>
              <w:rPr>
                <w:sz w:val="11"/>
                <w:szCs w:val="11"/>
                <w:color w:val="auto"/>
              </w:rPr>
            </w:pPr>
          </w:p>
        </w:tc>
        <w:tc>
          <w:tcPr>
            <w:tcW w:w="178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88"/>
              </w:rPr>
              <w:t>on Leases Expiring</w:t>
            </w:r>
          </w:p>
        </w:tc>
        <w:tc>
          <w:tcPr>
            <w:tcW w:w="112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5"/>
        </w:trPr>
        <w:tc>
          <w:tcPr>
            <w:tcW w:w="3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3"/>
              </w:rPr>
              <w:t>Sq. Ft.(1)(2)</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3"/>
              </w:rPr>
              <w:t>During the Year(2)(3)</w:t>
            </w:r>
          </w:p>
        </w:tc>
        <w:tc>
          <w:tcPr>
            <w:tcW w:w="124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0"/>
              </w:rPr>
              <w:t>the Year</w:t>
            </w: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3"/>
              </w:rPr>
              <w:t>During the Year(2)(4)</w:t>
            </w:r>
          </w:p>
        </w:tc>
        <w:tc>
          <w:tcPr>
            <w:tcW w:w="11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the Year</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080" w:type="dxa"/>
            <w:vAlign w:val="bottom"/>
            <w:tcBorders>
              <w:top w:val="single" w:sz="8" w:color="auto"/>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640" w:type="dxa"/>
            <w:vAlign w:val="bottom"/>
            <w:gridSpan w:val="3"/>
            <w:shd w:val="clear" w:color="auto" w:fill="CCEEFF"/>
          </w:tcPr>
          <w:p>
            <w:pPr>
              <w:ind w:left="20"/>
              <w:spacing w:after="0" w:line="165" w:lineRule="exact"/>
              <w:rPr>
                <w:sz w:val="20"/>
                <w:szCs w:val="20"/>
                <w:color w:val="auto"/>
              </w:rPr>
            </w:pPr>
            <w:r>
              <w:rPr>
                <w:rFonts w:ascii="Arial" w:cs="Arial" w:eastAsia="Arial" w:hAnsi="Arial"/>
                <w:sz w:val="18"/>
                <w:szCs w:val="18"/>
                <w:color w:val="auto"/>
                <w:w w:val="92"/>
              </w:rPr>
              <w:t>Consolidated Centers (at the Company's pro rata</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6"/>
        </w:trPr>
        <w:tc>
          <w:tcPr>
            <w:tcW w:w="3640" w:type="dxa"/>
            <w:vAlign w:val="bottom"/>
            <w:gridSpan w:val="3"/>
            <w:shd w:val="clear" w:color="auto" w:fill="CCEEFF"/>
          </w:tcPr>
          <w:p>
            <w:pPr>
              <w:ind w:left="20"/>
              <w:spacing w:after="0" w:line="186" w:lineRule="exact"/>
              <w:rPr>
                <w:sz w:val="20"/>
                <w:szCs w:val="20"/>
                <w:color w:val="auto"/>
              </w:rPr>
            </w:pPr>
            <w:r>
              <w:rPr>
                <w:rFonts w:ascii="Arial" w:cs="Arial" w:eastAsia="Arial" w:hAnsi="Arial"/>
                <w:sz w:val="18"/>
                <w:szCs w:val="18"/>
                <w:color w:val="auto"/>
              </w:rPr>
              <w:t>Unconsolidated Joint Venture Centers (at the</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Company's pro rata share):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1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388" w:lineRule="exact"/>
        <w:rPr>
          <w:sz w:val="20"/>
          <w:szCs w:val="20"/>
          <w:color w:val="auto"/>
        </w:rPr>
      </w:pPr>
    </w:p>
    <w:p>
      <w:pPr>
        <w:ind w:left="1200" w:right="100" w:hanging="562"/>
        <w:spacing w:after="0" w:line="296" w:lineRule="auto"/>
        <w:tabs>
          <w:tab w:leader="none" w:pos="12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Average base rent per square foot is based on spaces occupied as of December 31 for each of the Centers and gives effect to the terms of each lease in effect, as of such date, including any concessions, abatements and other adjustments or allowances that have been granted to the tenants.</w:t>
      </w:r>
    </w:p>
    <w:p>
      <w:pPr>
        <w:spacing w:after="0" w:line="88" w:lineRule="exact"/>
        <w:rPr>
          <w:rFonts w:ascii="Arial" w:cs="Arial" w:eastAsia="Arial" w:hAnsi="Arial"/>
          <w:sz w:val="15"/>
          <w:szCs w:val="15"/>
          <w:color w:val="auto"/>
        </w:rPr>
      </w:pPr>
    </w:p>
    <w:p>
      <w:pPr>
        <w:ind w:left="1200" w:right="200" w:hanging="562"/>
        <w:spacing w:after="0" w:line="279"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Centers under development and redevelopment are excluded from average base rents. As a result, the leases for Paradise Valley Mall and One Westside are excluded for the years ended December 31, 2022, 2021 and 2020.</w:t>
      </w:r>
    </w:p>
    <w:p>
      <w:pPr>
        <w:spacing w:after="0" w:line="99" w:lineRule="exact"/>
        <w:rPr>
          <w:rFonts w:ascii="Arial" w:cs="Arial" w:eastAsia="Arial" w:hAnsi="Arial"/>
          <w:sz w:val="16"/>
          <w:szCs w:val="16"/>
          <w:color w:val="auto"/>
        </w:rPr>
      </w:pPr>
    </w:p>
    <w:p>
      <w:pPr>
        <w:ind w:left="1200" w:right="400" w:hanging="562"/>
        <w:spacing w:after="0" w:line="262"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average base rent per square foot on leases executed during the year represents the actual rent paid on a per square foot basis during the first twelve months of the lease.</w:t>
      </w:r>
    </w:p>
    <w:p>
      <w:pPr>
        <w:spacing w:after="0" w:line="112" w:lineRule="exact"/>
        <w:rPr>
          <w:rFonts w:ascii="Arial" w:cs="Arial" w:eastAsia="Arial" w:hAnsi="Arial"/>
          <w:sz w:val="16"/>
          <w:szCs w:val="16"/>
          <w:color w:val="auto"/>
        </w:rPr>
      </w:pPr>
    </w:p>
    <w:p>
      <w:pPr>
        <w:ind w:left="1200" w:right="60" w:hanging="562"/>
        <w:spacing w:after="0" w:line="279"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average base rent per square foot on leases expiring during the year represents the actual rent to be paid on a per square foot basis during the final twelve months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i w:val="1"/>
          <w:iCs w:val="1"/>
          <w:color w:val="auto"/>
        </w:rPr>
        <w:t>Lease Expirations:</w:t>
      </w:r>
    </w:p>
    <w:p>
      <w:pPr>
        <w:spacing w:after="0" w:line="136" w:lineRule="exact"/>
        <w:rPr>
          <w:sz w:val="20"/>
          <w:szCs w:val="20"/>
          <w:color w:val="auto"/>
        </w:rPr>
      </w:pPr>
    </w:p>
    <w:p>
      <w:pPr>
        <w:ind w:right="360" w:firstLine="435"/>
        <w:spacing w:after="0" w:line="262" w:lineRule="auto"/>
        <w:rPr>
          <w:sz w:val="20"/>
          <w:szCs w:val="20"/>
          <w:color w:val="auto"/>
        </w:rPr>
      </w:pPr>
      <w:r>
        <w:rPr>
          <w:rFonts w:ascii="Arial" w:cs="Arial" w:eastAsia="Arial" w:hAnsi="Arial"/>
          <w:sz w:val="18"/>
          <w:szCs w:val="18"/>
          <w:color w:val="auto"/>
        </w:rPr>
        <w:t>The following tables show scheduled lease expirations for Centers owned as of December 31, 2022 for the next ten years, assuming that none of the tenants exercise renewal options: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Mall Stores and Freestanding Stores under 10,000 square feet: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of Total Leased</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Ending Base Rent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 of Base Rent</w:t>
            </w:r>
          </w:p>
        </w:tc>
        <w:tc>
          <w:tcPr>
            <w:tcW w:w="0" w:type="dxa"/>
            <w:vAlign w:val="bottom"/>
          </w:tcPr>
          <w:p>
            <w:pPr>
              <w:spacing w:after="0"/>
              <w:rPr>
                <w:sz w:val="1"/>
                <w:szCs w:val="1"/>
                <w:color w:val="auto"/>
              </w:rPr>
            </w:pPr>
          </w:p>
        </w:tc>
      </w:tr>
      <w:tr>
        <w:trPr>
          <w:trHeight w:val="141"/>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2"/>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Represented</w:t>
            </w:r>
          </w:p>
        </w:tc>
        <w:tc>
          <w:tcPr>
            <w:tcW w:w="0" w:type="dxa"/>
            <w:vAlign w:val="bottom"/>
          </w:tcPr>
          <w:p>
            <w:pPr>
              <w:spacing w:after="0"/>
              <w:rPr>
                <w:sz w:val="1"/>
                <w:szCs w:val="1"/>
                <w:color w:val="auto"/>
              </w:rPr>
            </w:pPr>
          </w:p>
        </w:tc>
      </w:tr>
      <w:tr>
        <w:trPr>
          <w:trHeight w:val="145"/>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vMerge w:val="restart"/>
          </w:tcPr>
          <w:p>
            <w:pPr>
              <w:spacing w:after="0"/>
              <w:rPr>
                <w:sz w:val="12"/>
                <w:szCs w:val="12"/>
                <w:color w:val="auto"/>
              </w:rPr>
            </w:pPr>
          </w:p>
        </w:tc>
        <w:tc>
          <w:tcPr>
            <w:tcW w:w="11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4"/>
              </w:rPr>
              <w:t>Leases</w:t>
            </w:r>
          </w:p>
        </w:tc>
        <w:tc>
          <w:tcPr>
            <w:tcW w:w="14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GLA of Leases</w:t>
            </w:r>
          </w:p>
        </w:tc>
        <w:tc>
          <w:tcPr>
            <w:tcW w:w="17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by Expiring</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per Square Foot of</w:t>
            </w: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by Expiring</w:t>
            </w:r>
          </w:p>
        </w:tc>
        <w:tc>
          <w:tcPr>
            <w:tcW w:w="0" w:type="dxa"/>
            <w:vAlign w:val="bottom"/>
          </w:tcPr>
          <w:p>
            <w:pPr>
              <w:spacing w:after="0"/>
              <w:rPr>
                <w:sz w:val="1"/>
                <w:szCs w:val="1"/>
                <w:color w:val="auto"/>
              </w:rPr>
            </w:pPr>
          </w:p>
        </w:tc>
      </w:tr>
      <w:tr>
        <w:trPr>
          <w:trHeight w:val="191"/>
        </w:trPr>
        <w:tc>
          <w:tcPr>
            <w:tcW w:w="3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Expiring</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Expiring(1)</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Leases(1)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Expiring Leases(1)</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Leases(1)</w:t>
            </w:r>
          </w:p>
        </w:tc>
        <w:tc>
          <w:tcPr>
            <w:tcW w:w="0" w:type="dxa"/>
            <w:vAlign w:val="bottom"/>
          </w:tcPr>
          <w:p>
            <w:pPr>
              <w:spacing w:after="0"/>
              <w:rPr>
                <w:sz w:val="1"/>
                <w:szCs w:val="1"/>
                <w:color w:val="auto"/>
              </w:rPr>
            </w:pPr>
          </w:p>
        </w:tc>
      </w:tr>
      <w:tr>
        <w:trPr>
          <w:trHeight w:val="172"/>
        </w:trPr>
        <w:tc>
          <w:tcPr>
            <w:tcW w:w="38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w w:val="96"/>
              </w:rPr>
              <w:t>Consolidated Centers (at the Company's pro rata</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690,456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18.19 %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51.43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14.27 %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739,369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573,990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15.12 %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15.72 %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499,629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366,638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11.55 %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233,211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268,406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73.65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169,836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84,989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172"/>
        </w:trPr>
        <w:tc>
          <w:tcPr>
            <w:tcW w:w="38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Company's pro rata share):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356,888</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312,735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15.80 %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66.98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14.14 %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244,525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256,920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78.87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13.68 %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193,136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85.96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11.20 %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86,691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92.38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5.40 %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73,482</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3.71 %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96.10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Big Boxes and Anchors: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Approximate</w:t>
            </w: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of Total Leased</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Ending Base Rent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 of Base Rent</w:t>
            </w: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GLA Represented</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Represented</w:t>
            </w:r>
          </w:p>
        </w:tc>
        <w:tc>
          <w:tcPr>
            <w:tcW w:w="0" w:type="dxa"/>
            <w:vAlign w:val="bottom"/>
          </w:tcPr>
          <w:p>
            <w:pPr>
              <w:spacing w:after="0"/>
              <w:rPr>
                <w:sz w:val="1"/>
                <w:szCs w:val="1"/>
                <w:color w:val="auto"/>
              </w:rPr>
            </w:pPr>
          </w:p>
        </w:tc>
      </w:tr>
      <w:tr>
        <w:trPr>
          <w:trHeight w:val="136"/>
        </w:trPr>
        <w:tc>
          <w:tcPr>
            <w:tcW w:w="3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4"/>
                <w:szCs w:val="14"/>
                <w:b w:val="1"/>
                <w:bCs w:val="1"/>
                <w:color w:val="auto"/>
                <w:w w:val="84"/>
              </w:rPr>
              <w:t>Leases</w:t>
            </w:r>
          </w:p>
        </w:tc>
        <w:tc>
          <w:tcPr>
            <w:tcW w:w="1460" w:type="dxa"/>
            <w:vAlign w:val="bottom"/>
            <w:gridSpan w:val="2"/>
          </w:tcPr>
          <w:p>
            <w:pPr>
              <w:jc w:val="center"/>
              <w:ind w:right="100"/>
              <w:spacing w:after="0" w:line="136" w:lineRule="exact"/>
              <w:rPr>
                <w:sz w:val="20"/>
                <w:szCs w:val="20"/>
                <w:color w:val="auto"/>
              </w:rPr>
            </w:pPr>
            <w:r>
              <w:rPr>
                <w:rFonts w:ascii="Arial" w:cs="Arial" w:eastAsia="Arial" w:hAnsi="Arial"/>
                <w:sz w:val="14"/>
                <w:szCs w:val="14"/>
                <w:b w:val="1"/>
                <w:bCs w:val="1"/>
                <w:color w:val="auto"/>
                <w:w w:val="89"/>
              </w:rPr>
              <w:t>GLA of Leases</w:t>
            </w:r>
          </w:p>
        </w:tc>
        <w:tc>
          <w:tcPr>
            <w:tcW w:w="1740" w:type="dxa"/>
            <w:vAlign w:val="bottom"/>
            <w:gridSpan w:val="2"/>
          </w:tcPr>
          <w:p>
            <w:pPr>
              <w:jc w:val="center"/>
              <w:ind w:right="120"/>
              <w:spacing w:after="0" w:line="136" w:lineRule="exact"/>
              <w:rPr>
                <w:sz w:val="20"/>
                <w:szCs w:val="20"/>
                <w:color w:val="auto"/>
              </w:rPr>
            </w:pPr>
            <w:r>
              <w:rPr>
                <w:rFonts w:ascii="Arial" w:cs="Arial" w:eastAsia="Arial" w:hAnsi="Arial"/>
                <w:sz w:val="14"/>
                <w:szCs w:val="14"/>
                <w:b w:val="1"/>
                <w:bCs w:val="1"/>
                <w:color w:val="auto"/>
                <w:w w:val="91"/>
              </w:rPr>
              <w:t>by Expiring</w:t>
            </w:r>
          </w:p>
        </w:tc>
        <w:tc>
          <w:tcPr>
            <w:tcW w:w="140" w:type="dxa"/>
            <w:vAlign w:val="bottom"/>
          </w:tcPr>
          <w:p>
            <w:pPr>
              <w:spacing w:after="0"/>
              <w:rPr>
                <w:sz w:val="11"/>
                <w:szCs w:val="11"/>
                <w:color w:val="auto"/>
              </w:rPr>
            </w:pPr>
          </w:p>
        </w:tc>
        <w:tc>
          <w:tcPr>
            <w:tcW w:w="144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1"/>
              </w:rPr>
              <w:t>per Square Foot of</w:t>
            </w:r>
          </w:p>
        </w:tc>
        <w:tc>
          <w:tcPr>
            <w:tcW w:w="14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4"/>
              </w:rPr>
              <w:t>by Expiring</w:t>
            </w:r>
          </w:p>
        </w:tc>
        <w:tc>
          <w:tcPr>
            <w:tcW w:w="0" w:type="dxa"/>
            <w:vAlign w:val="bottom"/>
          </w:tcPr>
          <w:p>
            <w:pPr>
              <w:spacing w:after="0"/>
              <w:rPr>
                <w:sz w:val="1"/>
                <w:szCs w:val="1"/>
                <w:color w:val="auto"/>
              </w:rPr>
            </w:pPr>
          </w:p>
        </w:tc>
      </w:tr>
      <w:tr>
        <w:trPr>
          <w:trHeight w:val="183"/>
        </w:trPr>
        <w:tc>
          <w:tcPr>
            <w:tcW w:w="3800" w:type="dxa"/>
            <w:vAlign w:val="bottom"/>
            <w:gridSpan w:val="2"/>
            <w:vMerge w:val="continue"/>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Expiring</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Expiring(1)</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Leases(1)</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Expiring Leases(1)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Leases(1)</w:t>
            </w:r>
          </w:p>
        </w:tc>
        <w:tc>
          <w:tcPr>
            <w:tcW w:w="0" w:type="dxa"/>
            <w:vAlign w:val="bottom"/>
          </w:tcPr>
          <w:p>
            <w:pPr>
              <w:spacing w:after="0"/>
              <w:rPr>
                <w:sz w:val="1"/>
                <w:szCs w:val="1"/>
                <w:color w:val="auto"/>
              </w:rPr>
            </w:pPr>
          </w:p>
        </w:tc>
      </w:tr>
      <w:tr>
        <w:trPr>
          <w:trHeight w:val="24"/>
        </w:trPr>
        <w:tc>
          <w:tcPr>
            <w:tcW w:w="3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80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8"/>
                <w:szCs w:val="18"/>
                <w:color w:val="auto"/>
                <w:w w:val="96"/>
              </w:rPr>
              <w:t>Consolidated Centers (at the Company's pro rata</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240,043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747,883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1,139,851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11.03 %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1,494,486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937,146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16.85 %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1,223,571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153,180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260,363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467,183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5.70 %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172"/>
        </w:trPr>
        <w:tc>
          <w:tcPr>
            <w:tcW w:w="38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Unconsolidated Joint Venture Centers (at the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Company's pro rata share):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326,949</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343,756</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8.99 %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18.37 %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666,623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343,990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15.93 %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282,259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542,159</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14.18 %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12.03 %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285,598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467,875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12.24 %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3.58 %</w:t>
            </w:r>
          </w:p>
        </w:tc>
        <w:tc>
          <w:tcPr>
            <w:tcW w:w="0" w:type="dxa"/>
            <w:vAlign w:val="bottom"/>
          </w:tcPr>
          <w:p>
            <w:pPr>
              <w:spacing w:after="0"/>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365,007</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6.70 %</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43,343</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22.14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388" w:lineRule="exact"/>
        <w:rPr>
          <w:sz w:val="20"/>
          <w:szCs w:val="20"/>
          <w:color w:val="auto"/>
        </w:rPr>
      </w:pPr>
    </w:p>
    <w:p>
      <w:pPr>
        <w:ind w:left="1200" w:right="200" w:hanging="562"/>
        <w:spacing w:after="0" w:line="279"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ending base rent per square foot on leases expiring during the period represents the final year minimum rent, on a cash basis, for tenant leases expiring during the year.</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Anchors:</w:t>
      </w:r>
    </w:p>
    <w:p>
      <w:pPr>
        <w:spacing w:after="0" w:line="149"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Anchors have traditionally been a major factor in the public's identification with Regional Town Centers. Anchors are generally department stores whose merchandise appeals to a broad range of shoppers. Although the Centers receive a smaller percentage of their operating income from Anchors than from Mall Stores and Freestanding Stores, strong Anchors play an important part in maintaining customer traffic and making the Centers desirable locations for Mall Store and Freestanding Store tenants.</w:t>
      </w:r>
    </w:p>
    <w:p>
      <w:pPr>
        <w:spacing w:after="0" w:line="112"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Anchors either own their stores, the land under them and in some cases adjacent parking areas, or enter into long-term leases with an owner at rates that are lower than the rents charged to tenants of Mall Stores and Freestanding Stores. Each Anchor that owns its own store and certain Anchors that lease their stores enter into reciprocal easement agreements with the owner of the Center covering, among other things, operational matters, initial construction and future expansion.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Anchors accounted for approximately 6.5% of the Company's total rents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77" w:right="379" w:bottom="1440" w:gutter="0" w:footer="0" w:header="0"/>
        </w:sectPr>
      </w:pPr>
    </w:p>
    <w:bookmarkStart w:id="11" w:name="page12"/>
    <w:bookmarkEnd w:id="11"/>
    <w:p>
      <w:pPr>
        <w:ind w:right="420" w:firstLine="435"/>
        <w:spacing w:after="0" w:line="262" w:lineRule="auto"/>
        <w:rPr>
          <w:sz w:val="20"/>
          <w:szCs w:val="20"/>
          <w:color w:val="auto"/>
        </w:rPr>
      </w:pPr>
      <w:r>
        <w:rPr>
          <w:rFonts w:ascii="Arial" w:cs="Arial" w:eastAsia="Arial" w:hAnsi="Arial"/>
          <w:sz w:val="18"/>
          <w:szCs w:val="18"/>
          <w:color w:val="auto"/>
        </w:rPr>
        <w:t>The following table identifies each Anchor, each parent company that owns multiple Anchors and the number of square feet owned or leased by each such Anchor or parent company in the Company's portfolio at December 31, 2022.</w:t>
      </w:r>
    </w:p>
    <w:p>
      <w:pPr>
        <w:spacing w:after="0" w:line="11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GLA Owned</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GLA Leased</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Anchor GLA</w:t>
            </w:r>
          </w:p>
        </w:tc>
        <w:tc>
          <w:tcPr>
            <w:tcW w:w="0" w:type="dxa"/>
            <w:vAlign w:val="bottom"/>
          </w:tcPr>
          <w:p>
            <w:pPr>
              <w:spacing w:after="0"/>
              <w:rPr>
                <w:sz w:val="1"/>
                <w:szCs w:val="1"/>
                <w:color w:val="auto"/>
              </w:rPr>
            </w:pPr>
          </w:p>
        </w:tc>
      </w:tr>
      <w:tr>
        <w:trPr>
          <w:trHeight w:val="145"/>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Anchor</w:t>
            </w:r>
          </w:p>
        </w:tc>
        <w:tc>
          <w:tcPr>
            <w:tcW w:w="13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78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Stores</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by Anchor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by Anchor</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Macy's Inc.</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Macy's</w:t>
            </w:r>
          </w:p>
        </w:tc>
        <w:tc>
          <w:tcPr>
            <w:tcW w:w="124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4,404,000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1,932,000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6,336,</w:t>
            </w:r>
          </w:p>
        </w:tc>
        <w:tc>
          <w:tcPr>
            <w:tcW w:w="0" w:type="dxa"/>
            <w:vAlign w:val="bottom"/>
          </w:tcPr>
          <w:p>
            <w:pPr>
              <w:spacing w:after="0"/>
              <w:rPr>
                <w:sz w:val="1"/>
                <w:szCs w:val="1"/>
                <w:color w:val="auto"/>
              </w:rPr>
            </w:pPr>
          </w:p>
        </w:tc>
      </w:tr>
      <w:tr>
        <w:trPr>
          <w:trHeight w:val="200"/>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Bloomingdale's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4,404,000</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2,185,000</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6,589,</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JCPenney</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Dillard's</w:t>
            </w:r>
          </w:p>
        </w:tc>
        <w:tc>
          <w:tcPr>
            <w:tcW w:w="12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1,912,000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257,000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2,169,</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Nordstrom</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Dick's Sporting Goods</w:t>
            </w: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1,048,000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Target(1)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Forever 21</w:t>
            </w: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464,000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Home Depot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Primark(2)</w:t>
            </w:r>
          </w:p>
        </w:tc>
        <w:tc>
          <w:tcPr>
            <w:tcW w:w="12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349,000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Burlington</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Costco</w:t>
            </w: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321,000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BJ's Wholesale Club</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Von Maur</w:t>
            </w: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187,000</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Walmart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Shoppers World</w:t>
            </w: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168,000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 Curacao</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Boscov's</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161,000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Scheels All Sports(3)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144,000</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Belk</w:t>
            </w: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139,000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Lowe's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Neiman Marcus</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Hudson Bay Company</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80" w:type="dxa"/>
            <w:vAlign w:val="bottom"/>
            <w:gridSpan w:val="2"/>
          </w:tcPr>
          <w:p>
            <w:pPr>
              <w:ind w:left="140"/>
              <w:spacing w:after="0"/>
              <w:rPr>
                <w:sz w:val="20"/>
                <w:szCs w:val="20"/>
                <w:color w:val="auto"/>
              </w:rPr>
            </w:pPr>
            <w:r>
              <w:rPr>
                <w:rFonts w:ascii="Arial" w:cs="Arial" w:eastAsia="Arial" w:hAnsi="Arial"/>
                <w:sz w:val="14"/>
                <w:szCs w:val="14"/>
                <w:color w:val="auto"/>
              </w:rPr>
              <w:t>Saks Fifth Avenue</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92,000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Kohl's</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Mercado de los Cielos</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Best Buy</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66,000</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8"/>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Des Moines Area Community College</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64,000</w:t>
            </w:r>
          </w:p>
        </w:tc>
        <w:tc>
          <w:tcPr>
            <w:tcW w:w="1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Vacant Anchors(4)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52,000</w:t>
            </w:r>
          </w:p>
        </w:tc>
        <w:tc>
          <w:tcPr>
            <w:tcW w:w="1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2,014,000</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188"/>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9,228,000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12,342,000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21,570,</w:t>
            </w:r>
          </w:p>
        </w:tc>
        <w:tc>
          <w:tcPr>
            <w:tcW w:w="0" w:type="dxa"/>
            <w:vAlign w:val="bottom"/>
          </w:tcPr>
          <w:p>
            <w:pPr>
              <w:spacing w:after="0"/>
              <w:rPr>
                <w:sz w:val="1"/>
                <w:szCs w:val="1"/>
                <w:color w:val="auto"/>
              </w:rPr>
            </w:pPr>
          </w:p>
        </w:tc>
      </w:tr>
      <w:tr>
        <w:trPr>
          <w:trHeight w:val="207"/>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Anchors at Centers not owned by the Company(5):</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Kohl's</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82,000</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9,228,000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388" w:lineRule="exact"/>
        <w:rPr>
          <w:sz w:val="20"/>
          <w:szCs w:val="20"/>
          <w:color w:val="auto"/>
        </w:rPr>
      </w:pPr>
    </w:p>
    <w:p>
      <w:pPr>
        <w:ind w:left="1200" w:hanging="562"/>
        <w:spacing w:after="0"/>
        <w:tabs>
          <w:tab w:leader="none" w:pos="1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Target has announced plans to open a three-level 90,000 square foot store at Kings Plaza and a two-level 126,000 square foot store at Danbury Fair Mall.</w:t>
      </w:r>
    </w:p>
    <w:p>
      <w:pPr>
        <w:spacing w:after="0" w:line="168" w:lineRule="exact"/>
        <w:rPr>
          <w:rFonts w:ascii="Arial" w:cs="Arial" w:eastAsia="Arial" w:hAnsi="Arial"/>
          <w:sz w:val="14"/>
          <w:szCs w:val="14"/>
          <w:color w:val="auto"/>
        </w:rPr>
      </w:pPr>
    </w:p>
    <w:p>
      <w:pPr>
        <w:ind w:left="1200" w:hanging="562"/>
        <w:spacing w:after="0"/>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Primark has announced plans to open two new two-level stores at Green Acres Mall and Tysons Corner Center.</w:t>
      </w:r>
    </w:p>
    <w:p>
      <w:pPr>
        <w:spacing w:after="0" w:line="145" w:lineRule="exact"/>
        <w:rPr>
          <w:rFonts w:ascii="Arial" w:cs="Arial" w:eastAsia="Arial" w:hAnsi="Arial"/>
          <w:sz w:val="16"/>
          <w:szCs w:val="16"/>
          <w:color w:val="auto"/>
        </w:rPr>
      </w:pPr>
    </w:p>
    <w:p>
      <w:pPr>
        <w:ind w:left="1200" w:right="380" w:hanging="562"/>
        <w:spacing w:after="0" w:line="279"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Scheels All Sports is building a two-level, 222,000 square foot store at Chandler Fashion Center utilizing the vacant 144,000 square foot location formerly occupied by Nordstrom. The store is anticipated to open in fall 2023.</w:t>
      </w:r>
    </w:p>
    <w:p>
      <w:pPr>
        <w:spacing w:after="0" w:line="99" w:lineRule="exact"/>
        <w:rPr>
          <w:rFonts w:ascii="Arial" w:cs="Arial" w:eastAsia="Arial" w:hAnsi="Arial"/>
          <w:sz w:val="16"/>
          <w:szCs w:val="16"/>
          <w:color w:val="auto"/>
        </w:rPr>
      </w:pPr>
    </w:p>
    <w:p>
      <w:pPr>
        <w:ind w:left="1200" w:right="160" w:hanging="562"/>
        <w:spacing w:after="0" w:line="251"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is actively seeking replacement tenants or has entered into replacement leases for many of these vacant sites and/or is currently executing on or considering redevelopment opportunities for these locations. The Company continues to collect rent under the terms of an agreement regarding five of these vacant Anchors.</w:t>
      </w:r>
    </w:p>
    <w:p>
      <w:pPr>
        <w:spacing w:after="0" w:line="120" w:lineRule="exact"/>
        <w:rPr>
          <w:rFonts w:ascii="Arial" w:cs="Arial" w:eastAsia="Arial" w:hAnsi="Arial"/>
          <w:sz w:val="16"/>
          <w:szCs w:val="16"/>
          <w:color w:val="auto"/>
        </w:rPr>
      </w:pPr>
    </w:p>
    <w:p>
      <w:pPr>
        <w:ind w:left="1200" w:right="240" w:hanging="562"/>
        <w:spacing w:after="0" w:line="279"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owns an office building and three stores located at shopping centers not owned by the Company. Of these three stores, one is leased to Kohl's, and two have been leased for non-Anchor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8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Governmental Regulations</w:t>
      </w:r>
    </w:p>
    <w:p>
      <w:pPr>
        <w:spacing w:after="0" w:line="142" w:lineRule="exact"/>
        <w:rPr>
          <w:sz w:val="20"/>
          <w:szCs w:val="20"/>
          <w:color w:val="auto"/>
        </w:rPr>
      </w:pPr>
    </w:p>
    <w:p>
      <w:pPr>
        <w:ind w:right="260" w:firstLine="435"/>
        <w:spacing w:after="0" w:line="287" w:lineRule="auto"/>
        <w:rPr>
          <w:sz w:val="20"/>
          <w:szCs w:val="20"/>
          <w:color w:val="auto"/>
        </w:rPr>
      </w:pPr>
      <w:r>
        <w:rPr>
          <w:rFonts w:ascii="Arial" w:cs="Arial" w:eastAsia="Arial" w:hAnsi="Arial"/>
          <w:sz w:val="16"/>
          <w:szCs w:val="16"/>
          <w:color w:val="auto"/>
        </w:rPr>
        <w:t>Compliance with various governmental regulations has an impact on the Company’s business, including its capital expenditures, earnings and competitive position, which can be material. The Company incurs costs to monitor, and takes actions to comply with, governmental regulations that are applicable to its business, which include, among others, federal securities laws and regulations, applicable stock exchange requirements, REIT and other tax laws and regulations, environmental and health and safety laws and regulations, local zoning, usage and other regulations relating to real property, the Americans with Disabilities Act of 1990 (the "ADA") and related laws and regulations.</w:t>
      </w:r>
    </w:p>
    <w:p>
      <w:pPr>
        <w:spacing w:after="0" w:line="99" w:lineRule="exact"/>
        <w:rPr>
          <w:sz w:val="20"/>
          <w:szCs w:val="20"/>
          <w:color w:val="auto"/>
        </w:rPr>
      </w:pPr>
    </w:p>
    <w:p>
      <w:pPr>
        <w:ind w:right="20" w:firstLine="435"/>
        <w:spacing w:after="0" w:line="248" w:lineRule="auto"/>
        <w:rPr>
          <w:sz w:val="20"/>
          <w:szCs w:val="20"/>
          <w:color w:val="auto"/>
        </w:rPr>
      </w:pPr>
      <w:r>
        <w:rPr>
          <w:rFonts w:ascii="Arial" w:cs="Arial" w:eastAsia="Arial" w:hAnsi="Arial"/>
          <w:sz w:val="18"/>
          <w:szCs w:val="18"/>
          <w:color w:val="auto"/>
        </w:rPr>
        <w:t>See “Item 1A. Risk Factors” for a discussion of material risks to the Company, including, to the extent material, to its competitive position, relating to governmental regulations, and see “Item 7. Management’s Discussion and Analysis of Financial Condition and Results of Operations” together with the Company’s Consolidated Financial Statements, including the related notes included therein, for a discussion of material information relevant to an assessment of the Company’s financial condition and results of operations, including, to the extent material, the effects that compliance with governmental regulations may have upon its capital expenditures and earnings.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of the Centers has comprehensive liability, fire, extended coverage and rental loss insurance with insured limits customarily carried for similar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properties. The Company does not insure certain types of losses (such as losses from wars), because they are either uninsurable or not economically insurable.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addition, while the Company or the relevant joint venture, as applicable, carry specific earthquake insurance on the Centers located in California, the policies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a deductible equal to 5% of the total insured value of each Center, a $150,000 per occurrence minimum and a combined annual aggregate loss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limit of $100 million on these Centers. The Company or the relevant joint venture, as applicable, carry specific earthquake insurance on the Centers located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Pacific Northwest and in the New Madrid Seismic Zone. However, the policies are subject to a deductible equal to 2% of the total insured value of each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Center, a $150,000 per occurrence minimum and a combined annual aggregate loss limit of $100 million on these Centers. While the Company or the relevant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joint venture also carry standalone terrorism insurance on the Centers, the policies are subject to a $25,000 deductible and a combined annual aggregate loss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limit of $1.0 billion. Each Center has environmental insurance covering eligible third-party losses, remediation and non-owned disposal sites, subject to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$100,000 retention and a $50 million three-year aggregate loss limit, with the exception of one Center, which has a $5 million ten-year aggregate loss limit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another Center, which has a $20 million ten-year aggregate loss limit. Some environmental losses are not covered by this insurance because they 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uninsurable or not economically insurable. Furthermore, the Company carries title insurance on substantially all of the Centers for generally less than their full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as a Real Estate Investment Trust</w:t>
      </w:r>
    </w:p>
    <w:p>
      <w:pPr>
        <w:spacing w:after="0" w:line="155" w:lineRule="exact"/>
        <w:rPr>
          <w:sz w:val="20"/>
          <w:szCs w:val="20"/>
          <w:color w:val="auto"/>
        </w:rPr>
      </w:pPr>
    </w:p>
    <w:p>
      <w:pPr>
        <w:ind w:right="60" w:firstLine="435"/>
        <w:spacing w:after="0" w:line="248" w:lineRule="auto"/>
        <w:rPr>
          <w:sz w:val="20"/>
          <w:szCs w:val="20"/>
          <w:color w:val="auto"/>
        </w:rPr>
      </w:pPr>
      <w:r>
        <w:rPr>
          <w:rFonts w:ascii="Arial" w:cs="Arial" w:eastAsia="Arial" w:hAnsi="Arial"/>
          <w:sz w:val="18"/>
          <w:szCs w:val="18"/>
          <w:color w:val="auto"/>
        </w:rPr>
        <w:t>The Company elected to be taxed as a REIT under the Internal Revenue Code of 1986, as amended (the "Code"), commencing with its first taxable year ended December 31, 1994, and intends to conduct its operations so as to continue to qualify as a REIT under the Code. As a REIT, the Company generally will not be subject to federal and state income taxes on its net taxable income that it currently distributes to stockholders. Qualification and taxation as a REIT depends on the Company's ability to meet certain dividend distribution tests, share ownership requirements and various qualification tests prescribed in the Code.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Material United States Federal Income Tax Considerations</w:t>
      </w:r>
    </w:p>
    <w:p>
      <w:pPr>
        <w:spacing w:after="0" w:line="142" w:lineRule="exact"/>
        <w:rPr>
          <w:sz w:val="20"/>
          <w:szCs w:val="20"/>
          <w:color w:val="auto"/>
        </w:rPr>
      </w:pPr>
    </w:p>
    <w:p>
      <w:pPr>
        <w:ind w:right="140" w:firstLine="435"/>
        <w:spacing w:after="0" w:line="328" w:lineRule="auto"/>
        <w:rPr>
          <w:sz w:val="20"/>
          <w:szCs w:val="20"/>
          <w:color w:val="auto"/>
        </w:rPr>
      </w:pPr>
      <w:r>
        <w:rPr>
          <w:rFonts w:ascii="Arial" w:cs="Arial" w:eastAsia="Arial" w:hAnsi="Arial"/>
          <w:sz w:val="15"/>
          <w:szCs w:val="15"/>
          <w:color w:val="auto"/>
        </w:rPr>
        <w:t>The following discussion supplements and updates the disclosures under “Material United States Federal Income Tax Considerations” in the prospectus dated August 5, 2020, contained in the Company’s Registration Statement on Form S-3 filed with the SEC on August 5, 2020 (such disclosure, the “Base Disclosure”). Capitalized terms used in this section that are not otherwise defined shall have the same meaning as when used in the Base Disclosure.</w:t>
      </w:r>
    </w:p>
    <w:p>
      <w:pPr>
        <w:spacing w:after="0" w:line="70" w:lineRule="exact"/>
        <w:rPr>
          <w:sz w:val="20"/>
          <w:szCs w:val="20"/>
          <w:color w:val="auto"/>
        </w:rPr>
      </w:pPr>
    </w:p>
    <w:p>
      <w:pPr>
        <w:ind w:right="560" w:firstLine="435"/>
        <w:spacing w:after="0" w:line="325" w:lineRule="auto"/>
        <w:rPr>
          <w:sz w:val="20"/>
          <w:szCs w:val="20"/>
          <w:color w:val="auto"/>
        </w:rPr>
      </w:pPr>
      <w:r>
        <w:rPr>
          <w:rFonts w:ascii="Arial" w:cs="Arial" w:eastAsia="Arial" w:hAnsi="Arial"/>
          <w:sz w:val="16"/>
          <w:szCs w:val="16"/>
          <w:color w:val="auto"/>
        </w:rPr>
        <w:t>On December 29, 2022, the IRS promulgated final Treasury Regulations under Sections 897, 1441, 1445, and 1446 of the Code that were, in part, intended to coordinate various withholding regimes for non-U.S. stockholders. The new Treasury Regulations provide that:</w:t>
      </w:r>
    </w:p>
    <w:p>
      <w:pPr>
        <w:spacing w:after="0" w:line="68" w:lineRule="exact"/>
        <w:rPr>
          <w:sz w:val="20"/>
          <w:szCs w:val="20"/>
          <w:color w:val="auto"/>
        </w:rPr>
      </w:pPr>
    </w:p>
    <w:p>
      <w:pPr>
        <w:ind w:left="640" w:right="200" w:hanging="2"/>
        <w:spacing w:after="0" w:line="284" w:lineRule="auto"/>
        <w:tabs>
          <w:tab w:leader="none" w:pos="85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withholding rules applicable to ordinary REIT dividends paid to a non-U.S. stockholder (generally, a 30% rate of withholding on gross amounts unless otherwise reduced by treaty or effectively connected with such non-U.S. stockholder’s trade or business within the U.S. and proper certifications are provided) will apply to (a) that portion of any distribution paid by the Company that is not designated as a capital gain dividend, a return of basis or a distribution in excess of the non-U.S. stockholder’s adjusted basis in its stock that is treated as gain from the disposition of such stock and (b) any portion of a capital gain dividend paid by the Company that is not treated as gain attributable to the sale or exchange of a U.S. real property interest by reason of the recipient not owning more than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3" w:name="page14"/>
    <w:bookmarkEnd w:id="13"/>
    <w:p>
      <w:pPr>
        <w:ind w:left="640" w:right="40"/>
        <w:spacing w:after="0" w:line="262" w:lineRule="auto"/>
        <w:rPr>
          <w:sz w:val="20"/>
          <w:szCs w:val="20"/>
          <w:color w:val="auto"/>
        </w:rPr>
      </w:pPr>
      <w:r>
        <w:rPr>
          <w:rFonts w:ascii="Arial" w:cs="Arial" w:eastAsia="Arial" w:hAnsi="Arial"/>
          <w:sz w:val="18"/>
          <w:szCs w:val="18"/>
          <w:color w:val="auto"/>
        </w:rPr>
        <w:t>10% of a class of the Company's stock that is regularly traded on an established securities market during the one-year period ending on the date of the capital gain dividend.</w:t>
      </w:r>
    </w:p>
    <w:p>
      <w:pPr>
        <w:spacing w:after="0" w:line="101" w:lineRule="exact"/>
        <w:rPr>
          <w:sz w:val="20"/>
          <w:szCs w:val="20"/>
          <w:color w:val="auto"/>
        </w:rPr>
      </w:pPr>
    </w:p>
    <w:p>
      <w:pPr>
        <w:ind w:left="640" w:right="40" w:hanging="2"/>
        <w:spacing w:after="0" w:line="248" w:lineRule="auto"/>
        <w:tabs>
          <w:tab w:leader="none" w:pos="8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withholding rules under FIRPTA will apply to a distribution paid by the Company in excess of a non-U.S. stockholder’s adjusted basis in the Company's stock, unless the interest in the Company's stock is not a U.S. real property interest (for example, because the Company is a domestically controlled qualified investment entity) or the distribution is paid to a “withholding qualified holder.” A “withholding qualified holder” means a qualified holder (as defined below) and a foreign partnership all of the interests of which are held by qualified holders, including through one or more partnerships.</w:t>
      </w:r>
    </w:p>
    <w:p>
      <w:pPr>
        <w:spacing w:after="0" w:line="129" w:lineRule="exact"/>
        <w:rPr>
          <w:rFonts w:ascii="Arial" w:cs="Arial" w:eastAsia="Arial" w:hAnsi="Arial"/>
          <w:sz w:val="18"/>
          <w:szCs w:val="18"/>
          <w:color w:val="auto"/>
        </w:rPr>
      </w:pPr>
    </w:p>
    <w:p>
      <w:pPr>
        <w:ind w:left="640" w:right="80" w:hanging="2"/>
        <w:spacing w:after="0" w:line="262" w:lineRule="auto"/>
        <w:tabs>
          <w:tab w:leader="none" w:pos="94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withholding rules under FIRPTA will apply to any portion of a capital gain dividend paid to a non-U.S. stockholder that is attributable to the sale or exchange of a U.S. real property interest, unless it is paid to a withholding qualified holder.</w:t>
      </w:r>
    </w:p>
    <w:p>
      <w:pPr>
        <w:spacing w:after="0" w:line="115" w:lineRule="exact"/>
        <w:rPr>
          <w:sz w:val="20"/>
          <w:szCs w:val="20"/>
          <w:color w:val="auto"/>
        </w:rPr>
      </w:pPr>
    </w:p>
    <w:p>
      <w:pPr>
        <w:ind w:right="40" w:firstLine="435"/>
        <w:spacing w:after="0" w:line="280" w:lineRule="auto"/>
        <w:rPr>
          <w:sz w:val="20"/>
          <w:szCs w:val="20"/>
          <w:color w:val="auto"/>
        </w:rPr>
      </w:pPr>
      <w:r>
        <w:rPr>
          <w:rFonts w:ascii="Arial" w:cs="Arial" w:eastAsia="Arial" w:hAnsi="Arial"/>
          <w:sz w:val="16"/>
          <w:szCs w:val="16"/>
          <w:color w:val="auto"/>
        </w:rPr>
        <w:t>In the case of FIRPTA withholding under clause (ii) above, the applicable withholding rate is currently 15%, and in the case of FIRPTA withholding under clause (iii) above, the withholding rate is currently 21%. For purposes of FIRPTA withholding under clause (iii), whether a capital gain dividend is attributable to the sale or exchange of a U.S. real property interest is determined taking into account the general exception from FIRPTA distribution treatment for distributions paid to certain non-U.S. stockholders under which any distribution by the Company to a non-U.S. stockholder with respect to any class of stock which is regularly traded on an established securities market located in the United States is not treated as gain recognized from the sale or exchange of a U.S. real property interest if such non-U.S. stockholder did not own more than 10% of such class of stock at any time during the one-year period ending on the date of such distribution. To the extent inconsistent, these Treasury Regulations supersede the discussion on withholding contained in the Base Disclosure under the heading “Material United States Federal Income Tax Considerations—Taxation of Non-U.S. Stockholders.” However, if, notwithstanding these Treasury Regulations, the Company encounters difficulties in properly characterizing a distribution for purposes of the withholding rules, the Company may decide to withhold on such distribution at the highest possible U.S. federal withholding rate that the Company determines could apply.</w:t>
      </w:r>
    </w:p>
    <w:p>
      <w:pPr>
        <w:spacing w:after="0" w:line="93" w:lineRule="exact"/>
        <w:rPr>
          <w:sz w:val="20"/>
          <w:szCs w:val="20"/>
          <w:color w:val="auto"/>
        </w:rPr>
      </w:pPr>
    </w:p>
    <w:p>
      <w:pPr>
        <w:ind w:right="40" w:firstLine="435"/>
        <w:spacing w:after="0" w:line="253" w:lineRule="auto"/>
        <w:rPr>
          <w:sz w:val="20"/>
          <w:szCs w:val="20"/>
          <w:color w:val="auto"/>
        </w:rPr>
      </w:pPr>
      <w:r>
        <w:rPr>
          <w:rFonts w:ascii="Arial" w:cs="Arial" w:eastAsia="Arial" w:hAnsi="Arial"/>
          <w:sz w:val="18"/>
          <w:szCs w:val="18"/>
          <w:color w:val="auto"/>
        </w:rPr>
        <w:t>New Treasury Regulations also provide new guidance regarding qualified foreign pension funds. Accordingly, the fifth paragraph under the heading “Material United States Federal Income Tax Considerations—Taxation of Non-U.S. Stockholders—Dispositions of Stock” is hereby deleted and replaced with the following:</w:t>
      </w:r>
    </w:p>
    <w:p>
      <w:pPr>
        <w:spacing w:after="0" w:line="123" w:lineRule="exact"/>
        <w:rPr>
          <w:sz w:val="20"/>
          <w:szCs w:val="20"/>
          <w:color w:val="auto"/>
        </w:rPr>
      </w:pPr>
    </w:p>
    <w:p>
      <w:pPr>
        <w:ind w:left="320"/>
        <w:spacing w:after="0" w:line="279" w:lineRule="auto"/>
        <w:rPr>
          <w:sz w:val="20"/>
          <w:szCs w:val="20"/>
          <w:color w:val="auto"/>
        </w:rPr>
      </w:pPr>
      <w:r>
        <w:rPr>
          <w:rFonts w:ascii="Arial" w:cs="Arial" w:eastAsia="Arial" w:hAnsi="Arial"/>
          <w:sz w:val="16"/>
          <w:szCs w:val="16"/>
          <w:color w:val="auto"/>
        </w:rPr>
        <w:t>In general, for FIRPTA purposes, and subject to the discussion below regarding “qualified holders,” neither a “qualified foreign pension fund” (as defined below) nor any entity all of the interests of which are held by a qualified foreign pension fund is treated as a foreign person, thereby exempting such entities from tax under FIRPTA (as described further below). A “qualified foreign pension fund” is an organization or arrangement (i) 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qualified controlled entities.</w:t>
      </w:r>
    </w:p>
    <w:p>
      <w:pPr>
        <w:spacing w:after="0" w:line="105" w:lineRule="exact"/>
        <w:rPr>
          <w:sz w:val="20"/>
          <w:szCs w:val="20"/>
          <w:color w:val="auto"/>
        </w:rPr>
      </w:pPr>
    </w:p>
    <w:p>
      <w:pPr>
        <w:ind w:left="320" w:right="160"/>
        <w:spacing w:after="0" w:line="282" w:lineRule="auto"/>
        <w:rPr>
          <w:sz w:val="20"/>
          <w:szCs w:val="20"/>
          <w:color w:val="auto"/>
        </w:rPr>
      </w:pPr>
      <w:r>
        <w:rPr>
          <w:rFonts w:ascii="Arial" w:cs="Arial" w:eastAsia="Arial" w:hAnsi="Arial"/>
          <w:sz w:val="16"/>
          <w:szCs w:val="16"/>
          <w:color w:val="auto"/>
        </w:rPr>
        <w:t>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14" w:name="page15"/>
    <w:bookmarkEnd w:id="14"/>
    <w:p>
      <w:pPr>
        <w:ind w:left="320" w:right="340"/>
        <w:spacing w:after="0" w:line="253" w:lineRule="auto"/>
        <w:rPr>
          <w:sz w:val="20"/>
          <w:szCs w:val="20"/>
          <w:color w:val="auto"/>
        </w:rPr>
      </w:pPr>
      <w:r>
        <w:rPr>
          <w:rFonts w:ascii="Arial" w:cs="Arial" w:eastAsia="Arial" w:hAnsi="Arial"/>
          <w:sz w:val="18"/>
          <w:szCs w:val="18"/>
          <w:color w:val="auto"/>
        </w:rPr>
        <w:t>Treasury Regulations also provide that a foreign partnership all of the interests of which are held by qualified holders, including through one or more partnerships, may certify its status as such and will not be treated as a foreign person for purposes of withholding under Section 1445 of the Code (and Section 1446 of the Code, as applicable).</w:t>
      </w:r>
    </w:p>
    <w:p>
      <w:pPr>
        <w:spacing w:after="0" w:line="109"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Distributions that are attributable to gain from the sales of USRPIs received by qualified foreign pension funds or qualified controlled entities will not be subject to U.S. federal income or withholding tax. All other distributions received by qualified foreign pension funds or qualified controlled entities will be taxed as described above under “Material United States Federal Income Tax Considerations—Taxation of Non-U.S. Stockholders—Dividends.” Gain of a qualified foreign pension fund or qualified controlled entity from the sale or exchange of the Company's stock and distributions treated as gain from the sale or exchange of the Company's stock under the rules described above under “Material United States Federal Income Tax Considerations—Taxation of Non-U.S. Stockholders—Dividends,”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55" w:lineRule="exact"/>
        <w:rPr>
          <w:sz w:val="20"/>
          <w:szCs w:val="20"/>
          <w:color w:val="auto"/>
        </w:rPr>
      </w:pPr>
    </w:p>
    <w:p>
      <w:pPr>
        <w:ind w:right="140" w:firstLine="435"/>
        <w:spacing w:after="0" w:line="262" w:lineRule="auto"/>
        <w:rPr>
          <w:sz w:val="20"/>
          <w:szCs w:val="20"/>
          <w:color w:val="auto"/>
        </w:rPr>
      </w:pPr>
      <w:r>
        <w:rPr>
          <w:rFonts w:ascii="Arial" w:cs="Arial" w:eastAsia="Arial" w:hAnsi="Arial"/>
          <w:sz w:val="18"/>
          <w:szCs w:val="18"/>
          <w:color w:val="auto"/>
        </w:rPr>
        <w:t>As of December 31, 2022, the Company had approximately 651 employees, of which 650 were full-time and one was part-time. The Company believes that relations with its employees are good.</w:t>
      </w:r>
    </w:p>
    <w:p>
      <w:pPr>
        <w:spacing w:after="0" w:line="101" w:lineRule="exact"/>
        <w:rPr>
          <w:sz w:val="20"/>
          <w:szCs w:val="20"/>
          <w:color w:val="auto"/>
        </w:rPr>
      </w:pPr>
    </w:p>
    <w:p>
      <w:pPr>
        <w:ind w:right="160" w:firstLine="435"/>
        <w:spacing w:after="0" w:line="248" w:lineRule="auto"/>
        <w:rPr>
          <w:sz w:val="20"/>
          <w:szCs w:val="20"/>
          <w:color w:val="auto"/>
        </w:rPr>
      </w:pPr>
      <w:r>
        <w:rPr>
          <w:rFonts w:ascii="Arial" w:cs="Arial" w:eastAsia="Arial" w:hAnsi="Arial"/>
          <w:sz w:val="18"/>
          <w:szCs w:val="18"/>
          <w:color w:val="auto"/>
        </w:rPr>
        <w:t>The Company, with oversight from senior management and its Board of Directors, puts great effort into cultivating an inclusive company culture that attracts top talent and creates an environment that fosters collaboration, innovation and diversity, while providing professional development opportunities and training. The Company’s human capital objectives include, as applicable, identifying, recruiting, retaining, developing, incentivizing and integrating the Company’s existing and prospective employees. To further these objectives, the Company has established a number of policies and programs and undertaken various initiatives, including:</w:t>
      </w:r>
    </w:p>
    <w:p>
      <w:pPr>
        <w:spacing w:after="0" w:line="116" w:lineRule="exact"/>
        <w:rPr>
          <w:sz w:val="20"/>
          <w:szCs w:val="20"/>
          <w:color w:val="auto"/>
        </w:rPr>
      </w:pPr>
    </w:p>
    <w:p>
      <w:pPr>
        <w:ind w:right="20" w:firstLine="435"/>
        <w:spacing w:after="0" w:line="261" w:lineRule="auto"/>
        <w:rPr>
          <w:sz w:val="20"/>
          <w:szCs w:val="20"/>
          <w:color w:val="auto"/>
        </w:rPr>
      </w:pPr>
      <w:r>
        <w:rPr>
          <w:rFonts w:ascii="Arial" w:cs="Arial" w:eastAsia="Arial" w:hAnsi="Arial"/>
          <w:sz w:val="16"/>
          <w:szCs w:val="16"/>
          <w:i w:val="1"/>
          <w:iCs w:val="1"/>
          <w:color w:val="auto"/>
        </w:rPr>
        <w:t xml:space="preserve">Diversity and Inclusion: </w:t>
      </w:r>
      <w:r>
        <w:rPr>
          <w:rFonts w:ascii="Arial" w:cs="Arial" w:eastAsia="Arial" w:hAnsi="Arial"/>
          <w:sz w:val="16"/>
          <w:szCs w:val="16"/>
          <w:color w:val="auto"/>
        </w:rPr>
        <w:t>The Company recognizes the value in strengthening its workforce with diverse thought, ideas and people and maintains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policies that comply with federal, state and local labor laws. As an equal opportunity employer, it is committed to diversity, recognition and inclusion and rewards its employees based on merit and their contributions in accordance with the principles and requirements of the Equal Employment Opportunities Commission and the principles and requirements of the ADA. The Company’s policies set forth its commitment to provide equal employment opportunity and to recruit, hire and promote at all levels without regard to race, national origin, religion, age, color, sex, sexual orientation, gender identity, disability, protected veteran status or any other characteristic protected by local, state or federal laws. As of December 31, 2022, approximately 59% of the Company’s employees identified as female. Of the total employee population, approximately 30% identified as belonging to an underrepresented group and approximately &lt;1% did not specify race or ethnicity. In addition to diversity across its employee base, the Company is also committed to increasing diversity in leadership positions. Building on progress in leadership representation seen in 2021 where individuals identifying as female accounted for 56% of promotions at the Senior Vice President level, individuals identifying as female accounted for 67% of promotions at the Vice President level and individuals identifying as female from underrepresented groups accounted for 33% of all promotions at the Vice President level in 2022.</w:t>
      </w:r>
    </w:p>
    <w:p>
      <w:pPr>
        <w:spacing w:after="0" w:line="118" w:lineRule="exact"/>
        <w:rPr>
          <w:sz w:val="20"/>
          <w:szCs w:val="20"/>
          <w:color w:val="auto"/>
        </w:rPr>
      </w:pPr>
    </w:p>
    <w:p>
      <w:pPr>
        <w:ind w:right="160" w:firstLine="435"/>
        <w:spacing w:after="0" w:line="262"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The Company maintains cash- and equity-based compensation programs designed to attract, retain and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its employees. The Company offers full-time employees a strong benefits package, including:</w:t>
      </w:r>
    </w:p>
    <w:p>
      <w:pPr>
        <w:spacing w:after="0" w:line="101" w:lineRule="exact"/>
        <w:rPr>
          <w:sz w:val="20"/>
          <w:szCs w:val="20"/>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Company-matched retirement savings through tax-advantaged 401(k) plans;</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basic life and long-term disability insurance, as well as medical, dental and vision insurance;</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illness coverage and supplemental accident insurance;</w:t>
      </w:r>
    </w:p>
    <w:p>
      <w:pPr>
        <w:spacing w:after="0" w:line="135"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paid vacation, sick time and company observed holidays;</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 and dependent care flexible spending accounts;</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referral bonus awards;</w:t>
      </w:r>
    </w:p>
    <w:p>
      <w:pPr>
        <w:spacing w:after="0" w:line="135"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legal, family or personal assistance through the employee assistance program;</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employee stock purchase program;</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tax-advantaged 529 educational savings program;</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5" w:name="page16"/>
    <w:bookmarkEnd w:id="15"/>
    <w:p>
      <w:pPr>
        <w:ind w:left="940" w:hanging="30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scholarship program to help fund post high-school education for dependents of employees;</w:t>
      </w:r>
    </w:p>
    <w:p>
      <w:pPr>
        <w:spacing w:after="0" w:line="148" w:lineRule="exact"/>
        <w:rPr>
          <w:rFonts w:ascii="Arial" w:cs="Arial" w:eastAsia="Arial" w:hAnsi="Arial"/>
          <w:sz w:val="18"/>
          <w:szCs w:val="18"/>
          <w:color w:val="auto"/>
        </w:rPr>
      </w:pPr>
    </w:p>
    <w:p>
      <w:pPr>
        <w:ind w:left="960" w:right="180" w:hanging="322"/>
        <w:spacing w:after="0" w:line="262"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Company-sponsored donor advised fund to support philanthropic efforts of employees, which provides a Company matching program and paid time off program for philanthropic volunteerism;</w:t>
      </w:r>
    </w:p>
    <w:p>
      <w:pPr>
        <w:spacing w:after="0" w:line="101" w:lineRule="exact"/>
        <w:rPr>
          <w:rFonts w:ascii="Arial" w:cs="Arial" w:eastAsia="Arial" w:hAnsi="Arial"/>
          <w:sz w:val="18"/>
          <w:szCs w:val="18"/>
          <w:color w:val="auto"/>
        </w:rPr>
      </w:pPr>
    </w:p>
    <w:p>
      <w:pPr>
        <w:ind w:left="940" w:hanging="30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paid time off for volunteer efforts; and</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paid time off for employees to bond with a new child.</w:t>
      </w:r>
    </w:p>
    <w:p>
      <w:pPr>
        <w:spacing w:after="0" w:line="149" w:lineRule="exact"/>
        <w:rPr>
          <w:sz w:val="20"/>
          <w:szCs w:val="20"/>
          <w:color w:val="auto"/>
        </w:rPr>
      </w:pPr>
    </w:p>
    <w:p>
      <w:pPr>
        <w:ind w:right="120" w:firstLine="435"/>
        <w:spacing w:after="0" w:line="283" w:lineRule="auto"/>
        <w:rPr>
          <w:sz w:val="20"/>
          <w:szCs w:val="20"/>
          <w:color w:val="auto"/>
        </w:rPr>
      </w:pPr>
      <w:r>
        <w:rPr>
          <w:rFonts w:ascii="Arial" w:cs="Arial" w:eastAsia="Arial" w:hAnsi="Arial"/>
          <w:sz w:val="16"/>
          <w:szCs w:val="16"/>
          <w:i w:val="1"/>
          <w:iCs w:val="1"/>
          <w:color w:val="auto"/>
        </w:rPr>
        <w:t xml:space="preserve">Employee Training and Professional Development: </w:t>
      </w:r>
      <w:r>
        <w:rPr>
          <w:rFonts w:ascii="Arial" w:cs="Arial" w:eastAsia="Arial" w:hAnsi="Arial"/>
          <w:sz w:val="16"/>
          <w:szCs w:val="16"/>
          <w:color w:val="auto"/>
        </w:rPr>
        <w:t>The Company values the professional development of its employees and seeks to foster their talent</w:t>
      </w:r>
      <w:r>
        <w:rPr>
          <w:rFonts w:ascii="Arial" w:cs="Arial" w:eastAsia="Arial" w:hAnsi="Arial"/>
          <w:sz w:val="16"/>
          <w:szCs w:val="16"/>
          <w:i w:val="1"/>
          <w:iCs w:val="1"/>
          <w:color w:val="auto"/>
        </w:rPr>
        <w:t xml:space="preserve"> </w:t>
      </w:r>
      <w:r>
        <w:rPr>
          <w:rFonts w:ascii="Arial" w:cs="Arial" w:eastAsia="Arial" w:hAnsi="Arial"/>
          <w:sz w:val="16"/>
          <w:szCs w:val="16"/>
          <w:color w:val="auto"/>
        </w:rPr>
        <w:t>and growth by providing training and education at all levels. In addition to training programs geared towards specific job functions, the Company offers training related to company policies, diversity, skill development, privacy and cybersecurity. In furtherance of the value it places on talent development, in 2022 the Company began work on the design and implementation of a unified platform available to all employees that supports training and education related to compliance, inclusion and professional development and plans to launch it in Q1 2023. As of December 31, 2022, the average tenure of the Company’s employees was approximately 11.6 years and that of the Company’s senior management was 20 years. In 2022, the Company’s workforce turnover rate was 14%, which includes all employees.</w:t>
      </w:r>
    </w:p>
    <w:p>
      <w:pPr>
        <w:spacing w:after="0" w:line="75" w:lineRule="exact"/>
        <w:rPr>
          <w:sz w:val="20"/>
          <w:szCs w:val="20"/>
          <w:color w:val="auto"/>
        </w:rPr>
      </w:pPr>
    </w:p>
    <w:p>
      <w:pPr>
        <w:ind w:firstLine="435"/>
        <w:spacing w:after="0" w:line="267" w:lineRule="auto"/>
        <w:rPr>
          <w:sz w:val="20"/>
          <w:szCs w:val="20"/>
          <w:color w:val="auto"/>
        </w:rPr>
      </w:pPr>
      <w:r>
        <w:rPr>
          <w:rFonts w:ascii="Arial" w:cs="Arial" w:eastAsia="Arial" w:hAnsi="Arial"/>
          <w:sz w:val="16"/>
          <w:szCs w:val="16"/>
          <w:i w:val="1"/>
          <w:iCs w:val="1"/>
          <w:color w:val="auto"/>
        </w:rPr>
        <w:t xml:space="preserve">Employee Health and Safety: </w:t>
      </w:r>
      <w:r>
        <w:rPr>
          <w:rFonts w:ascii="Arial" w:cs="Arial" w:eastAsia="Arial" w:hAnsi="Arial"/>
          <w:sz w:val="16"/>
          <w:szCs w:val="16"/>
          <w:color w:val="auto"/>
        </w:rPr>
        <w:t>The Company is also committed to ensuring that the operations at all of its Centers and corporate offices are conducted in a</w:t>
      </w:r>
      <w:r>
        <w:rPr>
          <w:rFonts w:ascii="Arial" w:cs="Arial" w:eastAsia="Arial" w:hAnsi="Arial"/>
          <w:sz w:val="16"/>
          <w:szCs w:val="16"/>
          <w:i w:val="1"/>
          <w:iCs w:val="1"/>
          <w:color w:val="auto"/>
        </w:rPr>
        <w:t xml:space="preserve"> </w:t>
      </w:r>
      <w:r>
        <w:rPr>
          <w:rFonts w:ascii="Arial" w:cs="Arial" w:eastAsia="Arial" w:hAnsi="Arial"/>
          <w:sz w:val="16"/>
          <w:szCs w:val="16"/>
          <w:color w:val="auto"/>
        </w:rPr>
        <w:t>manner that safeguards the health and safety of employees, tenants, contractors, customers and members of the public who are either present at, or affected by, its operations. The Company has implemented a long list of operational protocols at each of its Centers and its offices that are designed to ensure the safety of its employees, tenants, service providers and shoppers. These protocols were originally developed and implemented in response to the COVID-19 pandemic and meet or exceed recommendations from the Centers for Disease Control and Prevention. All of the Company’s retail properties achieved SafeGuard certification from Bureau Veritas, an internationally recognized testing and certification board.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5" w:lineRule="exact"/>
        <w:rPr>
          <w:sz w:val="20"/>
          <w:szCs w:val="20"/>
          <w:color w:val="auto"/>
        </w:rPr>
      </w:pPr>
    </w:p>
    <w:p>
      <w:pPr>
        <w:ind w:right="200" w:firstLine="435"/>
        <w:spacing w:after="0" w:line="328" w:lineRule="auto"/>
        <w:rPr>
          <w:sz w:val="20"/>
          <w:szCs w:val="20"/>
          <w:color w:val="auto"/>
        </w:rPr>
      </w:pPr>
      <w:r>
        <w:rPr>
          <w:rFonts w:ascii="Arial" w:cs="Arial" w:eastAsia="Arial" w:hAnsi="Arial"/>
          <w:sz w:val="15"/>
          <w:szCs w:val="15"/>
          <w:color w:val="auto"/>
        </w:rPr>
        <w:t>The shopping center industry is seasonal in nature, particularly in the fourth quarter during the holiday season when retailer occupancy and retail sales are typically at their highest levels. In addition, shopping malls achieve a substantial portion of their specialty (temporary retailer) rents during the holiday season and the majority of percentage rent is recognized in the fourth quarter. As a result of the above, earnings are generally higher in the fourth quarter.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42" w:lineRule="exact"/>
        <w:rPr>
          <w:sz w:val="20"/>
          <w:szCs w:val="20"/>
          <w:color w:val="auto"/>
        </w:rPr>
      </w:pPr>
    </w:p>
    <w:p>
      <w:pPr>
        <w:ind w:right="40" w:firstLine="435"/>
        <w:spacing w:after="0" w:line="250" w:lineRule="auto"/>
        <w:rPr>
          <w:sz w:val="20"/>
          <w:szCs w:val="20"/>
          <w:color w:val="auto"/>
        </w:rPr>
      </w:pPr>
      <w:r>
        <w:rPr>
          <w:rFonts w:ascii="Arial" w:cs="Arial" w:eastAsia="Arial" w:hAnsi="Arial"/>
          <w:sz w:val="18"/>
          <w:szCs w:val="18"/>
          <w:color w:val="auto"/>
        </w:rPr>
        <w:t xml:space="preserve">A recognized leader in sustainability, the Company has achieved the #1 GRESB ranking in the North American Retail Sector for eight straight years 2015 – 2022. A copy of the Company's Corporate Responsibility Report, as well as additional information about the Company’s Environmental, Social and Governance programs can be obtained from the Company's website at </w:t>
      </w:r>
      <w:r>
        <w:rPr>
          <w:rFonts w:ascii="Arial" w:cs="Arial" w:eastAsia="Arial" w:hAnsi="Arial"/>
          <w:sz w:val="18"/>
          <w:szCs w:val="18"/>
          <w:u w:val="single" w:color="auto"/>
          <w:color w:val="auto"/>
        </w:rPr>
        <w:t>w</w:t>
      </w:r>
      <w:r>
        <w:rPr>
          <w:rFonts w:ascii="Arial" w:cs="Arial" w:eastAsia="Arial" w:hAnsi="Arial"/>
          <w:sz w:val="18"/>
          <w:szCs w:val="18"/>
          <w:i w:val="1"/>
          <w:iCs w:val="1"/>
          <w:u w:val="single" w:color="auto"/>
          <w:color w:val="auto"/>
        </w:rPr>
        <w:t>ww.macerich.com</w:t>
      </w:r>
      <w:r>
        <w:rPr>
          <w:rFonts w:ascii="Arial" w:cs="Arial" w:eastAsia="Arial" w:hAnsi="Arial"/>
          <w:sz w:val="18"/>
          <w:szCs w:val="18"/>
          <w:color w:val="auto"/>
        </w:rPr>
        <w:t xml:space="preserve"> under "Investors—Corporate Responsibility". Information provided on the Company's website is not incorporated by reference into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Website Disclosure; Corporate Governance Documents</w:t>
      </w:r>
    </w:p>
    <w:p>
      <w:pPr>
        <w:spacing w:after="0" w:line="155" w:lineRule="exact"/>
        <w:rPr>
          <w:sz w:val="20"/>
          <w:szCs w:val="20"/>
          <w:color w:val="auto"/>
        </w:rPr>
      </w:pPr>
    </w:p>
    <w:p>
      <w:pPr>
        <w:ind w:right="80" w:firstLine="435"/>
        <w:spacing w:after="0" w:line="287" w:lineRule="auto"/>
        <w:rPr>
          <w:sz w:val="20"/>
          <w:szCs w:val="20"/>
          <w:color w:val="auto"/>
        </w:rPr>
      </w:pPr>
      <w:r>
        <w:rPr>
          <w:rFonts w:ascii="Arial" w:cs="Arial" w:eastAsia="Arial" w:hAnsi="Arial"/>
          <w:sz w:val="16"/>
          <w:szCs w:val="16"/>
          <w:color w:val="auto"/>
        </w:rPr>
        <w:t xml:space="preserve">The Company's corporate website address is </w:t>
      </w:r>
      <w:r>
        <w:rPr>
          <w:rFonts w:ascii="Arial" w:cs="Arial" w:eastAsia="Arial" w:hAnsi="Arial"/>
          <w:sz w:val="16"/>
          <w:szCs w:val="16"/>
          <w:i w:val="1"/>
          <w:iCs w:val="1"/>
          <w:u w:val="single" w:color="auto"/>
          <w:color w:val="auto"/>
        </w:rPr>
        <w:t>www.macerich.com</w:t>
      </w:r>
      <w:r>
        <w:rPr>
          <w:rFonts w:ascii="Arial" w:cs="Arial" w:eastAsia="Arial" w:hAnsi="Arial"/>
          <w:sz w:val="16"/>
          <w:szCs w:val="16"/>
          <w:color w:val="auto"/>
        </w:rPr>
        <w:t xml:space="preserve">. The Company makes available free-of-charge through this website its reports on Forms 10-K, 10-Q and 8-K and all amendments thereto, as soon as reasonably practicable after the reports have been filed with, or furnished to, the SEC. These reports are available under the heading "Investors—Financial Information—SEC Filings", through a free hyperlink to a third-party service. Information provided on the Company's website is not incorporated by reference into this Form 10-K. The following documents relating to Corporate Governance are available on the Company's website at </w:t>
      </w:r>
      <w:r>
        <w:rPr>
          <w:rFonts w:ascii="Arial" w:cs="Arial" w:eastAsia="Arial" w:hAnsi="Arial"/>
          <w:sz w:val="16"/>
          <w:szCs w:val="16"/>
          <w:i w:val="1"/>
          <w:iCs w:val="1"/>
          <w:u w:val="single" w:color="auto"/>
          <w:color w:val="auto"/>
        </w:rPr>
        <w:t>www.macerich.com</w:t>
      </w:r>
      <w:r>
        <w:rPr>
          <w:rFonts w:ascii="Arial" w:cs="Arial" w:eastAsia="Arial" w:hAnsi="Arial"/>
          <w:sz w:val="16"/>
          <w:szCs w:val="16"/>
          <w:color w:val="auto"/>
        </w:rPr>
        <w:t xml:space="preserve"> under "Investors—Corporate Governance":</w:t>
      </w:r>
    </w:p>
    <w:p>
      <w:pPr>
        <w:spacing w:after="0" w:line="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Guidelines on Corporate Governance</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Code of Business Conduct and Ethics</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Code of Ethics for CEO and Senior Financial Officers</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Audit Committee Charter</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Compensation Committee Charter</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Executive Committee Charter</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Nominating and Corporate Governance Committee Charter</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also request copies of any of these documents by writing to:</w:t>
      </w:r>
    </w:p>
    <w:p>
      <w:pPr>
        <w:spacing w:after="0" w:line="15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Attention: Corporate Secretary</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Macerich Company</w:t>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401 Wilshire Blvd., Suite 700</w:t>
      </w:r>
    </w:p>
    <w:p>
      <w:pPr>
        <w:spacing w:after="0" w:line="1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Santa Monica, CA 90401</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39" w:right="379" w:bottom="1440" w:gutter="0" w:footer="0" w:header="0"/>
        </w:sectPr>
      </w:pPr>
    </w:p>
    <w:bookmarkStart w:id="16" w:name="page17"/>
    <w:bookmarkEnd w:id="16"/>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2" w:lineRule="exact"/>
        <w:rPr>
          <w:sz w:val="20"/>
          <w:szCs w:val="20"/>
          <w:color w:val="auto"/>
        </w:rPr>
      </w:pPr>
    </w:p>
    <w:p>
      <w:pPr>
        <w:ind w:firstLine="632"/>
        <w:spacing w:after="0" w:line="278" w:lineRule="auto"/>
        <w:rPr>
          <w:sz w:val="20"/>
          <w:szCs w:val="20"/>
          <w:color w:val="auto"/>
        </w:rPr>
      </w:pPr>
      <w:r>
        <w:rPr>
          <w:rFonts w:ascii="Arial" w:cs="Arial" w:eastAsia="Arial" w:hAnsi="Arial"/>
          <w:sz w:val="16"/>
          <w:szCs w:val="16"/>
          <w:i w:val="1"/>
          <w:iCs w:val="1"/>
          <w:color w:val="auto"/>
        </w:rPr>
        <w:t>Set forth below are the risks that we believe are material to our investors and they should be carefully considered. Those risks are not all of the risks we face, and other factors not presently known to us or that we currently believe are immaterial may also affect our business if they occur. This section contains forward-looking statements. You should refer to the explanation of the qualifications and limitations on forward-looking statements in “Important Factors Related To Forward-Looking Statements.” For purposes of this “Risk Factor” section, Centers wholly owned by us are referred to as “Wholly Owned Centers” and Centers that are partly but not wholly owned by us are referred to as “Joint Venture Centers.”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PROPERTIES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primarily in shopping centers, which are subject to a number of significant risks that are beyond our control.</w:t>
      </w:r>
    </w:p>
    <w:p>
      <w:pPr>
        <w:spacing w:after="0" w:line="241" w:lineRule="exact"/>
        <w:rPr>
          <w:sz w:val="20"/>
          <w:szCs w:val="20"/>
          <w:color w:val="auto"/>
        </w:rPr>
      </w:pPr>
    </w:p>
    <w:p>
      <w:pPr>
        <w:ind w:right="260" w:firstLine="632"/>
        <w:spacing w:after="0" w:line="253" w:lineRule="auto"/>
        <w:rPr>
          <w:sz w:val="20"/>
          <w:szCs w:val="20"/>
          <w:color w:val="auto"/>
        </w:rPr>
      </w:pPr>
      <w:r>
        <w:rPr>
          <w:rFonts w:ascii="Arial" w:cs="Arial" w:eastAsia="Arial" w:hAnsi="Arial"/>
          <w:sz w:val="18"/>
          <w:szCs w:val="18"/>
          <w:color w:val="auto"/>
        </w:rPr>
        <w:t>Real property investments are subject to varying degrees of risk that may affect the ability of our Centers to generate sufficient revenues to meet operating and other expenses, including debt service, lease payments, capital expenditures and tenant improvements, and to make distributions to us and our stockholders. A number of factors may decrease the income generated by the Centers, including:</w:t>
      </w:r>
    </w:p>
    <w:p>
      <w:pPr>
        <w:spacing w:after="0" w:line="109" w:lineRule="exact"/>
        <w:rPr>
          <w:sz w:val="20"/>
          <w:szCs w:val="20"/>
          <w:color w:val="auto"/>
        </w:rPr>
      </w:pPr>
    </w:p>
    <w:p>
      <w:pPr>
        <w:ind w:left="940" w:hanging="30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global and national economic climate, including the impact of geopolitical tensions and military conflict;</w:t>
      </w:r>
    </w:p>
    <w:p>
      <w:pPr>
        <w:spacing w:after="0" w:line="148" w:lineRule="exact"/>
        <w:rPr>
          <w:rFonts w:ascii="Arial" w:cs="Arial" w:eastAsia="Arial" w:hAnsi="Arial"/>
          <w:sz w:val="18"/>
          <w:szCs w:val="18"/>
          <w:color w:val="auto"/>
        </w:rPr>
      </w:pPr>
    </w:p>
    <w:p>
      <w:pPr>
        <w:ind w:left="960" w:right="100" w:hanging="322"/>
        <w:spacing w:after="0" w:line="325" w:lineRule="auto"/>
        <w:tabs>
          <w:tab w:leader="none" w:pos="9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regional and local economy (which may be negatively impacted by rising unemployment, declining real estate values, increased foreclosures, higher taxes, plant closings, industry slowdowns, union activity, adverse weather conditions, natural disasters and other factors);</w:t>
      </w:r>
    </w:p>
    <w:p>
      <w:pPr>
        <w:spacing w:after="0" w:line="68" w:lineRule="exact"/>
        <w:rPr>
          <w:rFonts w:ascii="Arial" w:cs="Arial" w:eastAsia="Arial" w:hAnsi="Arial"/>
          <w:sz w:val="16"/>
          <w:szCs w:val="16"/>
          <w:color w:val="auto"/>
        </w:rPr>
      </w:pPr>
    </w:p>
    <w:p>
      <w:pPr>
        <w:ind w:left="960" w:right="60" w:hanging="322"/>
        <w:spacing w:after="0" w:line="262"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real estate conditions (such as an oversupply of, or a reduction in demand for, retail space or retail goods, decreases in rental rates, declining real estate values and the availability and creditworthiness of current and prospective tenants);</w:t>
      </w:r>
    </w:p>
    <w:p>
      <w:pPr>
        <w:spacing w:after="0" w:line="101" w:lineRule="exact"/>
        <w:rPr>
          <w:rFonts w:ascii="Arial" w:cs="Arial" w:eastAsia="Arial" w:hAnsi="Arial"/>
          <w:sz w:val="18"/>
          <w:szCs w:val="18"/>
          <w:color w:val="auto"/>
        </w:rPr>
      </w:pPr>
    </w:p>
    <w:p>
      <w:pPr>
        <w:ind w:left="960" w:right="200" w:hanging="322"/>
        <w:spacing w:after="0" w:line="262"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levels of consumer spending, consumer confidence, and seasonal spending (especially during the holiday season when many retailers generate a disproportionate amount of their annual sales);</w:t>
      </w:r>
    </w:p>
    <w:p>
      <w:pPr>
        <w:spacing w:after="0" w:line="114" w:lineRule="exact"/>
        <w:rPr>
          <w:rFonts w:ascii="Arial" w:cs="Arial" w:eastAsia="Arial" w:hAnsi="Arial"/>
          <w:sz w:val="18"/>
          <w:szCs w:val="18"/>
          <w:color w:val="auto"/>
        </w:rPr>
      </w:pPr>
    </w:p>
    <w:p>
      <w:pPr>
        <w:ind w:left="940" w:hanging="302"/>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increasing use by customers of e-commerce and online store sites and the impact of internet sales on the demand for retail space;</w:t>
      </w:r>
    </w:p>
    <w:p>
      <w:pPr>
        <w:spacing w:after="0" w:line="171" w:lineRule="exact"/>
        <w:rPr>
          <w:rFonts w:ascii="Arial" w:cs="Arial" w:eastAsia="Arial" w:hAnsi="Arial"/>
          <w:sz w:val="16"/>
          <w:szCs w:val="16"/>
          <w:color w:val="auto"/>
        </w:rPr>
      </w:pPr>
    </w:p>
    <w:p>
      <w:pPr>
        <w:ind w:left="940" w:hanging="30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perceptions by retailers or shoppers of the safety, convenience and attractiveness of a Center;</w:t>
      </w:r>
    </w:p>
    <w:p>
      <w:pPr>
        <w:spacing w:after="0" w:line="135" w:lineRule="exact"/>
        <w:rPr>
          <w:rFonts w:ascii="Arial" w:cs="Arial" w:eastAsia="Arial" w:hAnsi="Arial"/>
          <w:sz w:val="18"/>
          <w:szCs w:val="18"/>
          <w:color w:val="auto"/>
        </w:rPr>
      </w:pPr>
    </w:p>
    <w:p>
      <w:pPr>
        <w:ind w:left="940" w:hanging="30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violence, including terrorist activities; and</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of maintenance, insurance and operations (including real estate taxes).</w:t>
      </w:r>
    </w:p>
    <w:p>
      <w:pPr>
        <w:spacing w:after="0" w:line="136" w:lineRule="exact"/>
        <w:rPr>
          <w:sz w:val="20"/>
          <w:szCs w:val="20"/>
          <w:color w:val="auto"/>
        </w:rPr>
      </w:pPr>
    </w:p>
    <w:p>
      <w:pPr>
        <w:ind w:right="20" w:firstLine="632"/>
        <w:spacing w:after="0" w:line="247" w:lineRule="auto"/>
        <w:rPr>
          <w:sz w:val="20"/>
          <w:szCs w:val="20"/>
          <w:color w:val="auto"/>
        </w:rPr>
      </w:pPr>
      <w:r>
        <w:rPr>
          <w:rFonts w:ascii="Arial" w:cs="Arial" w:eastAsia="Arial" w:hAnsi="Arial"/>
          <w:sz w:val="18"/>
          <w:szCs w:val="18"/>
          <w:color w:val="auto"/>
        </w:rPr>
        <w:t>Income from shopping center properties and shopping center values are also affected by applicable laws and regulations, including tax, environmental, safety and zoning laws.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percentage of our Centers are geographically concentrated and, as a result, are sensitive to local economic and real estate conditions.</w:t>
      </w:r>
    </w:p>
    <w:p>
      <w:pPr>
        <w:spacing w:after="0" w:line="238" w:lineRule="exact"/>
        <w:rPr>
          <w:sz w:val="20"/>
          <w:szCs w:val="20"/>
          <w:color w:val="auto"/>
        </w:rPr>
      </w:pPr>
    </w:p>
    <w:p>
      <w:pPr>
        <w:ind w:right="20" w:firstLine="632"/>
        <w:spacing w:after="0" w:line="238" w:lineRule="auto"/>
        <w:rPr>
          <w:sz w:val="20"/>
          <w:szCs w:val="20"/>
          <w:color w:val="auto"/>
        </w:rPr>
      </w:pPr>
      <w:r>
        <w:rPr>
          <w:rFonts w:ascii="Arial" w:cs="Arial" w:eastAsia="Arial" w:hAnsi="Arial"/>
          <w:sz w:val="18"/>
          <w:szCs w:val="18"/>
          <w:color w:val="auto"/>
        </w:rPr>
        <w:t>A significant percentage of our Centers are located in California, New York and Arizona. To the extent that weak economic or real estate conditions or other factors affect California, New York and Arizona or any region in which we have a high concentration of properties more severely than other areas of the country, our financial performance could be negatively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a competitive business.</w:t>
      </w:r>
    </w:p>
    <w:p>
      <w:pPr>
        <w:spacing w:after="0" w:line="228" w:lineRule="exact"/>
        <w:rPr>
          <w:sz w:val="20"/>
          <w:szCs w:val="20"/>
          <w:color w:val="auto"/>
        </w:rPr>
      </w:pPr>
    </w:p>
    <w:p>
      <w:pPr>
        <w:ind w:right="60" w:firstLine="632"/>
        <w:spacing w:after="0" w:line="234" w:lineRule="auto"/>
        <w:rPr>
          <w:sz w:val="20"/>
          <w:szCs w:val="20"/>
          <w:color w:val="auto"/>
        </w:rPr>
      </w:pPr>
      <w:r>
        <w:rPr>
          <w:rFonts w:ascii="Arial" w:cs="Arial" w:eastAsia="Arial" w:hAnsi="Arial"/>
          <w:sz w:val="18"/>
          <w:szCs w:val="18"/>
          <w:color w:val="auto"/>
        </w:rPr>
        <w:t>Our properties compete with other owners, developers and managers of malls, shopping centers and other retail-oriented real estate, including other publicly traded mall companies and large private mall companies, for the acquisition of properties and in attracting tenants or Anchors to occupy space. Competition for property acquisitions may result in increased purchase prices and may adversely affect our ability to make suitable property acquisitions on favorable terms or at all. The existence of competing shopping centers could have a material adverse impact on our ability to lease space and on the rental rates that can be achieved.</w:t>
      </w:r>
    </w:p>
    <w:p>
      <w:pPr>
        <w:spacing w:after="0" w:line="216" w:lineRule="exact"/>
        <w:rPr>
          <w:sz w:val="20"/>
          <w:szCs w:val="20"/>
          <w:color w:val="auto"/>
        </w:rPr>
      </w:pPr>
    </w:p>
    <w:p>
      <w:pPr>
        <w:ind w:right="180" w:firstLine="632"/>
        <w:spacing w:after="0" w:line="236" w:lineRule="auto"/>
        <w:rPr>
          <w:sz w:val="20"/>
          <w:szCs w:val="20"/>
          <w:color w:val="auto"/>
        </w:rPr>
      </w:pPr>
      <w:r>
        <w:rPr>
          <w:rFonts w:ascii="Arial" w:cs="Arial" w:eastAsia="Arial" w:hAnsi="Arial"/>
          <w:sz w:val="18"/>
          <w:szCs w:val="18"/>
          <w:color w:val="auto"/>
        </w:rPr>
        <w:t>There is also increasing competition for tenants and shoppers from other retail formats and technologies, such as lifestyle centers, power centers, outlet centers and online retail shopping that could adversely affect our revenues. The increased popularity of digital and mobile technologies has accelerated the transition of a percentage of market share from shopping at physical stores to web-based shopping. If we are unsuccessful in adapting our business to evolving consumer purchasing habits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7" w:name="page18"/>
    <w:bookmarkEnd w:id="17"/>
    <w:p>
      <w:pPr>
        <w:ind w:right="80"/>
        <w:spacing w:after="0" w:line="238" w:lineRule="auto"/>
        <w:rPr>
          <w:sz w:val="20"/>
          <w:szCs w:val="20"/>
          <w:color w:val="auto"/>
        </w:rPr>
      </w:pPr>
      <w:r>
        <w:rPr>
          <w:rFonts w:ascii="Arial" w:cs="Arial" w:eastAsia="Arial" w:hAnsi="Arial"/>
          <w:sz w:val="18"/>
          <w:szCs w:val="18"/>
          <w:color w:val="auto"/>
        </w:rPr>
        <w:t>it may have a material adverse impact on our financial condition and results of operations. Further, the increased utilization of online retail shopping, if sustained, may lead to the closure of underperforming stores by retailers, which could impact our occupancy levels and the rates that tenants are willing to pay to lease our space.</w:t>
      </w:r>
    </w:p>
    <w:p>
      <w:pPr>
        <w:spacing w:after="0" w:line="21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We may be unable to renew leases, lease vacant space or re-let space as leases expire on favorable terms or at all, or to the appropriate mix of tenants for the Centers, which could adversely affect our financial condition and results of operations.</w:t>
      </w:r>
    </w:p>
    <w:p>
      <w:pPr>
        <w:spacing w:after="0" w:line="206" w:lineRule="exact"/>
        <w:rPr>
          <w:sz w:val="20"/>
          <w:szCs w:val="20"/>
          <w:color w:val="auto"/>
        </w:rPr>
      </w:pPr>
    </w:p>
    <w:p>
      <w:pPr>
        <w:jc w:val="both"/>
        <w:ind w:right="20" w:firstLine="632"/>
        <w:spacing w:after="0" w:line="231" w:lineRule="auto"/>
        <w:rPr>
          <w:sz w:val="20"/>
          <w:szCs w:val="20"/>
          <w:color w:val="auto"/>
        </w:rPr>
      </w:pPr>
      <w:r>
        <w:rPr>
          <w:rFonts w:ascii="Arial" w:cs="Arial" w:eastAsia="Arial" w:hAnsi="Arial"/>
          <w:sz w:val="18"/>
          <w:szCs w:val="18"/>
          <w:color w:val="auto"/>
        </w:rPr>
        <w:t>There are no assurances that our leases will be renewed or that vacant space in our Centers will be re-let at net effective rental rates equal to or above the current average net effective rental rates or that substantial rent abatements, tenant improvements, early termination rights or below-market renewal options will not be offered to attract new tenants or retain existing tenants. If the rental rates at our Centers decrease, if our existing tenants do not renew their leases or if we do not re-let a significant portion of our available space and space for which leases will expire, our financial condition and results of operations could be adversely affected.</w:t>
      </w:r>
    </w:p>
    <w:p>
      <w:pPr>
        <w:spacing w:after="0" w:line="216" w:lineRule="exact"/>
        <w:rPr>
          <w:sz w:val="20"/>
          <w:szCs w:val="20"/>
          <w:color w:val="auto"/>
        </w:rPr>
      </w:pPr>
    </w:p>
    <w:p>
      <w:pPr>
        <w:ind w:right="600" w:firstLine="632"/>
        <w:spacing w:after="0" w:line="238" w:lineRule="auto"/>
        <w:rPr>
          <w:sz w:val="20"/>
          <w:szCs w:val="20"/>
          <w:color w:val="auto"/>
        </w:rPr>
      </w:pPr>
      <w:r>
        <w:rPr>
          <w:rFonts w:ascii="Arial" w:cs="Arial" w:eastAsia="Arial" w:hAnsi="Arial"/>
          <w:sz w:val="18"/>
          <w:szCs w:val="18"/>
          <w:color w:val="auto"/>
        </w:rPr>
        <w:t>Additionally, if we fail to identify and secure the right blend of tenants at our retail and mixed-use properties, including our properties under development or redevelopment, our Centers may not appeal to the communities they are intended to serve, which could reduce customer traffic and the operations of our tenants and adversely affect our financial condition and results of operations.</w:t>
      </w:r>
    </w:p>
    <w:p>
      <w:pPr>
        <w:spacing w:after="0" w:line="214"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b w:val="1"/>
          <w:bCs w:val="1"/>
          <w:i w:val="1"/>
          <w:iCs w:val="1"/>
          <w:color w:val="auto"/>
        </w:rPr>
        <w:t>If Anchors or other significant tenants experience a downturn in their business, close or sell stores or declare bankruptcy, our financial condition and results of operations could be adversely affected.</w:t>
      </w:r>
    </w:p>
    <w:p>
      <w:pPr>
        <w:spacing w:after="0" w:line="206" w:lineRule="exact"/>
        <w:rPr>
          <w:sz w:val="20"/>
          <w:szCs w:val="20"/>
          <w:color w:val="auto"/>
        </w:rPr>
      </w:pPr>
    </w:p>
    <w:p>
      <w:pPr>
        <w:ind w:firstLine="632"/>
        <w:spacing w:after="0" w:line="260" w:lineRule="auto"/>
        <w:rPr>
          <w:sz w:val="20"/>
          <w:szCs w:val="20"/>
          <w:color w:val="auto"/>
        </w:rPr>
      </w:pPr>
      <w:r>
        <w:rPr>
          <w:rFonts w:ascii="Arial" w:cs="Arial" w:eastAsia="Arial" w:hAnsi="Arial"/>
          <w:sz w:val="16"/>
          <w:szCs w:val="16"/>
          <w:color w:val="auto"/>
        </w:rPr>
        <w:t>Our financial condition and results of operations could be adversely affected if a downturn in the business of, or the bankruptcy or insolvency of, an Anchor or other significant tenant leads them to close retail stores or terminate their leases after seeking protection under the bankruptcy laws from their creditors, including us as lessor. In recent years, including as a result of the general conditions caused by COVID-19, a number of companies in the retail industry, including some of our tenants, have declared bankruptcy, have gone out of business, have significantly reduced their brick-and-mortar presence or failed to comply with their contractual obligations to us and others. If one of our tenants files for bankruptcy, we may not be able to collect amounts owed by that party prior to filing for bankruptcy. We may make lease modifications either pre- or post-bankruptcy for certain tenants undergoing significant financial distress in order for them to continue as a going concern. In addition, after filing for bankruptcy, a tenant may terminate any or all of its leases with us, in which event we would have a general unsecured claim against such tenant that would likely be worth less than the full amount owed to us for the remainder of the lease term. Furthermore, we may be required to incur significant expense in re-letting the space vacated by a bankrupt tenant and may not be able to release the space on similar terms or at all. The bankruptcy of a tenant, particularly an Anchor, may require a substantial redevelopment of their space, the success of which cannot be assured, and may make the re-letting of their space difficult and costly, and it may also be difficult to lease the remainder of the space at the affected property.</w:t>
      </w:r>
    </w:p>
    <w:p>
      <w:pPr>
        <w:spacing w:after="0" w:line="203" w:lineRule="exact"/>
        <w:rPr>
          <w:sz w:val="20"/>
          <w:szCs w:val="20"/>
          <w:color w:val="auto"/>
        </w:rPr>
      </w:pPr>
    </w:p>
    <w:p>
      <w:pPr>
        <w:jc w:val="both"/>
        <w:ind w:firstLine="632"/>
        <w:spacing w:after="0" w:line="234" w:lineRule="auto"/>
        <w:rPr>
          <w:sz w:val="20"/>
          <w:szCs w:val="20"/>
          <w:color w:val="auto"/>
        </w:rPr>
      </w:pPr>
      <w:r>
        <w:rPr>
          <w:rFonts w:ascii="Arial" w:cs="Arial" w:eastAsia="Arial" w:hAnsi="Arial"/>
          <w:sz w:val="18"/>
          <w:szCs w:val="18"/>
          <w:color w:val="auto"/>
        </w:rPr>
        <w:t>Furthermore, certain department stores and other national retailers have experienced, and may continue to experience, decreases in customer traffic in their retail stores, increased competition from alternative retail options such as e-commerce and other forms of pressure on their business models. If the in-store sales of retailers operating at our Centers decline significantly due to adverse economic conditions or for any other reason, tenants might be unable to pay their minimum rents or expense recovery charges. In the event of a default by a lessee, the affected Center may experience delays and costs in enforcing its rights as lessor.</w:t>
      </w:r>
    </w:p>
    <w:p>
      <w:pPr>
        <w:spacing w:after="0" w:line="216" w:lineRule="exact"/>
        <w:rPr>
          <w:sz w:val="20"/>
          <w:szCs w:val="20"/>
          <w:color w:val="auto"/>
        </w:rPr>
      </w:pPr>
    </w:p>
    <w:p>
      <w:pPr>
        <w:ind w:right="160" w:firstLine="632"/>
        <w:spacing w:after="0" w:line="287" w:lineRule="auto"/>
        <w:rPr>
          <w:sz w:val="20"/>
          <w:szCs w:val="20"/>
          <w:color w:val="auto"/>
        </w:rPr>
      </w:pPr>
      <w:r>
        <w:rPr>
          <w:rFonts w:ascii="Arial" w:cs="Arial" w:eastAsia="Arial" w:hAnsi="Arial"/>
          <w:sz w:val="15"/>
          <w:szCs w:val="15"/>
          <w:color w:val="auto"/>
        </w:rPr>
        <w:t>Anchors and/or tenants at one or more Centers might also terminate their leases as a result of mergers, acquisitions, consolidations or dispositions in the retail industry. The sale of an Anchor or store to a less desirable retailer may reduce occupancy levels, customer traffic and rental income. Depending on economic conditions, there is also a risk that Anchors or other significant tenants may sell stores operating in our Centers or consolidate duplicate or geographically overlapping store locations. Store closures by an Anchor and/or a significant number of tenants may allow other Anchors and/or certain other tenants to terminate their leases, receive reduced rent and/or cease operating their stores at the Center or otherwise adversely affect occupancy at the Center.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acquisition, development and redevelopment strategies may not be successful.</w:t>
      </w:r>
    </w:p>
    <w:p>
      <w:pPr>
        <w:spacing w:after="0" w:line="228" w:lineRule="exact"/>
        <w:rPr>
          <w:sz w:val="20"/>
          <w:szCs w:val="20"/>
          <w:color w:val="auto"/>
        </w:rPr>
      </w:pPr>
    </w:p>
    <w:p>
      <w:pPr>
        <w:ind w:right="60" w:firstLine="632"/>
        <w:spacing w:after="0" w:line="262" w:lineRule="auto"/>
        <w:rPr>
          <w:sz w:val="20"/>
          <w:szCs w:val="20"/>
          <w:color w:val="auto"/>
        </w:rPr>
      </w:pPr>
      <w:r>
        <w:rPr>
          <w:rFonts w:ascii="Arial" w:cs="Arial" w:eastAsia="Arial" w:hAnsi="Arial"/>
          <w:sz w:val="16"/>
          <w:szCs w:val="16"/>
          <w:color w:val="auto"/>
        </w:rPr>
        <w:t>Our historical growth in revenues, net income and funds from operations has been in part tied to the acquisition, development and redevelopment of shopping centers. Many factors, including the availability and cost of capital, our total amount of debt outstanding, our ability to obtain financing on attractive terms, if at all, interest rates and the availability of attractive acquisition targets, among others, will affect our ability to acquire, develop and redevelop additional properties in the future. We may not be successful in pursuing acquisition opportunities, and newly acquired properties may not perform as well as expected. Expenses arising from our efforts to complete acquisitions, develop and redevelop properties or increase our market penetration may have a material adverse effect on our business, financial condition and results of operations. We face competition for acquisitions primarily from other REITs, as well as from private real estate companies or investors. Some of our competitors have greater financial and other resources. Increased competition for shopping center acquisitions may result in</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18" w:name="page19"/>
    <w:bookmarkEnd w:id="18"/>
    <w:p>
      <w:pPr>
        <w:ind w:right="40"/>
        <w:spacing w:after="0" w:line="247" w:lineRule="auto"/>
        <w:rPr>
          <w:sz w:val="20"/>
          <w:szCs w:val="20"/>
          <w:color w:val="auto"/>
        </w:rPr>
      </w:pPr>
      <w:r>
        <w:rPr>
          <w:rFonts w:ascii="Arial" w:cs="Arial" w:eastAsia="Arial" w:hAnsi="Arial"/>
          <w:sz w:val="18"/>
          <w:szCs w:val="18"/>
          <w:color w:val="auto"/>
        </w:rPr>
        <w:t>increased purchase prices and may impact adversely our ability to acquire additional properties on favorable terms. We cannot guarantee that we will be able to implement our growth strategy successfully or manage our expanded operations effectively and profitably.</w:t>
      </w:r>
    </w:p>
    <w:p>
      <w:pPr>
        <w:spacing w:after="0" w:line="206" w:lineRule="exact"/>
        <w:rPr>
          <w:sz w:val="20"/>
          <w:szCs w:val="20"/>
          <w:color w:val="auto"/>
        </w:rPr>
      </w:pPr>
    </w:p>
    <w:p>
      <w:pPr>
        <w:ind w:right="620" w:firstLine="632"/>
        <w:spacing w:after="0" w:line="247" w:lineRule="auto"/>
        <w:rPr>
          <w:sz w:val="20"/>
          <w:szCs w:val="20"/>
          <w:color w:val="auto"/>
        </w:rPr>
      </w:pPr>
      <w:r>
        <w:rPr>
          <w:rFonts w:ascii="Arial" w:cs="Arial" w:eastAsia="Arial" w:hAnsi="Arial"/>
          <w:sz w:val="18"/>
          <w:szCs w:val="18"/>
          <w:color w:val="auto"/>
        </w:rPr>
        <w:t>We may not be able to achieve the anticipated financial and operating results from newly acquired assets. Some of the factors that could affect anticipated results are:</w:t>
      </w:r>
    </w:p>
    <w:p>
      <w:pPr>
        <w:spacing w:after="0" w:line="219" w:lineRule="exact"/>
        <w:rPr>
          <w:sz w:val="20"/>
          <w:szCs w:val="20"/>
          <w:color w:val="auto"/>
        </w:rPr>
      </w:pPr>
    </w:p>
    <w:p>
      <w:pPr>
        <w:ind w:left="940" w:hanging="302"/>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integrate and manage new properties, including increasing occupancy rates and rents at such properties;</w:t>
      </w:r>
    </w:p>
    <w:p>
      <w:pPr>
        <w:spacing w:after="0" w:line="135" w:lineRule="exact"/>
        <w:rPr>
          <w:rFonts w:ascii="Arial" w:cs="Arial" w:eastAsia="Arial" w:hAnsi="Arial"/>
          <w:sz w:val="18"/>
          <w:szCs w:val="18"/>
          <w:color w:val="auto"/>
        </w:rPr>
      </w:pPr>
    </w:p>
    <w:p>
      <w:pPr>
        <w:ind w:left="940" w:hanging="302"/>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disposal of non-core assets within an expected time frame; and</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raise long-term financing to implement a capital structure at a cost of capital consistent with our business strategy.</w:t>
      </w:r>
    </w:p>
    <w:p>
      <w:pPr>
        <w:spacing w:after="0" w:line="136" w:lineRule="exact"/>
        <w:rPr>
          <w:sz w:val="20"/>
          <w:szCs w:val="20"/>
          <w:color w:val="auto"/>
        </w:rPr>
      </w:pPr>
    </w:p>
    <w:p>
      <w:pPr>
        <w:ind w:firstLine="632"/>
        <w:spacing w:after="0" w:line="262" w:lineRule="auto"/>
        <w:rPr>
          <w:sz w:val="20"/>
          <w:szCs w:val="20"/>
          <w:color w:val="auto"/>
        </w:rPr>
      </w:pPr>
      <w:r>
        <w:rPr>
          <w:rFonts w:ascii="Arial" w:cs="Arial" w:eastAsia="Arial" w:hAnsi="Arial"/>
          <w:sz w:val="16"/>
          <w:szCs w:val="16"/>
          <w:color w:val="auto"/>
        </w:rPr>
        <w:t>Our business strategy also includes the selective development and construction of retail properties. On a selective basis, our business strategy may include mixed-use densification to maximize space at our Regional Town Centers, including by developing available land at our Regional Town Centers or by demolishing underperforming department store boxes and redeveloping the land. Any development, redevelopment and construction activities that we may undertake will be subject to the risks of real estate development, including lack of financing, construction delays, environmental requirements, budget overruns, sunk costs and lease-up. Furthermore, occupancy rates and rents at a newly completed property may not be sufficient to make the property profitable. Real estate development activities are also subject to risks relating to the inability to obtain, or delays in obtaining, all necessary zoning, land-use, building, and occupancy and other required governmental permits and authorizations. If any of the above events occur, our ability to pay dividends to our stockholders and service our indebtedness could be adversely affected.</w:t>
      </w:r>
    </w:p>
    <w:p>
      <w:pPr>
        <w:spacing w:after="0" w:line="198" w:lineRule="exact"/>
        <w:rPr>
          <w:sz w:val="20"/>
          <w:szCs w:val="20"/>
          <w:color w:val="auto"/>
        </w:rPr>
      </w:pPr>
    </w:p>
    <w:p>
      <w:pPr>
        <w:ind w:right="60" w:firstLine="632"/>
        <w:spacing w:after="0" w:line="261" w:lineRule="auto"/>
        <w:rPr>
          <w:sz w:val="20"/>
          <w:szCs w:val="20"/>
          <w:color w:val="auto"/>
        </w:rPr>
      </w:pPr>
      <w:r>
        <w:rPr>
          <w:rFonts w:ascii="Arial" w:cs="Arial" w:eastAsia="Arial" w:hAnsi="Arial"/>
          <w:sz w:val="16"/>
          <w:szCs w:val="16"/>
          <w:color w:val="auto"/>
        </w:rPr>
        <w:t>Additionally, if we elect to pursue a “mixed-use” redevelopment, we expose ourselves to risks associated with each non-retail use (e.g., office, residential, hotel and entertainment), and the performance of our retail tenants in such properties may be negatively impacted by delays in opening and/or the performance of such non-retail uses. We have less experience in developing and managing non-retail real estate than we do with retail real estate and, as a result, we may seek to contract with a third-party developer or third-party manager with more experience in non-retail uses. In addition to the risks typically associated with the development of commercial real estate generally, we would also be exposed to the risks associated with the ownership and management of non-retail real estate, including limited experience in managing certain types of non-retail properties and the adverse impacts of competition and trends in the non-retail industry. For example, in the case of office properties, some businesses are rapidly evolving to make employee telecommuting, flexible work schedules, open workplaces and teleconferencing increasingly common, which may enable businesses to reduce their space requirements and erode the overall demand for office space over time, which, in turn, may place downward pressure on occupancy, rental rates and property valuations, each of which could have an adverse effect on our financial position, results of operations, cash flows and ability to make expected distributions to our stockholders to the extent we own office property.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space at our properties could materially and adversely affect us.</w:t>
      </w:r>
    </w:p>
    <w:p>
      <w:pPr>
        <w:spacing w:after="0" w:line="228" w:lineRule="exact"/>
        <w:rPr>
          <w:sz w:val="20"/>
          <w:szCs w:val="20"/>
          <w:color w:val="auto"/>
        </w:rPr>
      </w:pPr>
    </w:p>
    <w:p>
      <w:pPr>
        <w:ind w:right="20" w:firstLine="632"/>
        <w:spacing w:after="0" w:line="267" w:lineRule="auto"/>
        <w:rPr>
          <w:sz w:val="20"/>
          <w:szCs w:val="20"/>
          <w:color w:val="auto"/>
        </w:rPr>
      </w:pPr>
      <w:r>
        <w:rPr>
          <w:rFonts w:ascii="Arial" w:cs="Arial" w:eastAsia="Arial" w:hAnsi="Arial"/>
          <w:sz w:val="16"/>
          <w:szCs w:val="16"/>
          <w:color w:val="auto"/>
        </w:rPr>
        <w:t>Certain of our properties have had or may continue to have excess space available for prospective tenants, and those properties may continue to experience, and other properties may commence experiencing, such oversupply in the future. Among other causes, in 2020 due to the COVID-19 pandemic and in the years leading up to the pandemic, there was an increased number of bankruptcies of Anchors and other national retailers, as well as store closures. In the past, an increase in bargaining power of creditworthy retail tenants resulted in a downward pressure on our rental rates and occupancy levels, and an increase in bargaining power may also result in us having to increase our spend on tenant improvements and potentially make other lease modifications in order to attract or retain tenants, any of which, in the aggregate, could materially and adversely affect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investments are relatively illiquid and we may be unable to sell properties at the time we desire and on favorable terms.</w:t>
      </w:r>
    </w:p>
    <w:p>
      <w:pPr>
        <w:spacing w:after="0" w:line="228" w:lineRule="exact"/>
        <w:rPr>
          <w:sz w:val="20"/>
          <w:szCs w:val="20"/>
          <w:color w:val="auto"/>
        </w:rPr>
      </w:pPr>
    </w:p>
    <w:p>
      <w:pPr>
        <w:ind w:right="80" w:firstLine="632"/>
        <w:spacing w:after="0" w:line="264" w:lineRule="auto"/>
        <w:rPr>
          <w:sz w:val="20"/>
          <w:szCs w:val="20"/>
          <w:color w:val="auto"/>
        </w:rPr>
      </w:pPr>
      <w:r>
        <w:rPr>
          <w:rFonts w:ascii="Arial" w:cs="Arial" w:eastAsia="Arial" w:hAnsi="Arial"/>
          <w:sz w:val="16"/>
          <w:szCs w:val="16"/>
          <w:color w:val="auto"/>
        </w:rPr>
        <w:t>Investments in real estate are relatively illiquid, which limits our ability to adjust our portfolio in response to changes in economic, market or other conditions. Moreover, there are some limitations under federal income tax laws applicable to REITs that limit our ability to sell assets. In addition, because our properties are generally mortgaged to secure our debts, we may not be able to obtain a release of a lien on a mortgaged property without the payment of the associated debt and/or a substantial prepayment penalty, which restricts our ability to dispose of a property, even though the sale might otherwise be desirable. Furthermore, the number of prospective buyers interested in purchasing shopping centers is limited. Therefore, if we want to sell one or more of our Centers, we may not be able to dispose of it in the desired time period and may receive less consideration than we originally invested in the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Our real estate assets may be subject to impairment charges.</w:t>
      </w:r>
    </w:p>
    <w:p>
      <w:pPr>
        <w:spacing w:after="0" w:line="228" w:lineRule="exact"/>
        <w:rPr>
          <w:sz w:val="20"/>
          <w:szCs w:val="20"/>
          <w:color w:val="auto"/>
        </w:rPr>
      </w:pPr>
    </w:p>
    <w:p>
      <w:pPr>
        <w:ind w:right="20" w:firstLine="632"/>
        <w:spacing w:after="0" w:line="281" w:lineRule="auto"/>
        <w:rPr>
          <w:sz w:val="20"/>
          <w:szCs w:val="20"/>
          <w:color w:val="auto"/>
        </w:rPr>
      </w:pPr>
      <w:r>
        <w:rPr>
          <w:rFonts w:ascii="Arial" w:cs="Arial" w:eastAsia="Arial" w:hAnsi="Arial"/>
          <w:sz w:val="15"/>
          <w:szCs w:val="15"/>
          <w:color w:val="auto"/>
        </w:rPr>
        <w:t>We periodically assess whether there are any indicators, including property operating performance, changes in anticipated holding period and general market conditions, that the value of our real estate assets and other investments may be impaired. A property’s value is considered to be impaired only if the estimated aggregate future undiscounted and unleveraged property cash flows, taking into account the anticipated probability weighted average holding period, are less than the carrying value of the property. In our estimate of cash flows, we consider trends and prospects for a property and the effects of demand and competition on expected future operating income. If we are evaluating the potential sale of an asset or redevelopment alternatives, the undiscounted future cash flows consider the most likely course of action as of the balance sheet date based on current plans, intended holding periods and available market information. We are required to make subjective assessments as to whether there are impairments in the value of our real estate assets and other investments. Impairment charges have an immediate direct impact on our earnings. There can be no assurance that we will not take additional charges in the future related to the impairment of our assets. Any future impairment could have a material adverse effect on our operating results in the period in which the charge is recognized.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environmental liabilities could adversely affect us.</w:t>
      </w:r>
    </w:p>
    <w:p>
      <w:pPr>
        <w:spacing w:after="0" w:line="228" w:lineRule="exact"/>
        <w:rPr>
          <w:sz w:val="20"/>
          <w:szCs w:val="20"/>
          <w:color w:val="auto"/>
        </w:rPr>
      </w:pPr>
    </w:p>
    <w:p>
      <w:pPr>
        <w:ind w:right="20" w:firstLine="632"/>
        <w:spacing w:after="0" w:line="264" w:lineRule="auto"/>
        <w:rPr>
          <w:sz w:val="20"/>
          <w:szCs w:val="20"/>
          <w:color w:val="auto"/>
        </w:rPr>
      </w:pPr>
      <w:r>
        <w:rPr>
          <w:rFonts w:ascii="Arial" w:cs="Arial" w:eastAsia="Arial" w:hAnsi="Arial"/>
          <w:sz w:val="16"/>
          <w:szCs w:val="16"/>
          <w:color w:val="auto"/>
        </w:rPr>
        <w:t>Each of the Centers have undergone Environmental Site Assessment-Phase I studies conducted by an environmental consultant. As a result of these assessments and other information, we are aware of certain environmental issues present at certain Centers or at properties neighboring certain Centers, such as asbestos containing materials (“ACMs”) (some of which may ultimately require removal under certain conditions, though the company has developed an operations and maintenance plan to manage ACMs), underground storage tanks (which are often present at or near Centers in connection with gasoline stations or automotive tire, battery and accessory services centers, and some of which may have leaked or are suspected to have leaked) and chlorinated hydrocarbons (such as perchloroethylene and its degradation byproducts, which have been detected at certain Centers and are often present in connection with tenant dry cleaning operations). These issues may result in potential environmental liability and cause us to incur costs in responding to these liabilities or in other costs associated with future investigation or remediation.</w:t>
      </w:r>
    </w:p>
    <w:p>
      <w:pPr>
        <w:spacing w:after="0" w:line="199" w:lineRule="exact"/>
        <w:rPr>
          <w:sz w:val="20"/>
          <w:szCs w:val="20"/>
          <w:color w:val="auto"/>
        </w:rPr>
      </w:pPr>
    </w:p>
    <w:p>
      <w:pPr>
        <w:ind w:right="20" w:firstLine="632"/>
        <w:spacing w:after="0" w:line="231" w:lineRule="auto"/>
        <w:rPr>
          <w:sz w:val="20"/>
          <w:szCs w:val="20"/>
          <w:color w:val="auto"/>
        </w:rPr>
      </w:pPr>
      <w:r>
        <w:rPr>
          <w:rFonts w:ascii="Arial" w:cs="Arial" w:eastAsia="Arial" w:hAnsi="Arial"/>
          <w:sz w:val="18"/>
          <w:szCs w:val="18"/>
          <w:color w:val="auto"/>
        </w:rPr>
        <w:t>Under various federal, state and local environmental laws, ordinances and regulations, a current or previous owner or operator of real property may be liable for the costs of removal or remediation of hazardous or toxic substances on, under or in that real property. These laws often impose liability whether or not the owner or operator knew of, or was responsible for, the presence of hazardous or toxic substances. The costs of investigation, removal or remediation of hazardous or toxic substances may be substantial. In addition, the presence of hazardous or toxic substances, or the failure to remedy environmental hazards properly, may adversely affect the owner’s or operator’s ability to sell or rent affected real property or to borrow money using affected real property as collateral.</w:t>
      </w:r>
    </w:p>
    <w:p>
      <w:pPr>
        <w:spacing w:after="0" w:line="214" w:lineRule="exact"/>
        <w:rPr>
          <w:sz w:val="20"/>
          <w:szCs w:val="20"/>
          <w:color w:val="auto"/>
        </w:rPr>
      </w:pPr>
    </w:p>
    <w:p>
      <w:pPr>
        <w:ind w:firstLine="632"/>
        <w:spacing w:after="0" w:line="267" w:lineRule="auto"/>
        <w:rPr>
          <w:sz w:val="20"/>
          <w:szCs w:val="20"/>
          <w:color w:val="auto"/>
        </w:rPr>
      </w:pPr>
      <w:r>
        <w:rPr>
          <w:rFonts w:ascii="Arial" w:cs="Arial" w:eastAsia="Arial" w:hAnsi="Arial"/>
          <w:sz w:val="16"/>
          <w:szCs w:val="16"/>
          <w:color w:val="auto"/>
        </w:rPr>
        <w:t>Persons or entities that arrange for the disposal or treatment of hazardous or toxic substances may also be liable for the costs of removal or remediation of hazardous or toxic substances at the disposal or treatment facility, whether or not that facility is owned or operated by the person or entity arranging for the disposal or treatment of hazardous or toxic substances. For example, laws exist that impose liability for release of ACMs into the air, and third parties may seek recovery from owners or operators of real property for personal injury associated with exposure to ACMs. In connection with our ownership, operation, management, development and redevelopment of the Centers, or any other centers or properties we acquire in the future, we may be potentially liable under these laws and may incur costs in responding to these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climate change.</w:t>
      </w:r>
    </w:p>
    <w:p>
      <w:pPr>
        <w:spacing w:after="0" w:line="228" w:lineRule="exact"/>
        <w:rPr>
          <w:sz w:val="20"/>
          <w:szCs w:val="20"/>
          <w:color w:val="auto"/>
        </w:rPr>
      </w:pPr>
    </w:p>
    <w:p>
      <w:pPr>
        <w:ind w:right="80" w:firstLine="632"/>
        <w:spacing w:after="0" w:line="261" w:lineRule="auto"/>
        <w:rPr>
          <w:sz w:val="20"/>
          <w:szCs w:val="20"/>
          <w:color w:val="auto"/>
        </w:rPr>
      </w:pPr>
      <w:r>
        <w:rPr>
          <w:rFonts w:ascii="Arial" w:cs="Arial" w:eastAsia="Arial" w:hAnsi="Arial"/>
          <w:sz w:val="16"/>
          <w:szCs w:val="16"/>
          <w:color w:val="auto"/>
        </w:rPr>
        <w:t>Due to changes in weather patterns caused by climate change, our properties in certain markets could experience increases in storm intensity and rising sea levels. Over time, climate change could result in volatile or decreased demand for retail space at some of our Centers or, in extreme cases, our inability to operate the properties at all. Climate change may also have indirect effects on our business by increasing the cost of (or making unavailable) insurance on favorable terms, or at all, increasing the cost of energy at our properties or requiring us to spend funds to repair and protect our properties against such risks. Additionally, we seek to promote energy efficiency and other sustainability strategies at our properties. Implementing such strategies and compliance with new laws or regulations related to climate change, including compliance with “green” building codes, may result in significant capital expenditures to improve our existing properties or properties we may acquire. If we are unable to comply with the laws and regulations on climate change or implement effective sustainability strategies, our reputation among our tenants and investors may be damaged and we may incur fines and/or penalties. Moreover, there can be no assurance that any of our sustainability strategies will result in reduced operating costs, higher occupancy or higher rental rates or deter our existing tenants from relocating to properties owned by our competitors.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properties are subject to potential natural or other disasters.</w:t>
      </w:r>
    </w:p>
    <w:p>
      <w:pPr>
        <w:spacing w:after="0" w:line="228" w:lineRule="exact"/>
        <w:rPr>
          <w:sz w:val="20"/>
          <w:szCs w:val="20"/>
          <w:color w:val="auto"/>
        </w:rPr>
      </w:pPr>
    </w:p>
    <w:p>
      <w:pPr>
        <w:ind w:right="200" w:firstLine="632"/>
        <w:spacing w:after="0" w:line="247" w:lineRule="auto"/>
        <w:rPr>
          <w:sz w:val="20"/>
          <w:szCs w:val="20"/>
          <w:color w:val="auto"/>
        </w:rPr>
      </w:pPr>
      <w:r>
        <w:rPr>
          <w:rFonts w:ascii="Arial" w:cs="Arial" w:eastAsia="Arial" w:hAnsi="Arial"/>
          <w:sz w:val="18"/>
          <w:szCs w:val="18"/>
          <w:color w:val="auto"/>
        </w:rPr>
        <w:t>Some of our Centers are located in areas that are subject to natural disasters, including our Centers in California or in other areas with higher risk of earthquakes, our Centers in flood plains or in areas that may be adversely affected by tornadoes,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20" w:name="page21"/>
    <w:bookmarkEnd w:id="20"/>
    <w:p>
      <w:pPr>
        <w:ind w:right="40"/>
        <w:spacing w:after="0" w:line="234" w:lineRule="auto"/>
        <w:rPr>
          <w:sz w:val="20"/>
          <w:szCs w:val="20"/>
          <w:color w:val="auto"/>
        </w:rPr>
      </w:pPr>
      <w:r>
        <w:rPr>
          <w:rFonts w:ascii="Arial" w:cs="Arial" w:eastAsia="Arial" w:hAnsi="Arial"/>
          <w:sz w:val="18"/>
          <w:szCs w:val="18"/>
          <w:color w:val="auto"/>
        </w:rPr>
        <w:t>as well as our Centers in coastal regions that may be adversely affected by increases in sea levels or in the frequency or severity of hurricanes, tropical storms or other severe weather conditions. The occurrence of natural disasters can delay redevelopment or development projects, increase investment costs to repair or replace damaged properties, increase future property insurance costs and negatively impact the tenant demand for lease space. If insurance is unavailable to us or is unavailable on acceptable terms, or our insurance is not adequate to cover losses from these events, our financial condition and results of operations could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Uninsured or underinsured losses could adversely affect our financial condition.</w:t>
      </w:r>
    </w:p>
    <w:p>
      <w:pPr>
        <w:spacing w:after="0" w:line="228" w:lineRule="exact"/>
        <w:rPr>
          <w:sz w:val="20"/>
          <w:szCs w:val="20"/>
          <w:color w:val="auto"/>
        </w:rPr>
      </w:pPr>
    </w:p>
    <w:p>
      <w:pPr>
        <w:ind w:right="20" w:firstLine="632"/>
        <w:spacing w:after="0" w:line="260" w:lineRule="auto"/>
        <w:rPr>
          <w:sz w:val="20"/>
          <w:szCs w:val="20"/>
          <w:color w:val="auto"/>
        </w:rPr>
      </w:pPr>
      <w:r>
        <w:rPr>
          <w:rFonts w:ascii="Arial" w:cs="Arial" w:eastAsia="Arial" w:hAnsi="Arial"/>
          <w:sz w:val="16"/>
          <w:szCs w:val="16"/>
          <w:color w:val="auto"/>
        </w:rPr>
        <w:t>Each of our Centers has comprehensive liability, fire, extended coverage and rental loss insurance with insured limits customarily carried for similar properties. We do not insure certain types of losses (such as losses from wars), because they are either uninsurable or not economically insurable, and our insurance coverage may have certain exclusions (such as pandemics) that prevent us from collecting on certain claims under our policies. In addition, while we or the relevant joint venture, as applicable, carry specific earthquake insurance on the Centers located in California, the policies are subject to a deductible equal to 5% of the total insured value of each Center, a $150,000 per occurrence minimum and a combined annual aggregate loss limit of $100 million on these Centers. We or the relevant joint venture, as applicable, carry specific earthquake insurance on the Centers located in the Pacific Northwest and in the New Madrid Seismic Zone. However, the policies are subject to a deductible equal to 2% of the total insured value of each Center, a $150,000 per occurrence minimum and a combined annual aggregate loss limit of $100 million on these Centers. While we or the relevant joint venture also carry standalone terrorism insurance on the Centers, the policies are subject to a $25,000 deductible and a combined annual aggregate loss limit of $1.0 billion. Each Center has environmental insurance covering eligible third-party losses, remediation and non-owned disposal sites, subject to a $100,000 retention and a $50 million three-year aggregate loss limit, with the exception of one Center, which has a $5 million ten-year aggregate loss limit and another Center has a $20 million ten-year aggregate loss limit. Some environmental losses are not covered by this insurance because they are uninsurable or not economically insurable. Furthermore, we carry title insurance on substantially all of the Centers for generally less than their full value.</w:t>
      </w:r>
    </w:p>
    <w:p>
      <w:pPr>
        <w:spacing w:after="0" w:line="202" w:lineRule="exact"/>
        <w:rPr>
          <w:sz w:val="20"/>
          <w:szCs w:val="20"/>
          <w:color w:val="auto"/>
        </w:rPr>
      </w:pPr>
    </w:p>
    <w:p>
      <w:pPr>
        <w:ind w:right="160" w:firstLine="632"/>
        <w:spacing w:after="0" w:line="290" w:lineRule="auto"/>
        <w:rPr>
          <w:sz w:val="20"/>
          <w:szCs w:val="20"/>
          <w:color w:val="auto"/>
        </w:rPr>
      </w:pPr>
      <w:r>
        <w:rPr>
          <w:rFonts w:ascii="Arial" w:cs="Arial" w:eastAsia="Arial" w:hAnsi="Arial"/>
          <w:sz w:val="16"/>
          <w:szCs w:val="16"/>
          <w:color w:val="auto"/>
        </w:rPr>
        <w:t>If an uninsured loss or a loss in excess of insured limits occurs, we could lose all or a portion of the capital we have invested in a property, as well as the anticipated future revenue from the property, but may remain obligated for any mortgage debt or other financial obligations related to the property.</w:t>
      </w:r>
    </w:p>
    <w:p>
      <w:pPr>
        <w:spacing w:after="0" w:line="214"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Compliance with the Americans with Disabilities Act and fire, safety and other regulations may require us to make expenditures that could adversely affect our cash flows.</w:t>
      </w:r>
    </w:p>
    <w:p>
      <w:pPr>
        <w:spacing w:after="0" w:line="140" w:lineRule="exact"/>
        <w:rPr>
          <w:sz w:val="20"/>
          <w:szCs w:val="20"/>
          <w:color w:val="auto"/>
        </w:rPr>
      </w:pPr>
    </w:p>
    <w:p>
      <w:pPr>
        <w:ind w:right="100" w:firstLine="632"/>
        <w:spacing w:after="0" w:line="280" w:lineRule="auto"/>
        <w:rPr>
          <w:sz w:val="20"/>
          <w:szCs w:val="20"/>
          <w:color w:val="auto"/>
        </w:rPr>
      </w:pPr>
      <w:r>
        <w:rPr>
          <w:rFonts w:ascii="Arial" w:cs="Arial" w:eastAsia="Arial" w:hAnsi="Arial"/>
          <w:sz w:val="15"/>
          <w:szCs w:val="15"/>
          <w:color w:val="auto"/>
        </w:rPr>
        <w:t>All of the properties in our portfolio are required to comply with the Americans with Disabilities Act (the “ADA”). Compliance with the ADA requirements could require removal of access barriers, and non-compliance could result in the imposition of fines by the United States government, awards of damages to private litigants, or both. While the tenants to whom our portfolio is leased are obligated to comply with ADA provisions, within their leased premises, if required changes within their leased premises involve greater expenditures than anticipated, or if the changes must be made on a more accelerated basis than anticipated, the ability of tenants to cover costs could be adversely affected. Furthermore, we are required to comply with ADA requirements within the common areas of the properties in our portfolio and we may not be able to pass on to our tenants any costs necessary to remediate any common area ADA issues. In addition, we are required to operate the properties in compliance with fire and safety regulations, building codes and other land use regulations, as they may be adopted by governmental agencies and bodies and become applicable to our portfolio. We may be required to make substantial capital expenditures to comply with, and we may be restricted in our ability to renovate or redevelop the properties subject to, those requirements and to comply with the provisions of the ADA. The resulting expenditures and restrictions could have a material adverse effect on our financial condition and operating results.</w:t>
      </w:r>
    </w:p>
    <w:p>
      <w:pPr>
        <w:spacing w:after="0" w:line="188" w:lineRule="exact"/>
        <w:rPr>
          <w:sz w:val="20"/>
          <w:szCs w:val="20"/>
          <w:color w:val="auto"/>
        </w:rPr>
      </w:pPr>
    </w:p>
    <w:p>
      <w:pPr>
        <w:ind w:right="580"/>
        <w:spacing w:after="0" w:line="247" w:lineRule="auto"/>
        <w:rPr>
          <w:sz w:val="20"/>
          <w:szCs w:val="20"/>
          <w:color w:val="auto"/>
        </w:rPr>
      </w:pPr>
      <w:r>
        <w:rPr>
          <w:rFonts w:ascii="Arial" w:cs="Arial" w:eastAsia="Arial" w:hAnsi="Arial"/>
          <w:sz w:val="18"/>
          <w:szCs w:val="18"/>
          <w:b w:val="1"/>
          <w:bCs w:val="1"/>
          <w:i w:val="1"/>
          <w:iCs w:val="1"/>
          <w:color w:val="auto"/>
        </w:rPr>
        <w:t>Possible terrorist activity or other acts or threats of violence and threats to public safety could adversely affect our financial condition and results of operations.</w:t>
      </w:r>
    </w:p>
    <w:p>
      <w:pPr>
        <w:spacing w:after="0" w:line="206" w:lineRule="exact"/>
        <w:rPr>
          <w:sz w:val="20"/>
          <w:szCs w:val="20"/>
          <w:color w:val="auto"/>
        </w:rPr>
      </w:pPr>
    </w:p>
    <w:p>
      <w:pPr>
        <w:ind w:right="20" w:firstLine="632"/>
        <w:spacing w:after="0" w:line="282" w:lineRule="auto"/>
        <w:rPr>
          <w:sz w:val="20"/>
          <w:szCs w:val="20"/>
          <w:color w:val="auto"/>
        </w:rPr>
      </w:pPr>
      <w:r>
        <w:rPr>
          <w:rFonts w:ascii="Arial" w:cs="Arial" w:eastAsia="Arial" w:hAnsi="Arial"/>
          <w:sz w:val="16"/>
          <w:szCs w:val="16"/>
          <w:color w:val="auto"/>
        </w:rPr>
        <w:t>Terrorist attacks and threats of terrorist attacks in the United States or other acts or threats of violence may result in declining economic activity, which could harm the demand for goods and services offered by our tenants and the value of our properties and might adversely affect the value of an investment in our securities. Such a resulting decrease in retail demand could make it difficult for us to renew or re-lease our properties.</w:t>
      </w:r>
    </w:p>
    <w:p>
      <w:pPr>
        <w:spacing w:after="0" w:line="181" w:lineRule="exact"/>
        <w:rPr>
          <w:sz w:val="20"/>
          <w:szCs w:val="20"/>
          <w:color w:val="auto"/>
        </w:rPr>
      </w:pPr>
    </w:p>
    <w:p>
      <w:pPr>
        <w:ind w:firstLine="632"/>
        <w:spacing w:after="0" w:line="267" w:lineRule="auto"/>
        <w:rPr>
          <w:sz w:val="20"/>
          <w:szCs w:val="20"/>
          <w:color w:val="auto"/>
        </w:rPr>
      </w:pPr>
      <w:r>
        <w:rPr>
          <w:rFonts w:ascii="Arial" w:cs="Arial" w:eastAsia="Arial" w:hAnsi="Arial"/>
          <w:sz w:val="16"/>
          <w:szCs w:val="16"/>
          <w:color w:val="auto"/>
        </w:rPr>
        <w:t>Terrorist activities or violence also could result in decreased traffic at our properties due to a heightened level of concern for safety in public places or directly affect the value of our properties through damage, destruction or loss. Further, the availability of insurance for such acts, or of insurance generally, might be reduced or cost more, which could increase our operating expenses and adversely affect our financial condition and results of operations. To the extent that our tenants are affected by such attacks and threats of attacks, their businesses similarly could be adversely affected, including their ability to continue to meet obligations under their existing leases. These acts and threats might erode business and consumer confidence and spending and might result in increased volatility in national and international financial markets and economies. Any one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21" w:name="page22"/>
    <w:bookmarkEnd w:id="21"/>
    <w:p>
      <w:pPr>
        <w:ind w:right="300"/>
        <w:spacing w:after="0" w:line="247" w:lineRule="auto"/>
        <w:rPr>
          <w:sz w:val="20"/>
          <w:szCs w:val="20"/>
          <w:color w:val="auto"/>
        </w:rPr>
      </w:pPr>
      <w:r>
        <w:rPr>
          <w:rFonts w:ascii="Arial" w:cs="Arial" w:eastAsia="Arial" w:hAnsi="Arial"/>
          <w:sz w:val="18"/>
          <w:szCs w:val="18"/>
          <w:color w:val="auto"/>
        </w:rPr>
        <w:t>these events might decrease demand for real estate, decrease or delay the occupancy of our new or redeveloped properties, and limit our access to capital or increase our cost of raising capital.</w:t>
      </w:r>
    </w:p>
    <w:p>
      <w:pPr>
        <w:spacing w:after="0" w:line="206" w:lineRule="exact"/>
        <w:rPr>
          <w:sz w:val="20"/>
          <w:szCs w:val="20"/>
          <w:color w:val="auto"/>
        </w:rPr>
      </w:pPr>
    </w:p>
    <w:p>
      <w:pPr>
        <w:ind w:right="240" w:firstLine="632"/>
        <w:spacing w:after="0" w:line="282" w:lineRule="auto"/>
        <w:rPr>
          <w:sz w:val="20"/>
          <w:szCs w:val="20"/>
          <w:color w:val="auto"/>
        </w:rPr>
      </w:pPr>
      <w:r>
        <w:rPr>
          <w:rFonts w:ascii="Arial" w:cs="Arial" w:eastAsia="Arial" w:hAnsi="Arial"/>
          <w:sz w:val="16"/>
          <w:szCs w:val="16"/>
          <w:b w:val="1"/>
          <w:bCs w:val="1"/>
          <w:i w:val="1"/>
          <w:iCs w:val="1"/>
          <w:color w:val="auto"/>
        </w:rPr>
        <w:t>COVID-19 has caused, and COVID-19 or any future pandemic, epidemic or outbreak of any other highly infectious disease could continue to cause, disruptions in the U.S., regional and global economies and could materially and adversely impact our business, financial condition and results of operations and the business, financial condition and results of operations of our tenants.</w:t>
      </w:r>
    </w:p>
    <w:p>
      <w:pPr>
        <w:spacing w:after="0" w:line="181" w:lineRule="exact"/>
        <w:rPr>
          <w:sz w:val="20"/>
          <w:szCs w:val="20"/>
          <w:color w:val="auto"/>
        </w:rPr>
      </w:pPr>
    </w:p>
    <w:p>
      <w:pPr>
        <w:ind w:firstLine="632"/>
        <w:spacing w:after="0" w:line="261" w:lineRule="auto"/>
        <w:rPr>
          <w:sz w:val="20"/>
          <w:szCs w:val="20"/>
          <w:color w:val="auto"/>
        </w:rPr>
      </w:pPr>
      <w:r>
        <w:rPr>
          <w:rFonts w:ascii="Arial" w:cs="Arial" w:eastAsia="Arial" w:hAnsi="Arial"/>
          <w:sz w:val="16"/>
          <w:szCs w:val="16"/>
          <w:color w:val="auto"/>
        </w:rPr>
        <w:t>The COVID-19 pandemic, including the emergence of additional variants, has caused, and COVID-19 or any future pandemic, epidemic or outbreak of any other highly infectious disease could continue to cause, widespread disruptions to the United States and global economies and has contributed, and could continue to contribute, to significant volatility and negative pressure in financial markets. The extent to which COVID-19, or any future pandemic, epidemic or outbreak of any other highly infectious disease, impacts our operations will depend on future developments, which are highly uncertain and cannot be predicted with confidence, including the scope, severity and duration of such pandemic, the emergence and characteristics of new variants, the actions taken to contain the pandemic or mitigate its impact, including the adoption, administration and effectiveness of available vaccines, and the direct and indirect economic effects of the pandemic and containment measures, among others. COVID-19 has adversely affected, and COVID-19 or any future pandemic, epidemic or outbreak of any other highly infectious disease may continue to adversely affect, our business, financial condition and results of operations, and it may also have the effect of heightening many of the risks described in this “Risk Factors” section, including:</w:t>
      </w:r>
    </w:p>
    <w:p>
      <w:pPr>
        <w:spacing w:after="0" w:line="215" w:lineRule="exact"/>
        <w:rPr>
          <w:sz w:val="20"/>
          <w:szCs w:val="20"/>
          <w:color w:val="auto"/>
        </w:rPr>
      </w:pPr>
    </w:p>
    <w:p>
      <w:pPr>
        <w:ind w:left="960" w:right="160" w:hanging="322"/>
        <w:spacing w:after="0" w:line="253"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complete or partial closure of, or other operational issues at, one or more of our Centers resulting from government or tenant action, which has caused or could continue to cause subsequent closures of previously re-opened Centers, which has adversely affected, and could continue to adversely effect, our operations and those of our tenants;</w:t>
      </w:r>
    </w:p>
    <w:p>
      <w:pPr>
        <w:spacing w:after="0" w:line="122" w:lineRule="exact"/>
        <w:rPr>
          <w:rFonts w:ascii="Arial" w:cs="Arial" w:eastAsia="Arial" w:hAnsi="Arial"/>
          <w:sz w:val="18"/>
          <w:szCs w:val="18"/>
          <w:color w:val="auto"/>
        </w:rPr>
      </w:pPr>
    </w:p>
    <w:p>
      <w:pPr>
        <w:ind w:left="960" w:right="80" w:hanging="322"/>
        <w:spacing w:after="0" w:line="300" w:lineRule="auto"/>
        <w:tabs>
          <w:tab w:leader="none" w:pos="9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reduced economic activity impacting the businesses, financial condition and liquidity of our tenants, which has caused and could continue to cause, one or more of our tenants, including one or more of our Anchors, to be unable to meet their obligations to us in full, or at all, to otherwise seek modifications of such obligations, including, deferrals or reductions of rental payments, or to declare bankruptcy;</w:t>
      </w:r>
    </w:p>
    <w:p>
      <w:pPr>
        <w:spacing w:after="0" w:line="74" w:lineRule="exact"/>
        <w:rPr>
          <w:rFonts w:ascii="Arial" w:cs="Arial" w:eastAsia="Arial" w:hAnsi="Arial"/>
          <w:sz w:val="16"/>
          <w:szCs w:val="16"/>
          <w:color w:val="auto"/>
        </w:rPr>
      </w:pPr>
    </w:p>
    <w:p>
      <w:pPr>
        <w:ind w:left="960" w:right="120" w:hanging="322"/>
        <w:spacing w:after="0" w:line="250"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levels of consumer spending and consumer confidence during the pandemic, as well as a decrease in traffic at our Centers, which has affected, and could continue to affect, the ability of the Centers to generate sufficient revenues to meet operating and other expenses in the short-term and could also accelerate a shift to online retail shopping, which, if sustained could result in prolonged decreases in revenue at the Centers even after the immediate impact of the pandemic is resolved;</w:t>
      </w:r>
    </w:p>
    <w:p>
      <w:pPr>
        <w:spacing w:after="0" w:line="125" w:lineRule="exact"/>
        <w:rPr>
          <w:rFonts w:ascii="Arial" w:cs="Arial" w:eastAsia="Arial" w:hAnsi="Arial"/>
          <w:sz w:val="18"/>
          <w:szCs w:val="18"/>
          <w:color w:val="auto"/>
        </w:rPr>
      </w:pPr>
    </w:p>
    <w:p>
      <w:pPr>
        <w:ind w:left="960" w:right="200" w:hanging="322"/>
        <w:spacing w:after="0" w:line="253"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renew leases, lease vacant space, including vacant space from tenant bankruptcies and defaults, or re-let space as leases expire on favorable terms, or at all, which could result in lower rental payments or reduced occupancy levels, or could cause interruptions or delays in the receipt of rental payments;</w:t>
      </w:r>
    </w:p>
    <w:p>
      <w:pPr>
        <w:spacing w:after="0" w:line="122" w:lineRule="exact"/>
        <w:rPr>
          <w:rFonts w:ascii="Arial" w:cs="Arial" w:eastAsia="Arial" w:hAnsi="Arial"/>
          <w:sz w:val="18"/>
          <w:szCs w:val="18"/>
          <w:color w:val="auto"/>
        </w:rPr>
      </w:pPr>
    </w:p>
    <w:p>
      <w:pPr>
        <w:ind w:left="960" w:right="280" w:hanging="322"/>
        <w:spacing w:after="0" w:line="325" w:lineRule="auto"/>
        <w:tabs>
          <w:tab w:leader="none" w:pos="9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closure of Anchors at one or more of our properties, has triggered, and future closures could trigger, co-tenancy lease clauses within one or more of our leases at such properties and any future closures could potentially lead to a decline in revenue and occupancy;</w:t>
      </w:r>
    </w:p>
    <w:p>
      <w:pPr>
        <w:spacing w:after="0" w:line="55" w:lineRule="exact"/>
        <w:rPr>
          <w:rFonts w:ascii="Arial" w:cs="Arial" w:eastAsia="Arial" w:hAnsi="Arial"/>
          <w:sz w:val="16"/>
          <w:szCs w:val="16"/>
          <w:color w:val="auto"/>
        </w:rPr>
      </w:pPr>
    </w:p>
    <w:p>
      <w:pPr>
        <w:ind w:left="960" w:right="160" w:hanging="322"/>
        <w:spacing w:after="0" w:line="300" w:lineRule="auto"/>
        <w:tabs>
          <w:tab w:leader="none" w:pos="9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potential negative impact on our financial results could adversely impact our compliance with the financial covenants within our credit facility and other debt agreements or cause a failure to meet certain of these financial covenants, which could cause an event of default, which, if not cured or waived, could accelerate some or all of such indebtedness and could have a material adverse effect on us;</w:t>
      </w:r>
    </w:p>
    <w:p>
      <w:pPr>
        <w:spacing w:after="0" w:line="87" w:lineRule="exact"/>
        <w:rPr>
          <w:rFonts w:ascii="Arial" w:cs="Arial" w:eastAsia="Arial" w:hAnsi="Arial"/>
          <w:sz w:val="16"/>
          <w:szCs w:val="16"/>
          <w:color w:val="auto"/>
        </w:rPr>
      </w:pPr>
    </w:p>
    <w:p>
      <w:pPr>
        <w:ind w:left="960" w:right="20" w:hanging="322"/>
        <w:spacing w:after="0" w:line="253"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potential decline in asset values at one or more of our properties encumbered by mortgage debt, which could inhibit our ability to successfully refinance one or more such properties, result in the default under the applicable mortgage debt agreement and potentially cause the acceleration of such indebtedness; and</w:t>
      </w:r>
    </w:p>
    <w:p>
      <w:pPr>
        <w:spacing w:after="0" w:line="122" w:lineRule="exact"/>
        <w:rPr>
          <w:rFonts w:ascii="Arial" w:cs="Arial" w:eastAsia="Arial" w:hAnsi="Arial"/>
          <w:sz w:val="18"/>
          <w:szCs w:val="18"/>
          <w:color w:val="auto"/>
        </w:rPr>
      </w:pPr>
    </w:p>
    <w:p>
      <w:pPr>
        <w:ind w:left="960" w:right="20" w:hanging="322"/>
        <w:spacing w:after="0" w:line="250" w:lineRule="auto"/>
        <w:tabs>
          <w:tab w:leader="none" w:pos="9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and instability in the global financial markets or deteriorations in credit and financing conditions, which has made, and could continue to make, it difficult for us to access debt and equity capital on attractive terms, or at all, and could also impact our ability to fund business activities, repay debt on a timely basis and renew, extend or replace our credit facility prior to its maturity date at all or on terms that are favorable to us.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adversely affect our financial condition and results of operations.</w:t>
      </w:r>
    </w:p>
    <w:p>
      <w:pPr>
        <w:spacing w:after="0" w:line="228" w:lineRule="exact"/>
        <w:rPr>
          <w:sz w:val="20"/>
          <w:szCs w:val="20"/>
          <w:color w:val="auto"/>
        </w:rPr>
      </w:pPr>
    </w:p>
    <w:p>
      <w:pPr>
        <w:ind w:right="160" w:firstLine="632"/>
        <w:spacing w:after="0" w:line="247" w:lineRule="auto"/>
        <w:rPr>
          <w:sz w:val="20"/>
          <w:szCs w:val="20"/>
          <w:color w:val="auto"/>
        </w:rPr>
      </w:pPr>
      <w:r>
        <w:rPr>
          <w:rFonts w:ascii="Arial" w:cs="Arial" w:eastAsia="Arial" w:hAnsi="Arial"/>
          <w:sz w:val="18"/>
          <w:szCs w:val="18"/>
          <w:color w:val="auto"/>
        </w:rPr>
        <w:t>Inflation in the United States increased in 2022 and may continue to increase in the near-term. If inflation increases in the future, we may experience any or all of the following:</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22" w:name="page23"/>
    <w:bookmarkEnd w:id="22"/>
    <w:p>
      <w:pPr>
        <w:ind w:left="940" w:hanging="302"/>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Increases in interest rates on our outstanding floating-rate debt as well as higher interest rates on any new and refinanced fixed-rate debt;</w:t>
      </w:r>
    </w:p>
    <w:p>
      <w:pPr>
        <w:spacing w:after="0" w:line="171" w:lineRule="exact"/>
        <w:rPr>
          <w:rFonts w:ascii="Arial" w:cs="Arial" w:eastAsia="Arial" w:hAnsi="Arial"/>
          <w:sz w:val="16"/>
          <w:szCs w:val="16"/>
          <w:color w:val="auto"/>
        </w:rPr>
      </w:pPr>
    </w:p>
    <w:p>
      <w:pPr>
        <w:ind w:left="940" w:hanging="302"/>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replacing or renewing expiring leases with new leases at higher rents; and</w:t>
      </w:r>
    </w:p>
    <w:p>
      <w:pPr>
        <w:spacing w:after="0" w:line="135" w:lineRule="exact"/>
        <w:rPr>
          <w:rFonts w:ascii="Arial" w:cs="Arial" w:eastAsia="Arial" w:hAnsi="Arial"/>
          <w:sz w:val="18"/>
          <w:szCs w:val="18"/>
          <w:color w:val="auto"/>
        </w:rPr>
      </w:pPr>
    </w:p>
    <w:p>
      <w:pPr>
        <w:ind w:left="960" w:right="460" w:hanging="322"/>
        <w:spacing w:after="0" w:line="262" w:lineRule="auto"/>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Decreasing tenant sales as a result of decreased consumer spending which could adversely affect the ability of our tenants to meet their rent obligations and/or result in lower percentage rents.</w:t>
      </w:r>
    </w:p>
    <w:p>
      <w:pPr>
        <w:spacing w:after="0" w:line="101" w:lineRule="exact"/>
        <w:rPr>
          <w:sz w:val="20"/>
          <w:szCs w:val="20"/>
          <w:color w:val="auto"/>
        </w:rPr>
      </w:pPr>
    </w:p>
    <w:p>
      <w:pPr>
        <w:jc w:val="both"/>
        <w:ind w:right="100" w:firstLine="632"/>
        <w:spacing w:after="0" w:line="263" w:lineRule="auto"/>
        <w:rPr>
          <w:sz w:val="20"/>
          <w:szCs w:val="20"/>
          <w:color w:val="auto"/>
        </w:rPr>
      </w:pPr>
      <w:r>
        <w:rPr>
          <w:rFonts w:ascii="Arial" w:cs="Arial" w:eastAsia="Arial" w:hAnsi="Arial"/>
          <w:sz w:val="16"/>
          <w:szCs w:val="16"/>
          <w:color w:val="auto"/>
        </w:rPr>
        <w:t>Additionally, even though most of our leases require tenants to pay their pro rata share of utilities, as well as a stated amount for operating expenses regardless of the expenses actually incurred at any Center, substantial inflationary pressures and increased operating costs may increase our exposure to rising property expenses and make it more difficult to maintain our historical cost controls at the Centers.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debt that could affect our future operations.</w:t>
      </w:r>
    </w:p>
    <w:p>
      <w:pPr>
        <w:spacing w:after="0" w:line="214" w:lineRule="exact"/>
        <w:rPr>
          <w:sz w:val="20"/>
          <w:szCs w:val="20"/>
          <w:color w:val="auto"/>
        </w:rPr>
      </w:pPr>
    </w:p>
    <w:p>
      <w:pPr>
        <w:ind w:right="20" w:firstLine="632"/>
        <w:spacing w:after="0" w:line="257" w:lineRule="auto"/>
        <w:rPr>
          <w:sz w:val="20"/>
          <w:szCs w:val="20"/>
          <w:color w:val="auto"/>
        </w:rPr>
      </w:pPr>
      <w:r>
        <w:rPr>
          <w:rFonts w:ascii="Arial" w:cs="Arial" w:eastAsia="Arial" w:hAnsi="Arial"/>
          <w:sz w:val="16"/>
          <w:szCs w:val="16"/>
          <w:color w:val="auto"/>
        </w:rPr>
        <w:t>Our total outstanding loan indebtedness at December 31, 2022 was $6.81 billion (consisting of $4.4 billion of consolidated debt, less $0.41 billion attributable to noncontrolling interests, plus $2.82 billion of our pro rata share of mortgages and other notes payable on unconsolidated joint ventures). As a result of this substantial indebtedness, we are required to use a material portion of our cash flow to service principal and interest on our debt, which limits the amount of cash available for other business opportunities. Borrowing costs increased throughout 2022 and may continue to increase in the near-term as the Federal Reserve acts to address rising inflation and, as a result, borrowing costs on our outstanding floating-rate debt as well as on new and refinanced fixed-rate debt may be more expensive. We are subject to the risks normally associated with debt financing and increased borrowing costs, including the risk that our cash flow from operations will be insufficient to meet required debt service and that rising interest rates could adversely affect our debt service costs.</w:t>
      </w:r>
    </w:p>
    <w:p>
      <w:pPr>
        <w:spacing w:after="0" w:line="5" w:lineRule="exact"/>
        <w:rPr>
          <w:sz w:val="20"/>
          <w:szCs w:val="20"/>
          <w:color w:val="auto"/>
        </w:rPr>
      </w:pPr>
    </w:p>
    <w:p>
      <w:pPr>
        <w:ind w:right="60" w:firstLine="632"/>
        <w:spacing w:after="0" w:line="263" w:lineRule="auto"/>
        <w:rPr>
          <w:sz w:val="20"/>
          <w:szCs w:val="20"/>
          <w:color w:val="auto"/>
        </w:rPr>
      </w:pPr>
      <w:r>
        <w:rPr>
          <w:rFonts w:ascii="Arial" w:cs="Arial" w:eastAsia="Arial" w:hAnsi="Arial"/>
          <w:sz w:val="16"/>
          <w:szCs w:val="16"/>
          <w:color w:val="auto"/>
        </w:rPr>
        <w:t>In certain cases, we may limit our exposure to interest rate fluctuations related to a portion of our floating-rate debt by the use of interest rate cap and swap agreements. Such agreements, subject to current market conditions, allow us to replace floating-rate debt with fixed-rate debt in order to achieve our desired ratio of floating-rate to fixed-rate debt. However, in an increasing interest rate environment, the fixed rates we can obtain with such replacement fixed-rate cap and swap agreements or the fixed-rate on new and refinanced debt will also continue to increase. Our use of interest rate hedging arrangements may also expose us to additional risks, including that the counterparty to the arrangement may fail to honor its obligations and that termination of these arrangements typically involves costs such as transaction fees or breakage costs. There can be no assurance that our hedging activities will have the desired impact on our results of operations, liquidity or financial condition.</w:t>
      </w:r>
    </w:p>
    <w:p>
      <w:pPr>
        <w:spacing w:after="0" w:line="195" w:lineRule="exact"/>
        <w:rPr>
          <w:sz w:val="20"/>
          <w:szCs w:val="20"/>
          <w:color w:val="auto"/>
        </w:rPr>
      </w:pPr>
    </w:p>
    <w:p>
      <w:pPr>
        <w:ind w:right="120" w:firstLine="632"/>
        <w:spacing w:after="0" w:line="229" w:lineRule="auto"/>
        <w:rPr>
          <w:sz w:val="20"/>
          <w:szCs w:val="20"/>
          <w:color w:val="auto"/>
        </w:rPr>
      </w:pPr>
      <w:r>
        <w:rPr>
          <w:rFonts w:ascii="Arial" w:cs="Arial" w:eastAsia="Arial" w:hAnsi="Arial"/>
          <w:sz w:val="18"/>
          <w:szCs w:val="18"/>
          <w:color w:val="auto"/>
        </w:rPr>
        <w:t>Furthermore, most of our Centers are mortgaged to secure payment of indebtedness, and if income from the Center is insufficient to pay that indebtedness, the Center could be foreclosed upon by the mortgagee resulting in a loss of income and a decline in our total asset value. During the year ended December 31, 2022, we did not repay the outstanding mortgage loan on our Towne Mall property on its maturity and are in the process of transitioning the property to a loan receiver.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obligated to comply with financial and other covenants that could affect our operating activities.</w:t>
      </w:r>
    </w:p>
    <w:p>
      <w:pPr>
        <w:spacing w:after="0" w:line="214" w:lineRule="exact"/>
        <w:rPr>
          <w:sz w:val="20"/>
          <w:szCs w:val="20"/>
          <w:color w:val="auto"/>
        </w:rPr>
      </w:pPr>
    </w:p>
    <w:p>
      <w:pPr>
        <w:ind w:firstLine="632"/>
        <w:spacing w:after="0" w:line="274" w:lineRule="auto"/>
        <w:rPr>
          <w:sz w:val="20"/>
          <w:szCs w:val="20"/>
          <w:color w:val="auto"/>
        </w:rPr>
      </w:pPr>
      <w:r>
        <w:rPr>
          <w:rFonts w:ascii="Arial" w:cs="Arial" w:eastAsia="Arial" w:hAnsi="Arial"/>
          <w:sz w:val="16"/>
          <w:szCs w:val="16"/>
          <w:color w:val="auto"/>
        </w:rPr>
        <w:t>Our unsecured credit facilities contain financial covenants, including interest coverage requirements, as well as limitations on our ability to incur debt, make dividend payments and make certain acquisitions. These covenants may restrict our ability to pursue certain business initiatives or certain transactions that might otherwise be advantageous. In addition, failure to meet certain of these financial covenants could cause an event of default, which, if not cured or waived, could accelerate some or all of such indebtedness which could have a material adverse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external financings for our growth and ongoing debt service requirements and are subject to refinancing risk.</w:t>
      </w:r>
    </w:p>
    <w:p>
      <w:pPr>
        <w:spacing w:after="0" w:line="228" w:lineRule="exact"/>
        <w:rPr>
          <w:sz w:val="20"/>
          <w:szCs w:val="20"/>
          <w:color w:val="auto"/>
        </w:rPr>
      </w:pPr>
    </w:p>
    <w:p>
      <w:pPr>
        <w:ind w:right="80" w:firstLine="632"/>
        <w:spacing w:after="0" w:line="298" w:lineRule="auto"/>
        <w:rPr>
          <w:sz w:val="20"/>
          <w:szCs w:val="20"/>
          <w:color w:val="auto"/>
        </w:rPr>
      </w:pPr>
      <w:r>
        <w:rPr>
          <w:rFonts w:ascii="Arial" w:cs="Arial" w:eastAsia="Arial" w:hAnsi="Arial"/>
          <w:sz w:val="15"/>
          <w:szCs w:val="15"/>
          <w:color w:val="auto"/>
        </w:rPr>
        <w:t>We depend primarily on external financings, principally debt financings and, in more limited circumstances, equity financings, to fund the growth of our business and to ensure that we can meet ongoing maturities of our outstanding debt. Our access to financing depends on the willingness of banks, lenders and other institutions to lend to us based on their underwriting criteria which can fluctuate with market conditions and on conditions in the capital markets in general. In addition, levels of market disruption and volatility could materially adversely impact our ability to access the capital markets for equity financings.</w:t>
      </w:r>
    </w:p>
    <w:p>
      <w:pPr>
        <w:spacing w:after="0" w:line="158" w:lineRule="exact"/>
        <w:rPr>
          <w:sz w:val="20"/>
          <w:szCs w:val="20"/>
          <w:color w:val="auto"/>
        </w:rPr>
      </w:pPr>
    </w:p>
    <w:p>
      <w:pPr>
        <w:ind w:right="80" w:firstLine="632"/>
        <w:spacing w:after="0" w:line="270" w:lineRule="auto"/>
        <w:rPr>
          <w:sz w:val="20"/>
          <w:szCs w:val="20"/>
          <w:color w:val="auto"/>
        </w:rPr>
      </w:pPr>
      <w:r>
        <w:rPr>
          <w:rFonts w:ascii="Arial" w:cs="Arial" w:eastAsia="Arial" w:hAnsi="Arial"/>
          <w:sz w:val="16"/>
          <w:szCs w:val="16"/>
          <w:color w:val="auto"/>
        </w:rPr>
        <w:t>We are also subject to the risks normally associated with debt financings, including the risk that our cash flow from operations will be insufficient to meet required debt service or that we will be unable to refinance such indebtedness on acceptable terms, or at all. If principal payments due at maturity cannot be refinanced, extended or repaid with proceeds from other sources, such as new equity capital, our cash flow may not be sufficient to repay all maturing debt in years when significant “balloon” payments come due. In addition, there are no assurances that we will continue to be able to obtain the financing we need for future growth on acceptable terms, or at all, and any new or refinanced debt could also impose more restrictive terms.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38" w:right="379" w:bottom="1440" w:gutter="0" w:footer="0" w:header="0"/>
        </w:sectPr>
      </w:pPr>
    </w:p>
    <w:bookmarkStart w:id="23" w:name="page24"/>
    <w:bookmarkEnd w:id="23"/>
    <w:p>
      <w:pPr>
        <w:ind w:right="500"/>
        <w:spacing w:after="0" w:line="247" w:lineRule="auto"/>
        <w:rPr>
          <w:sz w:val="20"/>
          <w:szCs w:val="20"/>
          <w:color w:val="auto"/>
        </w:rPr>
      </w:pPr>
      <w:r>
        <w:rPr>
          <w:rFonts w:ascii="Arial" w:cs="Arial" w:eastAsia="Arial" w:hAnsi="Arial"/>
          <w:sz w:val="18"/>
          <w:szCs w:val="18"/>
          <w:b w:val="1"/>
          <w:bCs w:val="1"/>
          <w:i w:val="1"/>
          <w:iCs w:val="1"/>
          <w:color w:val="auto"/>
        </w:rPr>
        <w:t>The discontinuation of LIBOR and the replacement of LIBOR with an alternative reference rate may adversely affect our borrowing costs and could impact our business and results of operations.</w:t>
      </w:r>
    </w:p>
    <w:p>
      <w:pPr>
        <w:spacing w:after="0" w:line="206" w:lineRule="exact"/>
        <w:rPr>
          <w:sz w:val="20"/>
          <w:szCs w:val="20"/>
          <w:color w:val="auto"/>
        </w:rPr>
      </w:pPr>
    </w:p>
    <w:p>
      <w:pPr>
        <w:ind w:firstLine="632"/>
        <w:spacing w:after="0" w:line="261" w:lineRule="auto"/>
        <w:rPr>
          <w:sz w:val="20"/>
          <w:szCs w:val="20"/>
          <w:color w:val="auto"/>
        </w:rPr>
      </w:pPr>
      <w:r>
        <w:rPr>
          <w:rFonts w:ascii="Arial" w:cs="Arial" w:eastAsia="Arial" w:hAnsi="Arial"/>
          <w:sz w:val="16"/>
          <w:szCs w:val="16"/>
          <w:color w:val="auto"/>
        </w:rPr>
        <w:t>We expect that all LIBOR settings relevant to us will cease to be published or will no longer be representative after June 30, 2023. The discontinuation of LIBOR will not affect our ability to borrow or maintain already outstanding borrowings or hedging transactions, but if our contracts indexed to LIBOR, including certain contracts governing our variable rate debt, the variable rate debt of our joint ventures and our interest rate caps, are converted to SOFR, the differences between LIBOR and SOFR, plus the recommended spread adjustment, could result in interest or hedging costs that are higher than if LIBOR remained available. Additionally, although SOFR is the Alternative Reference Rates Committee’s recommended replacement rate, it is also possible that lenders may instead choose alternative replacement rates that may differ from LIBOR in ways similar to SOFR or in ways that would result in higher interest or hedging costs for us. It is not yet possible to predict the magnitude of LIBOR’s end on our borrowing costs given the remaining uncertainty about which rates will replace LIBOR. As of December 31, 2022, each of the agreements governing our variable rate debt provides for the replacement of LIBOR if it becomes unavailable during the term of such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ORGANIZATIONAL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Certain individuals have substantial influence over the management of both us and the Operating Partnership, which may create conflicts of interest.</w:t>
      </w:r>
    </w:p>
    <w:p>
      <w:pPr>
        <w:spacing w:after="0" w:line="262" w:lineRule="exact"/>
        <w:rPr>
          <w:sz w:val="20"/>
          <w:szCs w:val="20"/>
          <w:color w:val="auto"/>
        </w:rPr>
      </w:pPr>
    </w:p>
    <w:p>
      <w:pPr>
        <w:ind w:right="240" w:firstLine="632"/>
        <w:spacing w:after="0" w:line="266" w:lineRule="auto"/>
        <w:rPr>
          <w:sz w:val="20"/>
          <w:szCs w:val="20"/>
          <w:color w:val="auto"/>
        </w:rPr>
      </w:pPr>
      <w:r>
        <w:rPr>
          <w:rFonts w:ascii="Arial" w:cs="Arial" w:eastAsia="Arial" w:hAnsi="Arial"/>
          <w:sz w:val="16"/>
          <w:szCs w:val="16"/>
          <w:color w:val="auto"/>
        </w:rPr>
        <w:t>Under the limited partnership agreement of the Operating Partnership, we, as the sole general partner, are responsible for the management of the Operating Partnership’s business and affairs. Conflicts of interest may exist or could arise in the future as a result of the relationships between us and our affiliates, on the one hand, and our Operating Partnership or any of its partners, on the other. Our directors and officers have duties to our Company under Maryland law in connection with their management of our Company. At the same time, we have duties and obligations to our Operating Partnership and its limited partners under Delaware law as modified by the partnership agreement of our Operating Partnership in connection with the management of our Operating Partnership as the sole general partner. Our duties and obligations as the general partner of our Operating Partnership may come into conflict with the duties of our directors and officers to our Company and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partners in Joint Venture Centers result in additional risks to our stockholders.</w:t>
      </w:r>
    </w:p>
    <w:p>
      <w:pPr>
        <w:spacing w:after="0" w:line="228" w:lineRule="exact"/>
        <w:rPr>
          <w:sz w:val="20"/>
          <w:szCs w:val="20"/>
          <w:color w:val="auto"/>
        </w:rPr>
      </w:pPr>
    </w:p>
    <w:p>
      <w:pPr>
        <w:ind w:right="220" w:firstLine="632"/>
        <w:spacing w:after="0" w:line="238" w:lineRule="auto"/>
        <w:rPr>
          <w:sz w:val="20"/>
          <w:szCs w:val="20"/>
          <w:color w:val="auto"/>
        </w:rPr>
      </w:pPr>
      <w:r>
        <w:rPr>
          <w:rFonts w:ascii="Arial" w:cs="Arial" w:eastAsia="Arial" w:hAnsi="Arial"/>
          <w:sz w:val="18"/>
          <w:szCs w:val="18"/>
          <w:color w:val="auto"/>
        </w:rPr>
        <w:t>We own partial interests in property partnerships that own 22 Joint Venture Centers, one office property and one development property, as well as several development sites. We may acquire partial interests in additional properties through joint venture arrangements. Investments in Joint Venture Centers involve risks different from those of investments in Wholly Owned Centers.</w:t>
      </w:r>
    </w:p>
    <w:p>
      <w:pPr>
        <w:spacing w:after="0" w:line="214" w:lineRule="exact"/>
        <w:rPr>
          <w:sz w:val="20"/>
          <w:szCs w:val="20"/>
          <w:color w:val="auto"/>
        </w:rPr>
      </w:pPr>
    </w:p>
    <w:p>
      <w:pPr>
        <w:jc w:val="both"/>
        <w:ind w:right="20" w:firstLine="632"/>
        <w:spacing w:after="0" w:line="309" w:lineRule="auto"/>
        <w:rPr>
          <w:sz w:val="20"/>
          <w:szCs w:val="20"/>
          <w:color w:val="auto"/>
        </w:rPr>
      </w:pPr>
      <w:r>
        <w:rPr>
          <w:rFonts w:ascii="Arial" w:cs="Arial" w:eastAsia="Arial" w:hAnsi="Arial"/>
          <w:sz w:val="15"/>
          <w:szCs w:val="15"/>
          <w:color w:val="auto"/>
        </w:rPr>
        <w:t>We have fiduciary responsibilities to our joint venture partners that could affect decisions concerning the Joint Venture Centers. Our partners in certain Joint Venture Centers (notwithstanding our majority legal ownership) share control of major decisions relating to the Joint Venture Centers, including decisions with respect to sales, refinancings and the timing and amount of additional capital contributions, as well as decisions that could have an adverse impact on us.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may lose our management and other rights relating to the Joint Venture Centers if:</w:t>
      </w:r>
    </w:p>
    <w:p>
      <w:pPr>
        <w:spacing w:after="0" w:line="241" w:lineRule="exact"/>
        <w:rPr>
          <w:sz w:val="20"/>
          <w:szCs w:val="20"/>
          <w:color w:val="auto"/>
        </w:rPr>
      </w:pPr>
    </w:p>
    <w:p>
      <w:pPr>
        <w:ind w:left="940" w:hanging="302"/>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fail to contribute our share of additional capital needed by the property partnerships; or</w:t>
      </w:r>
    </w:p>
    <w:p>
      <w:pPr>
        <w:spacing w:after="0" w:line="135" w:lineRule="exact"/>
        <w:rPr>
          <w:rFonts w:ascii="Arial" w:cs="Arial" w:eastAsia="Arial" w:hAnsi="Arial"/>
          <w:sz w:val="18"/>
          <w:szCs w:val="18"/>
          <w:color w:val="auto"/>
        </w:rPr>
      </w:pPr>
    </w:p>
    <w:p>
      <w:pPr>
        <w:ind w:left="960" w:right="120" w:hanging="322"/>
        <w:spacing w:after="0" w:line="262"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default under a partnership agreement for a property partnership or other agreements relating to the property partnerships or the Joint Venture Centers.</w:t>
      </w:r>
    </w:p>
    <w:p>
      <w:pPr>
        <w:spacing w:after="0" w:line="101" w:lineRule="exact"/>
        <w:rPr>
          <w:sz w:val="20"/>
          <w:szCs w:val="20"/>
          <w:color w:val="auto"/>
        </w:rPr>
      </w:pPr>
    </w:p>
    <w:p>
      <w:pPr>
        <w:ind w:right="60" w:firstLine="632"/>
        <w:spacing w:after="0" w:line="233" w:lineRule="auto"/>
        <w:rPr>
          <w:sz w:val="20"/>
          <w:szCs w:val="20"/>
          <w:color w:val="auto"/>
        </w:rPr>
      </w:pPr>
      <w:r>
        <w:rPr>
          <w:rFonts w:ascii="Arial" w:cs="Arial" w:eastAsia="Arial" w:hAnsi="Arial"/>
          <w:sz w:val="18"/>
          <w:szCs w:val="18"/>
          <w:color w:val="auto"/>
        </w:rPr>
        <w:t>Furthermore, the bankruptcy of one of the other investors in our Joint Venture Centers could materially and adversely affect the respective property or properties. Pursuant to the bankruptcy code, we could be precluded from taking some actions affecting the estate of the other investor without prior court approval which would, in most cases, entail prior notice to other parties and a hearing. At a minimum, the requirement to obtain court approval may delay the actions we would or might want to take. If the relevant joint venture through which we have invested in a Joint Venture Center has incurred recourse obligations, the discharge in bankruptcy of one of the other investors might result in our ultimate liability for a greater portion of those obligations than would otherwise be required.</w:t>
      </w:r>
    </w:p>
    <w:p>
      <w:pPr>
        <w:spacing w:after="0" w:line="217" w:lineRule="exact"/>
        <w:rPr>
          <w:sz w:val="20"/>
          <w:szCs w:val="20"/>
          <w:color w:val="auto"/>
        </w:rPr>
      </w:pPr>
    </w:p>
    <w:p>
      <w:pPr>
        <w:ind w:right="100" w:firstLine="632"/>
        <w:spacing w:after="0" w:line="266" w:lineRule="auto"/>
        <w:rPr>
          <w:sz w:val="20"/>
          <w:szCs w:val="20"/>
          <w:color w:val="auto"/>
        </w:rPr>
      </w:pPr>
      <w:r>
        <w:rPr>
          <w:rFonts w:ascii="Arial" w:cs="Arial" w:eastAsia="Arial" w:hAnsi="Arial"/>
          <w:sz w:val="16"/>
          <w:szCs w:val="16"/>
          <w:color w:val="auto"/>
        </w:rPr>
        <w:t>Our legal ownership interest in a joint venture vehicle may, at times, not equal our economic interest in the entity because of various provisions in certain joint venture agreements regarding distributions of cash flow based on capital account balances, allocations of profits and losses and payments of preferred returns. As a result, our actual economic interest (as distinct from our legal ownership interest) in certain of the Joint Venture Centers could fluctuate from time to time and may not wholly align with our legal ownership interests. Substantially all of our joint venture agreements contain rights of first refusal, buy-sell provisions, exit rights, default dilution remedies and/or other break up provisions or remedies which are customary in</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real estate joint venture agreements and which may, positively or negatively, affect the ultimate realization of cash flow and/or capital or liquidation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holding company structure makes us dependent on distributions from the Operating Partnership.</w:t>
      </w:r>
    </w:p>
    <w:p>
      <w:pPr>
        <w:spacing w:after="0" w:line="228" w:lineRule="exact"/>
        <w:rPr>
          <w:sz w:val="20"/>
          <w:szCs w:val="20"/>
          <w:color w:val="auto"/>
        </w:rPr>
      </w:pPr>
    </w:p>
    <w:p>
      <w:pPr>
        <w:ind w:right="140" w:firstLine="632"/>
        <w:spacing w:after="0" w:line="264" w:lineRule="auto"/>
        <w:rPr>
          <w:sz w:val="20"/>
          <w:szCs w:val="20"/>
          <w:color w:val="auto"/>
        </w:rPr>
      </w:pPr>
      <w:r>
        <w:rPr>
          <w:rFonts w:ascii="Arial" w:cs="Arial" w:eastAsia="Arial" w:hAnsi="Arial"/>
          <w:sz w:val="16"/>
          <w:szCs w:val="16"/>
          <w:color w:val="auto"/>
        </w:rPr>
        <w:t>Because we conduct our operations through the Operating Partnership, our ability to service our debt obligations and pay dividends to our stockholders is strictly dependent upon the earnings and cash flows of the Operating Partnership and the ability of the Operating Partnership to make distributions to us. Under the Delaware Revised Uniform Limited Partnership Act, the Operating Partnership is prohibited from making any distribution to us to the extent that at the time of the distribution, after giving effect to the distribution, all liabilities of the Operating Partnership (other than some non-recourse liabilities and some liabilities to the partners) exceed the fair value of the assets of the Operating Partnership. An inability to make cash distributions from the Operating Partnership could jeopardize our ability to maintain qualification as a REIT.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ownership limit and certain of our Charter and bylaw provisions could inhibit a change of control or reduce the value of our common stock.</w:t>
      </w:r>
    </w:p>
    <w:p>
      <w:pPr>
        <w:spacing w:after="0" w:line="251" w:lineRule="exact"/>
        <w:rPr>
          <w:sz w:val="20"/>
          <w:szCs w:val="20"/>
          <w:color w:val="auto"/>
        </w:rPr>
      </w:pPr>
    </w:p>
    <w:p>
      <w:pPr>
        <w:ind w:firstLine="632"/>
        <w:spacing w:after="0" w:line="267" w:lineRule="auto"/>
        <w:rPr>
          <w:sz w:val="20"/>
          <w:szCs w:val="20"/>
          <w:color w:val="auto"/>
        </w:rPr>
      </w:pPr>
      <w:r>
        <w:rPr>
          <w:rFonts w:ascii="Arial" w:cs="Arial" w:eastAsia="Arial" w:hAnsi="Arial"/>
          <w:sz w:val="16"/>
          <w:szCs w:val="16"/>
          <w:i w:val="1"/>
          <w:iCs w:val="1"/>
          <w:color w:val="auto"/>
        </w:rPr>
        <w:t>The Ownership Limit</w:t>
      </w:r>
      <w:r>
        <w:rPr>
          <w:rFonts w:ascii="Arial" w:cs="Arial" w:eastAsia="Arial" w:hAnsi="Arial"/>
          <w:sz w:val="16"/>
          <w:szCs w:val="16"/>
          <w:color w:val="auto"/>
        </w:rPr>
        <w:t>. In order for us to maintain our qualification as a REIT, not more than 50% in value of our outstanding stock (after taking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certain options to acquire stock) may be owned, directly or indirectly or through the application of certain attribution rules, by five or fewer individuals (as defined in the Internal Revenue Code of 1986, as amended (the “Code”), to include some entities that would not ordinarily be considered “individuals”) at any time during the last half of a taxable year. To assist us in maintaining our qualification as a REIT, among other purposes, our Charter restricts ownership of more than 5% (the “Ownership Limit”) of the lesser of the number or value of our outstanding shares of stock by any single stockholder or a group of stockholders (with limited exceptions). In addition to enhancing preservation of our status as a REIT, the Ownership Limit may:</w:t>
      </w:r>
    </w:p>
    <w:p>
      <w:pPr>
        <w:spacing w:after="0" w:line="208" w:lineRule="exact"/>
        <w:rPr>
          <w:sz w:val="20"/>
          <w:szCs w:val="20"/>
          <w:color w:val="auto"/>
        </w:rPr>
      </w:pPr>
    </w:p>
    <w:p>
      <w:pPr>
        <w:ind w:left="960" w:right="200" w:hanging="322"/>
        <w:spacing w:after="0" w:line="262"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effect of delaying, deferring or preventing a change in control of us or other transaction without the approval of our board of directors, even if the change in control or other transaction is in the best interests of our stockholders; and</w:t>
      </w:r>
    </w:p>
    <w:p>
      <w:pPr>
        <w:spacing w:after="0" w:line="101" w:lineRule="exact"/>
        <w:rPr>
          <w:rFonts w:ascii="Arial" w:cs="Arial" w:eastAsia="Arial" w:hAnsi="Arial"/>
          <w:sz w:val="18"/>
          <w:szCs w:val="18"/>
          <w:color w:val="auto"/>
        </w:rPr>
      </w:pPr>
    </w:p>
    <w:p>
      <w:pPr>
        <w:ind w:left="960" w:right="100" w:hanging="322"/>
        <w:spacing w:after="0" w:line="325" w:lineRule="auto"/>
        <w:tabs>
          <w:tab w:leader="none" w:pos="9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limit the opportunity for our stockholders to receive a premium for their common stock or preferred stock that they might otherwise receive if an investor were attempting to acquire a block of stock in excess of the Ownership Limit or otherwise effect a change in control of us.</w:t>
      </w:r>
    </w:p>
    <w:p>
      <w:pPr>
        <w:spacing w:after="0" w:line="55" w:lineRule="exact"/>
        <w:rPr>
          <w:sz w:val="20"/>
          <w:szCs w:val="20"/>
          <w:color w:val="auto"/>
        </w:rPr>
      </w:pPr>
    </w:p>
    <w:p>
      <w:pPr>
        <w:ind w:right="340" w:firstLine="632"/>
        <w:spacing w:after="0" w:line="307" w:lineRule="auto"/>
        <w:rPr>
          <w:sz w:val="20"/>
          <w:szCs w:val="20"/>
          <w:color w:val="auto"/>
        </w:rPr>
      </w:pPr>
      <w:r>
        <w:rPr>
          <w:rFonts w:ascii="Arial" w:cs="Arial" w:eastAsia="Arial" w:hAnsi="Arial"/>
          <w:sz w:val="16"/>
          <w:szCs w:val="16"/>
          <w:color w:val="auto"/>
        </w:rPr>
        <w:t>Our board of directors, in its sole discretion, may waive or modify (subject to limitations and upon any conditions as it may direct) the Ownership Limit with respect to one or more of our stockholders, if it is satisfied that ownership in excess of this limit will not jeopardize our status as a REIT.</w:t>
      </w:r>
    </w:p>
    <w:p>
      <w:pPr>
        <w:spacing w:after="0" w:line="162" w:lineRule="exact"/>
        <w:rPr>
          <w:sz w:val="20"/>
          <w:szCs w:val="20"/>
          <w:color w:val="auto"/>
        </w:rPr>
      </w:pPr>
    </w:p>
    <w:p>
      <w:pPr>
        <w:ind w:right="40" w:firstLine="632"/>
        <w:spacing w:after="0" w:line="236" w:lineRule="auto"/>
        <w:rPr>
          <w:sz w:val="20"/>
          <w:szCs w:val="20"/>
          <w:color w:val="auto"/>
        </w:rPr>
      </w:pPr>
      <w:r>
        <w:rPr>
          <w:rFonts w:ascii="Arial" w:cs="Arial" w:eastAsia="Arial" w:hAnsi="Arial"/>
          <w:sz w:val="18"/>
          <w:szCs w:val="18"/>
          <w:i w:val="1"/>
          <w:iCs w:val="1"/>
          <w:color w:val="auto"/>
        </w:rPr>
        <w:t xml:space="preserve">Selected Provisions of our Charter and bylaws. </w:t>
      </w:r>
      <w:r>
        <w:rPr>
          <w:rFonts w:ascii="Arial" w:cs="Arial" w:eastAsia="Arial" w:hAnsi="Arial"/>
          <w:sz w:val="18"/>
          <w:szCs w:val="18"/>
          <w:color w:val="auto"/>
        </w:rPr>
        <w:t>Some of the provisions of our Charter and bylaws may have the effect of delaying, deferring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These provisions include the following:</w:t>
      </w:r>
    </w:p>
    <w:p>
      <w:pPr>
        <w:spacing w:after="0" w:line="227" w:lineRule="exact"/>
        <w:rPr>
          <w:sz w:val="20"/>
          <w:szCs w:val="20"/>
          <w:color w:val="auto"/>
        </w:rPr>
      </w:pPr>
    </w:p>
    <w:p>
      <w:pPr>
        <w:ind w:left="940" w:hanging="302"/>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advance notice requirements for stockholder nominations of directors and stockholder proposals to be considered at stockholder meetings;</w:t>
      </w:r>
    </w:p>
    <w:p>
      <w:pPr>
        <w:spacing w:after="0" w:line="158" w:lineRule="exact"/>
        <w:rPr>
          <w:rFonts w:ascii="Arial" w:cs="Arial" w:eastAsia="Arial" w:hAnsi="Arial"/>
          <w:sz w:val="16"/>
          <w:szCs w:val="16"/>
          <w:color w:val="auto"/>
        </w:rPr>
      </w:pPr>
    </w:p>
    <w:p>
      <w:pPr>
        <w:ind w:left="960" w:right="680" w:hanging="322"/>
        <w:spacing w:after="0" w:line="262" w:lineRule="auto"/>
        <w:tabs>
          <w:tab w:leader="none" w:pos="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obligation of our directors to consider a variety of factors with respect to a proposed business combination or other change of control transaction;</w:t>
      </w:r>
    </w:p>
    <w:p>
      <w:pPr>
        <w:spacing w:after="0" w:line="114" w:lineRule="exact"/>
        <w:rPr>
          <w:rFonts w:ascii="Arial" w:cs="Arial" w:eastAsia="Arial" w:hAnsi="Arial"/>
          <w:sz w:val="18"/>
          <w:szCs w:val="18"/>
          <w:color w:val="auto"/>
        </w:rPr>
      </w:pPr>
    </w:p>
    <w:p>
      <w:pPr>
        <w:ind w:left="960" w:right="240" w:hanging="322"/>
        <w:spacing w:after="0" w:line="262" w:lineRule="auto"/>
        <w:tabs>
          <w:tab w:leader="none" w:pos="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authority of our directors to classify or reclassify unissued shares and cause the Company to issue shares of one or more classes or series of common stock or preferred stock;</w:t>
      </w:r>
    </w:p>
    <w:p>
      <w:pPr>
        <w:spacing w:after="0" w:line="114" w:lineRule="exact"/>
        <w:rPr>
          <w:rFonts w:ascii="Arial" w:cs="Arial" w:eastAsia="Arial" w:hAnsi="Arial"/>
          <w:sz w:val="18"/>
          <w:szCs w:val="18"/>
          <w:color w:val="auto"/>
        </w:rPr>
      </w:pPr>
    </w:p>
    <w:p>
      <w:pPr>
        <w:ind w:left="960" w:right="360" w:hanging="322"/>
        <w:spacing w:after="0" w:line="262" w:lineRule="auto"/>
        <w:tabs>
          <w:tab w:leader="none" w:pos="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authority of our directors to create and cause the Company to issue rights entitling the holders thereof to purchase shares of stock or other securities from us; and</w:t>
      </w:r>
    </w:p>
    <w:p>
      <w:pPr>
        <w:spacing w:after="0" w:line="101" w:lineRule="exact"/>
        <w:rPr>
          <w:rFonts w:ascii="Arial" w:cs="Arial" w:eastAsia="Arial" w:hAnsi="Arial"/>
          <w:sz w:val="18"/>
          <w:szCs w:val="18"/>
          <w:color w:val="auto"/>
        </w:rPr>
      </w:pPr>
    </w:p>
    <w:p>
      <w:pPr>
        <w:ind w:left="940" w:hanging="30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the amendment of our Charter, the change in control of us, and the liability of our directors and officers.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could inhibit a change in control or reduce the value of our common stock.</w:t>
      </w:r>
    </w:p>
    <w:p>
      <w:pPr>
        <w:spacing w:after="0" w:line="228" w:lineRule="exact"/>
        <w:rPr>
          <w:sz w:val="20"/>
          <w:szCs w:val="20"/>
          <w:color w:val="auto"/>
        </w:rPr>
      </w:pPr>
    </w:p>
    <w:p>
      <w:pPr>
        <w:jc w:val="both"/>
        <w:ind w:right="260" w:firstLine="632"/>
        <w:spacing w:after="0" w:line="282" w:lineRule="auto"/>
        <w:rPr>
          <w:sz w:val="20"/>
          <w:szCs w:val="20"/>
          <w:color w:val="auto"/>
        </w:rPr>
      </w:pPr>
      <w:r>
        <w:rPr>
          <w:rFonts w:ascii="Arial" w:cs="Arial" w:eastAsia="Arial" w:hAnsi="Arial"/>
          <w:sz w:val="16"/>
          <w:szCs w:val="16"/>
          <w:color w:val="auto"/>
        </w:rPr>
        <w:t>Certain provisions of the Maryland General Corporation Law (the “MGCL”) may have the effect of delaying, deferring or preventing a third party from making an acquisition proposal for us and may inhibit a change in control that holders of some, or a majority, of our shares might believe to be in their best interests or that could give our stockholders the opportunity to realize a premium over the then-prevailing market prices for our shares, including:</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25" w:name="page26"/>
    <w:bookmarkEnd w:id="25"/>
    <w:p>
      <w:pPr>
        <w:ind w:left="960" w:right="20" w:hanging="322"/>
        <w:spacing w:after="0" w:line="247"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or associate of ours who, at any time within the two-year period immediately prior to the date in question, was the beneficial owner of 10% or more of our then outstanding stock) or an affiliate of an interested stockholder for five years after the most recent date on which the stockholder becomes an interested stockholder, and thereafter may impose special appraisal rights and special stockholder voting requirements on these combinations; and</w:t>
      </w:r>
    </w:p>
    <w:p>
      <w:pPr>
        <w:spacing w:after="0" w:line="131" w:lineRule="exact"/>
        <w:rPr>
          <w:rFonts w:ascii="Arial" w:cs="Arial" w:eastAsia="Arial" w:hAnsi="Arial"/>
          <w:sz w:val="18"/>
          <w:szCs w:val="18"/>
          <w:color w:val="auto"/>
        </w:rPr>
      </w:pPr>
    </w:p>
    <w:p>
      <w:pPr>
        <w:ind w:left="960" w:right="120" w:hanging="322"/>
        <w:spacing w:after="0" w:line="248" w:lineRule="auto"/>
        <w:tabs>
          <w:tab w:leader="none" w:pos="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 Share” provisions that provide that holders of “control shares” of our Company (defined as shares which, when aggregated with other shares controlled by the stockholder, entitle the stockholder to exercise one of three increasing ranges of voting power in electing directors) acquired in a “control share acquisition” (defined as the direct or indirect acquisition of ownership or control of “control shares”) have no voting rights except to the extent approved by our stockholders by the affirmative vote of at least two-thirds of all the votes entitled to be cast on the matter, excluding all interested shares.</w:t>
      </w:r>
    </w:p>
    <w:p>
      <w:pPr>
        <w:spacing w:after="0" w:line="103" w:lineRule="exact"/>
        <w:rPr>
          <w:sz w:val="20"/>
          <w:szCs w:val="20"/>
          <w:color w:val="auto"/>
        </w:rPr>
      </w:pPr>
    </w:p>
    <w:p>
      <w:pPr>
        <w:ind w:firstLine="632"/>
        <w:spacing w:after="0" w:line="274" w:lineRule="auto"/>
        <w:rPr>
          <w:sz w:val="20"/>
          <w:szCs w:val="20"/>
          <w:color w:val="auto"/>
        </w:rPr>
      </w:pPr>
      <w:r>
        <w:rPr>
          <w:rFonts w:ascii="Arial" w:cs="Arial" w:eastAsia="Arial" w:hAnsi="Arial"/>
          <w:sz w:val="16"/>
          <w:szCs w:val="16"/>
          <w:color w:val="auto"/>
        </w:rPr>
        <w:t>As permitted by the MGCL, our Charter exempts from the “business combination” provisions any business combination between us and the principals and their respective affiliates and related persons. The MGCL also allows the board of directors to exempt particular business combinations before the interested stockholder becomes an interested stockholder. Furthermore, a person is not an interested stockholder if the transaction by which he or she would otherwise have become an interested stockholder is approved in advance by the board of directors.</w:t>
      </w:r>
    </w:p>
    <w:p>
      <w:pPr>
        <w:spacing w:after="0" w:line="187" w:lineRule="exact"/>
        <w:rPr>
          <w:sz w:val="20"/>
          <w:szCs w:val="20"/>
          <w:color w:val="auto"/>
        </w:rPr>
      </w:pPr>
    </w:p>
    <w:p>
      <w:pPr>
        <w:ind w:right="220" w:firstLine="632"/>
        <w:spacing w:after="0" w:line="236" w:lineRule="auto"/>
        <w:rPr>
          <w:sz w:val="20"/>
          <w:szCs w:val="20"/>
          <w:color w:val="auto"/>
        </w:rPr>
      </w:pPr>
      <w:r>
        <w:rPr>
          <w:rFonts w:ascii="Arial" w:cs="Arial" w:eastAsia="Arial" w:hAnsi="Arial"/>
          <w:sz w:val="18"/>
          <w:szCs w:val="18"/>
          <w:color w:val="auto"/>
        </w:rPr>
        <w:t>Additionally, pursuant to a provision in our bylaws, we have opted out of the “control share” acquisition provisions of the MGCL. However, in the future, we may, without the approval of our stockholders, by amendment to our bylaws, opt in to the control share provisions of the MGCL. The MGCL and our Charter also contain supermajority voting requirements with respect to our ability to amend certain provisions of our Charter, merge, or sell all or substantially all of our assets.</w:t>
      </w:r>
    </w:p>
    <w:p>
      <w:pPr>
        <w:spacing w:after="0" w:line="213" w:lineRule="exact"/>
        <w:rPr>
          <w:sz w:val="20"/>
          <w:szCs w:val="20"/>
          <w:color w:val="auto"/>
        </w:rPr>
      </w:pPr>
    </w:p>
    <w:p>
      <w:pPr>
        <w:ind w:right="20" w:firstLine="632"/>
        <w:spacing w:after="0" w:line="232" w:lineRule="auto"/>
        <w:rPr>
          <w:sz w:val="20"/>
          <w:szCs w:val="20"/>
          <w:color w:val="auto"/>
        </w:rPr>
      </w:pPr>
      <w:r>
        <w:rPr>
          <w:rFonts w:ascii="Arial" w:cs="Arial" w:eastAsia="Arial" w:hAnsi="Arial"/>
          <w:sz w:val="18"/>
          <w:szCs w:val="18"/>
          <w:color w:val="auto"/>
        </w:rPr>
        <w:t>Furthermore, our board of directors has adopted a resolution prohibiting us from electing to be subject to the provisions of Title 3, Subtitle 8 of the MGCL that would, among other things, permit our board of directors to classify the board without stockholder approval. Such provisions of Title 3, Subtitle 8 of the MGCL could have an anti-takeover effect. We may only elect to be subject to the classified board provisions of Title 3, Subtitle 8 after first obtaining the approval of our stockholders.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 RISKS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consequences of the sale of some of the Centers and certain holdings of the principals may create conflicts of interest.</w:t>
      </w:r>
    </w:p>
    <w:p>
      <w:pPr>
        <w:spacing w:after="0" w:line="228" w:lineRule="exact"/>
        <w:rPr>
          <w:sz w:val="20"/>
          <w:szCs w:val="20"/>
          <w:color w:val="auto"/>
        </w:rPr>
      </w:pPr>
    </w:p>
    <w:p>
      <w:pPr>
        <w:ind w:right="80" w:firstLine="632"/>
        <w:spacing w:after="0" w:line="238" w:lineRule="auto"/>
        <w:rPr>
          <w:sz w:val="20"/>
          <w:szCs w:val="20"/>
          <w:color w:val="auto"/>
        </w:rPr>
      </w:pPr>
      <w:r>
        <w:rPr>
          <w:rFonts w:ascii="Arial" w:cs="Arial" w:eastAsia="Arial" w:hAnsi="Arial"/>
          <w:sz w:val="18"/>
          <w:szCs w:val="18"/>
          <w:color w:val="auto"/>
        </w:rPr>
        <w:t>The principals will experience negative tax consequences if some of the Centers are sold. As a result, the principals may not favor a sale of these Centers even though such a sale may benefit our other stockholders. In addition, the principals may have different interests than our stockholders because they are significant holders of limited partnership units in the Operating Partnership.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were to fail to qualify as a REIT, we would have reduced funds available for distributions to our stockholders.</w:t>
      </w:r>
    </w:p>
    <w:p>
      <w:pPr>
        <w:spacing w:after="0" w:line="228" w:lineRule="exact"/>
        <w:rPr>
          <w:sz w:val="20"/>
          <w:szCs w:val="20"/>
          <w:color w:val="auto"/>
        </w:rPr>
      </w:pPr>
    </w:p>
    <w:p>
      <w:pPr>
        <w:ind w:right="60" w:firstLine="632"/>
        <w:spacing w:after="0" w:line="231" w:lineRule="auto"/>
        <w:rPr>
          <w:sz w:val="20"/>
          <w:szCs w:val="20"/>
          <w:color w:val="auto"/>
        </w:rPr>
      </w:pPr>
      <w:r>
        <w:rPr>
          <w:rFonts w:ascii="Arial" w:cs="Arial" w:eastAsia="Arial" w:hAnsi="Arial"/>
          <w:sz w:val="18"/>
          <w:szCs w:val="18"/>
          <w:color w:val="auto"/>
        </w:rPr>
        <w:t>We believe that we currently qualify as a REIT. No assurance can be given that we will remain qualified as a REIT. Qualification as a REIT involves the application of highly technical and complex Code provisions for which there are only limited judicial or administrative interpretations. The complexity of these provisions and of the applicable income tax regulations is greater in the case of a REIT structure like ours that holds assets through the Operating Partnership and joint ventures. The determination of various factual matters and circumstances not entirely within our control, including determinations by our partners in the Joint Venture Centers, may affect our continued qualification as a REIT. In addition, legislation, new regulations, administrative interpretations or court decisions could significantly change the tax laws with respect to our qualification as a REIT or the U.S. federal income tax consequences of that qualification.</w:t>
      </w:r>
    </w:p>
    <w:p>
      <w:pPr>
        <w:spacing w:after="0" w:line="213" w:lineRule="exact"/>
        <w:rPr>
          <w:sz w:val="20"/>
          <w:szCs w:val="20"/>
          <w:color w:val="auto"/>
        </w:rPr>
      </w:pPr>
    </w:p>
    <w:p>
      <w:pPr>
        <w:ind w:right="40" w:firstLine="632"/>
        <w:spacing w:after="0" w:line="309" w:lineRule="auto"/>
        <w:rPr>
          <w:sz w:val="20"/>
          <w:szCs w:val="20"/>
          <w:color w:val="auto"/>
        </w:rPr>
      </w:pPr>
      <w:r>
        <w:rPr>
          <w:rFonts w:ascii="Arial" w:cs="Arial" w:eastAsia="Arial" w:hAnsi="Arial"/>
          <w:sz w:val="15"/>
          <w:szCs w:val="15"/>
          <w:color w:val="auto"/>
        </w:rPr>
        <w:t>In addition, we currently hold certain of our properties through subsidiaries that have elected to be taxed as REITs and we may in the future determine that it is in our best interests to hold one or more of our other properties through one or more subsidiaries that elect to be taxed as REITs. If any of these subsidiaries fails to qualify as a REIT for U.S. federal income tax purposes, then we may also fail to qualify as a REIT for U.S. federal income tax purposes.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in any taxable year we were to fail to qualify as a REIT, we will suffer the following negative results:</w:t>
      </w:r>
    </w:p>
    <w:p>
      <w:pPr>
        <w:spacing w:after="0" w:line="241" w:lineRule="exact"/>
        <w:rPr>
          <w:sz w:val="20"/>
          <w:szCs w:val="20"/>
          <w:color w:val="auto"/>
        </w:rPr>
      </w:pPr>
    </w:p>
    <w:p>
      <w:pPr>
        <w:ind w:left="940" w:hanging="30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not be allowed a deduction for distributions to stockholders in computing our taxable income; and</w:t>
      </w:r>
    </w:p>
    <w:p>
      <w:pPr>
        <w:spacing w:after="0" w:line="148" w:lineRule="exact"/>
        <w:rPr>
          <w:rFonts w:ascii="Arial" w:cs="Arial" w:eastAsia="Arial" w:hAnsi="Arial"/>
          <w:sz w:val="18"/>
          <w:szCs w:val="18"/>
          <w:color w:val="auto"/>
        </w:rPr>
      </w:pPr>
    </w:p>
    <w:p>
      <w:pPr>
        <w:ind w:left="940" w:hanging="30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subject to U.S. federal and state income tax on our taxable income at regular corporate rates.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38" w:right="359" w:bottom="1440" w:gutter="0" w:footer="0" w:header="0"/>
        </w:sectPr>
      </w:pPr>
    </w:p>
    <w:bookmarkStart w:id="26" w:name="page27"/>
    <w:bookmarkEnd w:id="26"/>
    <w:p>
      <w:pPr>
        <w:ind w:right="60" w:firstLine="632"/>
        <w:spacing w:after="0" w:line="233" w:lineRule="auto"/>
        <w:rPr>
          <w:sz w:val="20"/>
          <w:szCs w:val="20"/>
          <w:color w:val="auto"/>
        </w:rPr>
      </w:pPr>
      <w:r>
        <w:rPr>
          <w:rFonts w:ascii="Arial" w:cs="Arial" w:eastAsia="Arial" w:hAnsi="Arial"/>
          <w:sz w:val="18"/>
          <w:szCs w:val="18"/>
          <w:color w:val="auto"/>
        </w:rPr>
        <w:t>In addition, if we were to lose our REIT status, we would be prohibited from qualifying as a REIT for the four taxable years following the year during which the qualification was lost, absent relief under statutory provisions. As a result, net income and the funds available for distributions to our stockholders would be reduced for at least five years and the fair market value of our shares could be materially adversely affected. Furthermore, the Internal Revenue Service could challenge our REIT status for past periods. Such a challenge, if successful, could result in us owing a material amount of tax, interest and penalties for prior periods. It is possible that future economic, market, legal, tax or other considerations might cause our board of directors to revoke our REIT election.</w:t>
      </w:r>
    </w:p>
    <w:p>
      <w:pPr>
        <w:spacing w:after="0" w:line="217" w:lineRule="exact"/>
        <w:rPr>
          <w:sz w:val="20"/>
          <w:szCs w:val="20"/>
          <w:color w:val="auto"/>
        </w:rPr>
      </w:pPr>
    </w:p>
    <w:p>
      <w:pPr>
        <w:ind w:right="140" w:firstLine="632"/>
        <w:spacing w:after="0" w:line="290" w:lineRule="auto"/>
        <w:rPr>
          <w:sz w:val="20"/>
          <w:szCs w:val="20"/>
          <w:color w:val="auto"/>
        </w:rPr>
      </w:pPr>
      <w:r>
        <w:rPr>
          <w:rFonts w:ascii="Arial" w:cs="Arial" w:eastAsia="Arial" w:hAnsi="Arial"/>
          <w:sz w:val="16"/>
          <w:szCs w:val="16"/>
          <w:color w:val="auto"/>
        </w:rPr>
        <w:t>Even if we remain qualified as a REIT, we might face other tax liabilities that reduce our cash flow. Further, we might be subject to federal, state and local taxes on our income and property. Any of these taxes would decrease cash available for distributions to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might cause us to forego otherwise attractive opportunities.</w:t>
      </w:r>
    </w:p>
    <w:p>
      <w:pPr>
        <w:spacing w:after="0" w:line="228" w:lineRule="exact"/>
        <w:rPr>
          <w:sz w:val="20"/>
          <w:szCs w:val="20"/>
          <w:color w:val="auto"/>
        </w:rPr>
      </w:pPr>
    </w:p>
    <w:p>
      <w:pPr>
        <w:ind w:firstLine="632"/>
        <w:spacing w:after="0" w:line="236" w:lineRule="auto"/>
        <w:rPr>
          <w:sz w:val="20"/>
          <w:szCs w:val="20"/>
          <w:color w:val="auto"/>
        </w:rPr>
      </w:pPr>
      <w:r>
        <w:rPr>
          <w:rFonts w:ascii="Arial" w:cs="Arial" w:eastAsia="Arial" w:hAnsi="Arial"/>
          <w:sz w:val="18"/>
          <w:szCs w:val="18"/>
          <w:color w:val="auto"/>
        </w:rPr>
        <w:t>In order to qualify as a REIT for U.S. federal income tax purposes, we must satisfy tests concerning, among other things, our sources of income, the nature of our assets, the amounts we distribute to our stockholders and the ownership of our stock. We may also be required to make distributions to our stockholders at disadvantageous times or when we do not have funds readily available for distribution. Thus, compliance with REIT requirements may cause us to forego opportunities we would otherwise pursue.</w:t>
      </w:r>
    </w:p>
    <w:p>
      <w:pPr>
        <w:spacing w:after="0" w:line="213" w:lineRule="exact"/>
        <w:rPr>
          <w:sz w:val="20"/>
          <w:szCs w:val="20"/>
          <w:color w:val="auto"/>
        </w:rPr>
      </w:pPr>
    </w:p>
    <w:p>
      <w:pPr>
        <w:ind w:right="40" w:firstLine="632"/>
        <w:spacing w:after="0" w:line="236" w:lineRule="auto"/>
        <w:rPr>
          <w:sz w:val="20"/>
          <w:szCs w:val="20"/>
          <w:color w:val="auto"/>
        </w:rPr>
      </w:pPr>
      <w:r>
        <w:rPr>
          <w:rFonts w:ascii="Arial" w:cs="Arial" w:eastAsia="Arial" w:hAnsi="Arial"/>
          <w:sz w:val="18"/>
          <w:szCs w:val="18"/>
          <w:color w:val="auto"/>
        </w:rPr>
        <w:t>In addition, the REIT provisions of the Code impose a 100% tax on income from “prohibited transactions.” Prohibited transactions generally include sales of assets that do not qualify for a statutory safe harbor if such assets constitute inventory or other property held for sale in the ordinary course of business, other than foreclosure property. This 100% tax could impact our desire to sell assets and other investments at otherwise opportune times if we believe such sales could be considered prohibited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borrow or take other measures to make distributions to our stockholders.</w:t>
      </w:r>
    </w:p>
    <w:p>
      <w:pPr>
        <w:spacing w:after="0" w:line="228" w:lineRule="exact"/>
        <w:rPr>
          <w:sz w:val="20"/>
          <w:szCs w:val="20"/>
          <w:color w:val="auto"/>
        </w:rPr>
      </w:pPr>
    </w:p>
    <w:p>
      <w:pPr>
        <w:ind w:right="40" w:firstLine="632"/>
        <w:spacing w:after="0" w:line="261" w:lineRule="auto"/>
        <w:rPr>
          <w:sz w:val="20"/>
          <w:szCs w:val="20"/>
          <w:color w:val="auto"/>
        </w:rPr>
      </w:pPr>
      <w:r>
        <w:rPr>
          <w:rFonts w:ascii="Arial" w:cs="Arial" w:eastAsia="Arial" w:hAnsi="Arial"/>
          <w:sz w:val="16"/>
          <w:szCs w:val="16"/>
          <w:color w:val="auto"/>
        </w:rPr>
        <w:t>As a REIT, we generally must distribute 90% of our annual taxable income (subject to certain adjustments) to our stockholders. From time to time, we might generate taxable income greater than our net income for financial reporting purposes, or our taxable income might be greater than our cash flow available for distributions to our stockholders. If we do not have other funds available in these situations, we might be unable to distribute 90% of our taxable income as required by the REIT rules. In that case, we would need to borrow funds, liquidate or sell a portion of our properties or investments (potentially at disadvantageous or unfavorable prices), in certain limited cases distribute a combination of cash and stock (at our stockholders’ election but subject to an aggregate cash limit established by the Company) or find another alternative source of funds. These alternatives could increase our costs or reduce our equity. In addition, to the extent we borrow funds to pay distributions, the amount of cash available to us in future periods will be decreased by the amount of cash flow we will need to service principal and interest on the amounts we borrow, which will limit cash flow available to us for other investments or business opportunities.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in connection with Section 1031 Exchanges.</w:t>
      </w:r>
    </w:p>
    <w:p>
      <w:pPr>
        <w:spacing w:after="0" w:line="228" w:lineRule="exact"/>
        <w:rPr>
          <w:sz w:val="20"/>
          <w:szCs w:val="20"/>
          <w:color w:val="auto"/>
        </w:rPr>
      </w:pPr>
    </w:p>
    <w:p>
      <w:pPr>
        <w:ind w:right="40" w:firstLine="632"/>
        <w:spacing w:after="0" w:line="270" w:lineRule="auto"/>
        <w:rPr>
          <w:sz w:val="20"/>
          <w:szCs w:val="20"/>
          <w:color w:val="auto"/>
        </w:rPr>
      </w:pPr>
      <w:r>
        <w:rPr>
          <w:rFonts w:ascii="Arial" w:cs="Arial" w:eastAsia="Arial" w:hAnsi="Arial"/>
          <w:sz w:val="16"/>
          <w:szCs w:val="16"/>
          <w:color w:val="auto"/>
        </w:rPr>
        <w:t>If a transaction intended to qualify as a Section 1031 Exchange is later determined to be taxable, we may face adverse consequences, and if the laws applicable to such transactions are amended or repealed, we may not be able to dispose of properties on a tax deferred basis. Section 1031 Exchanges now only apply to real property and do not apply to any related personal property transferred with the real property. As a result, any appreciated personal property that is transferred in connection with a Section 1031 Exchange of real property will cause gain to be recognized, and such gain is generally treated as non-qualifying income for the 95% and 75% gross income tests. Any such non-qualifying income could have an adverse effect on our REIT status.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Operating Partnership fails to maintain its status as a partnership for tax purposes, we would face adverse tax consequences.</w:t>
      </w:r>
    </w:p>
    <w:p>
      <w:pPr>
        <w:spacing w:after="0" w:line="251" w:lineRule="exact"/>
        <w:rPr>
          <w:sz w:val="20"/>
          <w:szCs w:val="20"/>
          <w:color w:val="auto"/>
        </w:rPr>
      </w:pPr>
    </w:p>
    <w:p>
      <w:pPr>
        <w:ind w:firstLine="632"/>
        <w:spacing w:after="0" w:line="266" w:lineRule="auto"/>
        <w:rPr>
          <w:sz w:val="20"/>
          <w:szCs w:val="20"/>
          <w:color w:val="auto"/>
        </w:rPr>
      </w:pPr>
      <w:r>
        <w:rPr>
          <w:rFonts w:ascii="Arial" w:cs="Arial" w:eastAsia="Arial" w:hAnsi="Arial"/>
          <w:sz w:val="16"/>
          <w:szCs w:val="16"/>
          <w:color w:val="auto"/>
        </w:rPr>
        <w:t>We intend to maintain the status of the Operating Partnership as a partnership for federal income tax purposes. However, if the Internal Revenue Service were to successfully challenge the status of the Operating Partnership as an entity taxable as a partnership, the Operating Partnership would be taxable as a corporation. This would reduce the amount of distributions that the Operating Partnership could make to us. This could also result in our losing REIT status, with the consequences described above. This would substantially reduce the cash available to us to make distributions and the return on your investment. In addition, if any of the partnerships or limited liability companies through which the Operating Partnership owns its property, in whole or in part, loses its characterization as a partnership or disregarded entity for federal income tax purposes, it would be subject to taxation as a corporation, thereby reducing distributions to the Operating Partnership. Such a recharacterization of an underlying entity could also threaten our ability to maintain REIT status.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Legislative or regulatory action could adversely affect our stockholders.</w:t>
      </w:r>
    </w:p>
    <w:p>
      <w:pPr>
        <w:spacing w:after="0" w:line="228" w:lineRule="exact"/>
        <w:rPr>
          <w:sz w:val="20"/>
          <w:szCs w:val="20"/>
          <w:color w:val="auto"/>
        </w:rPr>
      </w:pPr>
    </w:p>
    <w:p>
      <w:pPr>
        <w:ind w:right="240" w:firstLine="632"/>
        <w:spacing w:after="0" w:line="238" w:lineRule="auto"/>
        <w:rPr>
          <w:sz w:val="20"/>
          <w:szCs w:val="20"/>
          <w:color w:val="auto"/>
        </w:rPr>
      </w:pPr>
      <w:r>
        <w:rPr>
          <w:rFonts w:ascii="Arial" w:cs="Arial" w:eastAsia="Arial" w:hAnsi="Arial"/>
          <w:sz w:val="18"/>
          <w:szCs w:val="18"/>
          <w:color w:val="auto"/>
        </w:rPr>
        <w:t>In recent years, numerous legislative, judicial and administrative changes have been made to the U.S. federal income tax laws applicable to investments similar to an investment in our stock. Additional changes to tax laws are likely to continue in the future, and we cannot assure you that any such changes will not adversely affect the taxation of us or our stockholders.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such changes could have an adverse effect on an investment in our stock or on the market value or the resale potential of our properties.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34"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Our success depends, in part, on our ability to attract and retain talented employees, and the loss of any one of our key personnel could adversely impact our business.</w:t>
      </w:r>
    </w:p>
    <w:p>
      <w:pPr>
        <w:spacing w:after="0" w:line="214" w:lineRule="exact"/>
        <w:rPr>
          <w:sz w:val="20"/>
          <w:szCs w:val="20"/>
          <w:color w:val="auto"/>
        </w:rPr>
      </w:pPr>
    </w:p>
    <w:p>
      <w:pPr>
        <w:ind w:firstLine="632"/>
        <w:spacing w:after="0" w:line="234" w:lineRule="auto"/>
        <w:rPr>
          <w:sz w:val="20"/>
          <w:szCs w:val="20"/>
          <w:color w:val="auto"/>
        </w:rPr>
      </w:pPr>
      <w:r>
        <w:rPr>
          <w:rFonts w:ascii="Arial" w:cs="Arial" w:eastAsia="Arial" w:hAnsi="Arial"/>
          <w:sz w:val="18"/>
          <w:szCs w:val="18"/>
          <w:color w:val="auto"/>
        </w:rPr>
        <w:t>The success of our business depends, in part, on the leadership and performance of our executive management team and key employees, and our ability to attract, retain and motivate talented employees could significantly impact our future performance. Competition for these individuals is intense, and we cannot assure you that we will retain our executive management team and key employees or that we will be able to attract and retain other highly qualified individuals for these positions in the future. Losing any one or more of these persons could have a material adverse effect on our results of operations, financial condition and cash flows.</w:t>
      </w:r>
    </w:p>
    <w:p>
      <w:pPr>
        <w:spacing w:after="0" w:line="21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The price of our common stock has and may continue to fluctuate significantly, which may make it difficult for our stockholders to resell their shares when they want or at prices they find attractive.</w:t>
      </w:r>
    </w:p>
    <w:p>
      <w:pPr>
        <w:spacing w:after="0" w:line="206" w:lineRule="exact"/>
        <w:rPr>
          <w:sz w:val="20"/>
          <w:szCs w:val="20"/>
          <w:color w:val="auto"/>
        </w:rPr>
      </w:pPr>
    </w:p>
    <w:p>
      <w:pPr>
        <w:ind w:firstLine="632"/>
        <w:spacing w:after="0" w:line="258" w:lineRule="auto"/>
        <w:rPr>
          <w:sz w:val="20"/>
          <w:szCs w:val="20"/>
          <w:color w:val="auto"/>
        </w:rPr>
      </w:pPr>
      <w:r>
        <w:rPr>
          <w:rFonts w:ascii="Arial" w:cs="Arial" w:eastAsia="Arial" w:hAnsi="Arial"/>
          <w:sz w:val="16"/>
          <w:szCs w:val="16"/>
          <w:color w:val="auto"/>
        </w:rPr>
        <w:t>The price of our common stock on the NYSE constantly changes and has been subject to significant price fluctuations. Our stock price can fluctuate as a result of a variety of factors, many of which are beyond our control. These factors may include, but are not limited to, actual or anticipated variations in our operating results or dividends; general market fluctuations, including potentially extreme increases or decreases in the market prices of certain of our publicly traded tenants, industry factors and general economic and geopolitical conditions and events, such as economic slowdowns or recessions, consumer confidence in the economy, ongoing military conflicts and terrorist attacks; 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and the potential for a “short squeeze” whereby short sellers are forced to cover their open positions, access to margin debt, trading in options and other derivatives on our common stock and other technical trading factors; changes in our funds from operations or earnings estimates; changes in the ability of our shopping centers to generate sufficient revenues to meet operating and other expenses; anchor or tenant bankruptcies, closures, mergers or consolidations; local economic and real estate conditions in geographic locations where we have a high concentration of Centers; competition by public or private mall companies or others, including competition for both acquisition of Centers and for tenants to occupy space; the ability of our tenants to pay rent and meet their other obligations to us under current lease terms and our ability to lease space on favorable terms; the success of our acquisition and real estate development strategy; our ability to comply with the financial covenants in our debt agreements and the impact of restrictive covenants in our debt agreements; our access to financing; inflation and increases in interest rates; the risk of our failure to qualify or maintain our status as a REIT; our ability to comply with our joint venture agreements and other risks associated with our joint venture investments; possible uninsured losses, including losses from casualty events or natural disasters, and possible environmental liabilities; adverse impacts from COVID-19 or any future pandemic, epidemic or outbreak of any other highly infectious disease on the U.S., regional and global economies and on our financial condition and results of operations and the financial condition and results of operations of our tenants; a decision by any of our significant stockholders to sell substantial amounts of our common stock; any future issuances of equity securities; and the realization of any of the other risk factors included in this Annual Report on Form 10-K.</w:t>
      </w:r>
    </w:p>
    <w:p>
      <w:pPr>
        <w:spacing w:after="0" w:line="20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We face risks associated with and have been the target of security breaches through cyber attacks, cyber intrusions or otherwise, as well as other significant disruptions of our information technology (IT) networks and related systems.</w:t>
      </w:r>
    </w:p>
    <w:p>
      <w:pPr>
        <w:spacing w:after="0" w:line="206" w:lineRule="exact"/>
        <w:rPr>
          <w:sz w:val="20"/>
          <w:szCs w:val="20"/>
          <w:color w:val="auto"/>
        </w:rPr>
      </w:pPr>
    </w:p>
    <w:p>
      <w:pPr>
        <w:ind w:firstLine="632"/>
        <w:spacing w:after="0" w:line="284" w:lineRule="auto"/>
        <w:rPr>
          <w:sz w:val="20"/>
          <w:szCs w:val="20"/>
          <w:color w:val="auto"/>
        </w:rPr>
      </w:pPr>
      <w:r>
        <w:rPr>
          <w:rFonts w:ascii="Arial" w:cs="Arial" w:eastAsia="Arial" w:hAnsi="Arial"/>
          <w:sz w:val="15"/>
          <w:szCs w:val="15"/>
          <w:color w:val="auto"/>
        </w:rPr>
        <w:t>We face risks associated with cyber threats and have been the target of security breaches, whether through cyber attacks or cyber intrusions over the Internet, malware, computer viruses, attachments to e-mails, persons inside our organization or persons with access to systems inside our organization, and other significant disruptions of our IT networks and related systems. Cyber incidents have been increasing in sophistication and frequency and can include third parties gaining access to data using stolen or inferred credentials, computer malware, viruses, spamming, phishing attacks, ransomware, and other deliberate attacks and attempts to gain unauthorized access. The techniques used to sabotage or to obtain systems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These threats, in turn, may lead to increased costs to protect our information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28" w:name="page29"/>
    <w:bookmarkEnd w:id="28"/>
    <w:p>
      <w:pPr>
        <w:ind w:right="260"/>
        <w:spacing w:after="0" w:line="247" w:lineRule="auto"/>
        <w:rPr>
          <w:sz w:val="20"/>
          <w:szCs w:val="20"/>
          <w:color w:val="auto"/>
        </w:rPr>
      </w:pPr>
      <w:r>
        <w:rPr>
          <w:rFonts w:ascii="Arial" w:cs="Arial" w:eastAsia="Arial" w:hAnsi="Arial"/>
          <w:sz w:val="18"/>
          <w:szCs w:val="18"/>
          <w:color w:val="auto"/>
        </w:rPr>
        <w:t>systems, detect and respond to threats, and recover from cyber incidents. While we carry cyber liability insurance, it may not be adequate to cover all losses relating to such events.</w:t>
      </w:r>
    </w:p>
    <w:p>
      <w:pPr>
        <w:spacing w:after="0" w:line="206" w:lineRule="exact"/>
        <w:rPr>
          <w:sz w:val="20"/>
          <w:szCs w:val="20"/>
          <w:color w:val="auto"/>
        </w:rPr>
      </w:pPr>
    </w:p>
    <w:p>
      <w:pPr>
        <w:ind w:firstLine="632"/>
        <w:spacing w:after="0" w:line="260" w:lineRule="auto"/>
        <w:rPr>
          <w:sz w:val="20"/>
          <w:szCs w:val="20"/>
          <w:color w:val="auto"/>
        </w:rPr>
      </w:pPr>
      <w:r>
        <w:rPr>
          <w:rFonts w:ascii="Arial" w:cs="Arial" w:eastAsia="Arial" w:hAnsi="Arial"/>
          <w:sz w:val="16"/>
          <w:szCs w:val="16"/>
          <w:color w:val="auto"/>
        </w:rPr>
        <w:t>Our IT networks and related systems are essential to the operation of our business and our ability to perform day-to-day operations and, in some cases, may be critical to the operations of certain of our tenants. Although we make efforts to maintain the security and integrity of these types of IT networks and related systems, and we have implemented various measures to manage the risk of a security incident, there can be no guarantee that our security efforts and measures will be effective or that attempted cyber attacks would not be successful, disruptive, or damaging. A security incident involving our information systems could disrupt the proper functioning of our networks and systems. This could, in turn, result in misstated financial reports, violations of loan covenants and/or missed reporting deadlines, the inability to properly monitor our compliance with the rules and regulations regarding our qualification as a REIT, the unauthorized access to, and the destruction, loss, theft, misappropriation or release of proprietary, confidential, sensitive or otherwise valuable information of ours or others, which could be used to compete against us or for disruptive, destructive or otherwise harmful purposes and outcomes; require significant management attention and resources to remedy any damages that result; subject us to claims for breach of contract, damages, credits, penalties or termination of leases or other agreements; or damage our reputation among our tenants and investors generally. Moreover, cyber attacks perpetrated against our Anchors and tenants, including unauthorized access to customers’ credit card data and other confidential information, could diminish consumer confidence and consumer spending and negatively impact our business. Any breach, loss, or compromise of personal data may also subject us to civil fines and penalties, or claims for damages under relevant state and federal privacy laws in the United States. Data breaches and other data security compromises may lead to public disclosures which, in turn, may lead to widespread negative publicity.</w:t>
      </w:r>
    </w:p>
    <w:p>
      <w:pPr>
        <w:spacing w:after="0" w:line="1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sectPr>
      </w:pPr>
    </w:p>
    <w:bookmarkStart w:id="29" w:name="page30"/>
    <w:bookmarkEnd w:id="29"/>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2"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following table sets forth certain information regarding the Centers and other locations that are wholly owned or partly owned by the Company as of December 31, 2022.</w:t>
      </w:r>
    </w:p>
    <w:tbl>
      <w:tblPr>
        <w:tblLayout w:type="fixed"/>
        <w:tblInd w:w="0" w:type="dxa"/>
        <w:tblCellMar>
          <w:top w:w="0" w:type="dxa"/>
          <w:left w:w="0" w:type="dxa"/>
          <w:bottom w:w="0" w:type="dxa"/>
          <w:right w:w="0" w:type="dxa"/>
        </w:tblCellMar>
      </w:tblPr>
      <w:tr>
        <w:trPr>
          <w:trHeight w:val="114"/>
        </w:trPr>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85"/>
              </w:rPr>
              <w:t>Year of</w:t>
            </w:r>
          </w:p>
        </w:tc>
        <w:tc>
          <w:tcPr>
            <w:tcW w:w="900" w:type="dxa"/>
            <w:vAlign w:val="bottom"/>
            <w:gridSpan w:val="2"/>
          </w:tcPr>
          <w:p>
            <w:pPr>
              <w:jc w:val="center"/>
              <w:ind w:right="120"/>
              <w:spacing w:after="0" w:line="114" w:lineRule="exact"/>
              <w:rPr>
                <w:sz w:val="20"/>
                <w:szCs w:val="20"/>
                <w:color w:val="auto"/>
              </w:rPr>
            </w:pPr>
            <w:r>
              <w:rPr>
                <w:rFonts w:ascii="Arial" w:cs="Arial" w:eastAsia="Arial" w:hAnsi="Arial"/>
                <w:sz w:val="11"/>
                <w:szCs w:val="11"/>
                <w:b w:val="1"/>
                <w:bCs w:val="1"/>
                <w:color w:val="auto"/>
                <w:w w:val="87"/>
              </w:rPr>
              <w:t>Year of Most</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Mall and</w:t>
            </w:r>
          </w:p>
        </w:tc>
        <w:tc>
          <w:tcPr>
            <w:tcW w:w="1080" w:type="dxa"/>
            <w:vAlign w:val="bottom"/>
            <w:gridSpan w:val="2"/>
          </w:tcPr>
          <w:p>
            <w:pPr>
              <w:jc w:val="center"/>
              <w:ind w:right="100"/>
              <w:spacing w:after="0" w:line="114" w:lineRule="exact"/>
              <w:rPr>
                <w:sz w:val="20"/>
                <w:szCs w:val="20"/>
                <w:color w:val="auto"/>
              </w:rPr>
            </w:pPr>
            <w:r>
              <w:rPr>
                <w:rFonts w:ascii="Arial" w:cs="Arial" w:eastAsia="Arial" w:hAnsi="Arial"/>
                <w:sz w:val="11"/>
                <w:szCs w:val="11"/>
                <w:b w:val="1"/>
                <w:bCs w:val="1"/>
                <w:color w:val="auto"/>
                <w:w w:val="84"/>
              </w:rPr>
              <w:t>Percentage</w:t>
            </w:r>
          </w:p>
        </w:tc>
        <w:tc>
          <w:tcPr>
            <w:tcW w:w="10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80" w:type="dxa"/>
            <w:vAlign w:val="bottom"/>
          </w:tcPr>
          <w:p>
            <w:pPr>
              <w:spacing w:after="0"/>
              <w:rPr>
                <w:sz w:val="9"/>
                <w:szCs w:val="9"/>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Company's</w:t>
            </w:r>
          </w:p>
        </w:tc>
        <w:tc>
          <w:tcPr>
            <w:tcW w:w="154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Name of</w:t>
            </w: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1"/>
              </w:rPr>
              <w:t>Original</w:t>
            </w:r>
          </w:p>
        </w:tc>
        <w:tc>
          <w:tcPr>
            <w:tcW w:w="90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w w:val="81"/>
              </w:rPr>
              <w:t>Recent</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3"/>
              </w:rPr>
              <w:t>Total</w:t>
            </w:r>
          </w:p>
        </w:tc>
        <w:tc>
          <w:tcPr>
            <w:tcW w:w="1140" w:type="dxa"/>
            <w:vAlign w:val="bottom"/>
            <w:gridSpan w:val="2"/>
            <w:vMerge w:val="continue"/>
          </w:tcPr>
          <w:p>
            <w:pPr>
              <w:spacing w:after="0"/>
              <w:rPr>
                <w:sz w:val="9"/>
                <w:szCs w:val="9"/>
                <w:color w:val="auto"/>
              </w:rPr>
            </w:pPr>
          </w:p>
        </w:tc>
        <w:tc>
          <w:tcPr>
            <w:tcW w:w="1080" w:type="dxa"/>
            <w:vAlign w:val="bottom"/>
            <w:gridSpan w:val="2"/>
          </w:tcPr>
          <w:p>
            <w:pPr>
              <w:jc w:val="center"/>
              <w:ind w:right="80"/>
              <w:spacing w:after="0" w:line="105" w:lineRule="exact"/>
              <w:rPr>
                <w:sz w:val="20"/>
                <w:szCs w:val="20"/>
                <w:color w:val="auto"/>
              </w:rPr>
            </w:pPr>
            <w:r>
              <w:rPr>
                <w:rFonts w:ascii="Arial" w:cs="Arial" w:eastAsia="Arial" w:hAnsi="Arial"/>
                <w:sz w:val="11"/>
                <w:szCs w:val="11"/>
                <w:b w:val="1"/>
                <w:bCs w:val="1"/>
                <w:color w:val="auto"/>
                <w:w w:val="90"/>
              </w:rPr>
              <w:t>of Mall and</w:t>
            </w:r>
          </w:p>
        </w:tc>
        <w:tc>
          <w:tcPr>
            <w:tcW w:w="104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w w:val="87"/>
              </w:rPr>
              <w:t>Non-Owned</w:t>
            </w:r>
          </w:p>
        </w:tc>
        <w:tc>
          <w:tcPr>
            <w:tcW w:w="134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w w:val="86"/>
              </w:rPr>
              <w:t>Company-Owned Anchors</w:t>
            </w:r>
          </w:p>
        </w:tc>
        <w:tc>
          <w:tcPr>
            <w:tcW w:w="0" w:type="dxa"/>
            <w:vAlign w:val="bottom"/>
          </w:tcPr>
          <w:p>
            <w:pPr>
              <w:spacing w:after="0"/>
              <w:rPr>
                <w:sz w:val="1"/>
                <w:szCs w:val="1"/>
                <w:color w:val="auto"/>
              </w:rPr>
            </w:pPr>
          </w:p>
        </w:tc>
      </w:tr>
      <w:tr>
        <w:trPr>
          <w:trHeight w:val="105"/>
        </w:trPr>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Count</w:t>
            </w:r>
          </w:p>
        </w:tc>
        <w:tc>
          <w:tcPr>
            <w:tcW w:w="110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6"/>
              </w:rPr>
              <w:t>Construction/</w:t>
            </w:r>
          </w:p>
        </w:tc>
        <w:tc>
          <w:tcPr>
            <w:tcW w:w="90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w w:val="85"/>
              </w:rPr>
              <w:t>Expansion/</w:t>
            </w:r>
          </w:p>
        </w:tc>
        <w:tc>
          <w:tcPr>
            <w:tcW w:w="980" w:type="dxa"/>
            <w:vAlign w:val="bottom"/>
            <w:gridSpan w:val="2"/>
            <w:vMerge w:val="continue"/>
          </w:tcPr>
          <w:p>
            <w:pPr>
              <w:spacing w:after="0"/>
              <w:rPr>
                <w:sz w:val="9"/>
                <w:szCs w:val="9"/>
                <w:color w:val="auto"/>
              </w:rPr>
            </w:pPr>
          </w:p>
        </w:tc>
        <w:tc>
          <w:tcPr>
            <w:tcW w:w="114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6"/>
              </w:rPr>
              <w:t>Freestanding</w:t>
            </w:r>
          </w:p>
        </w:tc>
        <w:tc>
          <w:tcPr>
            <w:tcW w:w="108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3"/>
              </w:rPr>
              <w:t>Freestanding</w:t>
            </w: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80" w:type="dxa"/>
            <w:vAlign w:val="bottom"/>
            <w:vMerge w:val="continue"/>
          </w:tcPr>
          <w:p>
            <w:pPr>
              <w:spacing w:after="0"/>
              <w:rPr>
                <w:sz w:val="11"/>
                <w:szCs w:val="11"/>
                <w:color w:val="auto"/>
              </w:rPr>
            </w:pP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Ownership(1)</w:t>
            </w:r>
          </w:p>
        </w:tc>
        <w:tc>
          <w:tcPr>
            <w:tcW w:w="1540" w:type="dxa"/>
            <w:vAlign w:val="bottom"/>
            <w:gridSpan w:val="2"/>
          </w:tcPr>
          <w:p>
            <w:pPr>
              <w:ind w:left="280"/>
              <w:spacing w:after="0"/>
              <w:rPr>
                <w:sz w:val="20"/>
                <w:szCs w:val="20"/>
                <w:color w:val="auto"/>
              </w:rPr>
            </w:pPr>
            <w:r>
              <w:rPr>
                <w:rFonts w:ascii="Arial" w:cs="Arial" w:eastAsia="Arial" w:hAnsi="Arial"/>
                <w:sz w:val="11"/>
                <w:szCs w:val="11"/>
                <w:b w:val="1"/>
                <w:bCs w:val="1"/>
                <w:color w:val="auto"/>
              </w:rPr>
              <w:t>Center/Location(2)</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Acquisition</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Renovation</w:t>
            </w:r>
          </w:p>
        </w:tc>
        <w:tc>
          <w:tcPr>
            <w:tcW w:w="9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GLA(3)</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GLA</w:t>
            </w: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GLA Leased</w:t>
            </w:r>
          </w:p>
        </w:tc>
        <w:tc>
          <w:tcPr>
            <w:tcW w:w="104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Anchors (3)</w:t>
            </w:r>
          </w:p>
        </w:tc>
        <w:tc>
          <w:tcPr>
            <w:tcW w:w="134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(3)</w:t>
            </w:r>
          </w:p>
        </w:tc>
        <w:tc>
          <w:tcPr>
            <w:tcW w:w="0" w:type="dxa"/>
            <w:vAlign w:val="bottom"/>
          </w:tcPr>
          <w:p>
            <w:pPr>
              <w:spacing w:after="0"/>
              <w:rPr>
                <w:sz w:val="1"/>
                <w:szCs w:val="1"/>
                <w:color w:val="auto"/>
              </w:rPr>
            </w:pPr>
          </w:p>
        </w:tc>
      </w:tr>
      <w:tr>
        <w:trPr>
          <w:trHeight w:val="22"/>
        </w:trPr>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4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80" w:type="dxa"/>
            <w:vAlign w:val="bottom"/>
            <w:shd w:val="clear" w:color="auto" w:fill="CCEEFF"/>
          </w:tcPr>
          <w:p>
            <w:pPr>
              <w:spacing w:after="0"/>
              <w:rPr>
                <w:sz w:val="14"/>
                <w:szCs w:val="14"/>
                <w:color w:val="auto"/>
              </w:rPr>
            </w:pPr>
          </w:p>
        </w:tc>
        <w:tc>
          <w:tcPr>
            <w:tcW w:w="2640" w:type="dxa"/>
            <w:vAlign w:val="bottom"/>
            <w:gridSpan w:val="4"/>
            <w:shd w:val="clear" w:color="auto" w:fill="CCEEFF"/>
          </w:tcPr>
          <w:p>
            <w:pPr>
              <w:ind w:left="120"/>
              <w:spacing w:after="0"/>
              <w:rPr>
                <w:sz w:val="20"/>
                <w:szCs w:val="20"/>
                <w:color w:val="auto"/>
              </w:rPr>
            </w:pPr>
            <w:r>
              <w:rPr>
                <w:rFonts w:ascii="Arial" w:cs="Arial" w:eastAsia="Arial" w:hAnsi="Arial"/>
                <w:sz w:val="12"/>
                <w:szCs w:val="12"/>
                <w:b w:val="1"/>
                <w:bCs w:val="1"/>
                <w:color w:val="auto"/>
              </w:rPr>
              <w:t>CONSOLIDATED CENTERS:</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80" w:type="dxa"/>
            <w:vAlign w:val="bottom"/>
          </w:tcPr>
          <w:p>
            <w:pPr>
              <w:jc w:val="center"/>
              <w:spacing w:after="0" w:line="131" w:lineRule="exact"/>
              <w:rPr>
                <w:sz w:val="20"/>
                <w:szCs w:val="20"/>
                <w:color w:val="auto"/>
              </w:rPr>
            </w:pPr>
            <w:r>
              <w:rPr>
                <w:rFonts w:ascii="Arial" w:cs="Arial" w:eastAsia="Arial" w:hAnsi="Arial"/>
                <w:sz w:val="12"/>
                <w:szCs w:val="12"/>
                <w:color w:val="auto"/>
                <w:w w:val="89"/>
              </w:rPr>
              <w:t>1</w:t>
            </w:r>
          </w:p>
        </w:tc>
        <w:tc>
          <w:tcPr>
            <w:tcW w:w="980" w:type="dxa"/>
            <w:vAlign w:val="bottom"/>
          </w:tcPr>
          <w:p>
            <w:pPr>
              <w:jc w:val="center"/>
              <w:ind w:left="39"/>
              <w:spacing w:after="0" w:line="131" w:lineRule="exact"/>
              <w:rPr>
                <w:sz w:val="20"/>
                <w:szCs w:val="20"/>
                <w:color w:val="auto"/>
              </w:rPr>
            </w:pPr>
            <w:r>
              <w:rPr>
                <w:rFonts w:ascii="Arial" w:cs="Arial" w:eastAsia="Arial" w:hAnsi="Arial"/>
                <w:sz w:val="12"/>
                <w:szCs w:val="12"/>
                <w:color w:val="auto"/>
                <w:w w:val="93"/>
              </w:rPr>
              <w:t>50.1%</w:t>
            </w:r>
          </w:p>
        </w:tc>
        <w:tc>
          <w:tcPr>
            <w:tcW w:w="120" w:type="dxa"/>
            <w:vAlign w:val="bottom"/>
          </w:tcPr>
          <w:p>
            <w:pPr>
              <w:spacing w:after="0"/>
              <w:rPr>
                <w:sz w:val="11"/>
                <w:szCs w:val="11"/>
                <w:color w:val="auto"/>
              </w:rPr>
            </w:pPr>
          </w:p>
        </w:tc>
        <w:tc>
          <w:tcPr>
            <w:tcW w:w="1540" w:type="dxa"/>
            <w:vAlign w:val="bottom"/>
            <w:gridSpan w:val="2"/>
          </w:tcPr>
          <w:p>
            <w:pPr>
              <w:ind w:left="20"/>
              <w:spacing w:after="0" w:line="131" w:lineRule="exact"/>
              <w:rPr>
                <w:sz w:val="20"/>
                <w:szCs w:val="20"/>
                <w:color w:val="auto"/>
              </w:rPr>
            </w:pPr>
            <w:r>
              <w:rPr>
                <w:rFonts w:ascii="Arial" w:cs="Arial" w:eastAsia="Arial" w:hAnsi="Arial"/>
                <w:sz w:val="12"/>
                <w:szCs w:val="12"/>
                <w:color w:val="auto"/>
              </w:rPr>
              <w:t>Chandler Fashion Center(4)</w:t>
            </w:r>
          </w:p>
        </w:tc>
        <w:tc>
          <w:tcPr>
            <w:tcW w:w="900" w:type="dxa"/>
            <w:vAlign w:val="bottom"/>
          </w:tcPr>
          <w:p>
            <w:pPr>
              <w:jc w:val="right"/>
              <w:spacing w:after="0" w:line="131" w:lineRule="exact"/>
              <w:rPr>
                <w:sz w:val="20"/>
                <w:szCs w:val="20"/>
                <w:color w:val="auto"/>
              </w:rPr>
            </w:pPr>
            <w:r>
              <w:rPr>
                <w:rFonts w:ascii="Arial" w:cs="Arial" w:eastAsia="Arial" w:hAnsi="Arial"/>
                <w:sz w:val="12"/>
                <w:szCs w:val="12"/>
                <w:color w:val="auto"/>
              </w:rPr>
              <w:t>2001/2002</w:t>
            </w:r>
          </w:p>
        </w:tc>
        <w:tc>
          <w:tcPr>
            <w:tcW w:w="100" w:type="dxa"/>
            <w:vAlign w:val="bottom"/>
          </w:tcPr>
          <w:p>
            <w:pPr>
              <w:spacing w:after="0"/>
              <w:rPr>
                <w:sz w:val="11"/>
                <w:szCs w:val="11"/>
                <w:color w:val="auto"/>
              </w:rPr>
            </w:pPr>
          </w:p>
        </w:tc>
        <w:tc>
          <w:tcPr>
            <w:tcW w:w="900" w:type="dxa"/>
            <w:vAlign w:val="bottom"/>
            <w:gridSpan w:val="2"/>
          </w:tcPr>
          <w:p>
            <w:pPr>
              <w:ind w:left="340"/>
              <w:spacing w:after="0" w:line="131" w:lineRule="exact"/>
              <w:rPr>
                <w:sz w:val="20"/>
                <w:szCs w:val="20"/>
                <w:color w:val="auto"/>
              </w:rPr>
            </w:pPr>
            <w:r>
              <w:rPr>
                <w:rFonts w:ascii="Arial" w:cs="Arial" w:eastAsia="Arial" w:hAnsi="Arial"/>
                <w:sz w:val="12"/>
                <w:szCs w:val="12"/>
                <w:color w:val="auto"/>
              </w:rPr>
              <w:t>Ongoing</w:t>
            </w: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1,320,000</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644,000</w:t>
            </w: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2"/>
                <w:szCs w:val="12"/>
                <w:color w:val="auto"/>
              </w:rPr>
              <w:t>95.4 %</w:t>
            </w:r>
          </w:p>
        </w:tc>
        <w:tc>
          <w:tcPr>
            <w:tcW w:w="100" w:type="dxa"/>
            <w:vAlign w:val="bottom"/>
          </w:tcPr>
          <w:p>
            <w:pPr>
              <w:spacing w:after="0"/>
              <w:rPr>
                <w:sz w:val="11"/>
                <w:szCs w:val="11"/>
                <w:color w:val="auto"/>
              </w:rPr>
            </w:pPr>
          </w:p>
        </w:tc>
        <w:tc>
          <w:tcPr>
            <w:tcW w:w="1040" w:type="dxa"/>
            <w:vAlign w:val="bottom"/>
          </w:tcPr>
          <w:p>
            <w:pPr>
              <w:jc w:val="center"/>
              <w:ind w:right="39"/>
              <w:spacing w:after="0" w:line="131" w:lineRule="exact"/>
              <w:rPr>
                <w:sz w:val="20"/>
                <w:szCs w:val="20"/>
                <w:color w:val="auto"/>
              </w:rPr>
            </w:pPr>
            <w:r>
              <w:rPr>
                <w:rFonts w:ascii="Arial" w:cs="Arial" w:eastAsia="Arial" w:hAnsi="Arial"/>
                <w:sz w:val="12"/>
                <w:szCs w:val="12"/>
                <w:color w:val="auto"/>
                <w:w w:val="96"/>
              </w:rPr>
              <w:t>Dillard's, Macy's,</w:t>
            </w:r>
          </w:p>
        </w:tc>
        <w:tc>
          <w:tcPr>
            <w:tcW w:w="1340" w:type="dxa"/>
            <w:vAlign w:val="bottom"/>
          </w:tcPr>
          <w:p>
            <w:pPr>
              <w:jc w:val="center"/>
              <w:ind w:right="39"/>
              <w:spacing w:after="0" w:line="131"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20"/>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59"/>
              <w:spacing w:after="0" w:line="120" w:lineRule="exact"/>
              <w:rPr>
                <w:sz w:val="20"/>
                <w:szCs w:val="20"/>
                <w:color w:val="auto"/>
              </w:rPr>
            </w:pPr>
            <w:r>
              <w:rPr>
                <w:rFonts w:ascii="Arial" w:cs="Arial" w:eastAsia="Arial" w:hAnsi="Arial"/>
                <w:sz w:val="12"/>
                <w:szCs w:val="12"/>
                <w:color w:val="auto"/>
                <w:w w:val="94"/>
              </w:rPr>
              <w:t>Scheels All</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color w:val="auto"/>
              </w:rPr>
              <w:t>Chandler,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color w:val="auto"/>
                <w:w w:val="93"/>
              </w:rPr>
              <w:t>Sports(5)</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480" w:type="dxa"/>
            <w:vAlign w:val="bottom"/>
            <w:shd w:val="clear" w:color="auto" w:fill="CCEEFF"/>
          </w:tcPr>
          <w:p>
            <w:pPr>
              <w:jc w:val="center"/>
              <w:spacing w:after="0" w:line="131" w:lineRule="exact"/>
              <w:rPr>
                <w:sz w:val="20"/>
                <w:szCs w:val="20"/>
                <w:color w:val="auto"/>
              </w:rPr>
            </w:pPr>
            <w:r>
              <w:rPr>
                <w:rFonts w:ascii="Arial" w:cs="Arial" w:eastAsia="Arial" w:hAnsi="Arial"/>
                <w:sz w:val="12"/>
                <w:szCs w:val="12"/>
                <w:color w:val="auto"/>
                <w:w w:val="89"/>
              </w:rPr>
              <w:t>2</w:t>
            </w:r>
          </w:p>
        </w:tc>
        <w:tc>
          <w:tcPr>
            <w:tcW w:w="980" w:type="dxa"/>
            <w:vAlign w:val="bottom"/>
            <w:shd w:val="clear" w:color="auto" w:fill="CCEEFF"/>
          </w:tcPr>
          <w:p>
            <w:pPr>
              <w:jc w:val="center"/>
              <w:ind w:left="39"/>
              <w:spacing w:after="0" w:line="131" w:lineRule="exact"/>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2"/>
                <w:szCs w:val="12"/>
                <w:color w:val="auto"/>
              </w:rPr>
              <w:t>Danbury Fair Mall(4)</w:t>
            </w:r>
          </w:p>
        </w:tc>
        <w:tc>
          <w:tcPr>
            <w:tcW w:w="90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1986/2005</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2016</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1,275,000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593,000</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98.1 %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right="59"/>
              <w:spacing w:after="0" w:line="131" w:lineRule="exact"/>
              <w:rPr>
                <w:sz w:val="20"/>
                <w:szCs w:val="20"/>
                <w:color w:val="auto"/>
              </w:rPr>
            </w:pPr>
            <w:r>
              <w:rPr>
                <w:rFonts w:ascii="Arial" w:cs="Arial" w:eastAsia="Arial" w:hAnsi="Arial"/>
                <w:sz w:val="12"/>
                <w:szCs w:val="12"/>
                <w:color w:val="auto"/>
                <w:w w:val="88"/>
              </w:rPr>
              <w:t>JCPenney,</w:t>
            </w:r>
          </w:p>
        </w:tc>
        <w:tc>
          <w:tcPr>
            <w:tcW w:w="1340" w:type="dxa"/>
            <w:vAlign w:val="bottom"/>
            <w:shd w:val="clear" w:color="auto" w:fill="CCEEFF"/>
          </w:tcPr>
          <w:p>
            <w:pPr>
              <w:jc w:val="center"/>
              <w:ind w:right="59"/>
              <w:spacing w:after="0" w:line="131"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1"/>
              </w:rPr>
              <w:t>Macy's</w:t>
            </w: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2"/>
              </w:rPr>
              <w:t>Primark, Target(6)</w:t>
            </w:r>
          </w:p>
        </w:tc>
        <w:tc>
          <w:tcPr>
            <w:tcW w:w="0" w:type="dxa"/>
            <w:vAlign w:val="bottom"/>
          </w:tcPr>
          <w:p>
            <w:pPr>
              <w:spacing w:after="0"/>
              <w:rPr>
                <w:sz w:val="1"/>
                <w:szCs w:val="1"/>
                <w:color w:val="auto"/>
              </w:rPr>
            </w:pPr>
          </w:p>
        </w:tc>
      </w:tr>
      <w:tr>
        <w:trPr>
          <w:trHeight w:val="221"/>
        </w:trPr>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Danbury, Connecticut</w:t>
            </w: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480" w:type="dxa"/>
            <w:vAlign w:val="bottom"/>
          </w:tcPr>
          <w:p>
            <w:pPr>
              <w:jc w:val="center"/>
              <w:spacing w:after="0" w:line="131" w:lineRule="exact"/>
              <w:rPr>
                <w:sz w:val="20"/>
                <w:szCs w:val="20"/>
                <w:color w:val="auto"/>
              </w:rPr>
            </w:pPr>
            <w:r>
              <w:rPr>
                <w:rFonts w:ascii="Arial" w:cs="Arial" w:eastAsia="Arial" w:hAnsi="Arial"/>
                <w:sz w:val="12"/>
                <w:szCs w:val="12"/>
                <w:color w:val="auto"/>
                <w:w w:val="89"/>
              </w:rPr>
              <w:t>3</w:t>
            </w:r>
          </w:p>
        </w:tc>
        <w:tc>
          <w:tcPr>
            <w:tcW w:w="980" w:type="dxa"/>
            <w:vAlign w:val="bottom"/>
          </w:tcPr>
          <w:p>
            <w:pPr>
              <w:jc w:val="center"/>
              <w:ind w:left="39"/>
              <w:spacing w:after="0" w:line="131" w:lineRule="exact"/>
              <w:rPr>
                <w:sz w:val="20"/>
                <w:szCs w:val="20"/>
                <w:color w:val="auto"/>
              </w:rPr>
            </w:pPr>
            <w:r>
              <w:rPr>
                <w:rFonts w:ascii="Arial" w:cs="Arial" w:eastAsia="Arial" w:hAnsi="Arial"/>
                <w:sz w:val="12"/>
                <w:szCs w:val="12"/>
                <w:color w:val="auto"/>
                <w:w w:val="91"/>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31" w:lineRule="exact"/>
              <w:rPr>
                <w:sz w:val="20"/>
                <w:szCs w:val="20"/>
                <w:color w:val="auto"/>
              </w:rPr>
            </w:pPr>
            <w:r>
              <w:rPr>
                <w:rFonts w:ascii="Arial" w:cs="Arial" w:eastAsia="Arial" w:hAnsi="Arial"/>
                <w:sz w:val="12"/>
                <w:szCs w:val="12"/>
                <w:color w:val="auto"/>
              </w:rPr>
              <w:t>Desert Sky Mall</w:t>
            </w:r>
          </w:p>
        </w:tc>
        <w:tc>
          <w:tcPr>
            <w:tcW w:w="900" w:type="dxa"/>
            <w:vAlign w:val="bottom"/>
          </w:tcPr>
          <w:p>
            <w:pPr>
              <w:jc w:val="right"/>
              <w:spacing w:after="0" w:line="131" w:lineRule="exact"/>
              <w:rPr>
                <w:sz w:val="20"/>
                <w:szCs w:val="20"/>
                <w:color w:val="auto"/>
              </w:rPr>
            </w:pPr>
            <w:r>
              <w:rPr>
                <w:rFonts w:ascii="Arial" w:cs="Arial" w:eastAsia="Arial" w:hAnsi="Arial"/>
                <w:sz w:val="12"/>
                <w:szCs w:val="12"/>
                <w:color w:val="auto"/>
              </w:rPr>
              <w:t>1981/2002</w:t>
            </w: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2007</w:t>
            </w: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710,000</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244,000</w:t>
            </w: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2"/>
                <w:szCs w:val="12"/>
                <w:color w:val="auto"/>
              </w:rPr>
              <w:t>99.1 %</w:t>
            </w:r>
          </w:p>
        </w:tc>
        <w:tc>
          <w:tcPr>
            <w:tcW w:w="100" w:type="dxa"/>
            <w:vAlign w:val="bottom"/>
          </w:tcPr>
          <w:p>
            <w:pPr>
              <w:spacing w:after="0"/>
              <w:rPr>
                <w:sz w:val="11"/>
                <w:szCs w:val="11"/>
                <w:color w:val="auto"/>
              </w:rPr>
            </w:pPr>
          </w:p>
        </w:tc>
        <w:tc>
          <w:tcPr>
            <w:tcW w:w="10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97"/>
              </w:rPr>
              <w:t>Burlington,</w:t>
            </w:r>
          </w:p>
        </w:tc>
        <w:tc>
          <w:tcPr>
            <w:tcW w:w="13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91"/>
              </w:rPr>
              <w:t>La Curacao, Mercado</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color w:val="auto"/>
              </w:rPr>
              <w:t>Phoenix,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color w:val="auto"/>
                <w:w w:val="99"/>
              </w:rPr>
              <w:t>Dillard's</w:t>
            </w:r>
          </w:p>
        </w:tc>
        <w:tc>
          <w:tcPr>
            <w:tcW w:w="1340" w:type="dxa"/>
            <w:vAlign w:val="bottom"/>
          </w:tcPr>
          <w:p>
            <w:pPr>
              <w:jc w:val="center"/>
              <w:ind w:right="39"/>
              <w:spacing w:after="0"/>
              <w:rPr>
                <w:sz w:val="20"/>
                <w:szCs w:val="20"/>
                <w:color w:val="auto"/>
              </w:rPr>
            </w:pPr>
            <w:r>
              <w:rPr>
                <w:rFonts w:ascii="Arial" w:cs="Arial" w:eastAsia="Arial" w:hAnsi="Arial"/>
                <w:sz w:val="12"/>
                <w:szCs w:val="12"/>
                <w:color w:val="auto"/>
                <w:w w:val="93"/>
              </w:rPr>
              <w:t>de los Cielos</w:t>
            </w: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Eastland Mall(7)</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1978/1998</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1,017,000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528,000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5"/>
              </w:rPr>
              <w:t>Dillard's, Macy's</w:t>
            </w: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0"/>
              </w:rPr>
              <w:t>JCPenney</w:t>
            </w:r>
          </w:p>
        </w:tc>
        <w:tc>
          <w:tcPr>
            <w:tcW w:w="0" w:type="dxa"/>
            <w:vAlign w:val="bottom"/>
          </w:tcPr>
          <w:p>
            <w:pPr>
              <w:spacing w:after="0"/>
              <w:rPr>
                <w:sz w:val="1"/>
                <w:szCs w:val="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Evansville, Indiana</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480" w:type="dxa"/>
            <w:vAlign w:val="bottom"/>
          </w:tcPr>
          <w:p>
            <w:pPr>
              <w:jc w:val="center"/>
              <w:spacing w:after="0" w:line="131" w:lineRule="exact"/>
              <w:rPr>
                <w:sz w:val="20"/>
                <w:szCs w:val="20"/>
                <w:color w:val="auto"/>
              </w:rPr>
            </w:pPr>
            <w:r>
              <w:rPr>
                <w:rFonts w:ascii="Arial" w:cs="Arial" w:eastAsia="Arial" w:hAnsi="Arial"/>
                <w:sz w:val="12"/>
                <w:szCs w:val="12"/>
                <w:color w:val="auto"/>
                <w:w w:val="89"/>
              </w:rPr>
              <w:t>5</w:t>
            </w:r>
          </w:p>
        </w:tc>
        <w:tc>
          <w:tcPr>
            <w:tcW w:w="980" w:type="dxa"/>
            <w:vAlign w:val="bottom"/>
          </w:tcPr>
          <w:p>
            <w:pPr>
              <w:jc w:val="center"/>
              <w:ind w:left="59"/>
              <w:spacing w:after="0" w:line="131" w:lineRule="exact"/>
              <w:rPr>
                <w:sz w:val="20"/>
                <w:szCs w:val="20"/>
                <w:color w:val="auto"/>
              </w:rPr>
            </w:pPr>
            <w:r>
              <w:rPr>
                <w:rFonts w:ascii="Arial" w:cs="Arial" w:eastAsia="Arial" w:hAnsi="Arial"/>
                <w:sz w:val="12"/>
                <w:szCs w:val="12"/>
                <w:color w:val="auto"/>
                <w:w w:val="91"/>
              </w:rPr>
              <w:t>50%</w:t>
            </w:r>
          </w:p>
        </w:tc>
        <w:tc>
          <w:tcPr>
            <w:tcW w:w="120" w:type="dxa"/>
            <w:vAlign w:val="bottom"/>
          </w:tcPr>
          <w:p>
            <w:pPr>
              <w:spacing w:after="0"/>
              <w:rPr>
                <w:sz w:val="11"/>
                <w:szCs w:val="11"/>
                <w:color w:val="auto"/>
              </w:rPr>
            </w:pPr>
          </w:p>
        </w:tc>
        <w:tc>
          <w:tcPr>
            <w:tcW w:w="1540" w:type="dxa"/>
            <w:vAlign w:val="bottom"/>
            <w:gridSpan w:val="2"/>
          </w:tcPr>
          <w:p>
            <w:pPr>
              <w:ind w:left="20"/>
              <w:spacing w:after="0" w:line="131" w:lineRule="exact"/>
              <w:rPr>
                <w:sz w:val="20"/>
                <w:szCs w:val="20"/>
                <w:color w:val="auto"/>
              </w:rPr>
            </w:pPr>
            <w:r>
              <w:rPr>
                <w:rFonts w:ascii="Arial" w:cs="Arial" w:eastAsia="Arial" w:hAnsi="Arial"/>
                <w:sz w:val="12"/>
                <w:szCs w:val="12"/>
                <w:color w:val="auto"/>
              </w:rPr>
              <w:t>Fashion District</w:t>
            </w:r>
          </w:p>
        </w:tc>
        <w:tc>
          <w:tcPr>
            <w:tcW w:w="900" w:type="dxa"/>
            <w:vAlign w:val="bottom"/>
          </w:tcPr>
          <w:p>
            <w:pPr>
              <w:jc w:val="right"/>
              <w:spacing w:after="0" w:line="131" w:lineRule="exact"/>
              <w:rPr>
                <w:sz w:val="20"/>
                <w:szCs w:val="20"/>
                <w:color w:val="auto"/>
              </w:rPr>
            </w:pPr>
            <w:r>
              <w:rPr>
                <w:rFonts w:ascii="Arial" w:cs="Arial" w:eastAsia="Arial" w:hAnsi="Arial"/>
                <w:sz w:val="12"/>
                <w:szCs w:val="12"/>
                <w:color w:val="auto"/>
              </w:rPr>
              <w:t>1977/2014</w:t>
            </w: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2019</w:t>
            </w: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803,000</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575,000</w:t>
            </w: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2"/>
                <w:szCs w:val="12"/>
                <w:color w:val="auto"/>
              </w:rPr>
              <w:t>85.0 %</w:t>
            </w:r>
          </w:p>
        </w:tc>
        <w:tc>
          <w:tcPr>
            <w:tcW w:w="100" w:type="dxa"/>
            <w:vAlign w:val="bottom"/>
          </w:tcPr>
          <w:p>
            <w:pPr>
              <w:spacing w:after="0"/>
              <w:rPr>
                <w:sz w:val="11"/>
                <w:szCs w:val="11"/>
                <w:color w:val="auto"/>
              </w:rPr>
            </w:pPr>
          </w:p>
        </w:tc>
        <w:tc>
          <w:tcPr>
            <w:tcW w:w="10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99"/>
              </w:rPr>
              <w:t>—</w:t>
            </w:r>
          </w:p>
        </w:tc>
        <w:tc>
          <w:tcPr>
            <w:tcW w:w="13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96"/>
              </w:rPr>
              <w:t>Burlington, Primark,</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Philadelphia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jc w:val="center"/>
              <w:ind w:right="59"/>
              <w:spacing w:after="0"/>
              <w:rPr>
                <w:sz w:val="20"/>
                <w:szCs w:val="20"/>
                <w:color w:val="auto"/>
              </w:rPr>
            </w:pPr>
            <w:r>
              <w:rPr>
                <w:rFonts w:ascii="Arial" w:cs="Arial" w:eastAsia="Arial" w:hAnsi="Arial"/>
                <w:sz w:val="12"/>
                <w:szCs w:val="12"/>
                <w:color w:val="auto"/>
                <w:w w:val="90"/>
              </w:rPr>
              <w:t>Shoppers World</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Philadelphia, Pennsylvania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Fashion Outlets of Chicago</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528,000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528,000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99.1 %</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9"/>
              </w:rPr>
              <w:t>—</w:t>
            </w:r>
          </w:p>
        </w:tc>
        <w:tc>
          <w:tcPr>
            <w:tcW w:w="13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Rosemont, Illinois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 w:type="dxa"/>
            <w:vAlign w:val="bottom"/>
          </w:tcPr>
          <w:p>
            <w:pPr>
              <w:jc w:val="center"/>
              <w:spacing w:after="0" w:line="131" w:lineRule="exact"/>
              <w:rPr>
                <w:sz w:val="20"/>
                <w:szCs w:val="20"/>
                <w:color w:val="auto"/>
              </w:rPr>
            </w:pPr>
            <w:r>
              <w:rPr>
                <w:rFonts w:ascii="Arial" w:cs="Arial" w:eastAsia="Arial" w:hAnsi="Arial"/>
                <w:sz w:val="12"/>
                <w:szCs w:val="12"/>
                <w:color w:val="auto"/>
                <w:w w:val="89"/>
              </w:rPr>
              <w:t>7</w:t>
            </w:r>
          </w:p>
        </w:tc>
        <w:tc>
          <w:tcPr>
            <w:tcW w:w="980" w:type="dxa"/>
            <w:vAlign w:val="bottom"/>
          </w:tcPr>
          <w:p>
            <w:pPr>
              <w:jc w:val="center"/>
              <w:ind w:left="39"/>
              <w:spacing w:after="0" w:line="131" w:lineRule="exact"/>
              <w:rPr>
                <w:sz w:val="20"/>
                <w:szCs w:val="20"/>
                <w:color w:val="auto"/>
              </w:rPr>
            </w:pPr>
            <w:r>
              <w:rPr>
                <w:rFonts w:ascii="Arial" w:cs="Arial" w:eastAsia="Arial" w:hAnsi="Arial"/>
                <w:sz w:val="12"/>
                <w:szCs w:val="12"/>
                <w:color w:val="auto"/>
                <w:w w:val="91"/>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31" w:lineRule="exact"/>
              <w:rPr>
                <w:sz w:val="20"/>
                <w:szCs w:val="20"/>
                <w:color w:val="auto"/>
              </w:rPr>
            </w:pPr>
            <w:r>
              <w:rPr>
                <w:rFonts w:ascii="Arial" w:cs="Arial" w:eastAsia="Arial" w:hAnsi="Arial"/>
                <w:sz w:val="12"/>
                <w:szCs w:val="12"/>
                <w:color w:val="auto"/>
              </w:rPr>
              <w:t>Fashion Outlets of Niagara</w:t>
            </w:r>
          </w:p>
        </w:tc>
        <w:tc>
          <w:tcPr>
            <w:tcW w:w="900" w:type="dxa"/>
            <w:vAlign w:val="bottom"/>
          </w:tcPr>
          <w:p>
            <w:pPr>
              <w:jc w:val="right"/>
              <w:spacing w:after="0" w:line="131" w:lineRule="exact"/>
              <w:rPr>
                <w:sz w:val="20"/>
                <w:szCs w:val="20"/>
                <w:color w:val="auto"/>
              </w:rPr>
            </w:pPr>
            <w:r>
              <w:rPr>
                <w:rFonts w:ascii="Arial" w:cs="Arial" w:eastAsia="Arial" w:hAnsi="Arial"/>
                <w:sz w:val="12"/>
                <w:szCs w:val="12"/>
                <w:color w:val="auto"/>
              </w:rPr>
              <w:t>1982/2011</w:t>
            </w: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2014</w:t>
            </w: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689,000</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689,000</w:t>
            </w: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2"/>
                <w:szCs w:val="12"/>
                <w:color w:val="auto"/>
              </w:rPr>
              <w:t>81.7 %</w:t>
            </w:r>
          </w:p>
        </w:tc>
        <w:tc>
          <w:tcPr>
            <w:tcW w:w="100" w:type="dxa"/>
            <w:vAlign w:val="bottom"/>
          </w:tcPr>
          <w:p>
            <w:pPr>
              <w:spacing w:after="0"/>
              <w:rPr>
                <w:sz w:val="11"/>
                <w:szCs w:val="11"/>
                <w:color w:val="auto"/>
              </w:rPr>
            </w:pPr>
          </w:p>
        </w:tc>
        <w:tc>
          <w:tcPr>
            <w:tcW w:w="10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99"/>
              </w:rPr>
              <w:t>—</w:t>
            </w:r>
          </w:p>
        </w:tc>
        <w:tc>
          <w:tcPr>
            <w:tcW w:w="1340" w:type="dxa"/>
            <w:vAlign w:val="bottom"/>
          </w:tcPr>
          <w:p>
            <w:pPr>
              <w:jc w:val="center"/>
              <w:ind w:right="39"/>
              <w:spacing w:after="0" w:line="131"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Falls USA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Niagara Falls, New York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8</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3"/>
              </w:rPr>
              <w:t>50.1%</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Freehold Raceway Mall(4)</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1990/2005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2007</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1,549,000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783,000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88"/>
              </w:rPr>
              <w:t>JCPenney,</w:t>
            </w: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1"/>
              </w:rPr>
              <w:t>Macy's</w:t>
            </w:r>
          </w:p>
        </w:tc>
        <w:tc>
          <w:tcPr>
            <w:tcW w:w="13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6"/>
              </w:rPr>
              <w:t>Primark</w:t>
            </w:r>
          </w:p>
        </w:tc>
        <w:tc>
          <w:tcPr>
            <w:tcW w:w="0" w:type="dxa"/>
            <w:vAlign w:val="bottom"/>
          </w:tcPr>
          <w:p>
            <w:pPr>
              <w:spacing w:after="0"/>
              <w:rPr>
                <w:sz w:val="1"/>
                <w:szCs w:val="1"/>
                <w:color w:val="auto"/>
              </w:rPr>
            </w:pPr>
          </w:p>
        </w:tc>
      </w:tr>
      <w:tr>
        <w:trPr>
          <w:trHeight w:val="188"/>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Freehold, New Jersey</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 w:type="dxa"/>
            <w:vAlign w:val="bottom"/>
          </w:tcPr>
          <w:p>
            <w:pPr>
              <w:jc w:val="center"/>
              <w:spacing w:after="0" w:line="131" w:lineRule="exact"/>
              <w:rPr>
                <w:sz w:val="20"/>
                <w:szCs w:val="20"/>
                <w:color w:val="auto"/>
              </w:rPr>
            </w:pPr>
            <w:r>
              <w:rPr>
                <w:rFonts w:ascii="Arial" w:cs="Arial" w:eastAsia="Arial" w:hAnsi="Arial"/>
                <w:sz w:val="12"/>
                <w:szCs w:val="12"/>
                <w:color w:val="auto"/>
                <w:w w:val="89"/>
              </w:rPr>
              <w:t>9</w:t>
            </w:r>
          </w:p>
        </w:tc>
        <w:tc>
          <w:tcPr>
            <w:tcW w:w="980" w:type="dxa"/>
            <w:vAlign w:val="bottom"/>
          </w:tcPr>
          <w:p>
            <w:pPr>
              <w:jc w:val="center"/>
              <w:ind w:left="39"/>
              <w:spacing w:after="0" w:line="131" w:lineRule="exact"/>
              <w:rPr>
                <w:sz w:val="20"/>
                <w:szCs w:val="20"/>
                <w:color w:val="auto"/>
              </w:rPr>
            </w:pPr>
            <w:r>
              <w:rPr>
                <w:rFonts w:ascii="Arial" w:cs="Arial" w:eastAsia="Arial" w:hAnsi="Arial"/>
                <w:sz w:val="12"/>
                <w:szCs w:val="12"/>
                <w:color w:val="auto"/>
                <w:w w:val="91"/>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31" w:lineRule="exact"/>
              <w:rPr>
                <w:sz w:val="20"/>
                <w:szCs w:val="20"/>
                <w:color w:val="auto"/>
              </w:rPr>
            </w:pPr>
            <w:r>
              <w:rPr>
                <w:rFonts w:ascii="Arial" w:cs="Arial" w:eastAsia="Arial" w:hAnsi="Arial"/>
                <w:sz w:val="12"/>
                <w:szCs w:val="12"/>
                <w:color w:val="auto"/>
              </w:rPr>
              <w:t>Fresno Fashion Fair</w:t>
            </w:r>
          </w:p>
        </w:tc>
        <w:tc>
          <w:tcPr>
            <w:tcW w:w="900" w:type="dxa"/>
            <w:vAlign w:val="bottom"/>
          </w:tcPr>
          <w:p>
            <w:pPr>
              <w:jc w:val="right"/>
              <w:spacing w:after="0" w:line="131" w:lineRule="exact"/>
              <w:rPr>
                <w:sz w:val="20"/>
                <w:szCs w:val="20"/>
                <w:color w:val="auto"/>
              </w:rPr>
            </w:pPr>
            <w:r>
              <w:rPr>
                <w:rFonts w:ascii="Arial" w:cs="Arial" w:eastAsia="Arial" w:hAnsi="Arial"/>
                <w:sz w:val="12"/>
                <w:szCs w:val="12"/>
                <w:color w:val="auto"/>
              </w:rPr>
              <w:t>1970/1996</w:t>
            </w: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2006</w:t>
            </w: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974,000</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419,000</w:t>
            </w: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2"/>
                <w:szCs w:val="12"/>
                <w:color w:val="auto"/>
              </w:rPr>
              <w:t>94.7 %</w:t>
            </w:r>
          </w:p>
        </w:tc>
        <w:tc>
          <w:tcPr>
            <w:tcW w:w="100" w:type="dxa"/>
            <w:vAlign w:val="bottom"/>
          </w:tcPr>
          <w:p>
            <w:pPr>
              <w:spacing w:after="0"/>
              <w:rPr>
                <w:sz w:val="11"/>
                <w:szCs w:val="11"/>
                <w:color w:val="auto"/>
              </w:rPr>
            </w:pPr>
          </w:p>
        </w:tc>
        <w:tc>
          <w:tcPr>
            <w:tcW w:w="1040" w:type="dxa"/>
            <w:vAlign w:val="bottom"/>
          </w:tcPr>
          <w:p>
            <w:pPr>
              <w:jc w:val="center"/>
              <w:ind w:right="39"/>
              <w:spacing w:after="0" w:line="131" w:lineRule="exact"/>
              <w:rPr>
                <w:sz w:val="20"/>
                <w:szCs w:val="20"/>
                <w:color w:val="auto"/>
              </w:rPr>
            </w:pPr>
            <w:r>
              <w:rPr>
                <w:rFonts w:ascii="Arial" w:cs="Arial" w:eastAsia="Arial" w:hAnsi="Arial"/>
                <w:sz w:val="12"/>
                <w:szCs w:val="12"/>
                <w:color w:val="auto"/>
                <w:w w:val="91"/>
              </w:rPr>
              <w:t>Macy's</w:t>
            </w:r>
          </w:p>
        </w:tc>
        <w:tc>
          <w:tcPr>
            <w:tcW w:w="13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89"/>
              </w:rPr>
              <w:t>Forever 21, JCPenney,</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tcPr>
          <w:p>
            <w:pPr>
              <w:jc w:val="center"/>
              <w:ind w:right="59"/>
              <w:spacing w:after="0"/>
              <w:rPr>
                <w:sz w:val="20"/>
                <w:szCs w:val="20"/>
                <w:color w:val="auto"/>
              </w:rPr>
            </w:pPr>
            <w:r>
              <w:rPr>
                <w:rFonts w:ascii="Arial" w:cs="Arial" w:eastAsia="Arial" w:hAnsi="Arial"/>
                <w:sz w:val="12"/>
                <w:szCs w:val="12"/>
                <w:color w:val="auto"/>
                <w:w w:val="91"/>
              </w:rPr>
              <w:t>Macy's</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Fresno,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Green Acres Mall(4)(7)</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1956/2013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2016</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2,042,000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904,000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98.1 %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9"/>
              </w:rPr>
              <w:t>—</w:t>
            </w: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3"/>
              </w:rPr>
              <w:t>BJ's Wholesale Club,</w:t>
            </w:r>
          </w:p>
        </w:tc>
        <w:tc>
          <w:tcPr>
            <w:tcW w:w="0" w:type="dxa"/>
            <w:vAlign w:val="bottom"/>
          </w:tcPr>
          <w:p>
            <w:pPr>
              <w:spacing w:after="0"/>
              <w:rPr>
                <w:sz w:val="1"/>
                <w:szCs w:val="1"/>
                <w:color w:val="auto"/>
              </w:rPr>
            </w:pPr>
          </w:p>
        </w:tc>
      </w:tr>
      <w:tr>
        <w:trPr>
          <w:trHeight w:val="120"/>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59"/>
              <w:spacing w:after="0" w:line="120"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34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6"/>
              </w:rPr>
              <w:t>Macy's (two),</w:t>
            </w:r>
          </w:p>
        </w:tc>
        <w:tc>
          <w:tcPr>
            <w:tcW w:w="0" w:type="dxa"/>
            <w:vAlign w:val="bottom"/>
          </w:tcPr>
          <w:p>
            <w:pPr>
              <w:spacing w:after="0"/>
              <w:rPr>
                <w:sz w:val="1"/>
                <w:szCs w:val="1"/>
                <w:color w:val="auto"/>
              </w:rPr>
            </w:pPr>
          </w:p>
        </w:tc>
      </w:tr>
      <w:tr>
        <w:trPr>
          <w:trHeight w:val="131"/>
        </w:trPr>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Valley Stream, New York</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340" w:type="dxa"/>
            <w:vAlign w:val="bottom"/>
            <w:shd w:val="clear" w:color="auto" w:fill="CCEEFF"/>
          </w:tcPr>
          <w:p>
            <w:pPr>
              <w:jc w:val="center"/>
              <w:ind w:right="59"/>
              <w:spacing w:after="0" w:line="131" w:lineRule="exact"/>
              <w:rPr>
                <w:sz w:val="20"/>
                <w:szCs w:val="20"/>
                <w:color w:val="auto"/>
              </w:rPr>
            </w:pPr>
            <w:r>
              <w:rPr>
                <w:rFonts w:ascii="Arial" w:cs="Arial" w:eastAsia="Arial" w:hAnsi="Arial"/>
                <w:sz w:val="12"/>
                <w:szCs w:val="12"/>
                <w:color w:val="auto"/>
                <w:w w:val="92"/>
              </w:rPr>
              <w:t>Primark(8), Shoppers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vMerge w:val="continue"/>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4"/>
              </w:rPr>
              <w:t>World, Walmart</w:t>
            </w:r>
          </w:p>
        </w:tc>
        <w:tc>
          <w:tcPr>
            <w:tcW w:w="0" w:type="dxa"/>
            <w:vAlign w:val="bottom"/>
          </w:tcPr>
          <w:p>
            <w:pPr>
              <w:spacing w:after="0"/>
              <w:rPr>
                <w:sz w:val="1"/>
                <w:szCs w:val="1"/>
                <w:color w:val="auto"/>
              </w:rPr>
            </w:pPr>
          </w:p>
        </w:tc>
      </w:tr>
      <w:tr>
        <w:trPr>
          <w:trHeight w:val="333"/>
        </w:trPr>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center"/>
              <w:spacing w:after="0"/>
              <w:rPr>
                <w:sz w:val="20"/>
                <w:szCs w:val="20"/>
                <w:color w:val="auto"/>
              </w:rPr>
            </w:pPr>
            <w:r>
              <w:rPr>
                <w:rFonts w:ascii="Arial" w:cs="Arial" w:eastAsia="Arial" w:hAnsi="Arial"/>
                <w:sz w:val="12"/>
                <w:szCs w:val="12"/>
                <w:color w:val="auto"/>
                <w:w w:val="89"/>
              </w:rPr>
              <w:t>11</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Inland Center</w:t>
            </w:r>
          </w:p>
        </w:tc>
        <w:tc>
          <w:tcPr>
            <w:tcW w:w="900" w:type="dxa"/>
            <w:vAlign w:val="bottom"/>
          </w:tcPr>
          <w:p>
            <w:pPr>
              <w:jc w:val="right"/>
              <w:spacing w:after="0"/>
              <w:rPr>
                <w:sz w:val="20"/>
                <w:szCs w:val="20"/>
                <w:color w:val="auto"/>
              </w:rPr>
            </w:pPr>
            <w:r>
              <w:rPr>
                <w:rFonts w:ascii="Arial" w:cs="Arial" w:eastAsia="Arial" w:hAnsi="Arial"/>
                <w:sz w:val="12"/>
                <w:szCs w:val="12"/>
                <w:color w:val="auto"/>
              </w:rPr>
              <w:t>1966/2004</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630,000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230,000</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93.6 %</w:t>
            </w: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color w:val="auto"/>
                <w:w w:val="91"/>
              </w:rPr>
              <w:t>Macy's</w:t>
            </w:r>
          </w:p>
        </w:tc>
        <w:tc>
          <w:tcPr>
            <w:tcW w:w="1340" w:type="dxa"/>
            <w:vAlign w:val="bottom"/>
          </w:tcPr>
          <w:p>
            <w:pPr>
              <w:jc w:val="center"/>
              <w:ind w:right="59"/>
              <w:spacing w:after="0"/>
              <w:rPr>
                <w:sz w:val="20"/>
                <w:szCs w:val="20"/>
                <w:color w:val="auto"/>
              </w:rPr>
            </w:pPr>
            <w:r>
              <w:rPr>
                <w:rFonts w:ascii="Arial" w:cs="Arial" w:eastAsia="Arial" w:hAnsi="Arial"/>
                <w:sz w:val="12"/>
                <w:szCs w:val="12"/>
                <w:color w:val="auto"/>
                <w:w w:val="91"/>
              </w:rPr>
              <w:t>Forever 21, JCPenney</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San Bernardino,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Kings Plaza Shopping</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1971/2012</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1,146,000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445,000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1"/>
              </w:rPr>
              <w:t>Macy's</w:t>
            </w: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6"/>
              </w:rPr>
              <w:t>Burlington, Lowe's,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Center(7)</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2"/>
              </w:rPr>
              <w:t>Primark, Target(6)</w:t>
            </w:r>
          </w:p>
        </w:tc>
        <w:tc>
          <w:tcPr>
            <w:tcW w:w="0" w:type="dxa"/>
            <w:vAlign w:val="bottom"/>
          </w:tcPr>
          <w:p>
            <w:pPr>
              <w:spacing w:after="0"/>
              <w:rPr>
                <w:sz w:val="1"/>
                <w:szCs w:val="1"/>
                <w:color w:val="auto"/>
              </w:rPr>
            </w:pPr>
          </w:p>
        </w:tc>
      </w:tr>
      <w:tr>
        <w:trPr>
          <w:trHeight w:val="188"/>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Brooklyn, New York</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center"/>
              <w:spacing w:after="0"/>
              <w:rPr>
                <w:sz w:val="20"/>
                <w:szCs w:val="20"/>
                <w:color w:val="auto"/>
              </w:rPr>
            </w:pPr>
            <w:r>
              <w:rPr>
                <w:rFonts w:ascii="Arial" w:cs="Arial" w:eastAsia="Arial" w:hAnsi="Arial"/>
                <w:sz w:val="12"/>
                <w:szCs w:val="12"/>
                <w:color w:val="auto"/>
                <w:w w:val="89"/>
              </w:rPr>
              <w:t>13</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La Cumbre Plaza(7)</w:t>
            </w:r>
          </w:p>
        </w:tc>
        <w:tc>
          <w:tcPr>
            <w:tcW w:w="900" w:type="dxa"/>
            <w:vAlign w:val="bottom"/>
          </w:tcPr>
          <w:p>
            <w:pPr>
              <w:jc w:val="right"/>
              <w:spacing w:after="0"/>
              <w:rPr>
                <w:sz w:val="20"/>
                <w:szCs w:val="20"/>
                <w:color w:val="auto"/>
              </w:rPr>
            </w:pPr>
            <w:r>
              <w:rPr>
                <w:rFonts w:ascii="Arial" w:cs="Arial" w:eastAsia="Arial" w:hAnsi="Arial"/>
                <w:sz w:val="12"/>
                <w:szCs w:val="12"/>
                <w:color w:val="auto"/>
              </w:rPr>
              <w:t>1967/2004</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1989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323,000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173,000</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92.5 %</w:t>
            </w: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color w:val="auto"/>
                <w:w w:val="91"/>
              </w:rPr>
              <w:t>Macy's</w:t>
            </w:r>
          </w:p>
        </w:tc>
        <w:tc>
          <w:tcPr>
            <w:tcW w:w="1340" w:type="dxa"/>
            <w:vAlign w:val="bottom"/>
          </w:tcPr>
          <w:p>
            <w:pPr>
              <w:jc w:val="center"/>
              <w:ind w:right="3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Santa Barbara,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14</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NorthPark Mall(4)</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1973/1998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2001</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933,000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398,000</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90.5 %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rPr>
              <w:t>Dillard's,</w:t>
            </w:r>
          </w:p>
        </w:tc>
        <w:tc>
          <w:tcPr>
            <w:tcW w:w="13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20"/>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center"/>
              <w:ind w:right="39"/>
              <w:spacing w:after="0" w:line="120" w:lineRule="exact"/>
              <w:rPr>
                <w:sz w:val="20"/>
                <w:szCs w:val="20"/>
                <w:color w:val="auto"/>
              </w:rPr>
            </w:pPr>
            <w:r>
              <w:rPr>
                <w:rFonts w:ascii="Arial" w:cs="Arial" w:eastAsia="Arial" w:hAnsi="Arial"/>
                <w:sz w:val="12"/>
                <w:szCs w:val="12"/>
                <w:color w:val="auto"/>
                <w:w w:val="88"/>
              </w:rPr>
              <w:t>JCPenney, Von</w:t>
            </w: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Davenport, Iowa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4"/>
              </w:rPr>
              <w:t>Maur</w:t>
            </w: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4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80" w:type="dxa"/>
            <w:vAlign w:val="bottom"/>
          </w:tcPr>
          <w:p>
            <w:pPr>
              <w:jc w:val="center"/>
              <w:spacing w:after="0" w:line="131" w:lineRule="exact"/>
              <w:rPr>
                <w:sz w:val="20"/>
                <w:szCs w:val="20"/>
                <w:color w:val="auto"/>
              </w:rPr>
            </w:pPr>
            <w:r>
              <w:rPr>
                <w:rFonts w:ascii="Arial" w:cs="Arial" w:eastAsia="Arial" w:hAnsi="Arial"/>
                <w:sz w:val="12"/>
                <w:szCs w:val="12"/>
                <w:color w:val="auto"/>
                <w:w w:val="89"/>
              </w:rPr>
              <w:t>15</w:t>
            </w:r>
          </w:p>
        </w:tc>
        <w:tc>
          <w:tcPr>
            <w:tcW w:w="980" w:type="dxa"/>
            <w:vAlign w:val="bottom"/>
          </w:tcPr>
          <w:p>
            <w:pPr>
              <w:jc w:val="center"/>
              <w:ind w:left="39"/>
              <w:spacing w:after="0" w:line="131" w:lineRule="exact"/>
              <w:rPr>
                <w:sz w:val="20"/>
                <w:szCs w:val="20"/>
                <w:color w:val="auto"/>
              </w:rPr>
            </w:pPr>
            <w:r>
              <w:rPr>
                <w:rFonts w:ascii="Arial" w:cs="Arial" w:eastAsia="Arial" w:hAnsi="Arial"/>
                <w:sz w:val="12"/>
                <w:szCs w:val="12"/>
                <w:color w:val="auto"/>
                <w:w w:val="91"/>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31" w:lineRule="exact"/>
              <w:rPr>
                <w:sz w:val="20"/>
                <w:szCs w:val="20"/>
                <w:color w:val="auto"/>
              </w:rPr>
            </w:pPr>
            <w:r>
              <w:rPr>
                <w:rFonts w:ascii="Arial" w:cs="Arial" w:eastAsia="Arial" w:hAnsi="Arial"/>
                <w:sz w:val="12"/>
                <w:szCs w:val="12"/>
                <w:color w:val="auto"/>
              </w:rPr>
              <w:t>Oaks, The</w:t>
            </w:r>
          </w:p>
        </w:tc>
        <w:tc>
          <w:tcPr>
            <w:tcW w:w="900" w:type="dxa"/>
            <w:vAlign w:val="bottom"/>
          </w:tcPr>
          <w:p>
            <w:pPr>
              <w:jc w:val="right"/>
              <w:spacing w:after="0" w:line="131" w:lineRule="exact"/>
              <w:rPr>
                <w:sz w:val="20"/>
                <w:szCs w:val="20"/>
                <w:color w:val="auto"/>
              </w:rPr>
            </w:pPr>
            <w:r>
              <w:rPr>
                <w:rFonts w:ascii="Arial" w:cs="Arial" w:eastAsia="Arial" w:hAnsi="Arial"/>
                <w:sz w:val="12"/>
                <w:szCs w:val="12"/>
                <w:color w:val="auto"/>
              </w:rPr>
              <w:t>1978/2002</w:t>
            </w: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2017</w:t>
            </w: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1,206,000</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605,000</w:t>
            </w: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2"/>
                <w:szCs w:val="12"/>
                <w:color w:val="auto"/>
              </w:rPr>
              <w:t>88.3 %</w:t>
            </w:r>
          </w:p>
        </w:tc>
        <w:tc>
          <w:tcPr>
            <w:tcW w:w="100" w:type="dxa"/>
            <w:vAlign w:val="bottom"/>
          </w:tcPr>
          <w:p>
            <w:pPr>
              <w:spacing w:after="0"/>
              <w:rPr>
                <w:sz w:val="11"/>
                <w:szCs w:val="11"/>
                <w:color w:val="auto"/>
              </w:rPr>
            </w:pPr>
          </w:p>
        </w:tc>
        <w:tc>
          <w:tcPr>
            <w:tcW w:w="10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88"/>
              </w:rPr>
              <w:t>JCPenney,</w:t>
            </w:r>
          </w:p>
        </w:tc>
        <w:tc>
          <w:tcPr>
            <w:tcW w:w="13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color w:val="auto"/>
                <w:w w:val="98"/>
              </w:rPr>
              <w:t>Macy's (two)</w:t>
            </w:r>
          </w:p>
        </w:tc>
        <w:tc>
          <w:tcPr>
            <w:tcW w:w="1340" w:type="dxa"/>
            <w:vAlign w:val="bottom"/>
          </w:tcPr>
          <w:p>
            <w:pPr>
              <w:jc w:val="center"/>
              <w:ind w:right="59"/>
              <w:spacing w:after="0"/>
              <w:rPr>
                <w:sz w:val="20"/>
                <w:szCs w:val="20"/>
                <w:color w:val="auto"/>
              </w:rPr>
            </w:pPr>
            <w:r>
              <w:rPr>
                <w:rFonts w:ascii="Arial" w:cs="Arial" w:eastAsia="Arial" w:hAnsi="Arial"/>
                <w:sz w:val="12"/>
                <w:szCs w:val="12"/>
                <w:color w:val="auto"/>
                <w:w w:val="96"/>
              </w:rPr>
              <w:t>Nordstrom</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Thousand Oaks, California</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16</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Pacific View</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1965/1996</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401,000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88"/>
              </w:rPr>
              <w:t>JCPenney, Target</w:t>
            </w:r>
          </w:p>
        </w:tc>
        <w:tc>
          <w:tcPr>
            <w:tcW w:w="13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1"/>
              </w:rPr>
              <w:t>Macy's</w:t>
            </w: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Ventura, California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 w:type="dxa"/>
            <w:vAlign w:val="bottom"/>
          </w:tcPr>
          <w:p>
            <w:pPr>
              <w:jc w:val="center"/>
              <w:spacing w:after="0" w:line="131" w:lineRule="exact"/>
              <w:rPr>
                <w:sz w:val="20"/>
                <w:szCs w:val="20"/>
                <w:color w:val="auto"/>
              </w:rPr>
            </w:pPr>
            <w:r>
              <w:rPr>
                <w:rFonts w:ascii="Arial" w:cs="Arial" w:eastAsia="Arial" w:hAnsi="Arial"/>
                <w:sz w:val="12"/>
                <w:szCs w:val="12"/>
                <w:color w:val="auto"/>
                <w:w w:val="89"/>
              </w:rPr>
              <w:t>17</w:t>
            </w:r>
          </w:p>
        </w:tc>
        <w:tc>
          <w:tcPr>
            <w:tcW w:w="980" w:type="dxa"/>
            <w:vAlign w:val="bottom"/>
          </w:tcPr>
          <w:p>
            <w:pPr>
              <w:jc w:val="center"/>
              <w:ind w:left="39"/>
              <w:spacing w:after="0" w:line="131" w:lineRule="exact"/>
              <w:rPr>
                <w:sz w:val="20"/>
                <w:szCs w:val="20"/>
                <w:color w:val="auto"/>
              </w:rPr>
            </w:pPr>
            <w:r>
              <w:rPr>
                <w:rFonts w:ascii="Arial" w:cs="Arial" w:eastAsia="Arial" w:hAnsi="Arial"/>
                <w:sz w:val="12"/>
                <w:szCs w:val="12"/>
                <w:color w:val="auto"/>
                <w:w w:val="91"/>
              </w:rPr>
              <w:t>100%</w:t>
            </w:r>
          </w:p>
        </w:tc>
        <w:tc>
          <w:tcPr>
            <w:tcW w:w="120" w:type="dxa"/>
            <w:vAlign w:val="bottom"/>
          </w:tcPr>
          <w:p>
            <w:pPr>
              <w:spacing w:after="0"/>
              <w:rPr>
                <w:sz w:val="11"/>
                <w:szCs w:val="11"/>
                <w:color w:val="auto"/>
              </w:rPr>
            </w:pPr>
          </w:p>
        </w:tc>
        <w:tc>
          <w:tcPr>
            <w:tcW w:w="1540" w:type="dxa"/>
            <w:vAlign w:val="bottom"/>
            <w:gridSpan w:val="2"/>
          </w:tcPr>
          <w:p>
            <w:pPr>
              <w:ind w:left="20"/>
              <w:spacing w:after="0" w:line="131" w:lineRule="exact"/>
              <w:rPr>
                <w:sz w:val="20"/>
                <w:szCs w:val="20"/>
                <w:color w:val="auto"/>
              </w:rPr>
            </w:pPr>
            <w:r>
              <w:rPr>
                <w:rFonts w:ascii="Arial" w:cs="Arial" w:eastAsia="Arial" w:hAnsi="Arial"/>
                <w:sz w:val="12"/>
                <w:szCs w:val="12"/>
                <w:color w:val="auto"/>
              </w:rPr>
              <w:t>Queens Center(7)</w:t>
            </w:r>
          </w:p>
        </w:tc>
        <w:tc>
          <w:tcPr>
            <w:tcW w:w="900" w:type="dxa"/>
            <w:vAlign w:val="bottom"/>
          </w:tcPr>
          <w:p>
            <w:pPr>
              <w:jc w:val="right"/>
              <w:spacing w:after="0" w:line="131" w:lineRule="exact"/>
              <w:rPr>
                <w:sz w:val="20"/>
                <w:szCs w:val="20"/>
                <w:color w:val="auto"/>
              </w:rPr>
            </w:pPr>
            <w:r>
              <w:rPr>
                <w:rFonts w:ascii="Arial" w:cs="Arial" w:eastAsia="Arial" w:hAnsi="Arial"/>
                <w:sz w:val="12"/>
                <w:szCs w:val="12"/>
                <w:color w:val="auto"/>
              </w:rPr>
              <w:t>1973/1995</w:t>
            </w:r>
          </w:p>
        </w:tc>
        <w:tc>
          <w:tcPr>
            <w:tcW w:w="10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2004</w:t>
            </w:r>
          </w:p>
        </w:tc>
        <w:tc>
          <w:tcPr>
            <w:tcW w:w="12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Arial" w:cs="Arial" w:eastAsia="Arial" w:hAnsi="Arial"/>
                <w:sz w:val="12"/>
                <w:szCs w:val="12"/>
                <w:color w:val="auto"/>
              </w:rPr>
              <w:t>967,000</w:t>
            </w: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410,000</w:t>
            </w:r>
          </w:p>
        </w:tc>
        <w:tc>
          <w:tcPr>
            <w:tcW w:w="10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Arial" w:cs="Arial" w:eastAsia="Arial" w:hAnsi="Arial"/>
                <w:sz w:val="12"/>
                <w:szCs w:val="12"/>
                <w:color w:val="auto"/>
              </w:rPr>
              <w:t>98.7 %</w:t>
            </w:r>
          </w:p>
        </w:tc>
        <w:tc>
          <w:tcPr>
            <w:tcW w:w="100" w:type="dxa"/>
            <w:vAlign w:val="bottom"/>
          </w:tcPr>
          <w:p>
            <w:pPr>
              <w:spacing w:after="0"/>
              <w:rPr>
                <w:sz w:val="11"/>
                <w:szCs w:val="11"/>
                <w:color w:val="auto"/>
              </w:rPr>
            </w:pPr>
          </w:p>
        </w:tc>
        <w:tc>
          <w:tcPr>
            <w:tcW w:w="1040" w:type="dxa"/>
            <w:vAlign w:val="bottom"/>
          </w:tcPr>
          <w:p>
            <w:pPr>
              <w:jc w:val="center"/>
              <w:ind w:right="59"/>
              <w:spacing w:after="0" w:line="131" w:lineRule="exact"/>
              <w:rPr>
                <w:sz w:val="20"/>
                <w:szCs w:val="20"/>
                <w:color w:val="auto"/>
              </w:rPr>
            </w:pPr>
            <w:r>
              <w:rPr>
                <w:rFonts w:ascii="Arial" w:cs="Arial" w:eastAsia="Arial" w:hAnsi="Arial"/>
                <w:sz w:val="12"/>
                <w:szCs w:val="12"/>
                <w:color w:val="auto"/>
                <w:w w:val="88"/>
              </w:rPr>
              <w:t>JCPenney,</w:t>
            </w:r>
          </w:p>
        </w:tc>
        <w:tc>
          <w:tcPr>
            <w:tcW w:w="1340" w:type="dxa"/>
            <w:vAlign w:val="bottom"/>
          </w:tcPr>
          <w:p>
            <w:pPr>
              <w:jc w:val="center"/>
              <w:ind w:right="39"/>
              <w:spacing w:after="0" w:line="131"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2"/>
                <w:szCs w:val="12"/>
                <w:color w:val="auto"/>
                <w:w w:val="91"/>
              </w:rPr>
              <w:t>Macy's</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Queens, New York</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18</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1"/>
              </w:rPr>
              <w:t>100%</w:t>
            </w:r>
          </w:p>
        </w:tc>
        <w:tc>
          <w:tcPr>
            <w:tcW w:w="1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Santa Monica Place(4)</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1980/1999</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Ongoing</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303,000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85.0 %</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9"/>
              </w:rPr>
              <w:t>—</w:t>
            </w:r>
          </w:p>
        </w:tc>
        <w:tc>
          <w:tcPr>
            <w:tcW w:w="13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Nordstrom</w:t>
            </w: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Santa Monica, California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26"/>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Year of</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Year of Most</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Mall and</w:t>
            </w:r>
          </w:p>
        </w:tc>
        <w:tc>
          <w:tcPr>
            <w:tcW w:w="1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Percentage</w:t>
            </w:r>
          </w:p>
        </w:tc>
        <w:tc>
          <w:tcPr>
            <w:tcW w:w="10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80" w:type="dxa"/>
            <w:vAlign w:val="bottom"/>
          </w:tcPr>
          <w:p>
            <w:pPr>
              <w:spacing w:after="0"/>
              <w:rPr>
                <w:sz w:val="9"/>
                <w:szCs w:val="9"/>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Company's</w:t>
            </w:r>
          </w:p>
        </w:tc>
        <w:tc>
          <w:tcPr>
            <w:tcW w:w="1540" w:type="dxa"/>
            <w:vAlign w:val="bottom"/>
            <w:gridSpan w:val="2"/>
            <w:vMerge w:val="restart"/>
          </w:tcPr>
          <w:p>
            <w:pPr>
              <w:ind w:left="540"/>
              <w:spacing w:after="0"/>
              <w:rPr>
                <w:sz w:val="20"/>
                <w:szCs w:val="20"/>
                <w:color w:val="auto"/>
              </w:rPr>
            </w:pPr>
            <w:r>
              <w:rPr>
                <w:rFonts w:ascii="Arial" w:cs="Arial" w:eastAsia="Arial" w:hAnsi="Arial"/>
                <w:sz w:val="11"/>
                <w:szCs w:val="11"/>
                <w:b w:val="1"/>
                <w:bCs w:val="1"/>
                <w:color w:val="auto"/>
              </w:rPr>
              <w:t>Name of</w:t>
            </w: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91"/>
              </w:rPr>
              <w:t>Original</w:t>
            </w:r>
          </w:p>
        </w:tc>
        <w:tc>
          <w:tcPr>
            <w:tcW w:w="90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w w:val="81"/>
              </w:rPr>
              <w:t>Recent</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w w:val="90"/>
              </w:rPr>
              <w:t>of Mall and</w:t>
            </w:r>
          </w:p>
        </w:tc>
        <w:tc>
          <w:tcPr>
            <w:tcW w:w="102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w w:val="90"/>
              </w:rPr>
              <w:t>Non-Owned</w:t>
            </w:r>
          </w:p>
        </w:tc>
        <w:tc>
          <w:tcPr>
            <w:tcW w:w="136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86"/>
              </w:rPr>
              <w:t>Company-Owned Anchors</w:t>
            </w:r>
          </w:p>
        </w:tc>
        <w:tc>
          <w:tcPr>
            <w:tcW w:w="0" w:type="dxa"/>
            <w:vAlign w:val="bottom"/>
          </w:tcPr>
          <w:p>
            <w:pPr>
              <w:spacing w:after="0"/>
              <w:rPr>
                <w:sz w:val="1"/>
                <w:szCs w:val="1"/>
                <w:color w:val="auto"/>
              </w:rPr>
            </w:pPr>
          </w:p>
        </w:tc>
      </w:tr>
      <w:tr>
        <w:trPr>
          <w:trHeight w:val="105"/>
        </w:trPr>
        <w:tc>
          <w:tcPr>
            <w:tcW w:w="48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w w:val="87"/>
              </w:rPr>
              <w:t>Count</w:t>
            </w:r>
          </w:p>
        </w:tc>
        <w:tc>
          <w:tcPr>
            <w:tcW w:w="108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6"/>
              </w:rPr>
              <w:t>Construction/</w:t>
            </w:r>
          </w:p>
        </w:tc>
        <w:tc>
          <w:tcPr>
            <w:tcW w:w="90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w w:val="85"/>
              </w:rPr>
              <w:t>Expansion/</w:t>
            </w:r>
          </w:p>
        </w:tc>
        <w:tc>
          <w:tcPr>
            <w:tcW w:w="1000" w:type="dxa"/>
            <w:vAlign w:val="bottom"/>
            <w:gridSpan w:val="2"/>
            <w:vMerge w:val="continue"/>
          </w:tcPr>
          <w:p>
            <w:pPr>
              <w:spacing w:after="0"/>
              <w:rPr>
                <w:sz w:val="9"/>
                <w:szCs w:val="9"/>
                <w:color w:val="auto"/>
              </w:rPr>
            </w:pPr>
          </w:p>
        </w:tc>
        <w:tc>
          <w:tcPr>
            <w:tcW w:w="10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83"/>
              </w:rPr>
              <w:t>Freestanding</w:t>
            </w: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3"/>
              </w:rPr>
              <w:t>Freestanding</w:t>
            </w:r>
          </w:p>
        </w:tc>
        <w:tc>
          <w:tcPr>
            <w:tcW w:w="102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80" w:type="dxa"/>
            <w:vAlign w:val="bottom"/>
            <w:vMerge w:val="continue"/>
          </w:tcPr>
          <w:p>
            <w:pPr>
              <w:spacing w:after="0"/>
              <w:rPr>
                <w:sz w:val="11"/>
                <w:szCs w:val="11"/>
                <w:color w:val="auto"/>
              </w:rPr>
            </w:pPr>
          </w:p>
        </w:tc>
        <w:tc>
          <w:tcPr>
            <w:tcW w:w="10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Ownership(1)</w:t>
            </w:r>
          </w:p>
        </w:tc>
        <w:tc>
          <w:tcPr>
            <w:tcW w:w="1540" w:type="dxa"/>
            <w:vAlign w:val="bottom"/>
            <w:gridSpan w:val="2"/>
          </w:tcPr>
          <w:p>
            <w:pPr>
              <w:ind w:left="280"/>
              <w:spacing w:after="0"/>
              <w:rPr>
                <w:sz w:val="20"/>
                <w:szCs w:val="20"/>
                <w:color w:val="auto"/>
              </w:rPr>
            </w:pPr>
            <w:r>
              <w:rPr>
                <w:rFonts w:ascii="Arial" w:cs="Arial" w:eastAsia="Arial" w:hAnsi="Arial"/>
                <w:sz w:val="11"/>
                <w:szCs w:val="11"/>
                <w:b w:val="1"/>
                <w:bCs w:val="1"/>
                <w:color w:val="auto"/>
              </w:rPr>
              <w:t>Center/Location(2)</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Acquisition</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Renovation</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GLA(3)</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4"/>
              </w:rPr>
              <w:t>GLA</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GLA Leased</w:t>
            </w:r>
          </w:p>
        </w:tc>
        <w:tc>
          <w:tcPr>
            <w:tcW w:w="1020" w:type="dxa"/>
            <w:vAlign w:val="bottom"/>
          </w:tcPr>
          <w:p>
            <w:pPr>
              <w:jc w:val="center"/>
              <w:ind w:right="39"/>
              <w:spacing w:after="0"/>
              <w:rPr>
                <w:sz w:val="20"/>
                <w:szCs w:val="20"/>
                <w:color w:val="auto"/>
              </w:rPr>
            </w:pPr>
            <w:r>
              <w:rPr>
                <w:rFonts w:ascii="Arial" w:cs="Arial" w:eastAsia="Arial" w:hAnsi="Arial"/>
                <w:sz w:val="11"/>
                <w:szCs w:val="11"/>
                <w:b w:val="1"/>
                <w:bCs w:val="1"/>
                <w:color w:val="auto"/>
                <w:w w:val="85"/>
              </w:rPr>
              <w:t>Anchors (3)</w:t>
            </w:r>
          </w:p>
        </w:tc>
        <w:tc>
          <w:tcPr>
            <w:tcW w:w="1360" w:type="dxa"/>
            <w:vAlign w:val="bottom"/>
          </w:tcPr>
          <w:p>
            <w:pPr>
              <w:jc w:val="center"/>
              <w:ind w:right="59"/>
              <w:spacing w:after="0"/>
              <w:rPr>
                <w:sz w:val="20"/>
                <w:szCs w:val="20"/>
                <w:color w:val="auto"/>
              </w:rPr>
            </w:pPr>
            <w:r>
              <w:rPr>
                <w:rFonts w:ascii="Arial" w:cs="Arial" w:eastAsia="Arial" w:hAnsi="Arial"/>
                <w:sz w:val="11"/>
                <w:szCs w:val="11"/>
                <w:b w:val="1"/>
                <w:bCs w:val="1"/>
                <w:color w:val="auto"/>
                <w:w w:val="88"/>
              </w:rPr>
              <w:t>(3)</w:t>
            </w: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480" w:type="dxa"/>
            <w:vAlign w:val="bottom"/>
          </w:tcPr>
          <w:p>
            <w:pPr>
              <w:jc w:val="right"/>
              <w:ind w:right="119"/>
              <w:spacing w:after="0"/>
              <w:rPr>
                <w:sz w:val="20"/>
                <w:szCs w:val="20"/>
                <w:color w:val="auto"/>
              </w:rPr>
            </w:pPr>
            <w:r>
              <w:rPr>
                <w:rFonts w:ascii="Arial" w:cs="Arial" w:eastAsia="Arial" w:hAnsi="Arial"/>
                <w:sz w:val="12"/>
                <w:szCs w:val="12"/>
                <w:color w:val="auto"/>
              </w:rPr>
              <w:t>19</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3"/>
              </w:rPr>
              <w:t>84.9%</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SanTan Village Regional</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2007/—</w:t>
            </w:r>
          </w:p>
        </w:tc>
        <w:tc>
          <w:tcPr>
            <w:tcW w:w="780" w:type="dxa"/>
            <w:vAlign w:val="bottom"/>
          </w:tcPr>
          <w:p>
            <w:pPr>
              <w:jc w:val="right"/>
              <w:spacing w:after="0"/>
              <w:rPr>
                <w:sz w:val="20"/>
                <w:szCs w:val="20"/>
                <w:color w:val="auto"/>
              </w:rPr>
            </w:pPr>
            <w:r>
              <w:rPr>
                <w:rFonts w:ascii="Arial" w:cs="Arial" w:eastAsia="Arial" w:hAnsi="Arial"/>
                <w:sz w:val="12"/>
                <w:szCs w:val="12"/>
                <w:color w:val="auto"/>
              </w:rPr>
              <w:t>2018</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1,196,000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789,000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96.3 %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7"/>
              </w:rPr>
              <w:t>Dillard's, Macy's</w:t>
            </w: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2"/>
              </w:rPr>
              <w:t>Dick's Sporting Goods</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Center</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Gilbert, Arizona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right"/>
              <w:ind w:right="119"/>
              <w:spacing w:after="0" w:line="127" w:lineRule="exact"/>
              <w:rPr>
                <w:sz w:val="20"/>
                <w:szCs w:val="20"/>
                <w:color w:val="auto"/>
              </w:rPr>
            </w:pPr>
            <w:r>
              <w:rPr>
                <w:rFonts w:ascii="Arial" w:cs="Arial" w:eastAsia="Arial" w:hAnsi="Arial"/>
                <w:sz w:val="12"/>
                <w:szCs w:val="12"/>
                <w:color w:val="auto"/>
              </w:rPr>
              <w:t>20</w:t>
            </w:r>
          </w:p>
        </w:tc>
        <w:tc>
          <w:tcPr>
            <w:tcW w:w="980" w:type="dxa"/>
            <w:vAlign w:val="bottom"/>
            <w:shd w:val="clear" w:color="auto" w:fill="CCEEFF"/>
          </w:tcPr>
          <w:p>
            <w:pPr>
              <w:jc w:val="center"/>
              <w:ind w:left="39"/>
              <w:spacing w:after="0" w:line="127" w:lineRule="exact"/>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Arial" w:cs="Arial" w:eastAsia="Arial" w:hAnsi="Arial"/>
                <w:sz w:val="12"/>
                <w:szCs w:val="12"/>
                <w:color w:val="auto"/>
              </w:rPr>
              <w:t>SouthPark Mall(4)</w:t>
            </w:r>
          </w:p>
        </w:tc>
        <w:tc>
          <w:tcPr>
            <w:tcW w:w="9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1974/1998</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2015</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854,000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290,000</w:t>
            </w:r>
          </w:p>
        </w:tc>
        <w:tc>
          <w:tcPr>
            <w:tcW w:w="10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71.0 %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96"/>
              </w:rPr>
              <w:t>Dillard's, Von</w:t>
            </w:r>
          </w:p>
        </w:tc>
        <w:tc>
          <w:tcPr>
            <w:tcW w:w="136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Moline, Illinois</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rPr>
              <w:t>Maur</w:t>
            </w:r>
          </w:p>
        </w:tc>
        <w:tc>
          <w:tcPr>
            <w:tcW w:w="13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0"/>
              </w:rPr>
              <w:t>JCPenney</w:t>
            </w:r>
          </w:p>
        </w:tc>
        <w:tc>
          <w:tcPr>
            <w:tcW w:w="0" w:type="dxa"/>
            <w:vAlign w:val="bottom"/>
          </w:tcPr>
          <w:p>
            <w:pPr>
              <w:spacing w:after="0"/>
              <w:rPr>
                <w:sz w:val="1"/>
                <w:szCs w:val="1"/>
                <w:color w:val="auto"/>
              </w:rPr>
            </w:pPr>
          </w:p>
        </w:tc>
      </w:tr>
      <w:tr>
        <w:trPr>
          <w:trHeight w:val="127"/>
        </w:trPr>
        <w:tc>
          <w:tcPr>
            <w:tcW w:w="4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gridSpan w:val="2"/>
            <w:vMerge w:val="continue"/>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Arial" w:cs="Arial" w:eastAsia="Arial" w:hAnsi="Arial"/>
                <w:sz w:val="12"/>
                <w:szCs w:val="12"/>
                <w:color w:val="auto"/>
              </w:rPr>
              <w:t>21</w:t>
            </w:r>
          </w:p>
        </w:tc>
        <w:tc>
          <w:tcPr>
            <w:tcW w:w="980" w:type="dxa"/>
            <w:vAlign w:val="bottom"/>
          </w:tcPr>
          <w:p>
            <w:pPr>
              <w:jc w:val="center"/>
              <w:ind w:left="39"/>
              <w:spacing w:after="0" w:line="119" w:lineRule="exact"/>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Arial" w:cs="Arial" w:eastAsia="Arial" w:hAnsi="Arial"/>
                <w:sz w:val="12"/>
                <w:szCs w:val="12"/>
                <w:color w:val="auto"/>
              </w:rPr>
              <w:t>Stonewood Center(4)(7)</w:t>
            </w: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1953/1997</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1991</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922,000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351,000</w:t>
            </w:r>
          </w:p>
        </w:tc>
        <w:tc>
          <w:tcPr>
            <w:tcW w:w="108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95.1 %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6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2"/>
              </w:rPr>
              <w:t>JCPenney, Kohl's,</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1"/>
              </w:rPr>
              <w:t>Macy's</w:t>
            </w:r>
          </w:p>
        </w:tc>
        <w:tc>
          <w:tcPr>
            <w:tcW w:w="0" w:type="dxa"/>
            <w:vAlign w:val="bottom"/>
          </w:tcPr>
          <w:p>
            <w:pPr>
              <w:spacing w:after="0"/>
              <w:rPr>
                <w:sz w:val="1"/>
                <w:szCs w:val="1"/>
                <w:color w:val="auto"/>
              </w:rPr>
            </w:pPr>
          </w:p>
        </w:tc>
      </w:tr>
      <w:tr>
        <w:trPr>
          <w:trHeight w:val="197"/>
        </w:trPr>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Downey, California</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22</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Superstition Springs</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1990/2002</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2002</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956,000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384,000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94.1 %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6"/>
              </w:rPr>
              <w:t>Dillard's,</w:t>
            </w:r>
          </w:p>
        </w:tc>
        <w:tc>
          <w:tcPr>
            <w:tcW w:w="1360" w:type="dxa"/>
            <w:vAlign w:val="bottom"/>
            <w:shd w:val="clear" w:color="auto" w:fill="CCEEFF"/>
          </w:tcPr>
          <w:p>
            <w:pPr>
              <w:jc w:val="center"/>
              <w:ind w:right="59"/>
              <w:spacing w:after="0" w:line="119"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Center(4)</w:t>
            </w: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88"/>
              </w:rPr>
              <w:t>JCPenney,</w:t>
            </w: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Mesa, Arizona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7"/>
              </w:rPr>
              <w:t>Macy's</w:t>
            </w: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4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gridSpan w:val="2"/>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right"/>
              <w:ind w:right="119"/>
              <w:spacing w:after="0"/>
              <w:rPr>
                <w:sz w:val="20"/>
                <w:szCs w:val="20"/>
                <w:color w:val="auto"/>
              </w:rPr>
            </w:pPr>
            <w:r>
              <w:rPr>
                <w:rFonts w:ascii="Arial" w:cs="Arial" w:eastAsia="Arial" w:hAnsi="Arial"/>
                <w:sz w:val="12"/>
                <w:szCs w:val="12"/>
                <w:color w:val="auto"/>
              </w:rPr>
              <w:t>23</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Towne Mall(4)</w:t>
            </w:r>
          </w:p>
        </w:tc>
        <w:tc>
          <w:tcPr>
            <w:tcW w:w="900" w:type="dxa"/>
            <w:vAlign w:val="bottom"/>
          </w:tcPr>
          <w:p>
            <w:pPr>
              <w:jc w:val="right"/>
              <w:spacing w:after="0"/>
              <w:rPr>
                <w:sz w:val="20"/>
                <w:szCs w:val="20"/>
                <w:color w:val="auto"/>
              </w:rPr>
            </w:pPr>
            <w:r>
              <w:rPr>
                <w:rFonts w:ascii="Arial" w:cs="Arial" w:eastAsia="Arial" w:hAnsi="Arial"/>
                <w:sz w:val="12"/>
                <w:szCs w:val="12"/>
                <w:color w:val="auto"/>
              </w:rPr>
              <w:t>1985/2005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1989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350,000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179,000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83.0 %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9"/>
              </w:rPr>
              <w:t>—</w:t>
            </w: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1"/>
              </w:rPr>
              <w:t>Belk, JCPenney</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Elizabethtown, Kentucky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24</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Valley Mall</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1978/1998</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1992</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502,000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187,000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76.5 %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2"/>
              </w:rPr>
              <w:t>Target</w:t>
            </w:r>
          </w:p>
        </w:tc>
        <w:tc>
          <w:tcPr>
            <w:tcW w:w="136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6"/>
              </w:rPr>
              <w:t>Belk, Dick's Sporting</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Harrisonburg, Virginia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88"/>
              </w:rPr>
              <w:t>Goods, JCPenney</w:t>
            </w:r>
          </w:p>
        </w:tc>
        <w:tc>
          <w:tcPr>
            <w:tcW w:w="0" w:type="dxa"/>
            <w:vAlign w:val="bottom"/>
          </w:tcPr>
          <w:p>
            <w:pPr>
              <w:spacing w:after="0"/>
              <w:rPr>
                <w:sz w:val="1"/>
                <w:szCs w:val="1"/>
                <w:color w:val="auto"/>
              </w:rPr>
            </w:pPr>
          </w:p>
        </w:tc>
      </w:tr>
      <w:tr>
        <w:trPr>
          <w:trHeight w:val="91"/>
        </w:trPr>
        <w:tc>
          <w:tcPr>
            <w:tcW w:w="48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4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right"/>
              <w:ind w:right="119"/>
              <w:spacing w:after="0"/>
              <w:rPr>
                <w:sz w:val="20"/>
                <w:szCs w:val="20"/>
                <w:color w:val="auto"/>
              </w:rPr>
            </w:pPr>
            <w:r>
              <w:rPr>
                <w:rFonts w:ascii="Arial" w:cs="Arial" w:eastAsia="Arial" w:hAnsi="Arial"/>
                <w:sz w:val="12"/>
                <w:szCs w:val="12"/>
                <w:color w:val="auto"/>
              </w:rPr>
              <w:t>25</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Valley River Center</w:t>
            </w:r>
          </w:p>
        </w:tc>
        <w:tc>
          <w:tcPr>
            <w:tcW w:w="900" w:type="dxa"/>
            <w:vAlign w:val="bottom"/>
          </w:tcPr>
          <w:p>
            <w:pPr>
              <w:jc w:val="right"/>
              <w:spacing w:after="0"/>
              <w:rPr>
                <w:sz w:val="20"/>
                <w:szCs w:val="20"/>
                <w:color w:val="auto"/>
              </w:rPr>
            </w:pPr>
            <w:r>
              <w:rPr>
                <w:rFonts w:ascii="Arial" w:cs="Arial" w:eastAsia="Arial" w:hAnsi="Arial"/>
                <w:sz w:val="12"/>
                <w:szCs w:val="12"/>
                <w:color w:val="auto"/>
              </w:rPr>
              <w:t>1969/2006</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2007</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813,000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413,000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95.6 %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7"/>
              </w:rPr>
              <w:t>Macy's</w:t>
            </w: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0"/>
              </w:rPr>
              <w:t>JCPenney</w:t>
            </w:r>
          </w:p>
        </w:tc>
        <w:tc>
          <w:tcPr>
            <w:tcW w:w="0" w:type="dxa"/>
            <w:vAlign w:val="bottom"/>
          </w:tcPr>
          <w:p>
            <w:pPr>
              <w:spacing w:after="0"/>
              <w:rPr>
                <w:sz w:val="1"/>
                <w:szCs w:val="1"/>
                <w:color w:val="auto"/>
              </w:rPr>
            </w:pPr>
          </w:p>
        </w:tc>
      </w:tr>
      <w:tr>
        <w:trPr>
          <w:trHeight w:val="315"/>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Eugene, Oregon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26</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Victor Valley, Mall of(4)</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1986/2004</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2012</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578,000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259,000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96.5 %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7"/>
              </w:rPr>
              <w:t>Macy's</w:t>
            </w:r>
          </w:p>
        </w:tc>
        <w:tc>
          <w:tcPr>
            <w:tcW w:w="136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0"/>
              </w:rPr>
              <w:t>JCPenney</w:t>
            </w:r>
          </w:p>
        </w:tc>
        <w:tc>
          <w:tcPr>
            <w:tcW w:w="0" w:type="dxa"/>
            <w:vAlign w:val="bottom"/>
          </w:tcPr>
          <w:p>
            <w:pPr>
              <w:spacing w:after="0"/>
              <w:rPr>
                <w:sz w:val="1"/>
                <w:szCs w:val="1"/>
                <w:color w:val="auto"/>
              </w:rPr>
            </w:pPr>
          </w:p>
        </w:tc>
      </w:tr>
      <w:tr>
        <w:trPr>
          <w:trHeight w:val="233"/>
        </w:trPr>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Victorville, California</w:t>
            </w: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Arial" w:cs="Arial" w:eastAsia="Arial" w:hAnsi="Arial"/>
                <w:sz w:val="12"/>
                <w:szCs w:val="12"/>
                <w:color w:val="auto"/>
              </w:rPr>
              <w:t>27</w:t>
            </w:r>
          </w:p>
        </w:tc>
        <w:tc>
          <w:tcPr>
            <w:tcW w:w="980" w:type="dxa"/>
            <w:vAlign w:val="bottom"/>
          </w:tcPr>
          <w:p>
            <w:pPr>
              <w:jc w:val="center"/>
              <w:ind w:left="39"/>
              <w:spacing w:after="0" w:line="119" w:lineRule="exact"/>
              <w:rPr>
                <w:sz w:val="20"/>
                <w:szCs w:val="20"/>
                <w:color w:val="auto"/>
              </w:rPr>
            </w:pPr>
            <w:r>
              <w:rPr>
                <w:rFonts w:ascii="Arial" w:cs="Arial" w:eastAsia="Arial" w:hAnsi="Arial"/>
                <w:sz w:val="12"/>
                <w:szCs w:val="12"/>
                <w:color w:val="auto"/>
                <w:w w:val="91"/>
              </w:rPr>
              <w:t>100%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Arial" w:cs="Arial" w:eastAsia="Arial" w:hAnsi="Arial"/>
                <w:sz w:val="12"/>
                <w:szCs w:val="12"/>
                <w:color w:val="auto"/>
              </w:rPr>
              <w:t>Vintage Faire Mall</w:t>
            </w: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1977/1996</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line="119" w:lineRule="exact"/>
              <w:rPr>
                <w:sz w:val="20"/>
                <w:szCs w:val="20"/>
                <w:color w:val="auto"/>
              </w:rPr>
            </w:pPr>
            <w:r>
              <w:rPr>
                <w:rFonts w:ascii="Arial" w:cs="Arial" w:eastAsia="Arial" w:hAnsi="Arial"/>
                <w:sz w:val="12"/>
                <w:szCs w:val="12"/>
                <w:color w:val="auto"/>
              </w:rPr>
              <w:t>Ongoing</w:t>
            </w: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917,000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473,000</w:t>
            </w:r>
          </w:p>
        </w:tc>
        <w:tc>
          <w:tcPr>
            <w:tcW w:w="108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92.2 %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7"/>
              </w:rPr>
              <w:t>Macy's</w:t>
            </w:r>
          </w:p>
        </w:tc>
        <w:tc>
          <w:tcPr>
            <w:tcW w:w="136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color w:val="auto"/>
              </w:rPr>
              <w:t>Modesto, California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0"/>
              </w:rPr>
              <w:t>JCPenney, Macy's</w:t>
            </w:r>
          </w:p>
        </w:tc>
        <w:tc>
          <w:tcPr>
            <w:tcW w:w="0" w:type="dxa"/>
            <w:vAlign w:val="bottom"/>
          </w:tcPr>
          <w:p>
            <w:pPr>
              <w:spacing w:after="0"/>
              <w:rPr>
                <w:sz w:val="1"/>
                <w:szCs w:val="1"/>
                <w:color w:val="auto"/>
              </w:rPr>
            </w:pPr>
          </w:p>
        </w:tc>
      </w:tr>
      <w:tr>
        <w:trPr>
          <w:trHeight w:val="91"/>
        </w:trPr>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28</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1"/>
              </w:rPr>
              <w:t>100%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Wilton Mall(4)</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1990/2005</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2020</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708,000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390,000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95.4 %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86"/>
              </w:rPr>
              <w:t>JCPenney</w:t>
            </w:r>
          </w:p>
        </w:tc>
        <w:tc>
          <w:tcPr>
            <w:tcW w:w="136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3"/>
              </w:rPr>
              <w:t>BJ's Wholesale Club,</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Saratoga Springs, New</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2"/>
              </w:rPr>
              <w:t>Dick's Sporting Goods</w:t>
            </w:r>
          </w:p>
        </w:tc>
        <w:tc>
          <w:tcPr>
            <w:tcW w:w="0" w:type="dxa"/>
            <w:vAlign w:val="bottom"/>
          </w:tcPr>
          <w:p>
            <w:pPr>
              <w:spacing w:after="0"/>
              <w:rPr>
                <w:sz w:val="1"/>
                <w:szCs w:val="1"/>
                <w:color w:val="auto"/>
              </w:rPr>
            </w:pPr>
          </w:p>
        </w:tc>
      </w:tr>
      <w:tr>
        <w:trPr>
          <w:trHeight w:val="55"/>
        </w:trPr>
        <w:tc>
          <w:tcPr>
            <w:tcW w:w="4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540" w:type="dxa"/>
            <w:vAlign w:val="bottom"/>
            <w:gridSpan w:val="2"/>
            <w:vMerge w:val="continue"/>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York</w:t>
            </w: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b w:val="1"/>
                <w:bCs w:val="1"/>
                <w:color w:val="auto"/>
                <w:w w:val="96"/>
              </w:rPr>
              <w:t>Total Consolidated Centers</w:t>
            </w: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25,321,000</w:t>
            </w:r>
          </w:p>
        </w:tc>
        <w:tc>
          <w:tcPr>
            <w:tcW w:w="12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12,587,000</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92.7 %</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0" w:type="dxa"/>
            <w:vAlign w:val="bottom"/>
            <w:shd w:val="clear" w:color="auto" w:fill="CCEEFF"/>
          </w:tcPr>
          <w:p>
            <w:pPr>
              <w:spacing w:after="0"/>
              <w:rPr>
                <w:sz w:val="13"/>
                <w:szCs w:val="13"/>
                <w:color w:val="auto"/>
              </w:rPr>
            </w:pPr>
          </w:p>
        </w:tc>
        <w:tc>
          <w:tcPr>
            <w:tcW w:w="3620" w:type="dxa"/>
            <w:vAlign w:val="bottom"/>
            <w:gridSpan w:val="6"/>
            <w:shd w:val="clear" w:color="auto" w:fill="CCEEFF"/>
          </w:tcPr>
          <w:p>
            <w:pPr>
              <w:ind w:left="120"/>
              <w:spacing w:after="0"/>
              <w:rPr>
                <w:sz w:val="20"/>
                <w:szCs w:val="20"/>
                <w:color w:val="auto"/>
              </w:rPr>
            </w:pPr>
            <w:r>
              <w:rPr>
                <w:rFonts w:ascii="Arial" w:cs="Arial" w:eastAsia="Arial" w:hAnsi="Arial"/>
                <w:sz w:val="12"/>
                <w:szCs w:val="12"/>
                <w:b w:val="1"/>
                <w:bCs w:val="1"/>
                <w:color w:val="auto"/>
              </w:rPr>
              <w:t>UNCONSOLIDATED JOINT VENTURE CENTERS:</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Arial" w:cs="Arial" w:eastAsia="Arial" w:hAnsi="Arial"/>
                <w:sz w:val="12"/>
                <w:szCs w:val="12"/>
                <w:color w:val="auto"/>
              </w:rPr>
              <w:t>29</w:t>
            </w:r>
          </w:p>
        </w:tc>
        <w:tc>
          <w:tcPr>
            <w:tcW w:w="980" w:type="dxa"/>
            <w:vAlign w:val="bottom"/>
          </w:tcPr>
          <w:p>
            <w:pPr>
              <w:jc w:val="center"/>
              <w:ind w:left="39"/>
              <w:spacing w:after="0" w:line="119" w:lineRule="exact"/>
              <w:rPr>
                <w:sz w:val="20"/>
                <w:szCs w:val="20"/>
                <w:color w:val="auto"/>
              </w:rPr>
            </w:pPr>
            <w:r>
              <w:rPr>
                <w:rFonts w:ascii="Arial" w:cs="Arial" w:eastAsia="Arial" w:hAnsi="Arial"/>
                <w:sz w:val="12"/>
                <w:szCs w:val="12"/>
                <w:color w:val="auto"/>
                <w:w w:val="99"/>
              </w:rPr>
              <w:t>60%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Arial" w:cs="Arial" w:eastAsia="Arial" w:hAnsi="Arial"/>
                <w:sz w:val="12"/>
                <w:szCs w:val="12"/>
                <w:color w:val="auto"/>
              </w:rPr>
              <w:t>Arrowhead Towne Center</w:t>
            </w: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1993/2002</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2015</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1,082,000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476,000</w:t>
            </w:r>
          </w:p>
        </w:tc>
        <w:tc>
          <w:tcPr>
            <w:tcW w:w="108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96.6 %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6"/>
              </w:rPr>
              <w:t>Dillard's,</w:t>
            </w:r>
          </w:p>
        </w:tc>
        <w:tc>
          <w:tcPr>
            <w:tcW w:w="136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2"/>
              </w:rPr>
              <w:t>Dick's Sporting Goods</w:t>
            </w: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88"/>
              </w:rPr>
              <w:t>JCPenney,</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color w:val="auto"/>
              </w:rPr>
              <w:t>Glendale,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7"/>
              </w:rPr>
              <w:t>Macy's</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30</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9"/>
              </w:rPr>
              <w:t>50%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Biltmore Fashion Park</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1963/2003</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2020</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600,000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295,000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94.4 %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6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2"/>
              </w:rPr>
              <w:t>Macy's, Saks Fifth</w:t>
            </w:r>
          </w:p>
        </w:tc>
        <w:tc>
          <w:tcPr>
            <w:tcW w:w="0" w:type="dxa"/>
            <w:vAlign w:val="bottom"/>
          </w:tcPr>
          <w:p>
            <w:pPr>
              <w:spacing w:after="0"/>
              <w:rPr>
                <w:sz w:val="1"/>
                <w:szCs w:val="1"/>
                <w:color w:val="auto"/>
              </w:rPr>
            </w:pPr>
          </w:p>
        </w:tc>
      </w:tr>
      <w:tr>
        <w:trPr>
          <w:trHeight w:val="132"/>
        </w:trPr>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Phoenix, Arizona</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ind w:right="39"/>
              <w:spacing w:after="0" w:line="132" w:lineRule="exact"/>
              <w:rPr>
                <w:sz w:val="20"/>
                <w:szCs w:val="20"/>
                <w:color w:val="auto"/>
              </w:rPr>
            </w:pPr>
            <w:r>
              <w:rPr>
                <w:rFonts w:ascii="Arial" w:cs="Arial" w:eastAsia="Arial" w:hAnsi="Arial"/>
                <w:sz w:val="12"/>
                <w:szCs w:val="12"/>
                <w:color w:val="auto"/>
                <w:w w:val="93"/>
              </w:rPr>
              <w:t>Avenue</w:t>
            </w:r>
          </w:p>
        </w:tc>
        <w:tc>
          <w:tcPr>
            <w:tcW w:w="0" w:type="dxa"/>
            <w:vAlign w:val="bottom"/>
          </w:tcPr>
          <w:p>
            <w:pPr>
              <w:spacing w:after="0"/>
              <w:rPr>
                <w:sz w:val="1"/>
                <w:szCs w:val="1"/>
                <w:color w:val="auto"/>
              </w:rPr>
            </w:pPr>
          </w:p>
        </w:tc>
      </w:tr>
      <w:tr>
        <w:trPr>
          <w:trHeight w:val="191"/>
        </w:trPr>
        <w:tc>
          <w:tcPr>
            <w:tcW w:w="4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right"/>
              <w:ind w:right="119"/>
              <w:spacing w:after="0"/>
              <w:rPr>
                <w:sz w:val="20"/>
                <w:szCs w:val="20"/>
                <w:color w:val="auto"/>
              </w:rPr>
            </w:pPr>
            <w:r>
              <w:rPr>
                <w:rFonts w:ascii="Arial" w:cs="Arial" w:eastAsia="Arial" w:hAnsi="Arial"/>
                <w:sz w:val="12"/>
                <w:szCs w:val="12"/>
                <w:color w:val="auto"/>
              </w:rPr>
              <w:t>31</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9"/>
              </w:rPr>
              <w:t>50%</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Broadway Plaza(4)</w:t>
            </w:r>
          </w:p>
        </w:tc>
        <w:tc>
          <w:tcPr>
            <w:tcW w:w="900" w:type="dxa"/>
            <w:vAlign w:val="bottom"/>
          </w:tcPr>
          <w:p>
            <w:pPr>
              <w:jc w:val="right"/>
              <w:spacing w:after="0"/>
              <w:rPr>
                <w:sz w:val="20"/>
                <w:szCs w:val="20"/>
                <w:color w:val="auto"/>
              </w:rPr>
            </w:pPr>
            <w:r>
              <w:rPr>
                <w:rFonts w:ascii="Arial" w:cs="Arial" w:eastAsia="Arial" w:hAnsi="Arial"/>
                <w:sz w:val="12"/>
                <w:szCs w:val="12"/>
                <w:color w:val="auto"/>
              </w:rPr>
              <w:t>1951/1985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995,000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450,000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98.9 %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7"/>
              </w:rPr>
              <w:t>Macy's</w:t>
            </w: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6"/>
              </w:rPr>
              <w:t>Nordstrom</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Walnut Creek, California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32</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3"/>
              </w:rPr>
              <w:t>50.1%</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Corte Madera, The Village</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1985/1998</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2020</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501,000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265,000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96.3 %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19"/>
              <w:spacing w:after="0" w:line="119" w:lineRule="exact"/>
              <w:rPr>
                <w:sz w:val="20"/>
                <w:szCs w:val="20"/>
                <w:color w:val="auto"/>
              </w:rPr>
            </w:pPr>
            <w:r>
              <w:rPr>
                <w:rFonts w:ascii="Arial" w:cs="Arial" w:eastAsia="Arial" w:hAnsi="Arial"/>
                <w:sz w:val="12"/>
                <w:szCs w:val="12"/>
                <w:color w:val="auto"/>
                <w:w w:val="94"/>
              </w:rPr>
              <w:t>Macy's,</w:t>
            </w:r>
          </w:p>
        </w:tc>
        <w:tc>
          <w:tcPr>
            <w:tcW w:w="1360" w:type="dxa"/>
            <w:vAlign w:val="bottom"/>
            <w:shd w:val="clear" w:color="auto" w:fill="CCEEFF"/>
          </w:tcPr>
          <w:p>
            <w:pPr>
              <w:jc w:val="center"/>
              <w:ind w:right="59"/>
              <w:spacing w:after="0" w:line="119"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at</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2"/>
              </w:rPr>
              <w:t>Nordstrom</w:t>
            </w: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Corte Madera, California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right"/>
              <w:ind w:right="119"/>
              <w:spacing w:after="0"/>
              <w:rPr>
                <w:sz w:val="20"/>
                <w:szCs w:val="20"/>
                <w:color w:val="auto"/>
              </w:rPr>
            </w:pPr>
            <w:r>
              <w:rPr>
                <w:rFonts w:ascii="Arial" w:cs="Arial" w:eastAsia="Arial" w:hAnsi="Arial"/>
                <w:sz w:val="12"/>
                <w:szCs w:val="12"/>
                <w:color w:val="auto"/>
              </w:rPr>
              <w:t>33</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9"/>
              </w:rPr>
              <w:t>50%</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Country Club Plaza</w:t>
            </w:r>
          </w:p>
        </w:tc>
        <w:tc>
          <w:tcPr>
            <w:tcW w:w="900" w:type="dxa"/>
            <w:vAlign w:val="bottom"/>
          </w:tcPr>
          <w:p>
            <w:pPr>
              <w:jc w:val="right"/>
              <w:spacing w:after="0"/>
              <w:rPr>
                <w:sz w:val="20"/>
                <w:szCs w:val="20"/>
                <w:color w:val="auto"/>
              </w:rPr>
            </w:pPr>
            <w:r>
              <w:rPr>
                <w:rFonts w:ascii="Arial" w:cs="Arial" w:eastAsia="Arial" w:hAnsi="Arial"/>
                <w:sz w:val="12"/>
                <w:szCs w:val="12"/>
                <w:color w:val="auto"/>
              </w:rPr>
              <w:t>1922/2016</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2015</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965,000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965,000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83.3 %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9"/>
              </w:rPr>
              <w:t>—</w:t>
            </w:r>
          </w:p>
        </w:tc>
        <w:tc>
          <w:tcPr>
            <w:tcW w:w="1360" w:type="dxa"/>
            <w:vAlign w:val="bottom"/>
          </w:tcPr>
          <w:p>
            <w:pPr>
              <w:jc w:val="center"/>
              <w:ind w:right="5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Kansas City, Missouri</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0" w:type="dxa"/>
            <w:vAlign w:val="bottom"/>
            <w:shd w:val="clear" w:color="auto" w:fill="CCEEFF"/>
          </w:tcPr>
          <w:p>
            <w:pPr>
              <w:jc w:val="right"/>
              <w:ind w:right="119"/>
              <w:spacing w:after="0" w:line="127" w:lineRule="exact"/>
              <w:rPr>
                <w:sz w:val="20"/>
                <w:szCs w:val="20"/>
                <w:color w:val="auto"/>
              </w:rPr>
            </w:pPr>
            <w:r>
              <w:rPr>
                <w:rFonts w:ascii="Arial" w:cs="Arial" w:eastAsia="Arial" w:hAnsi="Arial"/>
                <w:sz w:val="12"/>
                <w:szCs w:val="12"/>
                <w:color w:val="auto"/>
              </w:rPr>
              <w:t>34</w:t>
            </w:r>
          </w:p>
        </w:tc>
        <w:tc>
          <w:tcPr>
            <w:tcW w:w="980" w:type="dxa"/>
            <w:vAlign w:val="bottom"/>
            <w:shd w:val="clear" w:color="auto" w:fill="CCEEFF"/>
          </w:tcPr>
          <w:p>
            <w:pPr>
              <w:jc w:val="center"/>
              <w:ind w:left="39"/>
              <w:spacing w:after="0" w:line="127" w:lineRule="exact"/>
              <w:rPr>
                <w:sz w:val="20"/>
                <w:szCs w:val="20"/>
                <w:color w:val="auto"/>
              </w:rPr>
            </w:pPr>
            <w:r>
              <w:rPr>
                <w:rFonts w:ascii="Arial" w:cs="Arial" w:eastAsia="Arial" w:hAnsi="Arial"/>
                <w:sz w:val="12"/>
                <w:szCs w:val="12"/>
                <w:color w:val="auto"/>
                <w:w w:val="99"/>
              </w:rPr>
              <w:t>51%</w:t>
            </w:r>
          </w:p>
        </w:tc>
        <w:tc>
          <w:tcPr>
            <w:tcW w:w="10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ind w:left="20"/>
              <w:spacing w:after="0" w:line="127" w:lineRule="exact"/>
              <w:rPr>
                <w:sz w:val="20"/>
                <w:szCs w:val="20"/>
                <w:color w:val="auto"/>
              </w:rPr>
            </w:pPr>
            <w:r>
              <w:rPr>
                <w:rFonts w:ascii="Arial" w:cs="Arial" w:eastAsia="Arial" w:hAnsi="Arial"/>
                <w:sz w:val="12"/>
                <w:szCs w:val="12"/>
                <w:color w:val="auto"/>
              </w:rPr>
              <w:t>Deptford Mall</w:t>
            </w:r>
          </w:p>
        </w:tc>
        <w:tc>
          <w:tcPr>
            <w:tcW w:w="9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1975/2006</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2020</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1,008,000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436,000</w:t>
            </w:r>
          </w:p>
        </w:tc>
        <w:tc>
          <w:tcPr>
            <w:tcW w:w="108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2"/>
                <w:szCs w:val="12"/>
                <w:color w:val="auto"/>
              </w:rPr>
              <w:t>94.9 %</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88"/>
              </w:rPr>
              <w:t>JCPenney,</w:t>
            </w:r>
          </w:p>
        </w:tc>
        <w:tc>
          <w:tcPr>
            <w:tcW w:w="136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95"/>
              </w:rPr>
              <w:t>Boscov's, Dick's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Deptford, New Jersey</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7"/>
              </w:rPr>
              <w:t>Macy's</w:t>
            </w:r>
          </w:p>
        </w:tc>
        <w:tc>
          <w:tcPr>
            <w:tcW w:w="13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3"/>
              </w:rPr>
              <w:t>Sporting Goods</w:t>
            </w:r>
          </w:p>
        </w:tc>
        <w:tc>
          <w:tcPr>
            <w:tcW w:w="0" w:type="dxa"/>
            <w:vAlign w:val="bottom"/>
          </w:tcPr>
          <w:p>
            <w:pPr>
              <w:spacing w:after="0"/>
              <w:rPr>
                <w:sz w:val="1"/>
                <w:szCs w:val="1"/>
                <w:color w:val="auto"/>
              </w:rPr>
            </w:pPr>
          </w:p>
        </w:tc>
      </w:tr>
      <w:tr>
        <w:trPr>
          <w:trHeight w:val="127"/>
        </w:trPr>
        <w:tc>
          <w:tcPr>
            <w:tcW w:w="4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540" w:type="dxa"/>
            <w:vAlign w:val="bottom"/>
            <w:tcBorders>
              <w:bottom w:val="single" w:sz="8" w:color="CCEEFF"/>
            </w:tcBorders>
            <w:gridSpan w:val="2"/>
            <w:vMerge w:val="continue"/>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Arial" w:cs="Arial" w:eastAsia="Arial" w:hAnsi="Arial"/>
                <w:sz w:val="12"/>
                <w:szCs w:val="12"/>
                <w:color w:val="auto"/>
              </w:rPr>
              <w:t>35</w:t>
            </w:r>
          </w:p>
        </w:tc>
        <w:tc>
          <w:tcPr>
            <w:tcW w:w="980" w:type="dxa"/>
            <w:vAlign w:val="bottom"/>
          </w:tcPr>
          <w:p>
            <w:pPr>
              <w:jc w:val="center"/>
              <w:ind w:left="39"/>
              <w:spacing w:after="0" w:line="119" w:lineRule="exact"/>
              <w:rPr>
                <w:sz w:val="20"/>
                <w:szCs w:val="20"/>
                <w:color w:val="auto"/>
              </w:rPr>
            </w:pPr>
            <w:r>
              <w:rPr>
                <w:rFonts w:ascii="Arial" w:cs="Arial" w:eastAsia="Arial" w:hAnsi="Arial"/>
                <w:sz w:val="12"/>
                <w:szCs w:val="12"/>
                <w:color w:val="auto"/>
                <w:w w:val="99"/>
              </w:rPr>
              <w:t>51%</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Arial" w:cs="Arial" w:eastAsia="Arial" w:hAnsi="Arial"/>
                <w:sz w:val="12"/>
                <w:szCs w:val="12"/>
                <w:color w:val="auto"/>
              </w:rPr>
              <w:t>FlatIron Crossing(4)</w:t>
            </w: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2000/2002</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2009</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1,417,000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718,000</w:t>
            </w:r>
          </w:p>
        </w:tc>
        <w:tc>
          <w:tcPr>
            <w:tcW w:w="108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93.1 %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7"/>
              </w:rPr>
              <w:t>Dillard's, Macy's</w:t>
            </w:r>
          </w:p>
        </w:tc>
        <w:tc>
          <w:tcPr>
            <w:tcW w:w="136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color w:val="auto"/>
              </w:rPr>
              <w:t>Broomfield, Colorado</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2"/>
              </w:rPr>
              <w:t>Forever 21</w:t>
            </w:r>
          </w:p>
        </w:tc>
        <w:tc>
          <w:tcPr>
            <w:tcW w:w="0" w:type="dxa"/>
            <w:vAlign w:val="bottom"/>
          </w:tcPr>
          <w:p>
            <w:pPr>
              <w:spacing w:after="0"/>
              <w:rPr>
                <w:sz w:val="1"/>
                <w:szCs w:val="1"/>
                <w:color w:val="auto"/>
              </w:rPr>
            </w:pPr>
          </w:p>
        </w:tc>
      </w:tr>
      <w:tr>
        <w:trPr>
          <w:trHeight w:val="91"/>
        </w:trPr>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36</w:t>
            </w:r>
          </w:p>
        </w:tc>
        <w:tc>
          <w:tcPr>
            <w:tcW w:w="980" w:type="dxa"/>
            <w:vAlign w:val="bottom"/>
            <w:shd w:val="clear" w:color="auto" w:fill="CCEEFF"/>
          </w:tcPr>
          <w:p>
            <w:pPr>
              <w:jc w:val="center"/>
              <w:ind w:left="39"/>
              <w:spacing w:after="0"/>
              <w:rPr>
                <w:sz w:val="20"/>
                <w:szCs w:val="20"/>
                <w:color w:val="auto"/>
              </w:rPr>
            </w:pPr>
            <w:r>
              <w:rPr>
                <w:rFonts w:ascii="Arial" w:cs="Arial" w:eastAsia="Arial" w:hAnsi="Arial"/>
                <w:sz w:val="12"/>
                <w:szCs w:val="12"/>
                <w:color w:val="auto"/>
                <w:w w:val="99"/>
              </w:rPr>
              <w:t>50%</w:t>
            </w:r>
          </w:p>
        </w:tc>
        <w:tc>
          <w:tcPr>
            <w:tcW w:w="1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Kierland Commons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1999/2005</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2003</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436,000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90.8 %</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9"/>
              </w:rPr>
              <w:t>—</w:t>
            </w:r>
          </w:p>
        </w:tc>
        <w:tc>
          <w:tcPr>
            <w:tcW w:w="136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87"/>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Phoenix, Arizona</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Arial" w:cs="Arial" w:eastAsia="Arial" w:hAnsi="Arial"/>
                <w:sz w:val="12"/>
                <w:szCs w:val="12"/>
                <w:color w:val="auto"/>
              </w:rPr>
              <w:t>37</w:t>
            </w:r>
          </w:p>
        </w:tc>
        <w:tc>
          <w:tcPr>
            <w:tcW w:w="980" w:type="dxa"/>
            <w:vAlign w:val="bottom"/>
          </w:tcPr>
          <w:p>
            <w:pPr>
              <w:jc w:val="center"/>
              <w:ind w:left="39"/>
              <w:spacing w:after="0" w:line="119" w:lineRule="exact"/>
              <w:rPr>
                <w:sz w:val="20"/>
                <w:szCs w:val="20"/>
                <w:color w:val="auto"/>
              </w:rPr>
            </w:pPr>
            <w:r>
              <w:rPr>
                <w:rFonts w:ascii="Arial" w:cs="Arial" w:eastAsia="Arial" w:hAnsi="Arial"/>
                <w:sz w:val="12"/>
                <w:szCs w:val="12"/>
                <w:color w:val="auto"/>
                <w:w w:val="99"/>
              </w:rPr>
              <w:t>60%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Arial" w:cs="Arial" w:eastAsia="Arial" w:hAnsi="Arial"/>
                <w:sz w:val="12"/>
                <w:szCs w:val="12"/>
                <w:color w:val="auto"/>
              </w:rPr>
              <w:t>Lakewood Center</w:t>
            </w: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1953/1975</w:t>
            </w:r>
          </w:p>
        </w:tc>
        <w:tc>
          <w:tcPr>
            <w:tcW w:w="10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2008</w:t>
            </w:r>
          </w:p>
        </w:tc>
        <w:tc>
          <w:tcPr>
            <w:tcW w:w="1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1,979,000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914,000</w:t>
            </w:r>
          </w:p>
        </w:tc>
        <w:tc>
          <w:tcPr>
            <w:tcW w:w="108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92.3 %</w:t>
            </w:r>
          </w:p>
        </w:tc>
        <w:tc>
          <w:tcPr>
            <w:tcW w:w="10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6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2"/>
              </w:rPr>
              <w:t>Costco, Forever 21,</w:t>
            </w: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color w:val="auto"/>
              </w:rPr>
              <w:t>Lakewood, California</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6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3"/>
              </w:rPr>
              <w:t>Home Depot,</w:t>
            </w: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jc w:val="center"/>
              <w:ind w:right="39"/>
              <w:spacing w:after="0" w:line="131" w:lineRule="exact"/>
              <w:rPr>
                <w:sz w:val="20"/>
                <w:szCs w:val="20"/>
                <w:color w:val="auto"/>
              </w:rPr>
            </w:pPr>
            <w:r>
              <w:rPr>
                <w:rFonts w:ascii="Arial" w:cs="Arial" w:eastAsia="Arial" w:hAnsi="Arial"/>
                <w:sz w:val="12"/>
                <w:szCs w:val="12"/>
                <w:color w:val="auto"/>
                <w:w w:val="91"/>
              </w:rPr>
              <w:t>JCPenney, Macy's,</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86"/>
              </w:rPr>
              <w:t>Target</w:t>
            </w:r>
          </w:p>
        </w:tc>
        <w:tc>
          <w:tcPr>
            <w:tcW w:w="0" w:type="dxa"/>
            <w:vAlign w:val="bottom"/>
          </w:tcPr>
          <w:p>
            <w:pPr>
              <w:spacing w:after="0"/>
              <w:rPr>
                <w:sz w:val="1"/>
                <w:szCs w:val="1"/>
                <w:color w:val="auto"/>
              </w:rPr>
            </w:pPr>
          </w:p>
        </w:tc>
      </w:tr>
      <w:tr>
        <w:trPr>
          <w:trHeight w:val="56"/>
        </w:trPr>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38</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9"/>
              </w:rPr>
              <w:t>60%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Los Cerritos Center(9)</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1971/1999</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2016</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1,007,000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532,000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95.8 %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19"/>
              <w:spacing w:after="0" w:line="119" w:lineRule="exact"/>
              <w:rPr>
                <w:sz w:val="20"/>
                <w:szCs w:val="20"/>
                <w:color w:val="auto"/>
              </w:rPr>
            </w:pPr>
            <w:r>
              <w:rPr>
                <w:rFonts w:ascii="Arial" w:cs="Arial" w:eastAsia="Arial" w:hAnsi="Arial"/>
                <w:sz w:val="12"/>
                <w:szCs w:val="12"/>
                <w:color w:val="auto"/>
                <w:w w:val="94"/>
              </w:rPr>
              <w:t>Macy's,</w:t>
            </w:r>
          </w:p>
        </w:tc>
        <w:tc>
          <w:tcPr>
            <w:tcW w:w="136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Cerritos, California</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2"/>
              </w:rPr>
              <w:t>Nordstrom</w:t>
            </w:r>
          </w:p>
        </w:tc>
        <w:tc>
          <w:tcPr>
            <w:tcW w:w="13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2"/>
              </w:rPr>
              <w:t>Forever 21</w:t>
            </w:r>
          </w:p>
        </w:tc>
        <w:tc>
          <w:tcPr>
            <w:tcW w:w="0" w:type="dxa"/>
            <w:vAlign w:val="bottom"/>
          </w:tcPr>
          <w:p>
            <w:pPr>
              <w:spacing w:after="0"/>
              <w:rPr>
                <w:sz w:val="1"/>
                <w:szCs w:val="1"/>
                <w:color w:val="auto"/>
              </w:rPr>
            </w:pPr>
          </w:p>
        </w:tc>
      </w:tr>
      <w:tr>
        <w:trPr>
          <w:trHeight w:val="147"/>
        </w:trPr>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0" w:type="dxa"/>
            <w:vAlign w:val="bottom"/>
          </w:tcPr>
          <w:p>
            <w:pPr>
              <w:jc w:val="right"/>
              <w:ind w:right="119"/>
              <w:spacing w:after="0" w:line="119" w:lineRule="exact"/>
              <w:rPr>
                <w:sz w:val="20"/>
                <w:szCs w:val="20"/>
                <w:color w:val="auto"/>
              </w:rPr>
            </w:pPr>
            <w:r>
              <w:rPr>
                <w:rFonts w:ascii="Arial" w:cs="Arial" w:eastAsia="Arial" w:hAnsi="Arial"/>
                <w:sz w:val="12"/>
                <w:szCs w:val="12"/>
                <w:color w:val="auto"/>
              </w:rPr>
              <w:t>39</w:t>
            </w:r>
          </w:p>
        </w:tc>
        <w:tc>
          <w:tcPr>
            <w:tcW w:w="980" w:type="dxa"/>
            <w:vAlign w:val="bottom"/>
          </w:tcPr>
          <w:p>
            <w:pPr>
              <w:jc w:val="center"/>
              <w:ind w:left="39"/>
              <w:spacing w:after="0" w:line="119" w:lineRule="exact"/>
              <w:rPr>
                <w:sz w:val="20"/>
                <w:szCs w:val="20"/>
                <w:color w:val="auto"/>
              </w:rPr>
            </w:pPr>
            <w:r>
              <w:rPr>
                <w:rFonts w:ascii="Arial" w:cs="Arial" w:eastAsia="Arial" w:hAnsi="Arial"/>
                <w:sz w:val="12"/>
                <w:szCs w:val="12"/>
                <w:color w:val="auto"/>
                <w:w w:val="99"/>
              </w:rPr>
              <w:t>50%</w:t>
            </w:r>
          </w:p>
        </w:tc>
        <w:tc>
          <w:tcPr>
            <w:tcW w:w="100" w:type="dxa"/>
            <w:vAlign w:val="bottom"/>
          </w:tcPr>
          <w:p>
            <w:pPr>
              <w:spacing w:after="0"/>
              <w:rPr>
                <w:sz w:val="10"/>
                <w:szCs w:val="10"/>
                <w:color w:val="auto"/>
              </w:rPr>
            </w:pPr>
          </w:p>
        </w:tc>
        <w:tc>
          <w:tcPr>
            <w:tcW w:w="1540" w:type="dxa"/>
            <w:vAlign w:val="bottom"/>
            <w:gridSpan w:val="2"/>
          </w:tcPr>
          <w:p>
            <w:pPr>
              <w:ind w:left="20"/>
              <w:spacing w:after="0" w:line="119" w:lineRule="exact"/>
              <w:rPr>
                <w:sz w:val="20"/>
                <w:szCs w:val="20"/>
                <w:color w:val="auto"/>
              </w:rPr>
            </w:pPr>
            <w:r>
              <w:rPr>
                <w:rFonts w:ascii="Arial" w:cs="Arial" w:eastAsia="Arial" w:hAnsi="Arial"/>
                <w:sz w:val="12"/>
                <w:szCs w:val="12"/>
                <w:color w:val="auto"/>
              </w:rPr>
              <w:t>Scottsdale Fashion Square</w:t>
            </w: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1961/2002</w:t>
            </w:r>
          </w:p>
        </w:tc>
        <w:tc>
          <w:tcPr>
            <w:tcW w:w="100" w:type="dxa"/>
            <w:vAlign w:val="bottom"/>
          </w:tcPr>
          <w:p>
            <w:pPr>
              <w:spacing w:after="0"/>
              <w:rPr>
                <w:sz w:val="10"/>
                <w:szCs w:val="10"/>
                <w:color w:val="auto"/>
              </w:rPr>
            </w:pPr>
          </w:p>
        </w:tc>
        <w:tc>
          <w:tcPr>
            <w:tcW w:w="900" w:type="dxa"/>
            <w:vAlign w:val="bottom"/>
            <w:gridSpan w:val="2"/>
          </w:tcPr>
          <w:p>
            <w:pPr>
              <w:jc w:val="right"/>
              <w:ind w:right="120"/>
              <w:spacing w:after="0" w:line="119" w:lineRule="exact"/>
              <w:rPr>
                <w:sz w:val="20"/>
                <w:szCs w:val="20"/>
                <w:color w:val="auto"/>
              </w:rPr>
            </w:pPr>
            <w:r>
              <w:rPr>
                <w:rFonts w:ascii="Arial" w:cs="Arial" w:eastAsia="Arial" w:hAnsi="Arial"/>
                <w:sz w:val="12"/>
                <w:szCs w:val="12"/>
                <w:color w:val="auto"/>
              </w:rPr>
              <w:t>Ongoing</w:t>
            </w:r>
          </w:p>
        </w:tc>
        <w:tc>
          <w:tcPr>
            <w:tcW w:w="880" w:type="dxa"/>
            <w:vAlign w:val="bottom"/>
          </w:tcPr>
          <w:p>
            <w:pPr>
              <w:jc w:val="right"/>
              <w:spacing w:after="0" w:line="119" w:lineRule="exact"/>
              <w:rPr>
                <w:sz w:val="20"/>
                <w:szCs w:val="20"/>
                <w:color w:val="auto"/>
              </w:rPr>
            </w:pPr>
            <w:r>
              <w:rPr>
                <w:rFonts w:ascii="Arial" w:cs="Arial" w:eastAsia="Arial" w:hAnsi="Arial"/>
                <w:sz w:val="12"/>
                <w:szCs w:val="12"/>
                <w:color w:val="auto"/>
              </w:rPr>
              <w:t>1,884,000</w:t>
            </w: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924,000</w:t>
            </w:r>
          </w:p>
        </w:tc>
        <w:tc>
          <w:tcPr>
            <w:tcW w:w="108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96.0 %</w:t>
            </w:r>
          </w:p>
        </w:tc>
        <w:tc>
          <w:tcPr>
            <w:tcW w:w="100" w:type="dxa"/>
            <w:vAlign w:val="bottom"/>
          </w:tcPr>
          <w:p>
            <w:pPr>
              <w:spacing w:after="0"/>
              <w:rPr>
                <w:sz w:val="10"/>
                <w:szCs w:val="10"/>
                <w:color w:val="auto"/>
              </w:rPr>
            </w:pPr>
          </w:p>
        </w:tc>
        <w:tc>
          <w:tcPr>
            <w:tcW w:w="1020" w:type="dxa"/>
            <w:vAlign w:val="bottom"/>
          </w:tcPr>
          <w:p>
            <w:pPr>
              <w:jc w:val="center"/>
              <w:ind w:right="19"/>
              <w:spacing w:after="0" w:line="119" w:lineRule="exact"/>
              <w:rPr>
                <w:sz w:val="20"/>
                <w:szCs w:val="20"/>
                <w:color w:val="auto"/>
              </w:rPr>
            </w:pPr>
            <w:r>
              <w:rPr>
                <w:rFonts w:ascii="Arial" w:cs="Arial" w:eastAsia="Arial" w:hAnsi="Arial"/>
                <w:sz w:val="12"/>
                <w:szCs w:val="12"/>
                <w:color w:val="auto"/>
                <w:w w:val="99"/>
              </w:rPr>
              <w:t>Dillard's</w:t>
            </w:r>
          </w:p>
        </w:tc>
        <w:tc>
          <w:tcPr>
            <w:tcW w:w="136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19"/>
        </w:trPr>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360" w:type="dxa"/>
            <w:vAlign w:val="bottom"/>
          </w:tcPr>
          <w:p>
            <w:pPr>
              <w:jc w:val="center"/>
              <w:ind w:right="59"/>
              <w:spacing w:after="0" w:line="119" w:lineRule="exact"/>
              <w:rPr>
                <w:sz w:val="20"/>
                <w:szCs w:val="20"/>
                <w:color w:val="auto"/>
              </w:rPr>
            </w:pPr>
            <w:r>
              <w:rPr>
                <w:rFonts w:ascii="Arial" w:cs="Arial" w:eastAsia="Arial" w:hAnsi="Arial"/>
                <w:sz w:val="12"/>
                <w:szCs w:val="12"/>
                <w:color w:val="auto"/>
                <w:w w:val="94"/>
              </w:rPr>
              <w:t>Macy's, Neiman</w:t>
            </w: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2"/>
                <w:szCs w:val="12"/>
                <w:color w:val="auto"/>
              </w:rPr>
              <w:t>Scottsdale, Arizona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center"/>
              <w:ind w:right="59"/>
              <w:spacing w:after="0"/>
              <w:rPr>
                <w:sz w:val="20"/>
                <w:szCs w:val="20"/>
                <w:color w:val="auto"/>
              </w:rPr>
            </w:pPr>
            <w:r>
              <w:rPr>
                <w:rFonts w:ascii="Arial" w:cs="Arial" w:eastAsia="Arial" w:hAnsi="Arial"/>
                <w:sz w:val="12"/>
                <w:szCs w:val="12"/>
                <w:color w:val="auto"/>
                <w:w w:val="94"/>
              </w:rPr>
              <w:t>Marcus, Nordstrom</w:t>
            </w:r>
          </w:p>
        </w:tc>
        <w:tc>
          <w:tcPr>
            <w:tcW w:w="0" w:type="dxa"/>
            <w:vAlign w:val="bottom"/>
          </w:tcPr>
          <w:p>
            <w:pPr>
              <w:spacing w:after="0"/>
              <w:rPr>
                <w:sz w:val="1"/>
                <w:szCs w:val="1"/>
                <w:color w:val="auto"/>
              </w:rPr>
            </w:pPr>
          </w:p>
        </w:tc>
      </w:tr>
      <w:tr>
        <w:trPr>
          <w:trHeight w:val="78"/>
        </w:trPr>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0" w:type="dxa"/>
            <w:vAlign w:val="bottom"/>
            <w:shd w:val="clear" w:color="auto" w:fill="CCEEFF"/>
          </w:tcPr>
          <w:p>
            <w:pPr>
              <w:jc w:val="right"/>
              <w:ind w:right="119"/>
              <w:spacing w:after="0" w:line="119" w:lineRule="exact"/>
              <w:rPr>
                <w:sz w:val="20"/>
                <w:szCs w:val="20"/>
                <w:color w:val="auto"/>
              </w:rPr>
            </w:pPr>
            <w:r>
              <w:rPr>
                <w:rFonts w:ascii="Arial" w:cs="Arial" w:eastAsia="Arial" w:hAnsi="Arial"/>
                <w:sz w:val="12"/>
                <w:szCs w:val="12"/>
                <w:color w:val="auto"/>
              </w:rPr>
              <w:t>40</w:t>
            </w:r>
          </w:p>
        </w:tc>
        <w:tc>
          <w:tcPr>
            <w:tcW w:w="980" w:type="dxa"/>
            <w:vAlign w:val="bottom"/>
            <w:shd w:val="clear" w:color="auto" w:fill="CCEEFF"/>
          </w:tcPr>
          <w:p>
            <w:pPr>
              <w:jc w:val="center"/>
              <w:ind w:left="39"/>
              <w:spacing w:after="0" w:line="119" w:lineRule="exact"/>
              <w:rPr>
                <w:sz w:val="20"/>
                <w:szCs w:val="20"/>
                <w:color w:val="auto"/>
              </w:rPr>
            </w:pPr>
            <w:r>
              <w:rPr>
                <w:rFonts w:ascii="Arial" w:cs="Arial" w:eastAsia="Arial" w:hAnsi="Arial"/>
                <w:sz w:val="12"/>
                <w:szCs w:val="12"/>
                <w:color w:val="auto"/>
                <w:w w:val="99"/>
              </w:rPr>
              <w:t>60%</w:t>
            </w:r>
          </w:p>
        </w:tc>
        <w:tc>
          <w:tcPr>
            <w:tcW w:w="10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color w:val="auto"/>
              </w:rPr>
              <w:t>South Plains Mall(4)</w:t>
            </w: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1972/1998</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1,136,000</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494,000</w:t>
            </w:r>
          </w:p>
        </w:tc>
        <w:tc>
          <w:tcPr>
            <w:tcW w:w="10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91.6 %</w:t>
            </w: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6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7"/>
              </w:rPr>
              <w:t>Dillard's (two),</w:t>
            </w: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Lubbock, Texas</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0"/>
              </w:rPr>
              <w:t>JCPenney</w:t>
            </w:r>
          </w:p>
        </w:tc>
        <w:tc>
          <w:tcPr>
            <w:tcW w:w="0" w:type="dxa"/>
            <w:vAlign w:val="bottom"/>
          </w:tcPr>
          <w:p>
            <w:pPr>
              <w:spacing w:after="0"/>
              <w:rPr>
                <w:sz w:val="1"/>
                <w:szCs w:val="1"/>
                <w:color w:val="auto"/>
              </w:rPr>
            </w:pPr>
          </w:p>
        </w:tc>
      </w:tr>
      <w:tr>
        <w:trPr>
          <w:trHeight w:val="147"/>
        </w:trPr>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continue"/>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0" w:type="dxa"/>
            <w:vAlign w:val="bottom"/>
          </w:tcPr>
          <w:p>
            <w:pPr>
              <w:jc w:val="right"/>
              <w:ind w:right="119"/>
              <w:spacing w:after="0"/>
              <w:rPr>
                <w:sz w:val="20"/>
                <w:szCs w:val="20"/>
                <w:color w:val="auto"/>
              </w:rPr>
            </w:pPr>
            <w:r>
              <w:rPr>
                <w:rFonts w:ascii="Arial" w:cs="Arial" w:eastAsia="Arial" w:hAnsi="Arial"/>
                <w:sz w:val="12"/>
                <w:szCs w:val="12"/>
                <w:color w:val="auto"/>
              </w:rPr>
              <w:t>41</w:t>
            </w:r>
          </w:p>
        </w:tc>
        <w:tc>
          <w:tcPr>
            <w:tcW w:w="980" w:type="dxa"/>
            <w:vAlign w:val="bottom"/>
          </w:tcPr>
          <w:p>
            <w:pPr>
              <w:jc w:val="center"/>
              <w:ind w:left="39"/>
              <w:spacing w:after="0"/>
              <w:rPr>
                <w:sz w:val="20"/>
                <w:szCs w:val="20"/>
                <w:color w:val="auto"/>
              </w:rPr>
            </w:pPr>
            <w:r>
              <w:rPr>
                <w:rFonts w:ascii="Arial" w:cs="Arial" w:eastAsia="Arial" w:hAnsi="Arial"/>
                <w:sz w:val="12"/>
                <w:szCs w:val="12"/>
                <w:color w:val="auto"/>
                <w:w w:val="99"/>
              </w:rPr>
              <w:t>51%</w:t>
            </w:r>
          </w:p>
        </w:tc>
        <w:tc>
          <w:tcPr>
            <w:tcW w:w="100" w:type="dxa"/>
            <w:vAlign w:val="bottom"/>
          </w:tcPr>
          <w:p>
            <w:pPr>
              <w:spacing w:after="0"/>
              <w:rPr>
                <w:sz w:val="13"/>
                <w:szCs w:val="13"/>
                <w:color w:val="auto"/>
              </w:rPr>
            </w:pPr>
          </w:p>
        </w:tc>
        <w:tc>
          <w:tcPr>
            <w:tcW w:w="1540" w:type="dxa"/>
            <w:vAlign w:val="bottom"/>
            <w:gridSpan w:val="2"/>
          </w:tcPr>
          <w:p>
            <w:pPr>
              <w:ind w:left="20"/>
              <w:spacing w:after="0"/>
              <w:rPr>
                <w:sz w:val="20"/>
                <w:szCs w:val="20"/>
                <w:color w:val="auto"/>
              </w:rPr>
            </w:pPr>
            <w:r>
              <w:rPr>
                <w:rFonts w:ascii="Arial" w:cs="Arial" w:eastAsia="Arial" w:hAnsi="Arial"/>
                <w:sz w:val="12"/>
                <w:szCs w:val="12"/>
                <w:color w:val="auto"/>
              </w:rPr>
              <w:t>Twenty Ninth Street(7)</w:t>
            </w:r>
          </w:p>
        </w:tc>
        <w:tc>
          <w:tcPr>
            <w:tcW w:w="900" w:type="dxa"/>
            <w:vAlign w:val="bottom"/>
          </w:tcPr>
          <w:p>
            <w:pPr>
              <w:jc w:val="right"/>
              <w:spacing w:after="0"/>
              <w:rPr>
                <w:sz w:val="20"/>
                <w:szCs w:val="20"/>
                <w:color w:val="auto"/>
              </w:rPr>
            </w:pPr>
            <w:r>
              <w:rPr>
                <w:rFonts w:ascii="Arial" w:cs="Arial" w:eastAsia="Arial" w:hAnsi="Arial"/>
                <w:sz w:val="12"/>
                <w:szCs w:val="12"/>
                <w:color w:val="auto"/>
              </w:rPr>
              <w:t>1963/1979</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2007</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692,000</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550,000</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92.5 %</w:t>
            </w:r>
          </w:p>
        </w:tc>
        <w:tc>
          <w:tcPr>
            <w:tcW w:w="100" w:type="dxa"/>
            <w:vAlign w:val="bottom"/>
          </w:tcPr>
          <w:p>
            <w:pPr>
              <w:spacing w:after="0"/>
              <w:rPr>
                <w:sz w:val="13"/>
                <w:szCs w:val="13"/>
                <w:color w:val="auto"/>
              </w:rPr>
            </w:pP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9"/>
              </w:rPr>
              <w:t>—</w:t>
            </w:r>
          </w:p>
        </w:tc>
        <w:tc>
          <w:tcPr>
            <w:tcW w:w="1360" w:type="dxa"/>
            <w:vAlign w:val="bottom"/>
          </w:tcPr>
          <w:p>
            <w:pPr>
              <w:jc w:val="center"/>
              <w:ind w:right="39"/>
              <w:spacing w:after="0"/>
              <w:rPr>
                <w:sz w:val="20"/>
                <w:szCs w:val="20"/>
                <w:color w:val="auto"/>
              </w:rPr>
            </w:pPr>
            <w:r>
              <w:rPr>
                <w:rFonts w:ascii="Arial" w:cs="Arial" w:eastAsia="Arial" w:hAnsi="Arial"/>
                <w:sz w:val="12"/>
                <w:szCs w:val="12"/>
                <w:color w:val="auto"/>
                <w:w w:val="91"/>
              </w:rPr>
              <w:t>Home Depot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580"/>
        <w:spacing w:after="0"/>
        <w:rPr>
          <w:sz w:val="20"/>
          <w:szCs w:val="20"/>
          <w:color w:val="auto"/>
        </w:rPr>
      </w:pPr>
      <w:r>
        <w:rPr>
          <w:rFonts w:ascii="Arial" w:cs="Arial" w:eastAsia="Arial" w:hAnsi="Arial"/>
          <w:sz w:val="12"/>
          <w:szCs w:val="12"/>
          <w:color w:val="auto"/>
        </w:rPr>
        <w:t>Boulder, Colorado</w:t>
      </w:r>
    </w:p>
    <w:p>
      <w:pPr>
        <w:sectPr>
          <w:pgSz w:w="11900" w:h="16838" w:orient="portrait"/>
          <w:cols w:equalWidth="0" w:num="1">
            <w:col w:w="10600"/>
          </w:cols>
          <w:pgMar w:left="760" w:top="843"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79375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00"/>
          </w:cols>
          <w:pgMar w:left="760" w:top="843" w:right="5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26"/>
        </w:trPr>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Year of</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Year of Most</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Mall and</w:t>
            </w:r>
          </w:p>
        </w:tc>
        <w:tc>
          <w:tcPr>
            <w:tcW w:w="10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4"/>
              </w:rPr>
              <w:t>Percentage</w:t>
            </w:r>
          </w:p>
        </w:tc>
        <w:tc>
          <w:tcPr>
            <w:tcW w:w="10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460" w:type="dxa"/>
            <w:vAlign w:val="bottom"/>
          </w:tcPr>
          <w:p>
            <w:pPr>
              <w:spacing w:after="0"/>
              <w:rPr>
                <w:sz w:val="9"/>
                <w:szCs w:val="9"/>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Company's</w:t>
            </w:r>
          </w:p>
        </w:tc>
        <w:tc>
          <w:tcPr>
            <w:tcW w:w="1640" w:type="dxa"/>
            <w:vAlign w:val="bottom"/>
            <w:gridSpan w:val="3"/>
            <w:vMerge w:val="restart"/>
          </w:tcPr>
          <w:p>
            <w:pPr>
              <w:ind w:left="520"/>
              <w:spacing w:after="0"/>
              <w:rPr>
                <w:sz w:val="20"/>
                <w:szCs w:val="20"/>
                <w:color w:val="auto"/>
              </w:rPr>
            </w:pPr>
            <w:r>
              <w:rPr>
                <w:rFonts w:ascii="Arial" w:cs="Arial" w:eastAsia="Arial" w:hAnsi="Arial"/>
                <w:sz w:val="11"/>
                <w:szCs w:val="11"/>
                <w:b w:val="1"/>
                <w:bCs w:val="1"/>
                <w:color w:val="auto"/>
              </w:rPr>
              <w:t>Name of</w:t>
            </w: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91"/>
              </w:rPr>
              <w:t>Original</w:t>
            </w:r>
          </w:p>
        </w:tc>
        <w:tc>
          <w:tcPr>
            <w:tcW w:w="9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7"/>
              </w:rPr>
              <w:t>Recent</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3"/>
              </w:rPr>
              <w:t>Total</w:t>
            </w: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120"/>
              <w:spacing w:after="0" w:line="105" w:lineRule="exact"/>
              <w:rPr>
                <w:sz w:val="20"/>
                <w:szCs w:val="20"/>
                <w:color w:val="auto"/>
              </w:rPr>
            </w:pPr>
            <w:r>
              <w:rPr>
                <w:rFonts w:ascii="Arial" w:cs="Arial" w:eastAsia="Arial" w:hAnsi="Arial"/>
                <w:sz w:val="11"/>
                <w:szCs w:val="11"/>
                <w:b w:val="1"/>
                <w:bCs w:val="1"/>
                <w:color w:val="auto"/>
                <w:w w:val="90"/>
              </w:rPr>
              <w:t>of Mall and</w:t>
            </w:r>
          </w:p>
        </w:tc>
        <w:tc>
          <w:tcPr>
            <w:tcW w:w="102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w w:val="87"/>
              </w:rPr>
              <w:t>Non-Owned</w:t>
            </w:r>
          </w:p>
        </w:tc>
        <w:tc>
          <w:tcPr>
            <w:tcW w:w="138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w w:val="86"/>
              </w:rPr>
              <w:t>Company-Owned Anchors</w:t>
            </w:r>
          </w:p>
        </w:tc>
        <w:tc>
          <w:tcPr>
            <w:tcW w:w="0" w:type="dxa"/>
            <w:vAlign w:val="bottom"/>
          </w:tcPr>
          <w:p>
            <w:pPr>
              <w:spacing w:after="0"/>
              <w:rPr>
                <w:sz w:val="1"/>
                <w:szCs w:val="1"/>
                <w:color w:val="auto"/>
              </w:rPr>
            </w:pPr>
          </w:p>
        </w:tc>
      </w:tr>
      <w:tr>
        <w:trPr>
          <w:trHeight w:val="105"/>
        </w:trPr>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Count</w:t>
            </w:r>
          </w:p>
        </w:tc>
        <w:tc>
          <w:tcPr>
            <w:tcW w:w="1100" w:type="dxa"/>
            <w:vAlign w:val="bottom"/>
            <w:gridSpan w:val="2"/>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880" w:type="dxa"/>
            <w:vAlign w:val="bottom"/>
            <w:gridSpan w:val="2"/>
          </w:tcPr>
          <w:p>
            <w:pPr>
              <w:jc w:val="center"/>
              <w:ind w:right="220"/>
              <w:spacing w:after="0" w:line="105" w:lineRule="exact"/>
              <w:rPr>
                <w:sz w:val="20"/>
                <w:szCs w:val="20"/>
                <w:color w:val="auto"/>
              </w:rPr>
            </w:pPr>
            <w:r>
              <w:rPr>
                <w:rFonts w:ascii="Arial" w:cs="Arial" w:eastAsia="Arial" w:hAnsi="Arial"/>
                <w:sz w:val="11"/>
                <w:szCs w:val="11"/>
                <w:b w:val="1"/>
                <w:bCs w:val="1"/>
                <w:color w:val="auto"/>
                <w:w w:val="86"/>
              </w:rPr>
              <w:t>Construction/</w:t>
            </w:r>
          </w:p>
        </w:tc>
        <w:tc>
          <w:tcPr>
            <w:tcW w:w="90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8"/>
              </w:rPr>
              <w:t>Expansion/</w:t>
            </w:r>
          </w:p>
        </w:tc>
        <w:tc>
          <w:tcPr>
            <w:tcW w:w="1000" w:type="dxa"/>
            <w:vAlign w:val="bottom"/>
            <w:gridSpan w:val="2"/>
            <w:vMerge w:val="continue"/>
          </w:tcPr>
          <w:p>
            <w:pPr>
              <w:spacing w:after="0"/>
              <w:rPr>
                <w:sz w:val="9"/>
                <w:szCs w:val="9"/>
                <w:color w:val="auto"/>
              </w:rPr>
            </w:pPr>
          </w:p>
        </w:tc>
        <w:tc>
          <w:tcPr>
            <w:tcW w:w="10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86"/>
              </w:rPr>
              <w:t>Freestanding</w:t>
            </w:r>
          </w:p>
        </w:tc>
        <w:tc>
          <w:tcPr>
            <w:tcW w:w="100" w:type="dxa"/>
            <w:vAlign w:val="bottom"/>
          </w:tcPr>
          <w:p>
            <w:pPr>
              <w:spacing w:after="0"/>
              <w:rPr>
                <w:sz w:val="9"/>
                <w:szCs w:val="9"/>
                <w:color w:val="auto"/>
              </w:rPr>
            </w:pPr>
          </w:p>
        </w:tc>
        <w:tc>
          <w:tcPr>
            <w:tcW w:w="1080" w:type="dxa"/>
            <w:vAlign w:val="bottom"/>
            <w:gridSpan w:val="2"/>
          </w:tcPr>
          <w:p>
            <w:pPr>
              <w:jc w:val="center"/>
              <w:ind w:right="100"/>
              <w:spacing w:after="0" w:line="105" w:lineRule="exact"/>
              <w:rPr>
                <w:sz w:val="20"/>
                <w:szCs w:val="20"/>
                <w:color w:val="auto"/>
              </w:rPr>
            </w:pPr>
            <w:r>
              <w:rPr>
                <w:rFonts w:ascii="Arial" w:cs="Arial" w:eastAsia="Arial" w:hAnsi="Arial"/>
                <w:sz w:val="11"/>
                <w:szCs w:val="11"/>
                <w:b w:val="1"/>
                <w:bCs w:val="1"/>
                <w:color w:val="auto"/>
                <w:w w:val="83"/>
              </w:rPr>
              <w:t>Freestanding</w:t>
            </w:r>
          </w:p>
        </w:tc>
        <w:tc>
          <w:tcPr>
            <w:tcW w:w="102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60" w:type="dxa"/>
            <w:vAlign w:val="bottom"/>
            <w:vMerge w:val="continue"/>
          </w:tcPr>
          <w:p>
            <w:pPr>
              <w:spacing w:after="0"/>
              <w:rPr>
                <w:sz w:val="11"/>
                <w:szCs w:val="11"/>
                <w:color w:val="auto"/>
              </w:rPr>
            </w:pP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Ownership(1)</w:t>
            </w:r>
          </w:p>
        </w:tc>
        <w:tc>
          <w:tcPr>
            <w:tcW w:w="1640" w:type="dxa"/>
            <w:vAlign w:val="bottom"/>
            <w:gridSpan w:val="3"/>
          </w:tcPr>
          <w:p>
            <w:pPr>
              <w:ind w:left="280"/>
              <w:spacing w:after="0"/>
              <w:rPr>
                <w:sz w:val="20"/>
                <w:szCs w:val="20"/>
                <w:color w:val="auto"/>
              </w:rPr>
            </w:pPr>
            <w:r>
              <w:rPr>
                <w:rFonts w:ascii="Arial" w:cs="Arial" w:eastAsia="Arial" w:hAnsi="Arial"/>
                <w:sz w:val="11"/>
                <w:szCs w:val="11"/>
                <w:b w:val="1"/>
                <w:bCs w:val="1"/>
                <w:color w:val="auto"/>
              </w:rPr>
              <w:t>Center/Location(2)</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Acquisition</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Renovation</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GLA(3)</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GLA</w:t>
            </w:r>
          </w:p>
        </w:tc>
        <w:tc>
          <w:tcPr>
            <w:tcW w:w="100" w:type="dxa"/>
            <w:vAlign w:val="bottom"/>
          </w:tcPr>
          <w:p>
            <w:pPr>
              <w:spacing w:after="0"/>
              <w:rPr>
                <w:sz w:val="11"/>
                <w:szCs w:val="11"/>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GLA Leased</w:t>
            </w:r>
          </w:p>
        </w:tc>
        <w:tc>
          <w:tcPr>
            <w:tcW w:w="1020" w:type="dxa"/>
            <w:vAlign w:val="bottom"/>
          </w:tcPr>
          <w:p>
            <w:pPr>
              <w:jc w:val="center"/>
              <w:ind w:right="39"/>
              <w:spacing w:after="0"/>
              <w:rPr>
                <w:sz w:val="20"/>
                <w:szCs w:val="20"/>
                <w:color w:val="auto"/>
              </w:rPr>
            </w:pPr>
            <w:r>
              <w:rPr>
                <w:rFonts w:ascii="Arial" w:cs="Arial" w:eastAsia="Arial" w:hAnsi="Arial"/>
                <w:sz w:val="11"/>
                <w:szCs w:val="11"/>
                <w:b w:val="1"/>
                <w:bCs w:val="1"/>
                <w:color w:val="auto"/>
                <w:w w:val="85"/>
              </w:rPr>
              <w:t>Anchors (3)</w:t>
            </w:r>
          </w:p>
        </w:tc>
        <w:tc>
          <w:tcPr>
            <w:tcW w:w="138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(3)</w:t>
            </w: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460" w:type="dxa"/>
            <w:vAlign w:val="bottom"/>
            <w:shd w:val="clear" w:color="auto" w:fill="CCEEFF"/>
          </w:tcPr>
          <w:p>
            <w:pPr>
              <w:jc w:val="center"/>
              <w:spacing w:after="0" w:line="119" w:lineRule="exact"/>
              <w:rPr>
                <w:sz w:val="20"/>
                <w:szCs w:val="20"/>
                <w:color w:val="auto"/>
              </w:rPr>
            </w:pPr>
            <w:r>
              <w:rPr>
                <w:rFonts w:ascii="Arial" w:cs="Arial" w:eastAsia="Arial" w:hAnsi="Arial"/>
                <w:sz w:val="12"/>
                <w:szCs w:val="12"/>
                <w:color w:val="auto"/>
              </w:rPr>
              <w:t>42</w:t>
            </w:r>
          </w:p>
        </w:tc>
        <w:tc>
          <w:tcPr>
            <w:tcW w:w="980" w:type="dxa"/>
            <w:vAlign w:val="bottom"/>
            <w:shd w:val="clear" w:color="auto" w:fill="CCEEFF"/>
          </w:tcPr>
          <w:p>
            <w:pPr>
              <w:jc w:val="center"/>
              <w:ind w:left="59"/>
              <w:spacing w:after="0" w:line="119" w:lineRule="exact"/>
              <w:rPr>
                <w:sz w:val="20"/>
                <w:szCs w:val="20"/>
                <w:color w:val="auto"/>
              </w:rPr>
            </w:pPr>
            <w:r>
              <w:rPr>
                <w:rFonts w:ascii="Arial" w:cs="Arial" w:eastAsia="Arial" w:hAnsi="Arial"/>
                <w:sz w:val="12"/>
                <w:szCs w:val="12"/>
                <w:color w:val="auto"/>
                <w:w w:val="91"/>
              </w:rPr>
              <w:t>50%</w:t>
            </w:r>
          </w:p>
        </w:tc>
        <w:tc>
          <w:tcPr>
            <w:tcW w:w="1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2"/>
                <w:szCs w:val="12"/>
                <w:color w:val="auto"/>
              </w:rPr>
              <w:t>Tysons Corner Center(9)</w:t>
            </w: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1968/2005</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2014</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1,854,000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1,114,000</w:t>
            </w:r>
          </w:p>
        </w:tc>
        <w:tc>
          <w:tcPr>
            <w:tcW w:w="10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85.4 %</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8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3"/>
              </w:rPr>
              <w:t>Bloomingdale's, Macy's,</w:t>
            </w:r>
          </w:p>
        </w:tc>
        <w:tc>
          <w:tcPr>
            <w:tcW w:w="0" w:type="dxa"/>
            <w:vAlign w:val="bottom"/>
          </w:tcPr>
          <w:p>
            <w:pPr>
              <w:spacing w:after="0"/>
              <w:rPr>
                <w:sz w:val="1"/>
                <w:szCs w:val="1"/>
                <w:color w:val="auto"/>
              </w:rPr>
            </w:pPr>
          </w:p>
        </w:tc>
      </w:tr>
      <w:tr>
        <w:trPr>
          <w:trHeight w:val="156"/>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6"/>
              </w:rPr>
              <w:t>Nordstrom, Primark(8)</w:t>
            </w:r>
          </w:p>
        </w:tc>
        <w:tc>
          <w:tcPr>
            <w:tcW w:w="0" w:type="dxa"/>
            <w:vAlign w:val="bottom"/>
          </w:tcPr>
          <w:p>
            <w:pPr>
              <w:spacing w:after="0"/>
              <w:rPr>
                <w:sz w:val="1"/>
                <w:szCs w:val="1"/>
                <w:color w:val="auto"/>
              </w:rPr>
            </w:pPr>
          </w:p>
        </w:tc>
      </w:tr>
      <w:tr>
        <w:trPr>
          <w:trHeight w:val="197"/>
        </w:trPr>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Tysons Corner, Virginia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center"/>
              <w:spacing w:after="0" w:line="119" w:lineRule="exact"/>
              <w:rPr>
                <w:sz w:val="20"/>
                <w:szCs w:val="20"/>
                <w:color w:val="auto"/>
              </w:rPr>
            </w:pPr>
            <w:r>
              <w:rPr>
                <w:rFonts w:ascii="Arial" w:cs="Arial" w:eastAsia="Arial" w:hAnsi="Arial"/>
                <w:sz w:val="12"/>
                <w:szCs w:val="12"/>
                <w:color w:val="auto"/>
              </w:rPr>
              <w:t>43</w:t>
            </w:r>
          </w:p>
        </w:tc>
        <w:tc>
          <w:tcPr>
            <w:tcW w:w="980" w:type="dxa"/>
            <w:vAlign w:val="bottom"/>
          </w:tcPr>
          <w:p>
            <w:pPr>
              <w:jc w:val="center"/>
              <w:ind w:left="59"/>
              <w:spacing w:after="0" w:line="119" w:lineRule="exact"/>
              <w:rPr>
                <w:sz w:val="20"/>
                <w:szCs w:val="20"/>
                <w:color w:val="auto"/>
              </w:rPr>
            </w:pPr>
            <w:r>
              <w:rPr>
                <w:rFonts w:ascii="Arial" w:cs="Arial" w:eastAsia="Arial" w:hAnsi="Arial"/>
                <w:sz w:val="12"/>
                <w:szCs w:val="12"/>
                <w:color w:val="auto"/>
                <w:w w:val="91"/>
              </w:rPr>
              <w:t>60%</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2"/>
                <w:szCs w:val="12"/>
                <w:color w:val="auto"/>
              </w:rPr>
              <w:t>Washington Square(9)</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1974/1999</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2"/>
                <w:szCs w:val="12"/>
                <w:color w:val="auto"/>
              </w:rPr>
              <w:t>2005</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1,302,000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579,000</w:t>
            </w:r>
          </w:p>
        </w:tc>
        <w:tc>
          <w:tcPr>
            <w:tcW w:w="106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95.1 %</w:t>
            </w:r>
          </w:p>
        </w:tc>
        <w:tc>
          <w:tcPr>
            <w:tcW w:w="12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7"/>
              </w:rPr>
              <w:t>Macy's</w:t>
            </w:r>
          </w:p>
        </w:tc>
        <w:tc>
          <w:tcPr>
            <w:tcW w:w="1380" w:type="dxa"/>
            <w:vAlign w:val="bottom"/>
          </w:tcPr>
          <w:p>
            <w:pPr>
              <w:jc w:val="center"/>
              <w:ind w:right="59"/>
              <w:spacing w:after="0" w:line="119" w:lineRule="exact"/>
              <w:rPr>
                <w:sz w:val="20"/>
                <w:szCs w:val="20"/>
                <w:color w:val="auto"/>
              </w:rPr>
            </w:pPr>
            <w:r>
              <w:rPr>
                <w:rFonts w:ascii="Arial" w:cs="Arial" w:eastAsia="Arial" w:hAnsi="Arial"/>
                <w:sz w:val="12"/>
                <w:szCs w:val="12"/>
                <w:color w:val="auto"/>
                <w:w w:val="93"/>
              </w:rPr>
              <w:t>Dick's Sporting Goods,</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ind w:right="39"/>
              <w:spacing w:after="0"/>
              <w:rPr>
                <w:sz w:val="20"/>
                <w:szCs w:val="20"/>
                <w:color w:val="auto"/>
              </w:rPr>
            </w:pPr>
            <w:r>
              <w:rPr>
                <w:rFonts w:ascii="Arial" w:cs="Arial" w:eastAsia="Arial" w:hAnsi="Arial"/>
                <w:sz w:val="12"/>
                <w:szCs w:val="12"/>
                <w:color w:val="auto"/>
                <w:w w:val="91"/>
              </w:rPr>
              <w:t>JCPenney, Nordstrom</w:t>
            </w:r>
          </w:p>
        </w:tc>
        <w:tc>
          <w:tcPr>
            <w:tcW w:w="0" w:type="dxa"/>
            <w:vAlign w:val="bottom"/>
          </w:tcPr>
          <w:p>
            <w:pPr>
              <w:spacing w:after="0"/>
              <w:rPr>
                <w:sz w:val="1"/>
                <w:szCs w:val="1"/>
                <w:color w:val="auto"/>
              </w:rPr>
            </w:pPr>
          </w:p>
        </w:tc>
      </w:tr>
      <w:tr>
        <w:trPr>
          <w:trHeight w:val="245"/>
        </w:trPr>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Portland, Oregon</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44</w:t>
            </w:r>
          </w:p>
        </w:tc>
        <w:tc>
          <w:tcPr>
            <w:tcW w:w="980" w:type="dxa"/>
            <w:vAlign w:val="bottom"/>
            <w:shd w:val="clear" w:color="auto" w:fill="CCEEFF"/>
          </w:tcPr>
          <w:p>
            <w:pPr>
              <w:jc w:val="center"/>
              <w:ind w:left="59"/>
              <w:spacing w:after="0"/>
              <w:rPr>
                <w:sz w:val="20"/>
                <w:szCs w:val="20"/>
                <w:color w:val="auto"/>
              </w:rPr>
            </w:pPr>
            <w:r>
              <w:rPr>
                <w:rFonts w:ascii="Arial" w:cs="Arial" w:eastAsia="Arial" w:hAnsi="Arial"/>
                <w:sz w:val="12"/>
                <w:szCs w:val="12"/>
                <w:color w:val="auto"/>
                <w:w w:val="91"/>
              </w:rPr>
              <w:t>19%</w:t>
            </w:r>
          </w:p>
        </w:tc>
        <w:tc>
          <w:tcPr>
            <w:tcW w:w="1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West Acres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1972/1986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94.7 %</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7"/>
              </w:rPr>
              <w:t>Macy's</w:t>
            </w:r>
          </w:p>
        </w:tc>
        <w:tc>
          <w:tcPr>
            <w:tcW w:w="138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0"/>
              </w:rPr>
              <w:t>JCPenney</w:t>
            </w:r>
          </w:p>
        </w:tc>
        <w:tc>
          <w:tcPr>
            <w:tcW w:w="0" w:type="dxa"/>
            <w:vAlign w:val="bottom"/>
          </w:tcPr>
          <w:p>
            <w:pPr>
              <w:spacing w:after="0"/>
              <w:rPr>
                <w:sz w:val="1"/>
                <w:szCs w:val="1"/>
                <w:color w:val="auto"/>
              </w:rPr>
            </w:pPr>
          </w:p>
        </w:tc>
      </w:tr>
      <w:tr>
        <w:trPr>
          <w:trHeight w:val="266"/>
        </w:trPr>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Fargo, North Dakota</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tcPr>
          <w:p>
            <w:pPr>
              <w:ind w:left="20"/>
              <w:spacing w:after="0"/>
              <w:rPr>
                <w:sz w:val="20"/>
                <w:szCs w:val="20"/>
                <w:color w:val="auto"/>
              </w:rPr>
            </w:pPr>
            <w:r>
              <w:rPr>
                <w:rFonts w:ascii="Arial" w:cs="Arial" w:eastAsia="Arial" w:hAnsi="Arial"/>
                <w:sz w:val="12"/>
                <w:szCs w:val="12"/>
                <w:b w:val="1"/>
                <w:bCs w:val="1"/>
                <w:color w:val="auto"/>
              </w:rPr>
              <w:t>Total Unconsolidated Joint Ventures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17,550,000</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9,574,000</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92.5 %</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0" w:type="dxa"/>
            <w:vAlign w:val="bottom"/>
            <w:tcBorders>
              <w:bottom w:val="single" w:sz="8" w:color="CCEEFF"/>
            </w:tcBorders>
          </w:tcPr>
          <w:p>
            <w:pPr>
              <w:jc w:val="center"/>
              <w:spacing w:after="0"/>
              <w:rPr>
                <w:sz w:val="20"/>
                <w:szCs w:val="20"/>
                <w:color w:val="auto"/>
              </w:rPr>
            </w:pPr>
            <w:r>
              <w:rPr>
                <w:rFonts w:ascii="Arial" w:cs="Arial" w:eastAsia="Arial" w:hAnsi="Arial"/>
                <w:sz w:val="12"/>
                <w:szCs w:val="12"/>
                <w:color w:val="auto"/>
              </w:rPr>
              <w:t>44</w:t>
            </w: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b w:val="1"/>
                <w:bCs w:val="1"/>
                <w:color w:val="auto"/>
                <w:w w:val="96"/>
              </w:rPr>
              <w:t>Total Regional Town Centers</w:t>
            </w: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42,871,000</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22,161,000</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92.6 %</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0" w:type="dxa"/>
            <w:vAlign w:val="bottom"/>
            <w:shd w:val="clear" w:color="auto" w:fill="CCEEFF"/>
          </w:tcPr>
          <w:p>
            <w:pPr>
              <w:spacing w:after="0"/>
              <w:rPr>
                <w:sz w:val="13"/>
                <w:szCs w:val="13"/>
                <w:color w:val="auto"/>
              </w:rPr>
            </w:pPr>
          </w:p>
        </w:tc>
        <w:tc>
          <w:tcPr>
            <w:tcW w:w="2740" w:type="dxa"/>
            <w:vAlign w:val="bottom"/>
            <w:gridSpan w:val="5"/>
            <w:shd w:val="clear" w:color="auto" w:fill="CCEEFF"/>
          </w:tcPr>
          <w:p>
            <w:pPr>
              <w:ind w:left="120"/>
              <w:spacing w:after="0"/>
              <w:rPr>
                <w:sz w:val="20"/>
                <w:szCs w:val="20"/>
                <w:color w:val="auto"/>
              </w:rPr>
            </w:pPr>
            <w:r>
              <w:rPr>
                <w:rFonts w:ascii="Arial" w:cs="Arial" w:eastAsia="Arial" w:hAnsi="Arial"/>
                <w:sz w:val="12"/>
                <w:szCs w:val="12"/>
                <w:b w:val="1"/>
                <w:bCs w:val="1"/>
                <w:color w:val="auto"/>
              </w:rPr>
              <w:t>COMMUNITY/POWER SHOPPING CENTERS</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center"/>
              <w:spacing w:after="0" w:line="119" w:lineRule="exact"/>
              <w:rPr>
                <w:sz w:val="20"/>
                <w:szCs w:val="20"/>
                <w:color w:val="auto"/>
              </w:rPr>
            </w:pPr>
            <w:r>
              <w:rPr>
                <w:rFonts w:ascii="Arial" w:cs="Arial" w:eastAsia="Arial" w:hAnsi="Arial"/>
                <w:sz w:val="12"/>
                <w:szCs w:val="12"/>
                <w:color w:val="auto"/>
                <w:w w:val="89"/>
              </w:rPr>
              <w:t>1</w:t>
            </w:r>
          </w:p>
        </w:tc>
        <w:tc>
          <w:tcPr>
            <w:tcW w:w="980" w:type="dxa"/>
            <w:vAlign w:val="bottom"/>
          </w:tcPr>
          <w:p>
            <w:pPr>
              <w:jc w:val="center"/>
              <w:ind w:left="59"/>
              <w:spacing w:after="0" w:line="119" w:lineRule="exact"/>
              <w:rPr>
                <w:sz w:val="20"/>
                <w:szCs w:val="20"/>
                <w:color w:val="auto"/>
              </w:rPr>
            </w:pPr>
            <w:r>
              <w:rPr>
                <w:rFonts w:ascii="Arial" w:cs="Arial" w:eastAsia="Arial" w:hAnsi="Arial"/>
                <w:sz w:val="12"/>
                <w:szCs w:val="12"/>
                <w:color w:val="auto"/>
                <w:w w:val="91"/>
              </w:rPr>
              <w:t>50%</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2"/>
                <w:szCs w:val="12"/>
                <w:color w:val="auto"/>
              </w:rPr>
              <w:t>Atlas Park, The Shops</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2006/2011</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2"/>
                <w:szCs w:val="12"/>
                <w:color w:val="auto"/>
              </w:rPr>
              <w:t>2013</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372,000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372,000</w:t>
            </w:r>
          </w:p>
        </w:tc>
        <w:tc>
          <w:tcPr>
            <w:tcW w:w="106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92.6 %</w:t>
            </w:r>
          </w:p>
        </w:tc>
        <w:tc>
          <w:tcPr>
            <w:tcW w:w="12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8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at(11)</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Queens, New York</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w:t>
            </w:r>
          </w:p>
        </w:tc>
        <w:tc>
          <w:tcPr>
            <w:tcW w:w="980" w:type="dxa"/>
            <w:vAlign w:val="bottom"/>
            <w:shd w:val="clear" w:color="auto" w:fill="CCEEFF"/>
          </w:tcPr>
          <w:p>
            <w:pPr>
              <w:jc w:val="center"/>
              <w:ind w:left="59"/>
              <w:spacing w:after="0"/>
              <w:rPr>
                <w:sz w:val="20"/>
                <w:szCs w:val="20"/>
                <w:color w:val="auto"/>
              </w:rPr>
            </w:pPr>
            <w:r>
              <w:rPr>
                <w:rFonts w:ascii="Arial" w:cs="Arial" w:eastAsia="Arial" w:hAnsi="Arial"/>
                <w:sz w:val="12"/>
                <w:szCs w:val="12"/>
                <w:color w:val="auto"/>
                <w:w w:val="91"/>
              </w:rPr>
              <w:t>50%</w:t>
            </w:r>
          </w:p>
        </w:tc>
        <w:tc>
          <w:tcPr>
            <w:tcW w:w="1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Boulevard Shops(11)</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2001/2002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93.1 %</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9"/>
              </w:rPr>
              <w:t>—</w:t>
            </w:r>
          </w:p>
        </w:tc>
        <w:tc>
          <w:tcPr>
            <w:tcW w:w="138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87"/>
        </w:trPr>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Chandler, Arizona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center"/>
              <w:spacing w:after="0" w:line="119" w:lineRule="exact"/>
              <w:rPr>
                <w:sz w:val="20"/>
                <w:szCs w:val="20"/>
                <w:color w:val="auto"/>
              </w:rPr>
            </w:pPr>
            <w:r>
              <w:rPr>
                <w:rFonts w:ascii="Arial" w:cs="Arial" w:eastAsia="Arial" w:hAnsi="Arial"/>
                <w:sz w:val="12"/>
                <w:szCs w:val="12"/>
                <w:color w:val="auto"/>
                <w:w w:val="89"/>
              </w:rPr>
              <w:t>3</w:t>
            </w:r>
          </w:p>
        </w:tc>
        <w:tc>
          <w:tcPr>
            <w:tcW w:w="980" w:type="dxa"/>
            <w:vAlign w:val="bottom"/>
          </w:tcPr>
          <w:p>
            <w:pPr>
              <w:jc w:val="center"/>
              <w:ind w:left="59"/>
              <w:spacing w:after="0" w:line="119" w:lineRule="exact"/>
              <w:rPr>
                <w:sz w:val="20"/>
                <w:szCs w:val="20"/>
                <w:color w:val="auto"/>
              </w:rPr>
            </w:pPr>
            <w:r>
              <w:rPr>
                <w:rFonts w:ascii="Arial" w:cs="Arial" w:eastAsia="Arial" w:hAnsi="Arial"/>
                <w:sz w:val="12"/>
                <w:szCs w:val="12"/>
                <w:color w:val="auto"/>
                <w:w w:val="97"/>
              </w:rPr>
              <w:t>100%</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2"/>
                <w:szCs w:val="12"/>
                <w:color w:val="auto"/>
              </w:rPr>
              <w:t>Southridge Center(4)(10)</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1975/1998</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2"/>
                <w:szCs w:val="12"/>
                <w:color w:val="auto"/>
              </w:rPr>
              <w:t>2013</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800,000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519,000</w:t>
            </w:r>
          </w:p>
        </w:tc>
        <w:tc>
          <w:tcPr>
            <w:tcW w:w="106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82.2 %</w:t>
            </w:r>
          </w:p>
        </w:tc>
        <w:tc>
          <w:tcPr>
            <w:tcW w:w="120" w:type="dxa"/>
            <w:vAlign w:val="bottom"/>
          </w:tcPr>
          <w:p>
            <w:pPr>
              <w:spacing w:after="0"/>
              <w:rPr>
                <w:sz w:val="10"/>
                <w:szCs w:val="10"/>
                <w:color w:val="auto"/>
              </w:rPr>
            </w:pPr>
          </w:p>
        </w:tc>
        <w:tc>
          <w:tcPr>
            <w:tcW w:w="1020" w:type="dxa"/>
            <w:vAlign w:val="bottom"/>
          </w:tcPr>
          <w:p>
            <w:pPr>
              <w:jc w:val="center"/>
              <w:ind w:right="59"/>
              <w:spacing w:after="0" w:line="119" w:lineRule="exact"/>
              <w:rPr>
                <w:sz w:val="20"/>
                <w:szCs w:val="20"/>
                <w:color w:val="auto"/>
              </w:rPr>
            </w:pPr>
            <w:r>
              <w:rPr>
                <w:rFonts w:ascii="Arial" w:cs="Arial" w:eastAsia="Arial" w:hAnsi="Arial"/>
                <w:sz w:val="12"/>
                <w:szCs w:val="12"/>
                <w:color w:val="auto"/>
                <w:w w:val="93"/>
              </w:rPr>
              <w:t>Des Moines Area</w:t>
            </w:r>
          </w:p>
        </w:tc>
        <w:tc>
          <w:tcPr>
            <w:tcW w:w="1380" w:type="dxa"/>
            <w:vAlign w:val="bottom"/>
          </w:tcPr>
          <w:p>
            <w:pPr>
              <w:jc w:val="center"/>
              <w:ind w:right="59"/>
              <w:spacing w:after="0" w:line="119" w:lineRule="exact"/>
              <w:rPr>
                <w:sz w:val="20"/>
                <w:szCs w:val="20"/>
                <w:color w:val="auto"/>
              </w:rPr>
            </w:pPr>
            <w:r>
              <w:rPr>
                <w:rFonts w:ascii="Arial" w:cs="Arial" w:eastAsia="Arial" w:hAnsi="Arial"/>
                <w:sz w:val="12"/>
                <w:szCs w:val="12"/>
                <w:color w:val="auto"/>
                <w:w w:val="86"/>
              </w:rPr>
              <w:t>Target</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59"/>
              <w:spacing w:after="0" w:line="119" w:lineRule="exact"/>
              <w:rPr>
                <w:sz w:val="20"/>
                <w:szCs w:val="20"/>
                <w:color w:val="auto"/>
              </w:rPr>
            </w:pPr>
            <w:r>
              <w:rPr>
                <w:rFonts w:ascii="Arial" w:cs="Arial" w:eastAsia="Arial" w:hAnsi="Arial"/>
                <w:sz w:val="12"/>
                <w:szCs w:val="12"/>
                <w:color w:val="auto"/>
                <w:w w:val="95"/>
              </w:rPr>
              <w:t>Community</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2"/>
                <w:szCs w:val="12"/>
                <w:color w:val="auto"/>
              </w:rPr>
              <w:t>Des Moines, Iowa</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9"/>
              <w:spacing w:after="0"/>
              <w:rPr>
                <w:sz w:val="20"/>
                <w:szCs w:val="20"/>
                <w:color w:val="auto"/>
              </w:rPr>
            </w:pPr>
            <w:r>
              <w:rPr>
                <w:rFonts w:ascii="Arial" w:cs="Arial" w:eastAsia="Arial" w:hAnsi="Arial"/>
                <w:sz w:val="12"/>
                <w:szCs w:val="12"/>
                <w:color w:val="auto"/>
                <w:w w:val="93"/>
              </w:rPr>
              <w:t>College</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4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60" w:type="dxa"/>
            <w:vAlign w:val="bottom"/>
            <w:shd w:val="clear" w:color="auto" w:fill="CCEEFF"/>
          </w:tcPr>
          <w:p>
            <w:pPr>
              <w:jc w:val="center"/>
              <w:spacing w:after="0" w:line="119" w:lineRule="exact"/>
              <w:rPr>
                <w:sz w:val="20"/>
                <w:szCs w:val="20"/>
                <w:color w:val="auto"/>
              </w:rPr>
            </w:pPr>
            <w:r>
              <w:rPr>
                <w:rFonts w:ascii="Arial" w:cs="Arial" w:eastAsia="Arial" w:hAnsi="Arial"/>
                <w:sz w:val="12"/>
                <w:szCs w:val="12"/>
                <w:color w:val="auto"/>
                <w:w w:val="89"/>
              </w:rPr>
              <w:t>4</w:t>
            </w:r>
          </w:p>
        </w:tc>
        <w:tc>
          <w:tcPr>
            <w:tcW w:w="980" w:type="dxa"/>
            <w:vAlign w:val="bottom"/>
            <w:shd w:val="clear" w:color="auto" w:fill="CCEEFF"/>
          </w:tcPr>
          <w:p>
            <w:pPr>
              <w:jc w:val="center"/>
              <w:ind w:left="59"/>
              <w:spacing w:after="0" w:line="119" w:lineRule="exact"/>
              <w:rPr>
                <w:sz w:val="20"/>
                <w:szCs w:val="20"/>
                <w:color w:val="auto"/>
              </w:rPr>
            </w:pPr>
            <w:r>
              <w:rPr>
                <w:rFonts w:ascii="Arial" w:cs="Arial" w:eastAsia="Arial" w:hAnsi="Arial"/>
                <w:sz w:val="12"/>
                <w:szCs w:val="12"/>
                <w:color w:val="auto"/>
                <w:w w:val="97"/>
              </w:rPr>
              <w:t>100%</w:t>
            </w:r>
          </w:p>
        </w:tc>
        <w:tc>
          <w:tcPr>
            <w:tcW w:w="12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ind w:left="20"/>
              <w:spacing w:after="0" w:line="119" w:lineRule="exact"/>
              <w:rPr>
                <w:sz w:val="20"/>
                <w:szCs w:val="20"/>
                <w:color w:val="auto"/>
              </w:rPr>
            </w:pPr>
            <w:r>
              <w:rPr>
                <w:rFonts w:ascii="Arial" w:cs="Arial" w:eastAsia="Arial" w:hAnsi="Arial"/>
                <w:sz w:val="12"/>
                <w:szCs w:val="12"/>
                <w:color w:val="auto"/>
              </w:rPr>
              <w:t>Superstition Springs Power</w:t>
            </w:r>
          </w:p>
        </w:tc>
        <w:tc>
          <w:tcPr>
            <w:tcW w:w="78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1990/2002</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204,000</w:t>
            </w: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19" w:lineRule="exact"/>
              <w:rPr>
                <w:sz w:val="20"/>
                <w:szCs w:val="20"/>
                <w:color w:val="auto"/>
              </w:rPr>
            </w:pPr>
            <w:r>
              <w:rPr>
                <w:rFonts w:ascii="Arial" w:cs="Arial" w:eastAsia="Arial" w:hAnsi="Arial"/>
                <w:sz w:val="12"/>
                <w:szCs w:val="12"/>
                <w:color w:val="auto"/>
              </w:rPr>
              <w:t>51,000</w:t>
            </w:r>
          </w:p>
        </w:tc>
        <w:tc>
          <w:tcPr>
            <w:tcW w:w="106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2"/>
                <w:szCs w:val="12"/>
                <w:color w:val="auto"/>
              </w:rPr>
              <w:t>100.0 %</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3"/>
              </w:rPr>
              <w:t>Best Buy,</w:t>
            </w:r>
          </w:p>
        </w:tc>
        <w:tc>
          <w:tcPr>
            <w:tcW w:w="1380" w:type="dxa"/>
            <w:vAlign w:val="bottom"/>
            <w:shd w:val="clear" w:color="auto" w:fill="CCEEFF"/>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Center(10)</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right="59"/>
              <w:spacing w:after="0"/>
              <w:rPr>
                <w:sz w:val="20"/>
                <w:szCs w:val="20"/>
                <w:color w:val="auto"/>
              </w:rPr>
            </w:pPr>
            <w:r>
              <w:rPr>
                <w:rFonts w:ascii="Arial" w:cs="Arial" w:eastAsia="Arial" w:hAnsi="Arial"/>
                <w:sz w:val="12"/>
                <w:szCs w:val="12"/>
                <w:color w:val="auto"/>
                <w:w w:val="99"/>
              </w:rPr>
              <w:t>Burlington</w:t>
            </w: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Mesa, Arizona</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460" w:type="dxa"/>
            <w:vAlign w:val="bottom"/>
          </w:tcPr>
          <w:p>
            <w:pPr>
              <w:jc w:val="center"/>
              <w:spacing w:after="0" w:line="119" w:lineRule="exact"/>
              <w:rPr>
                <w:sz w:val="20"/>
                <w:szCs w:val="20"/>
                <w:color w:val="auto"/>
              </w:rPr>
            </w:pPr>
            <w:r>
              <w:rPr>
                <w:rFonts w:ascii="Arial" w:cs="Arial" w:eastAsia="Arial" w:hAnsi="Arial"/>
                <w:sz w:val="12"/>
                <w:szCs w:val="12"/>
                <w:color w:val="auto"/>
                <w:w w:val="89"/>
              </w:rPr>
              <w:t>5</w:t>
            </w:r>
          </w:p>
        </w:tc>
        <w:tc>
          <w:tcPr>
            <w:tcW w:w="980" w:type="dxa"/>
            <w:vAlign w:val="bottom"/>
          </w:tcPr>
          <w:p>
            <w:pPr>
              <w:jc w:val="center"/>
              <w:ind w:left="59"/>
              <w:spacing w:after="0" w:line="119" w:lineRule="exact"/>
              <w:rPr>
                <w:sz w:val="20"/>
                <w:szCs w:val="20"/>
                <w:color w:val="auto"/>
              </w:rPr>
            </w:pPr>
            <w:r>
              <w:rPr>
                <w:rFonts w:ascii="Arial" w:cs="Arial" w:eastAsia="Arial" w:hAnsi="Arial"/>
                <w:sz w:val="12"/>
                <w:szCs w:val="12"/>
                <w:color w:val="auto"/>
                <w:w w:val="97"/>
              </w:rPr>
              <w:t>100%</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2"/>
                <w:szCs w:val="12"/>
                <w:color w:val="auto"/>
              </w:rPr>
              <w:t>The Marketplace at</w:t>
            </w:r>
          </w:p>
        </w:tc>
        <w:tc>
          <w:tcPr>
            <w:tcW w:w="880" w:type="dxa"/>
            <w:vAlign w:val="bottom"/>
            <w:gridSpan w:val="2"/>
          </w:tcPr>
          <w:p>
            <w:pPr>
              <w:jc w:val="right"/>
              <w:ind w:right="120"/>
              <w:spacing w:after="0" w:line="119" w:lineRule="exact"/>
              <w:rPr>
                <w:sz w:val="20"/>
                <w:szCs w:val="20"/>
                <w:color w:val="auto"/>
              </w:rPr>
            </w:pPr>
            <w:r>
              <w:rPr>
                <w:rFonts w:ascii="Arial" w:cs="Arial" w:eastAsia="Arial" w:hAnsi="Arial"/>
                <w:sz w:val="12"/>
                <w:szCs w:val="12"/>
                <w:color w:val="auto"/>
              </w:rPr>
              <w:t>2007/—</w:t>
            </w:r>
          </w:p>
        </w:tc>
        <w:tc>
          <w:tcPr>
            <w:tcW w:w="80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268,000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147,000</w:t>
            </w:r>
          </w:p>
        </w:tc>
        <w:tc>
          <w:tcPr>
            <w:tcW w:w="1060" w:type="dxa"/>
            <w:vAlign w:val="bottom"/>
            <w:gridSpan w:val="2"/>
          </w:tcPr>
          <w:p>
            <w:pPr>
              <w:jc w:val="right"/>
              <w:spacing w:after="0" w:line="119" w:lineRule="exact"/>
              <w:rPr>
                <w:sz w:val="20"/>
                <w:szCs w:val="20"/>
                <w:color w:val="auto"/>
              </w:rPr>
            </w:pPr>
            <w:r>
              <w:rPr>
                <w:rFonts w:ascii="Arial" w:cs="Arial" w:eastAsia="Arial" w:hAnsi="Arial"/>
                <w:sz w:val="12"/>
                <w:szCs w:val="12"/>
                <w:color w:val="auto"/>
              </w:rPr>
              <w:t>100.0 %</w:t>
            </w:r>
          </w:p>
        </w:tc>
        <w:tc>
          <w:tcPr>
            <w:tcW w:w="120" w:type="dxa"/>
            <w:vAlign w:val="bottom"/>
          </w:tcPr>
          <w:p>
            <w:pPr>
              <w:spacing w:after="0"/>
              <w:rPr>
                <w:sz w:val="10"/>
                <w:szCs w:val="10"/>
                <w:color w:val="auto"/>
              </w:rPr>
            </w:pP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80" w:type="dxa"/>
            <w:vAlign w:val="bottom"/>
          </w:tcPr>
          <w:p>
            <w:pPr>
              <w:jc w:val="center"/>
              <w:ind w:right="59"/>
              <w:spacing w:after="0" w:line="119" w:lineRule="exact"/>
              <w:rPr>
                <w:sz w:val="20"/>
                <w:szCs w:val="20"/>
                <w:color w:val="auto"/>
              </w:rPr>
            </w:pPr>
            <w:r>
              <w:rPr>
                <w:rFonts w:ascii="Arial" w:cs="Arial" w:eastAsia="Arial" w:hAnsi="Arial"/>
                <w:sz w:val="12"/>
                <w:szCs w:val="12"/>
                <w:color w:val="auto"/>
                <w:w w:val="91"/>
              </w:rPr>
              <w:t>Home Depot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Flagstaff(7)(10)</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Flagstaff, Arizona</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5</w:t>
            </w: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20" w:type="dxa"/>
            <w:vAlign w:val="bottom"/>
            <w:gridSpan w:val="5"/>
            <w:shd w:val="clear" w:color="auto" w:fill="CCEEFF"/>
          </w:tcPr>
          <w:p>
            <w:pPr>
              <w:ind w:left="20"/>
              <w:spacing w:after="0"/>
              <w:rPr>
                <w:sz w:val="20"/>
                <w:szCs w:val="20"/>
                <w:color w:val="auto"/>
              </w:rPr>
            </w:pPr>
            <w:r>
              <w:rPr>
                <w:rFonts w:ascii="Arial" w:cs="Arial" w:eastAsia="Arial" w:hAnsi="Arial"/>
                <w:sz w:val="12"/>
                <w:szCs w:val="12"/>
                <w:b w:val="1"/>
                <w:bCs w:val="1"/>
                <w:color w:val="auto"/>
              </w:rPr>
              <w:t>Total Community/Power Shopping Centers</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1,829,000</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1,274,000</w:t>
            </w:r>
          </w:p>
        </w:tc>
        <w:tc>
          <w:tcPr>
            <w:tcW w:w="10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89.6 %</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49</w:t>
            </w:r>
          </w:p>
        </w:tc>
        <w:tc>
          <w:tcPr>
            <w:tcW w:w="9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b w:val="1"/>
                <w:bCs w:val="1"/>
                <w:color w:val="auto"/>
              </w:rPr>
              <w:t>Total before Other Assets</w:t>
            </w: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44,700,000</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23,435,000</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w w:val="98"/>
              </w:rPr>
              <w:t>OTHER ASSETS:</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0" w:type="dxa"/>
            <w:vAlign w:val="bottom"/>
          </w:tcPr>
          <w:p>
            <w:pPr>
              <w:spacing w:after="0"/>
              <w:rPr>
                <w:sz w:val="14"/>
                <w:szCs w:val="14"/>
                <w:color w:val="auto"/>
              </w:rPr>
            </w:pPr>
          </w:p>
        </w:tc>
        <w:tc>
          <w:tcPr>
            <w:tcW w:w="980" w:type="dxa"/>
            <w:vAlign w:val="bottom"/>
          </w:tcPr>
          <w:p>
            <w:pPr>
              <w:jc w:val="center"/>
              <w:ind w:left="59"/>
              <w:spacing w:after="0"/>
              <w:rPr>
                <w:sz w:val="20"/>
                <w:szCs w:val="20"/>
                <w:color w:val="auto"/>
              </w:rPr>
            </w:pPr>
            <w:r>
              <w:rPr>
                <w:rFonts w:ascii="Arial" w:cs="Arial" w:eastAsia="Arial" w:hAnsi="Arial"/>
                <w:sz w:val="12"/>
                <w:szCs w:val="12"/>
                <w:color w:val="auto"/>
                <w:w w:val="97"/>
              </w:rPr>
              <w:t>100%</w:t>
            </w:r>
          </w:p>
        </w:tc>
        <w:tc>
          <w:tcPr>
            <w:tcW w:w="12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Various(10)(12)</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267,000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184,000</w:t>
            </w: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ind w:right="39"/>
              <w:spacing w:after="0"/>
              <w:rPr>
                <w:sz w:val="20"/>
                <w:szCs w:val="20"/>
                <w:color w:val="auto"/>
              </w:rPr>
            </w:pPr>
            <w:r>
              <w:rPr>
                <w:rFonts w:ascii="Arial" w:cs="Arial" w:eastAsia="Arial" w:hAnsi="Arial"/>
                <w:sz w:val="12"/>
                <w:szCs w:val="12"/>
                <w:color w:val="auto"/>
                <w:w w:val="98"/>
              </w:rPr>
              <w:t>Kohl's</w:t>
            </w:r>
          </w:p>
        </w:tc>
        <w:tc>
          <w:tcPr>
            <w:tcW w:w="0" w:type="dxa"/>
            <w:vAlign w:val="bottom"/>
          </w:tcPr>
          <w:p>
            <w:pPr>
              <w:spacing w:after="0"/>
              <w:rPr>
                <w:sz w:val="1"/>
                <w:szCs w:val="1"/>
                <w:color w:val="auto"/>
              </w:rPr>
            </w:pPr>
          </w:p>
        </w:tc>
      </w:tr>
      <w:tr>
        <w:trPr>
          <w:trHeight w:val="163"/>
        </w:trPr>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59"/>
              <w:spacing w:after="0"/>
              <w:rPr>
                <w:sz w:val="20"/>
                <w:szCs w:val="20"/>
                <w:color w:val="auto"/>
              </w:rPr>
            </w:pPr>
            <w:r>
              <w:rPr>
                <w:rFonts w:ascii="Arial" w:cs="Arial" w:eastAsia="Arial" w:hAnsi="Arial"/>
                <w:sz w:val="12"/>
                <w:szCs w:val="12"/>
                <w:color w:val="auto"/>
                <w:w w:val="91"/>
              </w:rPr>
              <w:t>25%</w:t>
            </w:r>
          </w:p>
        </w:tc>
        <w:tc>
          <w:tcPr>
            <w:tcW w:w="1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One Westside(11)(13)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1985/1998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680,000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9"/>
              </w:rPr>
              <w:t>—</w:t>
            </w:r>
          </w:p>
        </w:tc>
        <w:tc>
          <w:tcPr>
            <w:tcW w:w="1380" w:type="dxa"/>
            <w:vAlign w:val="bottom"/>
            <w:shd w:val="clear" w:color="auto" w:fill="CCEEFF"/>
          </w:tcPr>
          <w:p>
            <w:pPr>
              <w:jc w:val="center"/>
              <w:ind w:right="3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87"/>
        </w:trPr>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Los Angeles, California</w:t>
            </w: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80" w:type="dxa"/>
            <w:vAlign w:val="bottom"/>
          </w:tcPr>
          <w:p>
            <w:pPr>
              <w:jc w:val="center"/>
              <w:ind w:left="59"/>
              <w:spacing w:after="0" w:line="119" w:lineRule="exact"/>
              <w:rPr>
                <w:sz w:val="20"/>
                <w:szCs w:val="20"/>
                <w:color w:val="auto"/>
              </w:rPr>
            </w:pPr>
            <w:r>
              <w:rPr>
                <w:rFonts w:ascii="Arial" w:cs="Arial" w:eastAsia="Arial" w:hAnsi="Arial"/>
                <w:sz w:val="12"/>
                <w:szCs w:val="12"/>
                <w:color w:val="auto"/>
                <w:w w:val="91"/>
              </w:rPr>
              <w:t>50%</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2"/>
                <w:szCs w:val="12"/>
                <w:color w:val="auto"/>
              </w:rPr>
              <w:t>Scottsdale Fashion Square-</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1984/2002</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2"/>
                <w:szCs w:val="12"/>
                <w:color w:val="auto"/>
              </w:rPr>
              <w:t>2016</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124,000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Arial" w:cs="Arial" w:eastAsia="Arial" w:hAnsi="Arial"/>
                <w:sz w:val="12"/>
                <w:szCs w:val="12"/>
                <w:color w:val="auto"/>
              </w:rPr>
              <w:t>—</w:t>
            </w: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8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Office(11)</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Scottsdale, Arizona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left="59"/>
              <w:spacing w:after="0" w:line="127" w:lineRule="exact"/>
              <w:rPr>
                <w:sz w:val="20"/>
                <w:szCs w:val="20"/>
                <w:color w:val="auto"/>
              </w:rPr>
            </w:pPr>
            <w:r>
              <w:rPr>
                <w:rFonts w:ascii="Arial" w:cs="Arial" w:eastAsia="Arial" w:hAnsi="Arial"/>
                <w:sz w:val="12"/>
                <w:szCs w:val="12"/>
                <w:color w:val="auto"/>
                <w:w w:val="91"/>
              </w:rPr>
              <w:t>50%</w:t>
            </w:r>
          </w:p>
        </w:tc>
        <w:tc>
          <w:tcPr>
            <w:tcW w:w="1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20"/>
              <w:spacing w:after="0" w:line="127" w:lineRule="exact"/>
              <w:rPr>
                <w:sz w:val="20"/>
                <w:szCs w:val="20"/>
                <w:color w:val="auto"/>
              </w:rPr>
            </w:pPr>
            <w:r>
              <w:rPr>
                <w:rFonts w:ascii="Arial" w:cs="Arial" w:eastAsia="Arial" w:hAnsi="Arial"/>
                <w:sz w:val="12"/>
                <w:szCs w:val="12"/>
                <w:color w:val="auto"/>
              </w:rPr>
              <w:t>Tysons Corner Center-</w:t>
            </w: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1999/2005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2012</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169,000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99"/>
              </w:rPr>
              <w:t>—</w:t>
            </w:r>
          </w:p>
        </w:tc>
        <w:tc>
          <w:tcPr>
            <w:tcW w:w="138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Office(11)</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Tysons Corner, Virginia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80" w:type="dxa"/>
            <w:vAlign w:val="bottom"/>
          </w:tcPr>
          <w:p>
            <w:pPr>
              <w:jc w:val="center"/>
              <w:ind w:left="59"/>
              <w:spacing w:after="0" w:line="119" w:lineRule="exact"/>
              <w:rPr>
                <w:sz w:val="20"/>
                <w:szCs w:val="20"/>
                <w:color w:val="auto"/>
              </w:rPr>
            </w:pPr>
            <w:r>
              <w:rPr>
                <w:rFonts w:ascii="Arial" w:cs="Arial" w:eastAsia="Arial" w:hAnsi="Arial"/>
                <w:sz w:val="12"/>
                <w:szCs w:val="12"/>
                <w:color w:val="auto"/>
                <w:w w:val="91"/>
              </w:rPr>
              <w:t>50%</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2"/>
                <w:szCs w:val="12"/>
                <w:color w:val="auto"/>
              </w:rPr>
              <w:t>Hyatt Regency Tysons</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2015</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2"/>
                <w:szCs w:val="12"/>
                <w:color w:val="auto"/>
              </w:rPr>
              <w:t>2015</w:t>
            </w:r>
          </w:p>
        </w:tc>
        <w:tc>
          <w:tcPr>
            <w:tcW w:w="100" w:type="dxa"/>
            <w:vAlign w:val="bottom"/>
          </w:tcPr>
          <w:p>
            <w:pPr>
              <w:spacing w:after="0"/>
              <w:rPr>
                <w:sz w:val="10"/>
                <w:szCs w:val="10"/>
                <w:color w:val="auto"/>
              </w:rPr>
            </w:pP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290,000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Arial" w:cs="Arial" w:eastAsia="Arial" w:hAnsi="Arial"/>
                <w:sz w:val="12"/>
                <w:szCs w:val="12"/>
                <w:color w:val="auto"/>
              </w:rPr>
              <w:t>—</w:t>
            </w:r>
          </w:p>
        </w:tc>
        <w:tc>
          <w:tcPr>
            <w:tcW w:w="102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1380" w:type="dxa"/>
            <w:vAlign w:val="bottom"/>
          </w:tcPr>
          <w:p>
            <w:pPr>
              <w:jc w:val="center"/>
              <w:ind w:right="39"/>
              <w:spacing w:after="0" w:line="119"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Corner Center(11)</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Tysons Corner, Virginia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6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left="59"/>
              <w:spacing w:after="0" w:line="127" w:lineRule="exact"/>
              <w:rPr>
                <w:sz w:val="20"/>
                <w:szCs w:val="20"/>
                <w:color w:val="auto"/>
              </w:rPr>
            </w:pPr>
            <w:r>
              <w:rPr>
                <w:rFonts w:ascii="Arial" w:cs="Arial" w:eastAsia="Arial" w:hAnsi="Arial"/>
                <w:sz w:val="12"/>
                <w:szCs w:val="12"/>
                <w:color w:val="auto"/>
                <w:w w:val="91"/>
              </w:rPr>
              <w:t>50%</w:t>
            </w:r>
          </w:p>
        </w:tc>
        <w:tc>
          <w:tcPr>
            <w:tcW w:w="120" w:type="dxa"/>
            <w:vAlign w:val="bottom"/>
            <w:shd w:val="clear" w:color="auto" w:fill="CCEEFF"/>
          </w:tcPr>
          <w:p>
            <w:pPr>
              <w:spacing w:after="0"/>
              <w:rPr>
                <w:sz w:val="11"/>
                <w:szCs w:val="11"/>
                <w:color w:val="auto"/>
              </w:rPr>
            </w:pPr>
          </w:p>
        </w:tc>
        <w:tc>
          <w:tcPr>
            <w:tcW w:w="1640" w:type="dxa"/>
            <w:vAlign w:val="bottom"/>
            <w:gridSpan w:val="3"/>
            <w:shd w:val="clear" w:color="auto" w:fill="CCEEFF"/>
          </w:tcPr>
          <w:p>
            <w:pPr>
              <w:ind w:left="20"/>
              <w:spacing w:after="0" w:line="127" w:lineRule="exact"/>
              <w:rPr>
                <w:sz w:val="20"/>
                <w:szCs w:val="20"/>
                <w:color w:val="auto"/>
              </w:rPr>
            </w:pPr>
            <w:r>
              <w:rPr>
                <w:rFonts w:ascii="Arial" w:cs="Arial" w:eastAsia="Arial" w:hAnsi="Arial"/>
                <w:sz w:val="12"/>
                <w:szCs w:val="12"/>
                <w:color w:val="auto"/>
              </w:rPr>
              <w:t>VITA Tysons Corner</w:t>
            </w:r>
          </w:p>
        </w:tc>
        <w:tc>
          <w:tcPr>
            <w:tcW w:w="7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2015</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2015</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399,000</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99"/>
              </w:rPr>
              <w:t>—</w:t>
            </w:r>
          </w:p>
        </w:tc>
        <w:tc>
          <w:tcPr>
            <w:tcW w:w="1380" w:type="dxa"/>
            <w:vAlign w:val="bottom"/>
            <w:shd w:val="clear" w:color="auto" w:fill="CCEEFF"/>
          </w:tcPr>
          <w:p>
            <w:pPr>
              <w:jc w:val="center"/>
              <w:ind w:right="39"/>
              <w:spacing w:after="0" w:line="127"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56"/>
        </w:trPr>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Center(11)</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Tysons Corner, Virginia</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jc w:val="center"/>
              <w:ind w:left="59"/>
              <w:spacing w:after="0"/>
              <w:rPr>
                <w:sz w:val="20"/>
                <w:szCs w:val="20"/>
                <w:color w:val="auto"/>
              </w:rPr>
            </w:pPr>
            <w:r>
              <w:rPr>
                <w:rFonts w:ascii="Arial" w:cs="Arial" w:eastAsia="Arial" w:hAnsi="Arial"/>
                <w:sz w:val="12"/>
                <w:szCs w:val="12"/>
                <w:color w:val="auto"/>
                <w:w w:val="91"/>
              </w:rPr>
              <w:t>50%</w:t>
            </w: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Tysons Tower(11)</w:t>
            </w:r>
          </w:p>
        </w:tc>
        <w:tc>
          <w:tcPr>
            <w:tcW w:w="780" w:type="dxa"/>
            <w:vAlign w:val="bottom"/>
          </w:tcPr>
          <w:p>
            <w:pPr>
              <w:jc w:val="right"/>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531,000</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39"/>
              <w:spacing w:after="0"/>
              <w:rPr>
                <w:sz w:val="20"/>
                <w:szCs w:val="20"/>
                <w:color w:val="auto"/>
              </w:rPr>
            </w:pPr>
            <w:r>
              <w:rPr>
                <w:rFonts w:ascii="Arial" w:cs="Arial" w:eastAsia="Arial" w:hAnsi="Arial"/>
                <w:sz w:val="12"/>
                <w:szCs w:val="12"/>
                <w:color w:val="auto"/>
                <w:w w:val="99"/>
              </w:rPr>
              <w:t>—</w:t>
            </w:r>
          </w:p>
        </w:tc>
        <w:tc>
          <w:tcPr>
            <w:tcW w:w="1380" w:type="dxa"/>
            <w:vAlign w:val="bottom"/>
          </w:tcPr>
          <w:p>
            <w:pPr>
              <w:jc w:val="center"/>
              <w:ind w:right="39"/>
              <w:spacing w:after="0"/>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Tysons Corner, Virginia</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0" w:type="dxa"/>
            <w:vAlign w:val="bottom"/>
            <w:shd w:val="clear" w:color="auto" w:fill="CCEEFF"/>
          </w:tcPr>
          <w:p>
            <w:pPr>
              <w:spacing w:after="0"/>
              <w:rPr>
                <w:sz w:val="15"/>
                <w:szCs w:val="15"/>
                <w:color w:val="auto"/>
              </w:rPr>
            </w:pPr>
          </w:p>
        </w:tc>
        <w:tc>
          <w:tcPr>
            <w:tcW w:w="2740" w:type="dxa"/>
            <w:vAlign w:val="bottom"/>
            <w:gridSpan w:val="5"/>
            <w:shd w:val="clear" w:color="auto" w:fill="CCEEFF"/>
          </w:tcPr>
          <w:p>
            <w:pPr>
              <w:ind w:left="120"/>
              <w:spacing w:after="0"/>
              <w:rPr>
                <w:sz w:val="20"/>
                <w:szCs w:val="20"/>
                <w:color w:val="auto"/>
              </w:rPr>
            </w:pPr>
            <w:r>
              <w:rPr>
                <w:rFonts w:ascii="Arial" w:cs="Arial" w:eastAsia="Arial" w:hAnsi="Arial"/>
                <w:sz w:val="12"/>
                <w:szCs w:val="12"/>
                <w:b w:val="1"/>
                <w:bCs w:val="1"/>
                <w:color w:val="auto"/>
              </w:rPr>
              <w:t>OTHER ASSETS UNDER DEVELOPMENT: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80" w:type="dxa"/>
            <w:vAlign w:val="bottom"/>
          </w:tcPr>
          <w:p>
            <w:pPr>
              <w:jc w:val="center"/>
              <w:ind w:left="39"/>
              <w:spacing w:after="0" w:line="119" w:lineRule="exact"/>
              <w:rPr>
                <w:sz w:val="20"/>
                <w:szCs w:val="20"/>
                <w:color w:val="auto"/>
              </w:rPr>
            </w:pPr>
            <w:r>
              <w:rPr>
                <w:rFonts w:ascii="Arial" w:cs="Arial" w:eastAsia="Arial" w:hAnsi="Arial"/>
                <w:sz w:val="12"/>
                <w:szCs w:val="12"/>
                <w:color w:val="auto"/>
                <w:w w:val="91"/>
              </w:rPr>
              <w:t>5%</w:t>
            </w:r>
          </w:p>
        </w:tc>
        <w:tc>
          <w:tcPr>
            <w:tcW w:w="12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2"/>
                <w:szCs w:val="12"/>
                <w:color w:val="auto"/>
              </w:rPr>
              <w:t>Paradise Valley Mall(11)</w:t>
            </w:r>
          </w:p>
        </w:tc>
        <w:tc>
          <w:tcPr>
            <w:tcW w:w="780" w:type="dxa"/>
            <w:vAlign w:val="bottom"/>
          </w:tcPr>
          <w:p>
            <w:pPr>
              <w:jc w:val="right"/>
              <w:spacing w:after="0" w:line="119" w:lineRule="exact"/>
              <w:rPr>
                <w:sz w:val="20"/>
                <w:szCs w:val="20"/>
                <w:color w:val="auto"/>
              </w:rPr>
            </w:pPr>
            <w:r>
              <w:rPr>
                <w:rFonts w:ascii="Arial" w:cs="Arial" w:eastAsia="Arial" w:hAnsi="Arial"/>
                <w:sz w:val="12"/>
                <w:szCs w:val="12"/>
                <w:color w:val="auto"/>
              </w:rPr>
              <w:t>1979/2002</w:t>
            </w:r>
          </w:p>
        </w:tc>
        <w:tc>
          <w:tcPr>
            <w:tcW w:w="100" w:type="dxa"/>
            <w:vAlign w:val="bottom"/>
          </w:tcPr>
          <w:p>
            <w:pPr>
              <w:spacing w:after="0"/>
              <w:rPr>
                <w:sz w:val="10"/>
                <w:szCs w:val="10"/>
                <w:color w:val="auto"/>
              </w:rPr>
            </w:pPr>
          </w:p>
        </w:tc>
        <w:tc>
          <w:tcPr>
            <w:tcW w:w="900" w:type="dxa"/>
            <w:vAlign w:val="bottom"/>
            <w:gridSpan w:val="2"/>
          </w:tcPr>
          <w:p>
            <w:pPr>
              <w:ind w:left="340"/>
              <w:spacing w:after="0" w:line="119" w:lineRule="exact"/>
              <w:rPr>
                <w:sz w:val="20"/>
                <w:szCs w:val="20"/>
                <w:color w:val="auto"/>
              </w:rPr>
            </w:pPr>
            <w:r>
              <w:rPr>
                <w:rFonts w:ascii="Arial" w:cs="Arial" w:eastAsia="Arial" w:hAnsi="Arial"/>
                <w:sz w:val="12"/>
                <w:szCs w:val="12"/>
                <w:color w:val="auto"/>
              </w:rPr>
              <w:t>Ongoing</w:t>
            </w:r>
          </w:p>
        </w:tc>
        <w:tc>
          <w:tcPr>
            <w:tcW w:w="900" w:type="dxa"/>
            <w:vAlign w:val="bottom"/>
          </w:tcPr>
          <w:p>
            <w:pPr>
              <w:jc w:val="right"/>
              <w:spacing w:after="0" w:line="119" w:lineRule="exact"/>
              <w:rPr>
                <w:sz w:val="20"/>
                <w:szCs w:val="20"/>
                <w:color w:val="auto"/>
              </w:rPr>
            </w:pPr>
            <w:r>
              <w:rPr>
                <w:rFonts w:ascii="Arial" w:cs="Arial" w:eastAsia="Arial" w:hAnsi="Arial"/>
                <w:sz w:val="12"/>
                <w:szCs w:val="12"/>
                <w:color w:val="auto"/>
              </w:rPr>
              <w:t>303,000</w:t>
            </w:r>
          </w:p>
        </w:tc>
        <w:tc>
          <w:tcPr>
            <w:tcW w:w="10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80" w:type="dxa"/>
            <w:vAlign w:val="bottom"/>
            <w:gridSpan w:val="2"/>
          </w:tcPr>
          <w:p>
            <w:pPr>
              <w:jc w:val="right"/>
              <w:ind w:right="280"/>
              <w:spacing w:after="0" w:line="119" w:lineRule="exact"/>
              <w:rPr>
                <w:sz w:val="20"/>
                <w:szCs w:val="20"/>
                <w:color w:val="auto"/>
              </w:rPr>
            </w:pPr>
            <w:r>
              <w:rPr>
                <w:rFonts w:ascii="Arial" w:cs="Arial" w:eastAsia="Arial" w:hAnsi="Arial"/>
                <w:sz w:val="12"/>
                <w:szCs w:val="12"/>
                <w:color w:val="auto"/>
              </w:rPr>
              <w:t>—</w:t>
            </w:r>
          </w:p>
        </w:tc>
        <w:tc>
          <w:tcPr>
            <w:tcW w:w="1020" w:type="dxa"/>
            <w:vAlign w:val="bottom"/>
          </w:tcPr>
          <w:p>
            <w:pPr>
              <w:jc w:val="center"/>
              <w:ind w:right="19"/>
              <w:spacing w:after="0" w:line="119" w:lineRule="exact"/>
              <w:rPr>
                <w:sz w:val="20"/>
                <w:szCs w:val="20"/>
                <w:color w:val="auto"/>
              </w:rPr>
            </w:pPr>
            <w:r>
              <w:rPr>
                <w:rFonts w:ascii="Arial" w:cs="Arial" w:eastAsia="Arial" w:hAnsi="Arial"/>
                <w:sz w:val="12"/>
                <w:szCs w:val="12"/>
                <w:color w:val="auto"/>
                <w:w w:val="90"/>
              </w:rPr>
              <w:t>JCPenney</w:t>
            </w:r>
          </w:p>
        </w:tc>
        <w:tc>
          <w:tcPr>
            <w:tcW w:w="1380" w:type="dxa"/>
            <w:vAlign w:val="bottom"/>
          </w:tcPr>
          <w:p>
            <w:pPr>
              <w:jc w:val="center"/>
              <w:ind w:right="59"/>
              <w:spacing w:after="0" w:line="119" w:lineRule="exact"/>
              <w:rPr>
                <w:sz w:val="20"/>
                <w:szCs w:val="20"/>
                <w:color w:val="auto"/>
              </w:rPr>
            </w:pPr>
            <w:r>
              <w:rPr>
                <w:rFonts w:ascii="Arial" w:cs="Arial" w:eastAsia="Arial" w:hAnsi="Arial"/>
                <w:sz w:val="12"/>
                <w:szCs w:val="12"/>
                <w:color w:val="auto"/>
                <w:w w:val="90"/>
              </w:rPr>
              <w:t>Costco</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color w:val="auto"/>
              </w:rPr>
              <w:t>Phoenix, Arizona</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4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Total Other Assets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2,763,000</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184,000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Arial" w:cs="Arial" w:eastAsia="Arial" w:hAnsi="Arial"/>
                <w:sz w:val="12"/>
                <w:szCs w:val="12"/>
                <w:b w:val="1"/>
                <w:bCs w:val="1"/>
                <w:color w:val="auto"/>
              </w:rPr>
              <w:t>Grand Total</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47,463,000</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23,619,000</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00"/>
          </w:cols>
          <w:pgMar w:left="760" w:top="843" w:right="539" w:bottom="1440" w:gutter="0" w:footer="0" w:header="0"/>
        </w:sectPr>
      </w:pPr>
    </w:p>
    <w:bookmarkStart w:id="32" w:name="page33"/>
    <w:bookmarkEnd w:id="32"/>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142" w:lineRule="exact"/>
        <w:rPr>
          <w:sz w:val="20"/>
          <w:szCs w:val="20"/>
          <w:color w:val="auto"/>
        </w:rPr>
      </w:pPr>
    </w:p>
    <w:p>
      <w:pPr>
        <w:ind w:left="800" w:right="40" w:hanging="399"/>
        <w:spacing w:after="0" w:line="256" w:lineRule="auto"/>
        <w:tabs>
          <w:tab w:leader="none" w:pos="7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Company's ownership interest in this table reflects its direct or indirect legal ownership interest. Legal ownership may, at times, not equal the Company's economic interest in the listed properties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 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 See “Item 1A.—Risks Related to Our Organizational Structure—Outside partners in Joint Venture Centers result in additional risks to our stockholders.”</w:t>
      </w:r>
    </w:p>
    <w:p>
      <w:pPr>
        <w:spacing w:after="0" w:line="128" w:lineRule="exact"/>
        <w:rPr>
          <w:rFonts w:ascii="Arial" w:cs="Arial" w:eastAsia="Arial" w:hAnsi="Arial"/>
          <w:sz w:val="14"/>
          <w:szCs w:val="14"/>
          <w:color w:val="auto"/>
        </w:rPr>
      </w:pPr>
    </w:p>
    <w:p>
      <w:pPr>
        <w:ind w:left="800" w:right="60" w:hanging="399"/>
        <w:spacing w:after="0" w:line="280" w:lineRule="auto"/>
        <w:tabs>
          <w:tab w:leader="none" w:pos="792"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Company owned or had an ownership interest in 44 Regional Town Centers (including office, hotel and residential space adjacent to these shopping centers), five community/power shopping centers, one office property and one redevelopment property. With the exception of the eight Centers indicated with footnote (7) in the table above, the underlying land controlled by the Company is owned in fee entirely by the Company or, in the case of Joint Venture Centers, by the joint venture property partnership or limited liability company. With respect to these eight Centers, portions of the underlying land controlled by the Company are owned by third parties and leased to the Company, or the joint venture property partnership or limited liability company, pursuant to long-term ground leases. Under the terms of a typical ground lease, the Company, or the joint venture property partnership or limited liability company, has an option or right of first refusal to purchase the land. The termination dates of the ground leases range from 2038 to 2098.</w:t>
      </w:r>
    </w:p>
    <w:p>
      <w:pPr>
        <w:spacing w:after="0" w:line="99" w:lineRule="exact"/>
        <w:rPr>
          <w:rFonts w:ascii="Arial" w:cs="Arial" w:eastAsia="Arial" w:hAnsi="Arial"/>
          <w:sz w:val="13"/>
          <w:szCs w:val="13"/>
          <w:color w:val="auto"/>
        </w:rPr>
      </w:pPr>
    </w:p>
    <w:p>
      <w:pPr>
        <w:ind w:left="800" w:right="40" w:hanging="399"/>
        <w:spacing w:after="0" w:line="264" w:lineRule="auto"/>
        <w:tabs>
          <w:tab w:leader="none" w:pos="7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Total GLA includes GLA attributable to Anchors (whether owned or non-owned) and Mall and Freestanding Stores as of December 31, 2022. “Non-owned Anchors” is space not owned by the Company (or, in the case of Joint Venture Centers, by the joint venture property partnership or limited liability company) which is occupied by Anchor tenants. “Company-owned Anchors” is space owned (or leased) by the Company (or, in the case of Joint Venture Centers, by the joint venture property partnership or limited liability company) and leased (or subleased) to Anchor.</w:t>
      </w:r>
    </w:p>
    <w:p>
      <w:pPr>
        <w:spacing w:after="0" w:line="108" w:lineRule="exact"/>
        <w:rPr>
          <w:rFonts w:ascii="Arial" w:cs="Arial" w:eastAsia="Arial" w:hAnsi="Arial"/>
          <w:sz w:val="14"/>
          <w:szCs w:val="14"/>
          <w:color w:val="auto"/>
        </w:rPr>
      </w:pPr>
    </w:p>
    <w:p>
      <w:pPr>
        <w:ind w:left="800" w:hanging="399"/>
        <w:spacing w:after="0" w:line="268" w:lineRule="auto"/>
        <w:tabs>
          <w:tab w:leader="none" w:pos="7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Centers have vacant Anchor locations. The Company is actively seeking replacement tenants or has entered into replacement leases for many of these vacant sites and/or is currently executing or considering redevelopment opportunities for these locations. The Company continues to collect rent under the terms of an agreement regarding five of these vacant Anchors.</w:t>
      </w:r>
    </w:p>
    <w:p>
      <w:pPr>
        <w:spacing w:after="0" w:line="106" w:lineRule="exact"/>
        <w:rPr>
          <w:rFonts w:ascii="Arial" w:cs="Arial" w:eastAsia="Arial" w:hAnsi="Arial"/>
          <w:sz w:val="14"/>
          <w:szCs w:val="14"/>
          <w:color w:val="auto"/>
        </w:rPr>
      </w:pPr>
    </w:p>
    <w:p>
      <w:pPr>
        <w:ind w:left="800" w:right="160" w:hanging="399"/>
        <w:spacing w:after="0" w:line="282" w:lineRule="auto"/>
        <w:tabs>
          <w:tab w:leader="none" w:pos="792" w:val="left"/>
        </w:tabs>
        <w:numPr>
          <w:ilvl w:val="0"/>
          <w:numId w:val="21"/>
        </w:numPr>
        <w:rPr>
          <w:rFonts w:ascii="Arial" w:cs="Arial" w:eastAsia="Arial" w:hAnsi="Arial"/>
          <w:sz w:val="14"/>
          <w:szCs w:val="14"/>
          <w:color w:val="auto"/>
        </w:rPr>
      </w:pPr>
      <w:r>
        <w:rPr>
          <w:rFonts w:ascii="Arial" w:cs="Arial" w:eastAsia="Arial" w:hAnsi="Arial"/>
          <w:sz w:val="14"/>
          <w:szCs w:val="14"/>
          <w:color w:val="auto"/>
        </w:rPr>
        <w:t>Scheels All Sports is building a two-level 222,000 square foot store at Chandler Fashion Center utilizing the vacant 144,000 square foot location formerly occupied by Nordstrom. The store is anticipated to open in fall 2023.</w:t>
      </w:r>
    </w:p>
    <w:p>
      <w:pPr>
        <w:spacing w:after="0" w:line="95" w:lineRule="exact"/>
        <w:rPr>
          <w:rFonts w:ascii="Arial" w:cs="Arial" w:eastAsia="Arial" w:hAnsi="Arial"/>
          <w:sz w:val="14"/>
          <w:szCs w:val="14"/>
          <w:color w:val="auto"/>
        </w:rPr>
      </w:pPr>
    </w:p>
    <w:p>
      <w:pPr>
        <w:ind w:left="780" w:hanging="379"/>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Target has announced plans to open a three-level, 90,000 square foot store at Kings Plaza and a two-level, 126,000 square foot store at Danbury Fair Mall.</w:t>
      </w:r>
    </w:p>
    <w:p>
      <w:pPr>
        <w:spacing w:after="0" w:line="155" w:lineRule="exact"/>
        <w:rPr>
          <w:rFonts w:ascii="Arial" w:cs="Arial" w:eastAsia="Arial" w:hAnsi="Arial"/>
          <w:sz w:val="14"/>
          <w:szCs w:val="14"/>
          <w:color w:val="auto"/>
        </w:rPr>
      </w:pPr>
    </w:p>
    <w:p>
      <w:pPr>
        <w:ind w:left="780" w:hanging="379"/>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Portions of the land on which the Center is situated are subject to one or more long-term ground leases.</w:t>
      </w:r>
    </w:p>
    <w:p>
      <w:pPr>
        <w:spacing w:after="0" w:line="142" w:lineRule="exact"/>
        <w:rPr>
          <w:rFonts w:ascii="Arial" w:cs="Arial" w:eastAsia="Arial" w:hAnsi="Arial"/>
          <w:sz w:val="14"/>
          <w:szCs w:val="14"/>
          <w:color w:val="auto"/>
        </w:rPr>
      </w:pPr>
    </w:p>
    <w:p>
      <w:pPr>
        <w:ind w:left="780" w:hanging="379"/>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Primark has announced plans to open two new two-level stores at Green Acres Mall and Tysons Corner Center.</w:t>
      </w:r>
    </w:p>
    <w:p>
      <w:pPr>
        <w:spacing w:after="0" w:line="155" w:lineRule="exact"/>
        <w:rPr>
          <w:rFonts w:ascii="Arial" w:cs="Arial" w:eastAsia="Arial" w:hAnsi="Arial"/>
          <w:sz w:val="14"/>
          <w:szCs w:val="14"/>
          <w:color w:val="auto"/>
        </w:rPr>
      </w:pPr>
    </w:p>
    <w:p>
      <w:pPr>
        <w:ind w:left="780" w:hanging="379"/>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Center has a vacant former anchor store to be demolished for redevelopment.</w:t>
      </w:r>
    </w:p>
    <w:p>
      <w:pPr>
        <w:spacing w:after="0" w:line="142" w:lineRule="exact"/>
        <w:rPr>
          <w:rFonts w:ascii="Arial" w:cs="Arial" w:eastAsia="Arial" w:hAnsi="Arial"/>
          <w:sz w:val="14"/>
          <w:szCs w:val="14"/>
          <w:color w:val="auto"/>
        </w:rPr>
      </w:pPr>
    </w:p>
    <w:p>
      <w:pPr>
        <w:ind w:left="800" w:hanging="399"/>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Included in Consolidated Centers.</w:t>
      </w:r>
    </w:p>
    <w:p>
      <w:pPr>
        <w:spacing w:after="0" w:line="155" w:lineRule="exact"/>
        <w:rPr>
          <w:rFonts w:ascii="Arial" w:cs="Arial" w:eastAsia="Arial" w:hAnsi="Arial"/>
          <w:sz w:val="14"/>
          <w:szCs w:val="14"/>
          <w:color w:val="auto"/>
        </w:rPr>
      </w:pPr>
    </w:p>
    <w:p>
      <w:pPr>
        <w:ind w:left="780" w:hanging="379"/>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Included in Unconsolidated Joint Venture Centers.</w:t>
      </w:r>
    </w:p>
    <w:p>
      <w:pPr>
        <w:spacing w:after="0" w:line="142" w:lineRule="exact"/>
        <w:rPr>
          <w:rFonts w:ascii="Arial" w:cs="Arial" w:eastAsia="Arial" w:hAnsi="Arial"/>
          <w:sz w:val="14"/>
          <w:szCs w:val="14"/>
          <w:color w:val="auto"/>
        </w:rPr>
      </w:pPr>
    </w:p>
    <w:p>
      <w:pPr>
        <w:ind w:left="800" w:right="40" w:hanging="399"/>
        <w:spacing w:after="0" w:line="281" w:lineRule="auto"/>
        <w:tabs>
          <w:tab w:leader="none" w:pos="797"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Company owns an office building and three stores located at shopping centers not owned by the Company. Of the three stores, one has been leased to Kohl's and two have been leased for non-Anchor uses. With respect to the office building and one of the three stores, the underlying land is owned in fee entirely by the Company. With respect to the remaining two stores, the underlying land is owned by third parties and leased to the Company pursuant to long-term building or ground leases. Under the terms of a typical building or ground lease, the Company pays rent for the use of the building or land and is generally responsible for all costs and expenses associated with the building and improvements. In some cases, the Company has an option or right of first refusal to purchase the land. The two ground leases terminate in years 2027 and 2028.</w:t>
      </w:r>
    </w:p>
    <w:p>
      <w:pPr>
        <w:spacing w:after="0" w:line="112" w:lineRule="exact"/>
        <w:rPr>
          <w:rFonts w:ascii="Arial" w:cs="Arial" w:eastAsia="Arial" w:hAnsi="Arial"/>
          <w:sz w:val="13"/>
          <w:szCs w:val="13"/>
          <w:color w:val="auto"/>
        </w:rPr>
      </w:pPr>
    </w:p>
    <w:p>
      <w:pPr>
        <w:ind w:left="800" w:right="100" w:hanging="399"/>
        <w:spacing w:after="0" w:line="258" w:lineRule="auto"/>
        <w:tabs>
          <w:tab w:leader="none" w:pos="797"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2022, the Company’s joint venture completed its redevelopment of the majority of One Westside to convert it from a three-level former regional town center into a three-level, 584,000 square foot creative office campus that is leased entirely to Google. Google is expected to take occupancy in 2023, and to commence paying rent in the second quarter of 2023. The remaining approximately 96,000 square feet of entertainment and retail space of the property is currently vacant and unleased.</w:t>
      </w:r>
    </w:p>
    <w:p>
      <w:pPr>
        <w:spacing w:after="0" w:line="126" w:lineRule="exact"/>
        <w:rPr>
          <w:rFonts w:ascii="Arial" w:cs="Arial" w:eastAsia="Arial" w:hAnsi="Arial"/>
          <w:sz w:val="14"/>
          <w:szCs w:val="14"/>
          <w:color w:val="auto"/>
        </w:rPr>
      </w:pPr>
    </w:p>
    <w:p>
      <w:pPr>
        <w:ind w:left="800" w:right="220" w:hanging="399"/>
        <w:spacing w:after="0" w:line="258" w:lineRule="auto"/>
        <w:tabs>
          <w:tab w:leader="none" w:pos="797"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Construction started in summer 2021 on the first phase of a multi-phase, multi-year project to convert the former regional town center Paradise Valley Mall into a mixed-used development with high-end grocery, restaurants, multi-family residences, offices, retail shops and other elements on the 92-acre site. The existing Costco and JCPenney stores remain open, while all of the other stores at the property have closed.</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Mortgage Debt</w:t>
      </w:r>
    </w:p>
    <w:p>
      <w:pPr>
        <w:spacing w:after="0" w:line="142" w:lineRule="exact"/>
        <w:rPr>
          <w:sz w:val="20"/>
          <w:szCs w:val="20"/>
          <w:color w:val="auto"/>
        </w:rPr>
      </w:pPr>
    </w:p>
    <w:p>
      <w:pPr>
        <w:ind w:right="60" w:firstLine="435"/>
        <w:spacing w:after="0" w:line="261" w:lineRule="auto"/>
        <w:rPr>
          <w:sz w:val="20"/>
          <w:szCs w:val="20"/>
          <w:color w:val="auto"/>
        </w:rPr>
      </w:pPr>
      <w:r>
        <w:rPr>
          <w:rFonts w:ascii="Arial" w:cs="Arial" w:eastAsia="Arial" w:hAnsi="Arial"/>
          <w:sz w:val="18"/>
          <w:szCs w:val="18"/>
          <w:color w:val="auto"/>
        </w:rPr>
        <w:t>The following table sets forth certain information regarding the mortgages encumbering the Centers, including those Centers in which the Company has less than a 100% interest. The information set forth below is as of December 31, 2022 (dollars in thousands):</w:t>
      </w:r>
    </w:p>
    <w:tbl>
      <w:tblPr>
        <w:tblLayout w:type="fixed"/>
        <w:tblInd w:w="0" w:type="dxa"/>
        <w:tblCellMar>
          <w:top w:w="0" w:type="dxa"/>
          <w:left w:w="0" w:type="dxa"/>
          <w:bottom w:w="0" w:type="dxa"/>
          <w:right w:w="0" w:type="dxa"/>
        </w:tblCellMar>
      </w:tblPr>
      <w:tr>
        <w:trPr>
          <w:trHeight w:val="146"/>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Effective</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Annual</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11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1"/>
              </w:rPr>
              <w:t>Earliest Date</w:t>
            </w:r>
          </w:p>
        </w:tc>
        <w:tc>
          <w:tcPr>
            <w:tcW w:w="0" w:type="dxa"/>
            <w:vAlign w:val="bottom"/>
          </w:tcPr>
          <w:p>
            <w:pPr>
              <w:spacing w:after="0"/>
              <w:rPr>
                <w:sz w:val="1"/>
                <w:szCs w:val="1"/>
                <w:color w:val="auto"/>
              </w:rPr>
            </w:pPr>
          </w:p>
        </w:tc>
      </w:tr>
      <w:tr>
        <w:trPr>
          <w:trHeight w:val="145"/>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Fixed or</w:t>
            </w:r>
          </w:p>
        </w:tc>
        <w:tc>
          <w:tcPr>
            <w:tcW w:w="180" w:type="dxa"/>
            <w:vAlign w:val="bottom"/>
          </w:tcPr>
          <w:p>
            <w:pPr>
              <w:spacing w:after="0"/>
              <w:rPr>
                <w:sz w:val="12"/>
                <w:szCs w:val="12"/>
                <w:color w:val="auto"/>
              </w:rPr>
            </w:pPr>
          </w:p>
        </w:tc>
        <w:tc>
          <w:tcPr>
            <w:tcW w:w="1000" w:type="dxa"/>
            <w:vAlign w:val="bottom"/>
            <w:vMerge w:val="restart"/>
          </w:tcPr>
          <w:p>
            <w:pPr>
              <w:jc w:val="right"/>
              <w:ind w:right="25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continue"/>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Notes Can Be</w:t>
            </w:r>
          </w:p>
        </w:tc>
        <w:tc>
          <w:tcPr>
            <w:tcW w:w="0" w:type="dxa"/>
            <w:vAlign w:val="bottom"/>
          </w:tcPr>
          <w:p>
            <w:pPr>
              <w:spacing w:after="0"/>
              <w:rPr>
                <w:sz w:val="1"/>
                <w:szCs w:val="1"/>
                <w:color w:val="auto"/>
              </w:rPr>
            </w:pPr>
          </w:p>
        </w:tc>
      </w:tr>
      <w:tr>
        <w:trPr>
          <w:trHeight w:val="141"/>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260"/>
              <w:spacing w:after="0" w:line="141" w:lineRule="exact"/>
              <w:rPr>
                <w:sz w:val="20"/>
                <w:szCs w:val="20"/>
                <w:color w:val="auto"/>
              </w:rPr>
            </w:pPr>
            <w:r>
              <w:rPr>
                <w:rFonts w:ascii="Arial" w:cs="Arial" w:eastAsia="Arial" w:hAnsi="Arial"/>
                <w:sz w:val="14"/>
                <w:szCs w:val="14"/>
                <w:b w:val="1"/>
                <w:bCs w:val="1"/>
                <w:color w:val="auto"/>
                <w:w w:val="90"/>
              </w:rPr>
              <w:t>Interest</w:t>
            </w:r>
          </w:p>
        </w:tc>
        <w:tc>
          <w:tcPr>
            <w:tcW w:w="100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96"/>
              </w:rPr>
              <w:t>Debt</w:t>
            </w:r>
          </w:p>
        </w:tc>
        <w:tc>
          <w:tcPr>
            <w:tcW w:w="1440" w:type="dxa"/>
            <w:vAlign w:val="bottom"/>
            <w:gridSpan w:val="3"/>
            <w:vMerge w:val="continue"/>
          </w:tcPr>
          <w:p>
            <w:pPr>
              <w:spacing w:after="0"/>
              <w:rPr>
                <w:sz w:val="12"/>
                <w:szCs w:val="12"/>
                <w:color w:val="auto"/>
              </w:rPr>
            </w:pPr>
          </w:p>
        </w:tc>
        <w:tc>
          <w:tcPr>
            <w:tcW w:w="9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8"/>
              </w:rPr>
              <w:t>Due on</w:t>
            </w:r>
          </w:p>
        </w:tc>
        <w:tc>
          <w:tcPr>
            <w:tcW w:w="11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Defeased or</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Floating</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Amount(1)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9"/>
              </w:rPr>
              <w:t>Service(3)</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Date(4)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9"/>
              </w:rPr>
              <w:t>Maturity</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 Prepaid</w:t>
            </w:r>
          </w:p>
        </w:tc>
        <w:tc>
          <w:tcPr>
            <w:tcW w:w="0" w:type="dxa"/>
            <w:vAlign w:val="bottom"/>
          </w:tcPr>
          <w:p>
            <w:pPr>
              <w:spacing w:after="0"/>
              <w:rPr>
                <w:sz w:val="1"/>
                <w:szCs w:val="1"/>
                <w:color w:val="auto"/>
              </w:rPr>
            </w:pPr>
          </w:p>
        </w:tc>
      </w:tr>
      <w:tr>
        <w:trPr>
          <w:trHeight w:val="202"/>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Centers:</w:t>
            </w: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Chandler Fashion Center(5)</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255,736</w:t>
            </w:r>
          </w:p>
        </w:tc>
        <w:tc>
          <w:tcPr>
            <w:tcW w:w="1380" w:type="dxa"/>
            <w:vAlign w:val="bottom"/>
            <w:gridSpan w:val="4"/>
          </w:tcPr>
          <w:p>
            <w:pPr>
              <w:ind w:left="700"/>
              <w:spacing w:after="0"/>
              <w:rPr>
                <w:sz w:val="20"/>
                <w:szCs w:val="20"/>
                <w:color w:val="auto"/>
              </w:rPr>
            </w:pPr>
            <w:r>
              <w:rPr>
                <w:rFonts w:ascii="Arial" w:cs="Arial" w:eastAsia="Arial" w:hAnsi="Arial"/>
                <w:sz w:val="14"/>
                <w:szCs w:val="14"/>
                <w:color w:val="auto"/>
              </w:rPr>
              <w:t>4.18 %  $</w:t>
            </w:r>
          </w:p>
        </w:tc>
        <w:tc>
          <w:tcPr>
            <w:tcW w:w="900" w:type="dxa"/>
            <w:vAlign w:val="bottom"/>
          </w:tcPr>
          <w:p>
            <w:pPr>
              <w:jc w:val="right"/>
              <w:spacing w:after="0"/>
              <w:rPr>
                <w:sz w:val="20"/>
                <w:szCs w:val="20"/>
                <w:color w:val="auto"/>
              </w:rPr>
            </w:pPr>
            <w:r>
              <w:rPr>
                <w:rFonts w:ascii="Arial" w:cs="Arial" w:eastAsia="Arial" w:hAnsi="Arial"/>
                <w:sz w:val="14"/>
                <w:szCs w:val="14"/>
                <w:color w:val="auto"/>
              </w:rPr>
              <w:t>10,496</w:t>
            </w:r>
          </w:p>
        </w:tc>
        <w:tc>
          <w:tcPr>
            <w:tcW w:w="1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color w:val="auto"/>
              </w:rPr>
              <w:t>7/5/24  $</w:t>
            </w:r>
          </w:p>
        </w:tc>
        <w:tc>
          <w:tcPr>
            <w:tcW w:w="860" w:type="dxa"/>
            <w:vAlign w:val="bottom"/>
          </w:tcPr>
          <w:p>
            <w:pPr>
              <w:jc w:val="right"/>
              <w:spacing w:after="0"/>
              <w:rPr>
                <w:sz w:val="20"/>
                <w:szCs w:val="20"/>
                <w:color w:val="auto"/>
              </w:rPr>
            </w:pPr>
            <w:r>
              <w:rPr>
                <w:rFonts w:ascii="Arial" w:cs="Arial" w:eastAsia="Arial" w:hAnsi="Arial"/>
                <w:sz w:val="14"/>
                <w:szCs w:val="14"/>
                <w:color w:val="auto"/>
              </w:rPr>
              <w:t>256,000</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Danbury Fair Mall</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148,207</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6.05 %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18,451</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143,471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Fashion District Philadelphia(6)</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Floating</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104,427</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7.62 %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7,957</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94,427</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Fashion Outlets of Chicago</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299,354</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4.61 %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Fashion Outlets of Niagara Falls USA</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90,514</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6.45 %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88,569</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Freehold Raceway Mall(5)</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398,878</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3.94 %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386,013</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Fresno Fashion Fair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324,255</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3.67 %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11,658</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325,000</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Green Acres Commons(7)</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Floating</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125,256</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7.14 %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125,320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Green Acres Mall(8)</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237,372</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3.94 %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17,366</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236,628</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Kings Plaza Shopping Center</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536,442</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3.71 %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2/1/2023</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Oaks, The(9)</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165,934</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5.49 %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13,661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149,947</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Pacific View(10)</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70,855</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5.45 %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62,877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12/1/2024</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Queens Center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600,000</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3.49 %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20,922</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Place(11)</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Floating</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296,521</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6.19 %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SanTan Village Regional Center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219,414</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4.34 %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9,460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220,000</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7/1/2023</w:t>
            </w:r>
          </w:p>
        </w:tc>
        <w:tc>
          <w:tcPr>
            <w:tcW w:w="0" w:type="dxa"/>
            <w:vAlign w:val="bottom"/>
          </w:tcPr>
          <w:p>
            <w:pPr>
              <w:spacing w:after="0"/>
              <w:rPr>
                <w:sz w:val="1"/>
                <w:szCs w:val="1"/>
                <w:color w:val="auto"/>
              </w:rPr>
            </w:pPr>
          </w:p>
        </w:tc>
      </w:tr>
      <w:tr>
        <w:trPr>
          <w:trHeight w:val="20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Towne Mall(12)</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18,886</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4.48 %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18,886</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188"/>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Victor Valley, Mall of</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114,908</w:t>
            </w: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w w:val="91"/>
              </w:rPr>
              <w:t>4.00 %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4,560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115,000</w:t>
            </w:r>
          </w:p>
        </w:tc>
        <w:tc>
          <w:tcPr>
            <w:tcW w:w="1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20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Vintage Faire Mall</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Fixed</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233,637</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w w:val="91"/>
              </w:rPr>
              <w:t>3.55 %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211,507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Any Time</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4,240,596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Effective</w:t>
            </w: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Annual</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Earliest Date</w:t>
            </w:r>
          </w:p>
        </w:tc>
        <w:tc>
          <w:tcPr>
            <w:tcW w:w="0" w:type="dxa"/>
            <w:vAlign w:val="bottom"/>
          </w:tcPr>
          <w:p>
            <w:pPr>
              <w:spacing w:after="0"/>
              <w:rPr>
                <w:sz w:val="1"/>
                <w:szCs w:val="1"/>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Fixed or</w:t>
            </w:r>
          </w:p>
        </w:tc>
        <w:tc>
          <w:tcPr>
            <w:tcW w:w="160" w:type="dxa"/>
            <w:vAlign w:val="bottom"/>
          </w:tcPr>
          <w:p>
            <w:pPr>
              <w:spacing w:after="0"/>
              <w:rPr>
                <w:sz w:val="12"/>
                <w:szCs w:val="12"/>
                <w:color w:val="auto"/>
              </w:rPr>
            </w:pPr>
          </w:p>
        </w:tc>
        <w:tc>
          <w:tcPr>
            <w:tcW w:w="9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9"/>
              </w:rPr>
              <w:t>Maturity</w:t>
            </w:r>
          </w:p>
        </w:tc>
        <w:tc>
          <w:tcPr>
            <w:tcW w:w="940" w:type="dxa"/>
            <w:vAlign w:val="bottom"/>
            <w:gridSpan w:val="2"/>
            <w:vMerge w:val="continue"/>
          </w:tcPr>
          <w:p>
            <w:pPr>
              <w:spacing w:after="0"/>
              <w:rPr>
                <w:sz w:val="12"/>
                <w:szCs w:val="12"/>
                <w:color w:val="auto"/>
              </w:rPr>
            </w:pP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Notes Can Be</w:t>
            </w:r>
          </w:p>
        </w:tc>
        <w:tc>
          <w:tcPr>
            <w:tcW w:w="0" w:type="dxa"/>
            <w:vAlign w:val="bottom"/>
          </w:tcPr>
          <w:p>
            <w:pPr>
              <w:spacing w:after="0"/>
              <w:rPr>
                <w:sz w:val="1"/>
                <w:szCs w:val="1"/>
                <w:color w:val="auto"/>
              </w:rPr>
            </w:pPr>
          </w:p>
        </w:tc>
      </w:tr>
      <w:tr>
        <w:trPr>
          <w:trHeight w:val="145"/>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4"/>
              </w:rPr>
              <w:t>Interest</w:t>
            </w: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Debt</w:t>
            </w:r>
          </w:p>
        </w:tc>
        <w:tc>
          <w:tcPr>
            <w:tcW w:w="1340" w:type="dxa"/>
            <w:vAlign w:val="bottom"/>
            <w:gridSpan w:val="3"/>
            <w:vMerge w:val="continue"/>
          </w:tcPr>
          <w:p>
            <w:pPr>
              <w:spacing w:after="0"/>
              <w:rPr>
                <w:sz w:val="12"/>
                <w:szCs w:val="12"/>
                <w:color w:val="auto"/>
              </w:rPr>
            </w:pPr>
          </w:p>
        </w:tc>
        <w:tc>
          <w:tcPr>
            <w:tcW w:w="9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Due on</w:t>
            </w: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Defeased or</w:t>
            </w: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Floating</w:t>
            </w:r>
          </w:p>
        </w:tc>
        <w:tc>
          <w:tcPr>
            <w:tcW w:w="160" w:type="dxa"/>
            <w:vAlign w:val="bottom"/>
          </w:tcPr>
          <w:p>
            <w:pPr>
              <w:spacing w:after="0"/>
              <w:rPr>
                <w:sz w:val="16"/>
                <w:szCs w:val="16"/>
                <w:color w:val="auto"/>
              </w:rPr>
            </w:pPr>
          </w:p>
        </w:tc>
        <w:tc>
          <w:tcPr>
            <w:tcW w:w="940" w:type="dxa"/>
            <w:vAlign w:val="bottom"/>
          </w:tcPr>
          <w:p>
            <w:pPr>
              <w:jc w:val="right"/>
              <w:ind w:right="150"/>
              <w:spacing w:after="0"/>
              <w:rPr>
                <w:sz w:val="20"/>
                <w:szCs w:val="20"/>
                <w:color w:val="auto"/>
              </w:rPr>
            </w:pPr>
            <w:r>
              <w:rPr>
                <w:rFonts w:ascii="Arial" w:cs="Arial" w:eastAsia="Arial" w:hAnsi="Arial"/>
                <w:sz w:val="14"/>
                <w:szCs w:val="14"/>
                <w:b w:val="1"/>
                <w:bCs w:val="1"/>
                <w:color w:val="auto"/>
                <w:w w:val="99"/>
              </w:rPr>
              <w:t>Amount(1)</w:t>
            </w:r>
          </w:p>
        </w:tc>
        <w:tc>
          <w:tcPr>
            <w:tcW w:w="10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Rate(2)</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Service(3)</w:t>
            </w: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Date(4)</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Maturity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Be Prepaid</w:t>
            </w:r>
          </w:p>
        </w:tc>
        <w:tc>
          <w:tcPr>
            <w:tcW w:w="0" w:type="dxa"/>
            <w:vAlign w:val="bottom"/>
          </w:tcPr>
          <w:p>
            <w:pPr>
              <w:spacing w:after="0"/>
              <w:rPr>
                <w:sz w:val="1"/>
                <w:szCs w:val="1"/>
                <w:color w:val="auto"/>
              </w:rPr>
            </w:pPr>
          </w:p>
        </w:tc>
      </w:tr>
      <w:tr>
        <w:trPr>
          <w:trHeight w:val="134"/>
        </w:trPr>
        <w:tc>
          <w:tcPr>
            <w:tcW w:w="3000" w:type="dxa"/>
            <w:vAlign w:val="bottom"/>
            <w:tcBorders>
              <w:top w:val="single" w:sz="8" w:color="auto"/>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w w:val="98"/>
              </w:rPr>
              <w:t>Unconsolidated Joint Venture Centers (at the</w:t>
            </w:r>
          </w:p>
        </w:tc>
        <w:tc>
          <w:tcPr>
            <w:tcW w:w="1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Company's Pro Rata Share):</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Arrowhead Towne Center(60%)</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236,520</w:t>
            </w:r>
          </w:p>
        </w:tc>
        <w:tc>
          <w:tcPr>
            <w:tcW w:w="1260" w:type="dxa"/>
            <w:vAlign w:val="bottom"/>
            <w:gridSpan w:val="4"/>
          </w:tcPr>
          <w:p>
            <w:pPr>
              <w:ind w:left="600"/>
              <w:spacing w:after="0"/>
              <w:rPr>
                <w:sz w:val="20"/>
                <w:szCs w:val="20"/>
                <w:color w:val="auto"/>
              </w:rPr>
            </w:pPr>
            <w:r>
              <w:rPr>
                <w:rFonts w:ascii="Arial" w:cs="Arial" w:eastAsia="Arial" w:hAnsi="Arial"/>
                <w:sz w:val="14"/>
                <w:szCs w:val="14"/>
                <w:color w:val="auto"/>
              </w:rPr>
              <w:t>4.05 %  $</w:t>
            </w:r>
          </w:p>
        </w:tc>
        <w:tc>
          <w:tcPr>
            <w:tcW w:w="840" w:type="dxa"/>
            <w:vAlign w:val="bottom"/>
          </w:tcPr>
          <w:p>
            <w:pPr>
              <w:jc w:val="right"/>
              <w:spacing w:after="0"/>
              <w:rPr>
                <w:sz w:val="20"/>
                <w:szCs w:val="20"/>
                <w:color w:val="auto"/>
              </w:rPr>
            </w:pPr>
            <w:r>
              <w:rPr>
                <w:rFonts w:ascii="Arial" w:cs="Arial" w:eastAsia="Arial" w:hAnsi="Arial"/>
                <w:sz w:val="14"/>
                <w:szCs w:val="14"/>
                <w:color w:val="auto"/>
              </w:rPr>
              <w:t>13,833</w:t>
            </w:r>
          </w:p>
        </w:tc>
        <w:tc>
          <w:tcPr>
            <w:tcW w:w="120" w:type="dxa"/>
            <w:vAlign w:val="bottom"/>
          </w:tcPr>
          <w:p>
            <w:pPr>
              <w:spacing w:after="0"/>
              <w:rPr>
                <w:sz w:val="16"/>
                <w:szCs w:val="16"/>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color w:val="auto"/>
              </w:rPr>
              <w:t>2/1/28  $</w:t>
            </w:r>
          </w:p>
        </w:tc>
        <w:tc>
          <w:tcPr>
            <w:tcW w:w="820" w:type="dxa"/>
            <w:vAlign w:val="bottom"/>
          </w:tcPr>
          <w:p>
            <w:pPr>
              <w:jc w:val="right"/>
              <w:spacing w:after="0"/>
              <w:rPr>
                <w:sz w:val="20"/>
                <w:szCs w:val="20"/>
                <w:color w:val="auto"/>
              </w:rPr>
            </w:pPr>
            <w:r>
              <w:rPr>
                <w:rFonts w:ascii="Arial" w:cs="Arial" w:eastAsia="Arial" w:hAnsi="Arial"/>
                <w:sz w:val="14"/>
                <w:szCs w:val="14"/>
                <w:color w:val="auto"/>
              </w:rPr>
              <w:t>212,555</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Atlas Park, The Shops at(50%)(13)(14)</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31,864</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7.77 %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Boulevard Shops(50%)</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Floating</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11,466</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6.56 %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Broadway Plaza(50%)</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222,079</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4.19 %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189,724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Corte Madera, The Village at(50.1%)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111,792</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3.53 %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6,074</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98,753</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Country Club Plaza(50%)</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148,676</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3.88 %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137,525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Deptford Mall(51%)</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82,470</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3.55 %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5,795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81,750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FlatIron Crossing(51%)(13)(15)</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87,667</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8.55 %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89,250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Kierland Commons(50%)</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99,969</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3.98 %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6,407</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88,724</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Lakewood Center(60%)</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202,014</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4.15 %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13,144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185,306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Los Cerritos Center(60%)</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308,980</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4.00 %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18,046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278,711</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One Westside(25%)(16)</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Floating</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78,780</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6.08 %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79,150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Paradise Valley(5%)</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2,526</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5.00 %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9/29/24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2,526</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Scottsdale Fashion Square(50%)(17)</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203,117</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3.02 %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201,331</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South Plains Mall(60%)</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120,000</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4.22 %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5,065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120,000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Twenty Ninth Street(51%)</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76,500</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4.10 %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Tysons Corner Center(50%)</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343,820</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4.13 %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24,643</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333,233</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Tysons Tower(50%)</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94,571</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3.38 %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Tysons Vita(50%)</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44,541</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3.43 %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45,000</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2"/>
              </w:rPr>
              <w:t>1/1/24</w:t>
            </w:r>
          </w:p>
        </w:tc>
        <w:tc>
          <w:tcPr>
            <w:tcW w:w="0" w:type="dxa"/>
            <w:vAlign w:val="bottom"/>
          </w:tcPr>
          <w:p>
            <w:pPr>
              <w:spacing w:after="0"/>
              <w:rPr>
                <w:sz w:val="1"/>
                <w:szCs w:val="1"/>
                <w:color w:val="auto"/>
              </w:rPr>
            </w:pP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 Square(60%)(13)(18)</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299,760</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8.17 %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286,785</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West Acres - Development(19%)</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884</w:t>
            </w: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w w:val="91"/>
              </w:rPr>
              <w:t>3.72 %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r>
        <w:trPr>
          <w:trHeight w:val="20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West Acres(19%)</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Fixed</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13,024</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1"/>
              </w:rPr>
              <w:t>4.61 %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Any Time</w:t>
            </w:r>
          </w:p>
        </w:tc>
        <w:tc>
          <w:tcPr>
            <w:tcW w:w="0" w:type="dxa"/>
            <w:vAlign w:val="bottom"/>
          </w:tcPr>
          <w:p>
            <w:pPr>
              <w:spacing w:after="0"/>
              <w:rPr>
                <w:sz w:val="1"/>
                <w:szCs w:val="1"/>
                <w:color w:val="auto"/>
              </w:rPr>
            </w:pPr>
          </w:p>
        </w:tc>
      </w:tr>
    </w:tbl>
    <w:p>
      <w:pPr>
        <w:ind w:left="4640" w:hanging="454"/>
        <w:spacing w:after="0"/>
        <w:tabs>
          <w:tab w:leader="none" w:pos="46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2,821,020</w:t>
      </w:r>
    </w:p>
    <w:p>
      <w:pPr>
        <w:spacing w:after="0" w:line="16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_______________________________________________________________________________</w:t>
      </w:r>
    </w:p>
    <w:p>
      <w:pPr>
        <w:spacing w:after="0" w:line="379" w:lineRule="exact"/>
        <w:rPr>
          <w:rFonts w:ascii="Arial" w:cs="Arial" w:eastAsia="Arial" w:hAnsi="Arial"/>
          <w:sz w:val="14"/>
          <w:szCs w:val="14"/>
          <w:color w:val="auto"/>
        </w:rPr>
      </w:pPr>
    </w:p>
    <w:p>
      <w:pPr>
        <w:ind w:left="800" w:right="20" w:hanging="399"/>
        <w:spacing w:after="0" w:line="268" w:lineRule="auto"/>
        <w:tabs>
          <w:tab w:leader="none" w:pos="79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mortgage notes payable balances include the unamortized debt premiums (discounts). Debt premiums (discounts) represent the excess (deficiency) of the fair value of debt over (under) the principal value of debt assumed in various acquisitions. The debt premiums (discounts) are being amortized into interest expense over the term of the related debt in a manner which approximates the effective interest method.</w:t>
      </w:r>
    </w:p>
    <w:p>
      <w:pPr>
        <w:spacing w:after="0" w:line="106" w:lineRule="exact"/>
        <w:rPr>
          <w:rFonts w:ascii="Arial" w:cs="Arial" w:eastAsia="Arial" w:hAnsi="Arial"/>
          <w:sz w:val="14"/>
          <w:szCs w:val="14"/>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The debt premiums (discounts) as of December 31, 2022 consisted of the following:</w:t>
      </w:r>
    </w:p>
    <w:p>
      <w:pPr>
        <w:spacing w:after="0" w:line="49"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4"/>
          <w:szCs w:val="14"/>
          <w:u w:val="single" w:color="auto"/>
          <w:color w:val="auto"/>
        </w:rPr>
        <w:t>Property Pledged as Collateral</w:t>
      </w:r>
    </w:p>
    <w:p>
      <w:pPr>
        <w:spacing w:after="0" w:line="36"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4"/>
          <w:szCs w:val="14"/>
          <w:i w:val="1"/>
          <w:iCs w:val="1"/>
          <w:color w:val="auto"/>
        </w:rPr>
        <w:t>Unconsolidated Joint Venture Centers (at the Company's Pro 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-1193800</wp:posOffset>
            </wp:positionV>
            <wp:extent cx="694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-1169035</wp:posOffset>
            </wp:positionV>
            <wp:extent cx="6940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-98425</wp:posOffset>
            </wp:positionV>
            <wp:extent cx="5705475" cy="125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5475" cy="125730"/>
                    </a:xfrm>
                    <a:prstGeom prst="rect">
                      <a:avLst/>
                    </a:prstGeom>
                    <a:noFill/>
                  </pic:spPr>
                </pic:pic>
              </a:graphicData>
            </a:graphic>
          </wp:anchor>
        </w:drawing>
      </w:r>
    </w:p>
    <w:p>
      <w:pPr>
        <w:spacing w:after="0" w:line="17" w:lineRule="exact"/>
        <w:rPr>
          <w:sz w:val="20"/>
          <w:szCs w:val="20"/>
          <w:color w:val="auto"/>
        </w:rPr>
      </w:pPr>
    </w:p>
    <w:tbl>
      <w:tblPr>
        <w:tblLayout w:type="fixed"/>
        <w:tblInd w:w="800" w:type="dxa"/>
        <w:tblCellMar>
          <w:top w:w="0" w:type="dxa"/>
          <w:left w:w="0" w:type="dxa"/>
          <w:bottom w:w="0" w:type="dxa"/>
          <w:right w:w="0" w:type="dxa"/>
        </w:tblCellMar>
      </w:tblPr>
      <w:tr>
        <w:trPr>
          <w:trHeight w:val="179"/>
        </w:trPr>
        <w:tc>
          <w:tcPr>
            <w:tcW w:w="8000" w:type="dxa"/>
            <w:vAlign w:val="bottom"/>
          </w:tcPr>
          <w:p>
            <w:pPr>
              <w:ind w:left="20"/>
              <w:spacing w:after="0"/>
              <w:rPr>
                <w:sz w:val="20"/>
                <w:szCs w:val="20"/>
                <w:color w:val="auto"/>
              </w:rPr>
            </w:pPr>
            <w:r>
              <w:rPr>
                <w:rFonts w:ascii="Arial" w:cs="Arial" w:eastAsia="Arial" w:hAnsi="Arial"/>
                <w:sz w:val="14"/>
                <w:szCs w:val="14"/>
                <w:color w:val="auto"/>
              </w:rPr>
              <w:t>Deptford Mall</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4"/>
        </w:trPr>
        <w:tc>
          <w:tcPr>
            <w:tcW w:w="8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1"/>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Lakewood Center</w:t>
            </w: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(4,832)</w:t>
            </w:r>
          </w:p>
        </w:tc>
      </w:tr>
      <w:tr>
        <w:trPr>
          <w:trHeight w:val="191"/>
        </w:trPr>
        <w:tc>
          <w:tcPr>
            <w:tcW w:w="80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(4,795)</w:t>
            </w:r>
          </w:p>
        </w:tc>
      </w:tr>
      <w:tr>
        <w:trPr>
          <w:trHeight w:val="26"/>
        </w:trPr>
        <w:tc>
          <w:tcPr>
            <w:tcW w:w="8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05" w:lineRule="exact"/>
        <w:rPr>
          <w:sz w:val="20"/>
          <w:szCs w:val="20"/>
          <w:color w:val="auto"/>
        </w:rPr>
      </w:pPr>
    </w:p>
    <w:p>
      <w:pPr>
        <w:ind w:left="800"/>
        <w:spacing w:after="0" w:line="268" w:lineRule="auto"/>
        <w:rPr>
          <w:sz w:val="20"/>
          <w:szCs w:val="20"/>
          <w:color w:val="auto"/>
        </w:rPr>
      </w:pPr>
      <w:r>
        <w:rPr>
          <w:rFonts w:ascii="Arial" w:cs="Arial" w:eastAsia="Arial" w:hAnsi="Arial"/>
          <w:sz w:val="14"/>
          <w:szCs w:val="14"/>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at December 31, 2022 were $13.8 million for Consolidated Centers and $6.6 million for Unconsolidated Joint Venture Centers (at the Company's pro rata share).</w:t>
      </w:r>
    </w:p>
    <w:p>
      <w:pPr>
        <w:spacing w:after="0" w:line="106" w:lineRule="exact"/>
        <w:rPr>
          <w:sz w:val="20"/>
          <w:szCs w:val="20"/>
          <w:color w:val="auto"/>
        </w:rPr>
      </w:pPr>
    </w:p>
    <w:p>
      <w:pPr>
        <w:ind w:left="780" w:hanging="379"/>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debt premiums (discounts) and deferred finance costs.</w:t>
      </w:r>
    </w:p>
    <w:p>
      <w:pPr>
        <w:spacing w:after="0" w:line="155" w:lineRule="exact"/>
        <w:rPr>
          <w:rFonts w:ascii="Arial" w:cs="Arial" w:eastAsia="Arial" w:hAnsi="Arial"/>
          <w:sz w:val="14"/>
          <w:szCs w:val="14"/>
          <w:color w:val="auto"/>
        </w:rPr>
      </w:pPr>
    </w:p>
    <w:p>
      <w:pPr>
        <w:ind w:left="780" w:hanging="379"/>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annual debt service represents the annual payment of principal and interest.</w:t>
      </w:r>
    </w:p>
    <w:p>
      <w:pPr>
        <w:spacing w:after="0" w:line="142" w:lineRule="exact"/>
        <w:rPr>
          <w:rFonts w:ascii="Arial" w:cs="Arial" w:eastAsia="Arial" w:hAnsi="Arial"/>
          <w:sz w:val="14"/>
          <w:szCs w:val="14"/>
          <w:color w:val="auto"/>
        </w:rPr>
      </w:pPr>
    </w:p>
    <w:p>
      <w:pPr>
        <w:ind w:left="800" w:right="180" w:hanging="399"/>
        <w:spacing w:after="0" w:line="282" w:lineRule="auto"/>
        <w:tabs>
          <w:tab w:leader="none" w:pos="79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5" w:lineRule="exact"/>
        <w:rPr>
          <w:rFonts w:ascii="Arial" w:cs="Arial" w:eastAsia="Arial" w:hAnsi="Arial"/>
          <w:sz w:val="14"/>
          <w:szCs w:val="14"/>
          <w:color w:val="auto"/>
        </w:rPr>
      </w:pPr>
    </w:p>
    <w:p>
      <w:pPr>
        <w:ind w:left="780" w:hanging="379"/>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 49.9% interest in the loan has been assumed by a third party in connection with a financing arrangement.</w:t>
      </w:r>
    </w:p>
    <w:p>
      <w:pPr>
        <w:spacing w:after="0" w:line="155" w:lineRule="exact"/>
        <w:rPr>
          <w:rFonts w:ascii="Arial" w:cs="Arial" w:eastAsia="Arial" w:hAnsi="Arial"/>
          <w:sz w:val="14"/>
          <w:szCs w:val="14"/>
          <w:color w:val="auto"/>
        </w:rPr>
      </w:pPr>
    </w:p>
    <w:p>
      <w:pPr>
        <w:jc w:val="both"/>
        <w:ind w:left="800" w:right="300" w:hanging="399"/>
        <w:spacing w:after="0" w:line="268" w:lineRule="auto"/>
        <w:tabs>
          <w:tab w:leader="none" w:pos="792"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August 26, 2022 and November 28, 2022, the Company repaid $83.0 million and $7.1 million, respectively, of the outstanding loan balance to satisfy certain loan conditions. On January 20, 2023, the Company repaid $26.1 million of the outstanding loan balance and exercised its one-year extension option of the loan to January 22, 2024. The interest rate is SOFR plus 3.60%.</w:t>
      </w:r>
    </w:p>
    <w:p>
      <w:pPr>
        <w:spacing w:after="0" w:line="106" w:lineRule="exact"/>
        <w:rPr>
          <w:rFonts w:ascii="Arial" w:cs="Arial" w:eastAsia="Arial" w:hAnsi="Arial"/>
          <w:sz w:val="14"/>
          <w:szCs w:val="14"/>
          <w:color w:val="auto"/>
        </w:rPr>
      </w:pPr>
    </w:p>
    <w:p>
      <w:pPr>
        <w:ind w:left="800" w:right="320" w:hanging="399"/>
        <w:spacing w:after="0" w:line="282" w:lineRule="auto"/>
        <w:tabs>
          <w:tab w:leader="none" w:pos="792"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March 25, 2021, the Company closed on a two-year extension of the loan to March 29, 2023. The interest rate is LIBOR plus 2.75% and the Company repaid $4.7 million of the outstanding loan balance at closing. On January 3, 2023, the Company closed on a five-year $370.0 million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694" w:right="339" w:bottom="1440" w:gutter="0" w:footer="0" w:header="0"/>
        </w:sectPr>
      </w:pPr>
    </w:p>
    <w:bookmarkStart w:id="35" w:name="page36"/>
    <w:bookmarkEnd w:id="35"/>
    <w:p>
      <w:pPr>
        <w:ind w:left="800"/>
        <w:spacing w:after="0"/>
        <w:rPr>
          <w:sz w:val="20"/>
          <w:szCs w:val="20"/>
          <w:color w:val="auto"/>
        </w:rPr>
      </w:pPr>
      <w:r>
        <w:rPr>
          <w:rFonts w:ascii="Arial" w:cs="Arial" w:eastAsia="Arial" w:hAnsi="Arial"/>
          <w:sz w:val="14"/>
          <w:szCs w:val="14"/>
          <w:color w:val="auto"/>
        </w:rPr>
        <w:t>combined refinance of Green Acres Mall and Green Acres Commons. The new interest only loan bears a fixed interest rate of 5.90% and matures on January 6, 2028.</w:t>
      </w:r>
    </w:p>
    <w:p>
      <w:pPr>
        <w:spacing w:after="0" w:line="142" w:lineRule="exact"/>
        <w:rPr>
          <w:sz w:val="20"/>
          <w:szCs w:val="20"/>
          <w:color w:val="auto"/>
        </w:rPr>
      </w:pPr>
    </w:p>
    <w:p>
      <w:pPr>
        <w:ind w:left="800" w:right="40" w:hanging="399"/>
        <w:spacing w:after="0" w:line="264" w:lineRule="auto"/>
        <w:tabs>
          <w:tab w:leader="none" w:pos="792"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January 22, 2021, the Company closed on a one-year extension of the loan to February 3, 2022, which also included a one-year extension option to February 3, 2023 which has been exercised. The interest rate remained unchanged, and the Company repaid $9.0 million of the outstanding loan balance at closing. On January 3, 2023, the Company closed on a five-year $370.0 million combined refinance of Green Acres Mall and Green Acres Commons. The new interest only loan bears a fixed interest rate of 5.90% and matures on January 6, 2028.</w:t>
      </w:r>
    </w:p>
    <w:p>
      <w:pPr>
        <w:spacing w:after="0" w:line="108" w:lineRule="exact"/>
        <w:rPr>
          <w:rFonts w:ascii="Arial" w:cs="Arial" w:eastAsia="Arial" w:hAnsi="Arial"/>
          <w:sz w:val="14"/>
          <w:szCs w:val="14"/>
          <w:color w:val="auto"/>
        </w:rPr>
      </w:pPr>
    </w:p>
    <w:p>
      <w:pPr>
        <w:ind w:left="800" w:hanging="399"/>
        <w:spacing w:after="0" w:line="282" w:lineRule="auto"/>
        <w:tabs>
          <w:tab w:leader="none" w:pos="792"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May 6, 2022, the Company closed on a two-year extension of the loan to June 5, 2024 at a new fixed interest rate of 5.25%. The Company repaid $5.0 million of the outstanding loan balance at closing.</w:t>
      </w:r>
    </w:p>
    <w:p>
      <w:pPr>
        <w:spacing w:after="0" w:line="95" w:lineRule="exact"/>
        <w:rPr>
          <w:rFonts w:ascii="Arial" w:cs="Arial" w:eastAsia="Arial" w:hAnsi="Arial"/>
          <w:sz w:val="14"/>
          <w:szCs w:val="14"/>
          <w:color w:val="auto"/>
        </w:rPr>
      </w:pPr>
    </w:p>
    <w:p>
      <w:pPr>
        <w:ind w:left="800" w:hanging="399"/>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April 29, 2022, the Company closed on a new $72.0 million loan with a fixed rate of 5.29% that matures on May 6, 2032.</w:t>
      </w:r>
    </w:p>
    <w:p>
      <w:pPr>
        <w:spacing w:after="0" w:line="155" w:lineRule="exact"/>
        <w:rPr>
          <w:rFonts w:ascii="Arial" w:cs="Arial" w:eastAsia="Arial" w:hAnsi="Arial"/>
          <w:sz w:val="14"/>
          <w:szCs w:val="14"/>
          <w:color w:val="auto"/>
        </w:rPr>
      </w:pPr>
    </w:p>
    <w:p>
      <w:pPr>
        <w:ind w:left="800" w:hanging="399"/>
        <w:spacing w:after="0" w:line="258" w:lineRule="auto"/>
        <w:tabs>
          <w:tab w:leader="none" w:pos="791"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December 9, 2022, the Company closed on a three-year extension of the loan to December 9, 2025, including extension options. The interest rate remained unchanged at LIBOR plus 1.48%, to be converted to SOFR plus 1.59%. The loan is covered by an interest rate cap agreement that effectively prevents LIBOR from exceeding 4.0% during the period ending December 9, 2023.</w:t>
      </w:r>
    </w:p>
    <w:p>
      <w:pPr>
        <w:spacing w:after="0" w:line="126" w:lineRule="exact"/>
        <w:rPr>
          <w:rFonts w:ascii="Arial" w:cs="Arial" w:eastAsia="Arial" w:hAnsi="Arial"/>
          <w:sz w:val="14"/>
          <w:szCs w:val="14"/>
          <w:color w:val="auto"/>
        </w:rPr>
      </w:pPr>
    </w:p>
    <w:p>
      <w:pPr>
        <w:ind w:left="800" w:hanging="399"/>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Company did not repay the loan on its maturity date, and has begun the process of transferring control of this asset to a loan receiver.</w:t>
      </w:r>
    </w:p>
    <w:p>
      <w:pPr>
        <w:spacing w:after="0" w:line="142" w:lineRule="exact"/>
        <w:rPr>
          <w:rFonts w:ascii="Arial" w:cs="Arial" w:eastAsia="Arial" w:hAnsi="Arial"/>
          <w:sz w:val="14"/>
          <w:szCs w:val="14"/>
          <w:color w:val="auto"/>
        </w:rPr>
      </w:pPr>
    </w:p>
    <w:p>
      <w:pPr>
        <w:ind w:left="800" w:right="20" w:hanging="399"/>
        <w:spacing w:after="0" w:line="369" w:lineRule="auto"/>
        <w:tabs>
          <w:tab w:leader="none" w:pos="797"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loan requires an interest rate cap agreement to be in place at all times, which limits how high the prevailing floating rate index (i.e. LIBOR or SOFR) for the loan can rise. As of the date of this report, LIBOR/SOFR for this loan exceeded the strike interest rate within the required interest rate cap agreement and as a result, the loan is considered fixed rate debt.</w:t>
      </w:r>
    </w:p>
    <w:p>
      <w:pPr>
        <w:spacing w:after="0" w:line="49" w:lineRule="exact"/>
        <w:rPr>
          <w:rFonts w:ascii="Arial" w:cs="Arial" w:eastAsia="Arial" w:hAnsi="Arial"/>
          <w:sz w:val="12"/>
          <w:szCs w:val="12"/>
          <w:color w:val="auto"/>
        </w:rPr>
      </w:pPr>
    </w:p>
    <w:p>
      <w:pPr>
        <w:ind w:left="800" w:hanging="399"/>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loan is covered by an interest rate cap agreement that effectively prevents LIBOR from exceeding 3.0% through November 7, 2023.</w:t>
      </w:r>
    </w:p>
    <w:p>
      <w:pPr>
        <w:spacing w:after="0" w:line="155" w:lineRule="exact"/>
        <w:rPr>
          <w:rFonts w:ascii="Arial" w:cs="Arial" w:eastAsia="Arial" w:hAnsi="Arial"/>
          <w:sz w:val="14"/>
          <w:szCs w:val="14"/>
          <w:color w:val="auto"/>
        </w:rPr>
      </w:pPr>
    </w:p>
    <w:p>
      <w:pPr>
        <w:ind w:left="800" w:right="60" w:hanging="399"/>
        <w:spacing w:after="0" w:line="258" w:lineRule="auto"/>
        <w:tabs>
          <w:tab w:leader="none" w:pos="7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February 2, 2022, the Company’s joint venture in FlatIron Crossing replaced the existing $197 million loan on the property with a new $175 million loan that bears interest at SOFR plus 3.70% and matures on February 9, 2025, including extension options. The loan is covered by an interest rate cap agreement that effectively prevents SOFR from exceeding 4.0% through February 15, 2024.</w:t>
      </w:r>
    </w:p>
    <w:p>
      <w:pPr>
        <w:spacing w:after="0" w:line="126" w:lineRule="exact"/>
        <w:rPr>
          <w:rFonts w:ascii="Arial" w:cs="Arial" w:eastAsia="Arial" w:hAnsi="Arial"/>
          <w:sz w:val="14"/>
          <w:szCs w:val="14"/>
          <w:color w:val="auto"/>
        </w:rPr>
      </w:pPr>
    </w:p>
    <w:p>
      <w:pPr>
        <w:ind w:left="800" w:right="340" w:hanging="399"/>
        <w:spacing w:after="0" w:line="282" w:lineRule="auto"/>
        <w:tabs>
          <w:tab w:leader="none" w:pos="7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December 18, 2019, the Company’s joint venture in One Westside placed a construction loan on the property that allows for borrowing of up to $414.6 million, bears interest at LIBOR plus 1.70%, which can be reduced to LIBOR plus 1.50% upon the completion of certain conditions, and matures on December 18, 2024.</w:t>
      </w:r>
    </w:p>
    <w:p>
      <w:pPr>
        <w:spacing w:after="0" w:line="95" w:lineRule="exact"/>
        <w:rPr>
          <w:rFonts w:ascii="Arial" w:cs="Arial" w:eastAsia="Arial" w:hAnsi="Arial"/>
          <w:sz w:val="14"/>
          <w:szCs w:val="14"/>
          <w:color w:val="auto"/>
        </w:rPr>
      </w:pPr>
    </w:p>
    <w:p>
      <w:pPr>
        <w:ind w:left="800" w:right="60" w:hanging="399"/>
        <w:spacing w:after="0" w:line="322" w:lineRule="auto"/>
        <w:tabs>
          <w:tab w:leader="none" w:pos="797"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Company's joint venture in Scottsdale Fashion Square expects to replace the existing $406.0 million mortgage loan on the property with a $700.0 million, five-year, fixed rate loan. The Company expects the joint venture to close this refinancing during the first quarter of 2023, subject to negotiating final documentation and customary closing conditions.</w:t>
      </w:r>
    </w:p>
    <w:p>
      <w:pPr>
        <w:spacing w:after="0" w:line="73" w:lineRule="exact"/>
        <w:rPr>
          <w:rFonts w:ascii="Arial" w:cs="Arial" w:eastAsia="Arial" w:hAnsi="Arial"/>
          <w:sz w:val="13"/>
          <w:szCs w:val="13"/>
          <w:color w:val="auto"/>
        </w:rPr>
      </w:pPr>
    </w:p>
    <w:p>
      <w:pPr>
        <w:ind w:left="800" w:hanging="399"/>
        <w:spacing w:after="0" w:line="268" w:lineRule="auto"/>
        <w:tabs>
          <w:tab w:leader="none" w:pos="7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November 14, 2022, the Company's joint venture in Washington Square closed a four-year extension for the existing loan to November 1, 2026, including extension options. The Company's joint venture repaid $15 million ($9 million at the Company's pro rata share) of the outstanding loan balance. The loan bears interest at SOFR plus 4.0% and is covered by an interest rate cap agreement that effectively prevents SOFR from exceeding 4.0% through November 1, 2023.</w:t>
      </w:r>
    </w:p>
    <w:p>
      <w:pPr>
        <w:spacing w:after="0" w:line="1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55"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None of the Company, the Operating Partnership, the Management Companies or their respective affiliates is currently involved in any material legal proceedings.</w:t>
      </w:r>
    </w:p>
    <w:p>
      <w:pPr>
        <w:spacing w:after="0" w:line="1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36"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common stock of the Company is listed and traded on the New York Stock Exchange under the symbol "MAC". As of February 22, 2023, there were approximately 586 stockholders of record.</w:t>
      </w:r>
    </w:p>
    <w:p>
      <w:pPr>
        <w:spacing w:after="0" w:line="115" w:lineRule="exact"/>
        <w:rPr>
          <w:sz w:val="20"/>
          <w:szCs w:val="20"/>
          <w:color w:val="auto"/>
        </w:rPr>
      </w:pPr>
    </w:p>
    <w:p>
      <w:pPr>
        <w:ind w:right="20" w:firstLine="435"/>
        <w:spacing w:after="0" w:line="269" w:lineRule="auto"/>
        <w:rPr>
          <w:sz w:val="20"/>
          <w:szCs w:val="20"/>
          <w:color w:val="auto"/>
        </w:rPr>
      </w:pPr>
      <w:r>
        <w:rPr>
          <w:rFonts w:ascii="Arial" w:cs="Arial" w:eastAsia="Arial" w:hAnsi="Arial"/>
          <w:sz w:val="16"/>
          <w:szCs w:val="16"/>
          <w:color w:val="auto"/>
        </w:rPr>
        <w:t>To maintain its qualification as a REIT, the Company is required each year to distribute to stockholders at least 90% of its net taxable income after certain adjustments. The Company paid all of its 2022 and 2021 quarterly dividends in cash. The timing, amount and composition of future dividends will be determined in the sole discretion of the Company's board of directors and will depend on actual and projected cash flow, financial condition, funds from operations, earnings, capital requirements, annual REIT distribution requirements, contractual prohibitions or other restrictions, applicable law and such other factors as the board of directors deems relevant. For example, under the Company's existing financing arrangements, the Company may pay cash dividends and make other distributions based on a formula derived from funds from operations (See "Item 7. Management's Discussion and Analysis of Financial Condition and Results of Operations—Funds From Operations ("FFO")") and only if no default under the financing agreements has occurred, unless, under certain circumstances, payment of the distribution is necessary to enable the Company to continue to qualify as a REIT under the Code.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55" w:lineRule="exact"/>
        <w:rPr>
          <w:sz w:val="20"/>
          <w:szCs w:val="20"/>
          <w:color w:val="auto"/>
        </w:rPr>
      </w:pPr>
    </w:p>
    <w:p>
      <w:pPr>
        <w:ind w:right="140" w:firstLine="435"/>
        <w:spacing w:after="0" w:line="300" w:lineRule="auto"/>
        <w:rPr>
          <w:sz w:val="20"/>
          <w:szCs w:val="20"/>
          <w:color w:val="auto"/>
        </w:rPr>
      </w:pPr>
      <w:r>
        <w:rPr>
          <w:rFonts w:ascii="Arial" w:cs="Arial" w:eastAsia="Arial" w:hAnsi="Arial"/>
          <w:sz w:val="16"/>
          <w:szCs w:val="16"/>
          <w:color w:val="auto"/>
        </w:rPr>
        <w:t>The following graph provides a comparison, from December 31, 2017 through December 31, 2022, of the yearly percentage change in the cumulative total stockholder return (assuming reinvestment of dividends) of the Company, the Standard &amp; Poors ("S&amp;P") Midcap 400 Index, and the FTSE Nareit Equity Retail Index. The FTSE Nareit Equity Retail Index is an industry index of publicly-traded REITs that include the Company.</w:t>
      </w:r>
    </w:p>
    <w:p>
      <w:pPr>
        <w:spacing w:after="0" w:line="74" w:lineRule="exact"/>
        <w:rPr>
          <w:sz w:val="20"/>
          <w:szCs w:val="20"/>
          <w:color w:val="auto"/>
        </w:rPr>
      </w:pPr>
    </w:p>
    <w:p>
      <w:pPr>
        <w:ind w:right="460" w:firstLine="435"/>
        <w:spacing w:after="0" w:line="262" w:lineRule="auto"/>
        <w:rPr>
          <w:sz w:val="20"/>
          <w:szCs w:val="20"/>
          <w:color w:val="auto"/>
        </w:rPr>
      </w:pPr>
      <w:r>
        <w:rPr>
          <w:rFonts w:ascii="Arial" w:cs="Arial" w:eastAsia="Arial" w:hAnsi="Arial"/>
          <w:sz w:val="18"/>
          <w:szCs w:val="18"/>
          <w:color w:val="auto"/>
        </w:rPr>
        <w:t>The graph assumes that the value of the investment in each of the Company's common stock and the indices was $100 at the close of the market on December 31, 2017.</w:t>
      </w:r>
    </w:p>
    <w:p>
      <w:pPr>
        <w:spacing w:after="0" w:line="115" w:lineRule="exact"/>
        <w:rPr>
          <w:sz w:val="20"/>
          <w:szCs w:val="20"/>
          <w:color w:val="auto"/>
        </w:rPr>
      </w:pPr>
    </w:p>
    <w:p>
      <w:pPr>
        <w:ind w:right="100" w:firstLine="435"/>
        <w:spacing w:after="0" w:line="262" w:lineRule="auto"/>
        <w:rPr>
          <w:sz w:val="20"/>
          <w:szCs w:val="20"/>
          <w:color w:val="auto"/>
        </w:rPr>
      </w:pPr>
      <w:r>
        <w:rPr>
          <w:rFonts w:ascii="Arial" w:cs="Arial" w:eastAsia="Arial" w:hAnsi="Arial"/>
          <w:sz w:val="18"/>
          <w:szCs w:val="18"/>
          <w:color w:val="auto"/>
        </w:rPr>
        <w:t>Upon written request directed to the Secretary of the Company, the Company will provide any stockholder with a list of the REITs included in the FTSE Nareit Equity Retail Index. The historical information set forth below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7" w:name="page38"/>
    <w:bookmarkEnd w:id="37"/>
    <w:p>
      <w:pPr>
        <w:ind w:left="440"/>
        <w:spacing w:after="0"/>
        <w:rPr>
          <w:sz w:val="20"/>
          <w:szCs w:val="20"/>
          <w:color w:val="auto"/>
        </w:rPr>
      </w:pPr>
      <w:r>
        <w:rPr>
          <w:rFonts w:ascii="Arial" w:cs="Arial" w:eastAsia="Arial" w:hAnsi="Arial"/>
          <w:sz w:val="16"/>
          <w:szCs w:val="16"/>
          <w:color w:val="auto"/>
        </w:rPr>
        <w:t>Data for the S&amp;P Midcap 400 Index and the FTSE Nareit Equity Retail Index were provided by Research Data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108585</wp:posOffset>
            </wp:positionV>
            <wp:extent cx="5495925" cy="4015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95925" cy="401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Copyright© 2023 S&amp;P, a division of The McGraw-Hill Companies Inc. All rights reserved.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12/31/17</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12/31/18</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12/31/19</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12/31/20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12/31/21</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rPr>
              <w:t>12/31/22</w:t>
            </w:r>
          </w:p>
        </w:tc>
      </w:tr>
      <w:tr>
        <w:trPr>
          <w:trHeight w:val="198"/>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Macerich Company</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24.84</w:t>
            </w:r>
          </w:p>
        </w:tc>
      </w:tr>
      <w:tr>
        <w:trPr>
          <w:trHeight w:val="188"/>
        </w:trPr>
        <w:tc>
          <w:tcPr>
            <w:tcW w:w="2780" w:type="dxa"/>
            <w:vAlign w:val="bottom"/>
          </w:tcPr>
          <w:p>
            <w:pPr>
              <w:ind w:left="20"/>
              <w:spacing w:after="0"/>
              <w:rPr>
                <w:sz w:val="20"/>
                <w:szCs w:val="20"/>
                <w:color w:val="auto"/>
              </w:rPr>
            </w:pPr>
            <w:r>
              <w:rPr>
                <w:rFonts w:ascii="Arial" w:cs="Arial" w:eastAsia="Arial" w:hAnsi="Arial"/>
                <w:sz w:val="14"/>
                <w:szCs w:val="14"/>
                <w:color w:val="auto"/>
              </w:rPr>
              <w:t>S&amp;P Midcap 400 Index</w:t>
            </w:r>
          </w:p>
        </w:tc>
        <w:tc>
          <w:tcPr>
            <w:tcW w:w="84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88.92</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112.21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127.54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159.12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138.34</w:t>
            </w:r>
          </w:p>
        </w:tc>
      </w:tr>
      <w:tr>
        <w:trPr>
          <w:trHeight w:val="207"/>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FTSE Nareit Equity Retail Index</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95.04</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103.63</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62"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ind w:right="241"/>
              <w:spacing w:after="0"/>
              <w:rPr>
                <w:sz w:val="20"/>
                <w:szCs w:val="20"/>
                <w:color w:val="auto"/>
              </w:rPr>
            </w:pPr>
            <w:r>
              <w:rPr>
                <w:rFonts w:ascii="Arial" w:cs="Arial" w:eastAsia="Arial" w:hAnsi="Arial"/>
                <w:sz w:val="16"/>
                <w:szCs w:val="16"/>
                <w:b w:val="1"/>
                <w:bCs w:val="1"/>
                <w:color w:val="auto"/>
                <w:w w:val="92"/>
              </w:rPr>
              <w:t>Approximate Dollar</w:t>
            </w: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5"/>
              </w:rPr>
              <w:t>Shares Purchased as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61"/>
              <w:spacing w:after="0" w:line="158"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Total Number of</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15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Part of Publicly</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2"/>
          </w:tcPr>
          <w:p>
            <w:pPr>
              <w:jc w:val="center"/>
              <w:ind w:right="161"/>
              <w:spacing w:after="0" w:line="158"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8"/>
        </w:trPr>
        <w:tc>
          <w:tcPr>
            <w:tcW w:w="3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3"/>
                <w:szCs w:val="13"/>
                <w:color w:val="auto"/>
              </w:rPr>
            </w:pPr>
          </w:p>
        </w:tc>
        <w:tc>
          <w:tcPr>
            <w:tcW w:w="14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Announced Plans or</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ind w:right="241"/>
              <w:spacing w:after="0" w:line="158" w:lineRule="exact"/>
              <w:rPr>
                <w:sz w:val="20"/>
                <w:szCs w:val="20"/>
                <w:color w:val="auto"/>
              </w:rPr>
            </w:pPr>
            <w:r>
              <w:rPr>
                <w:rFonts w:ascii="Arial" w:cs="Arial" w:eastAsia="Arial" w:hAnsi="Arial"/>
                <w:sz w:val="16"/>
                <w:szCs w:val="16"/>
                <w:b w:val="1"/>
                <w:bCs w:val="1"/>
                <w:color w:val="auto"/>
                <w:w w:val="89"/>
              </w:rPr>
              <w:t>Under the Plans or</w:t>
            </w:r>
          </w:p>
        </w:tc>
        <w:tc>
          <w:tcPr>
            <w:tcW w:w="0" w:type="dxa"/>
            <w:vAlign w:val="bottom"/>
          </w:tcPr>
          <w:p>
            <w:pPr>
              <w:spacing w:after="0"/>
              <w:rPr>
                <w:sz w:val="1"/>
                <w:szCs w:val="1"/>
                <w:color w:val="auto"/>
              </w:rPr>
            </w:pPr>
          </w:p>
        </w:tc>
      </w:tr>
      <w:tr>
        <w:trPr>
          <w:trHeight w:val="208"/>
        </w:trPr>
        <w:tc>
          <w:tcPr>
            <w:tcW w:w="3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Shares Purchased</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Paid per Share</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261"/>
              <w:spacing w:after="0"/>
              <w:rPr>
                <w:sz w:val="20"/>
                <w:szCs w:val="20"/>
                <w:color w:val="auto"/>
              </w:rPr>
            </w:pPr>
            <w:r>
              <w:rPr>
                <w:rFonts w:ascii="Arial" w:cs="Arial" w:eastAsia="Arial" w:hAnsi="Arial"/>
                <w:sz w:val="16"/>
                <w:szCs w:val="16"/>
                <w:b w:val="1"/>
                <w:bCs w:val="1"/>
                <w:color w:val="auto"/>
                <w:w w:val="91"/>
              </w:rPr>
              <w:t>Programs (1)</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2022 to October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24"/>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November 1, 2022 to November 30, 2022</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24"/>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2022 to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04"/>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3"/>
          </w:tcPr>
          <w:p>
            <w:pPr>
              <w:jc w:val="right"/>
              <w:spacing w:after="0" w:line="204" w:lineRule="exact"/>
              <w:rPr>
                <w:sz w:val="20"/>
                <w:szCs w:val="20"/>
                <w:color w:val="auto"/>
              </w:rPr>
            </w:pPr>
            <w:r>
              <w:rPr>
                <w:rFonts w:ascii="Arial" w:cs="Arial" w:eastAsia="Arial" w:hAnsi="Arial"/>
                <w:sz w:val="18"/>
                <w:szCs w:val="18"/>
                <w:color w:val="auto"/>
              </w:rPr>
              <w:t>$</w:t>
            </w:r>
          </w:p>
        </w:tc>
        <w:tc>
          <w:tcPr>
            <w:tcW w:w="1240" w:type="dxa"/>
            <w:vAlign w:val="bottom"/>
            <w:gridSpan w:val="2"/>
          </w:tcPr>
          <w:p>
            <w:pPr>
              <w:ind w:left="880"/>
              <w:spacing w:after="0" w:line="204"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0" w:hanging="562"/>
        <w:spacing w:after="0" w:line="279"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320" w:top="912" w:right="639" w:bottom="1440" w:gutter="0" w:footer="0" w:header="0"/>
        </w:sectPr>
      </w:pPr>
    </w:p>
    <w:bookmarkStart w:id="39" w:name="page40"/>
    <w:bookmarkEnd w:id="39"/>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142" w:lineRule="exact"/>
        <w:rPr>
          <w:sz w:val="20"/>
          <w:szCs w:val="20"/>
          <w:color w:val="auto"/>
        </w:rPr>
      </w:pPr>
    </w:p>
    <w:p>
      <w:pPr>
        <w:ind w:right="200" w:firstLine="435"/>
        <w:spacing w:after="0" w:line="281" w:lineRule="auto"/>
        <w:rPr>
          <w:sz w:val="20"/>
          <w:szCs w:val="20"/>
          <w:color w:val="auto"/>
        </w:rPr>
      </w:pPr>
      <w:r>
        <w:rPr>
          <w:rFonts w:ascii="Arial" w:cs="Arial" w:eastAsia="Arial" w:hAnsi="Arial"/>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Operating Partnership. As of December 31, 2022, the Operating Partnership owned or had an ownership interest in 44 Regional Town Centers (including office, hotel and residential space adjacent to these shopping centers), five community/power shopping centers, one office property and one redevelopment property. These 51 Regional Town Centers, community/power shopping centers, office and redevelopment properties consist of approximately 47 million square feet of gross leasable area (“GLA”) and are referred to herein as the “Centers”. The Centers consist of consolidated Centers (“Consolidated Centers”) and unconsolidated joint venture Centers (“Unconsolidated Joint Venture Centers”) as set forth in “Item 2. Properties,” unless the context otherwise requires. The Company is a self-administered and self-managed REIT and conducts all of its operations through the Operating Partnership and the Management Companies.</w:t>
      </w:r>
    </w:p>
    <w:p>
      <w:pPr>
        <w:spacing w:after="0" w:line="103" w:lineRule="exact"/>
        <w:rPr>
          <w:sz w:val="20"/>
          <w:szCs w:val="20"/>
          <w:color w:val="auto"/>
        </w:rPr>
      </w:pPr>
    </w:p>
    <w:p>
      <w:pPr>
        <w:ind w:firstLine="435"/>
        <w:spacing w:after="0" w:line="248"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years ended December 31, 2022, 2021 and 2020. It compares the results of operations and cash flows for the year ended December 31, 2022 to the results of operations and cash flows for the year ended December 31, 2021. Also included is a comparison of the results of operations and cash flows for the year ended December 31, 2021 to the results of operations and cash flows for the year ended December 31, 2020. This information should be read in conjunction with the accompanying consolidated financial statements and notes thereto.</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136" w:lineRule="exact"/>
        <w:rPr>
          <w:sz w:val="20"/>
          <w:szCs w:val="20"/>
          <w:color w:val="auto"/>
        </w:rPr>
      </w:pPr>
    </w:p>
    <w:p>
      <w:pPr>
        <w:jc w:val="both"/>
        <w:ind w:right="40" w:firstLine="435"/>
        <w:spacing w:after="0" w:line="250" w:lineRule="auto"/>
        <w:rPr>
          <w:sz w:val="20"/>
          <w:szCs w:val="20"/>
          <w:color w:val="auto"/>
        </w:rPr>
      </w:pPr>
      <w:r>
        <w:rPr>
          <w:rFonts w:ascii="Arial" w:cs="Arial" w:eastAsia="Arial" w:hAnsi="Arial"/>
          <w:sz w:val="18"/>
          <w:szCs w:val="18"/>
          <w:color w:val="auto"/>
        </w:rPr>
        <w:t>On August 2, 2022, the Company acquired the remaining 50% ownership interest in two former Sears parcels (Deptford Mall and Vintage Faire Mall) in the MS Portfolio LLC joint venture that it did not previously own for a total purchase price of $24.5 million. Effective as of August 2, 2022, the Company now owns and has consolidated its 100% interest in these two former Sears parcels in its consolidated financial statements (See Note 15—Acquisitions in the Notes to the Consolidated Financial Statements).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Dispositions: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reflect the following dispositions and changes in ownership subsequent to the occurrence of each transaction.</w:t>
      </w:r>
    </w:p>
    <w:p>
      <w:pPr>
        <w:spacing w:after="0" w:line="136" w:lineRule="exact"/>
        <w:rPr>
          <w:sz w:val="20"/>
          <w:szCs w:val="20"/>
          <w:color w:val="auto"/>
        </w:rPr>
      </w:pPr>
    </w:p>
    <w:p>
      <w:pPr>
        <w:ind w:right="140" w:firstLine="435"/>
        <w:spacing w:after="0" w:line="300" w:lineRule="auto"/>
        <w:rPr>
          <w:sz w:val="20"/>
          <w:szCs w:val="20"/>
          <w:color w:val="auto"/>
        </w:rPr>
      </w:pPr>
      <w:r>
        <w:rPr>
          <w:rFonts w:ascii="Arial" w:cs="Arial" w:eastAsia="Arial" w:hAnsi="Arial"/>
          <w:sz w:val="16"/>
          <w:szCs w:val="16"/>
          <w:color w:val="auto"/>
        </w:rPr>
        <w:t>On March 29, 2021, the Company sold Paradise Valley Mall in Phoenix, Arizona to a newly formed joint venture for $100.0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 (See "Liquidity and Capital Resources").</w:t>
      </w:r>
    </w:p>
    <w:p>
      <w:pPr>
        <w:spacing w:after="0" w:line="87" w:lineRule="exact"/>
        <w:rPr>
          <w:sz w:val="20"/>
          <w:szCs w:val="20"/>
          <w:color w:val="auto"/>
        </w:rPr>
      </w:pPr>
    </w:p>
    <w:p>
      <w:pPr>
        <w:ind w:right="580" w:firstLine="435"/>
        <w:spacing w:after="0" w:line="253" w:lineRule="auto"/>
        <w:rPr>
          <w:sz w:val="20"/>
          <w:szCs w:val="20"/>
          <w:color w:val="auto"/>
        </w:rPr>
      </w:pPr>
      <w:r>
        <w:rPr>
          <w:rFonts w:ascii="Arial" w:cs="Arial" w:eastAsia="Arial" w:hAnsi="Arial"/>
          <w:sz w:val="18"/>
          <w:szCs w:val="18"/>
          <w:color w:val="auto"/>
        </w:rPr>
        <w:t>On September 17, 2021, the Company sold Tucson La Encantada in Tucson, Arizona for $165.3 million, resulting in a gain on sale of assets of approximately $117.2 million. The Company used the net cash proceeds of approximately $100.1 million to pay down debt (See "Liquidity and Capital Resources").</w:t>
      </w:r>
    </w:p>
    <w:p>
      <w:pPr>
        <w:spacing w:after="0" w:line="123" w:lineRule="exact"/>
        <w:rPr>
          <w:sz w:val="20"/>
          <w:szCs w:val="20"/>
          <w:color w:val="auto"/>
        </w:rPr>
      </w:pPr>
    </w:p>
    <w:p>
      <w:pPr>
        <w:jc w:val="both"/>
        <w:ind w:right="500" w:firstLine="435"/>
        <w:spacing w:after="0" w:line="300" w:lineRule="auto"/>
        <w:rPr>
          <w:sz w:val="20"/>
          <w:szCs w:val="20"/>
          <w:color w:val="auto"/>
        </w:rPr>
      </w:pPr>
      <w:r>
        <w:rPr>
          <w:rFonts w:ascii="Arial" w:cs="Arial" w:eastAsia="Arial" w:hAnsi="Arial"/>
          <w:sz w:val="16"/>
          <w:szCs w:val="16"/>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$28.3 million in connection with the assignment.</w:t>
      </w:r>
    </w:p>
    <w:p>
      <w:pPr>
        <w:spacing w:after="0" w:line="74" w:lineRule="exact"/>
        <w:rPr>
          <w:sz w:val="20"/>
          <w:szCs w:val="20"/>
          <w:color w:val="auto"/>
        </w:rPr>
      </w:pPr>
    </w:p>
    <w:p>
      <w:pPr>
        <w:ind w:right="160" w:firstLine="435"/>
        <w:spacing w:after="0" w:line="262" w:lineRule="auto"/>
        <w:rPr>
          <w:sz w:val="20"/>
          <w:szCs w:val="20"/>
          <w:color w:val="auto"/>
        </w:rPr>
      </w:pPr>
      <w:r>
        <w:rPr>
          <w:rFonts w:ascii="Arial" w:cs="Arial" w:eastAsia="Arial" w:hAnsi="Arial"/>
          <w:sz w:val="18"/>
          <w:szCs w:val="18"/>
          <w:color w:val="auto"/>
        </w:rPr>
        <w:t>On December 31, 2021, the Company sold its joint venture interest in the undeveloped property at 443 North Wabash Avenue in Chicago, Illinois to its partner in the joint venture for $21.0 million. The Company recognized an immaterial gain in connection with the sale.</w:t>
      </w:r>
    </w:p>
    <w:p>
      <w:pPr>
        <w:spacing w:after="0" w:line="115" w:lineRule="exact"/>
        <w:rPr>
          <w:sz w:val="20"/>
          <w:szCs w:val="20"/>
          <w:color w:val="auto"/>
        </w:rPr>
      </w:pPr>
    </w:p>
    <w:p>
      <w:pPr>
        <w:ind w:right="120" w:firstLine="435"/>
        <w:spacing w:after="0" w:line="253" w:lineRule="auto"/>
        <w:rPr>
          <w:sz w:val="20"/>
          <w:szCs w:val="20"/>
          <w:color w:val="auto"/>
        </w:rPr>
      </w:pPr>
      <w:r>
        <w:rPr>
          <w:rFonts w:ascii="Arial" w:cs="Arial" w:eastAsia="Arial" w:hAnsi="Arial"/>
          <w:sz w:val="18"/>
          <w:szCs w:val="18"/>
          <w:color w:val="auto"/>
        </w:rPr>
        <w:t>For the twelve months ended December 31, 2021, the Company and certain joint venture partners sold various land parcels in separate transactions, resulting in the Company’s share of the gain on sale of land of $19.6 million. The Company used its share of the proceeds from these sales of $46.5 million to pay down debt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0" w:name="page41"/>
    <w:bookmarkEnd w:id="40"/>
    <w:p>
      <w:pPr>
        <w:ind w:right="140" w:firstLine="435"/>
        <w:spacing w:after="0" w:line="253" w:lineRule="auto"/>
        <w:rPr>
          <w:sz w:val="20"/>
          <w:szCs w:val="20"/>
          <w:color w:val="auto"/>
        </w:rPr>
      </w:pPr>
      <w:r>
        <w:rPr>
          <w:rFonts w:ascii="Arial" w:cs="Arial" w:eastAsia="Arial" w:hAnsi="Arial"/>
          <w:sz w:val="18"/>
          <w:szCs w:val="18"/>
          <w:color w:val="auto"/>
        </w:rPr>
        <w:t>For the twelve months ended December 31, 2022, the Company and certain joint venture partners sold various land parcels in separate transactions, resulting in the Company’s share of the gain on sale of land of $23.9 million. The Company used its share of the proceeds from these sales of $60.3 million to pay down debt and for other general corporate purposes.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49" w:lineRule="exact"/>
        <w:rPr>
          <w:sz w:val="20"/>
          <w:szCs w:val="20"/>
          <w:color w:val="auto"/>
        </w:rPr>
      </w:pPr>
    </w:p>
    <w:p>
      <w:pPr>
        <w:ind w:firstLine="435"/>
        <w:spacing w:after="0" w:line="248" w:lineRule="auto"/>
        <w:rPr>
          <w:sz w:val="20"/>
          <w:szCs w:val="20"/>
          <w:color w:val="auto"/>
        </w:rPr>
      </w:pPr>
      <w:r>
        <w:rPr>
          <w:rFonts w:ascii="Arial" w:cs="Arial" w:eastAsia="Arial" w:hAnsi="Arial"/>
          <w:sz w:val="18"/>
          <w:szCs w:val="18"/>
          <w:color w:val="auto"/>
        </w:rPr>
        <w:t>On September 15, 2020, the Company closed on a loan extension agreement for the $191.0 million loan on Danbury Fair Mall. Under the extension agreement, the original loan maturity date of October 1, 2020 was extended to April 1, 2021 and subsequently to October 1, 2021. The loan amount and interest rate were unchanged following these extensions. On September 15, 2021, the Company further extended the loan maturity to July 1, 2022. The interest rate remained unchanged, and the Company repaid $10.0 million of the outstanding loan balance at closing. As discussed below, the Company further extended this loan.</w:t>
      </w:r>
    </w:p>
    <w:p>
      <w:pPr>
        <w:spacing w:after="0" w:line="129" w:lineRule="exact"/>
        <w:rPr>
          <w:sz w:val="20"/>
          <w:szCs w:val="20"/>
          <w:color w:val="auto"/>
        </w:rPr>
      </w:pPr>
    </w:p>
    <w:p>
      <w:pPr>
        <w:jc w:val="both"/>
        <w:ind w:right="60" w:firstLine="435"/>
        <w:spacing w:after="0" w:line="300" w:lineRule="auto"/>
        <w:rPr>
          <w:sz w:val="20"/>
          <w:szCs w:val="20"/>
          <w:color w:val="auto"/>
        </w:rPr>
      </w:pPr>
      <w:r>
        <w:rPr>
          <w:rFonts w:ascii="Arial" w:cs="Arial" w:eastAsia="Arial" w:hAnsi="Arial"/>
          <w:sz w:val="16"/>
          <w:szCs w:val="16"/>
          <w:color w:val="auto"/>
        </w:rPr>
        <w:t>On November 17, 2020, the Company’s joint venture in Tysons VITA, the residential tower at Tysons Corner Center, placed a new $95.0 million loan on the property that bears interest at an effective rate of 3.43% and matures on December 1, 2030. Initial loan funding for the Company’s joint venture was $90.0 million with future advance potential of up to $5.0 million. The Company used its share of the initial proceeds of $45.0 million for general corporate purposes.</w:t>
      </w:r>
    </w:p>
    <w:p>
      <w:pPr>
        <w:spacing w:after="0" w:line="74" w:lineRule="exact"/>
        <w:rPr>
          <w:sz w:val="20"/>
          <w:szCs w:val="20"/>
          <w:color w:val="auto"/>
        </w:rPr>
      </w:pPr>
    </w:p>
    <w:p>
      <w:pPr>
        <w:ind w:right="20" w:firstLine="435"/>
        <w:spacing w:after="0" w:line="284" w:lineRule="auto"/>
        <w:rPr>
          <w:sz w:val="20"/>
          <w:szCs w:val="20"/>
          <w:color w:val="auto"/>
        </w:rPr>
      </w:pPr>
      <w:r>
        <w:rPr>
          <w:rFonts w:ascii="Arial" w:cs="Arial" w:eastAsia="Arial" w:hAnsi="Arial"/>
          <w:sz w:val="16"/>
          <w:szCs w:val="16"/>
          <w:color w:val="auto"/>
        </w:rPr>
        <w:t>On December 10, 2020, the Company made a loan (the "Partnership Loan") to the Company’s previously unconsolidated joint venture in Fashion District Philadelphia to fund the entirety of a $100.0 million repayment to reduce the mortgage loan on Fashion District Philadelphia from $301.0 million to $201.0 million. As discussed below, this mortgage loan matures on January 22, 2024, and bears interest at SOFR plus 3.6%.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(See Note 15–Consolidated Joint Venture and Acquisitions of the Company’s Consolidated Financial Statements).</w:t>
      </w:r>
    </w:p>
    <w:p>
      <w:pPr>
        <w:spacing w:after="0" w:line="103" w:lineRule="exact"/>
        <w:rPr>
          <w:sz w:val="20"/>
          <w:szCs w:val="20"/>
          <w:color w:val="auto"/>
        </w:rPr>
      </w:pPr>
    </w:p>
    <w:p>
      <w:pPr>
        <w:ind w:right="260" w:firstLine="435"/>
        <w:spacing w:after="0" w:line="253" w:lineRule="auto"/>
        <w:rPr>
          <w:sz w:val="20"/>
          <w:szCs w:val="20"/>
          <w:color w:val="auto"/>
        </w:rPr>
      </w:pPr>
      <w:r>
        <w:rPr>
          <w:rFonts w:ascii="Arial" w:cs="Arial" w:eastAsia="Arial" w:hAnsi="Arial"/>
          <w:sz w:val="18"/>
          <w:szCs w:val="18"/>
          <w:color w:val="auto"/>
        </w:rPr>
        <w:t>On December 15, 2020, the Company closed on a loan extension agreement for the $101.5 million loan on Fashion Outlets of Niagara. Under the extension agreement the original loan maturity date of October 6, 2020 was extended to October 6, 2023. The loan amount and interest rate were unchanged following the extension.</w:t>
      </w:r>
    </w:p>
    <w:p>
      <w:pPr>
        <w:spacing w:after="0" w:line="123" w:lineRule="exact"/>
        <w:rPr>
          <w:sz w:val="20"/>
          <w:szCs w:val="20"/>
          <w:color w:val="auto"/>
        </w:rPr>
      </w:pPr>
    </w:p>
    <w:p>
      <w:pPr>
        <w:ind w:right="60" w:firstLine="435"/>
        <w:spacing w:after="0" w:line="250" w:lineRule="auto"/>
        <w:rPr>
          <w:sz w:val="20"/>
          <w:szCs w:val="20"/>
          <w:color w:val="auto"/>
        </w:rPr>
      </w:pPr>
      <w:r>
        <w:rPr>
          <w:rFonts w:ascii="Arial" w:cs="Arial" w:eastAsia="Arial" w:hAnsi="Arial"/>
          <w:sz w:val="18"/>
          <w:szCs w:val="18"/>
          <w:color w:val="auto"/>
        </w:rPr>
        <w:t>On December 29, 2020, the Company’s joint venture closed on a one-year maturity date extension for the FlatIron Crossing loan to January 5, 2022. The interest rate increased from 3.85% to 4.10%, and the Company’s joint venture repaid $15.0 million, $7.6 million at the Company's pro rata share, of the outstanding loan balance at closing. As discussed below, the Company's joint venture replaced this loan with a new loan prior to its maturity date that was further extended to February 2022.</w:t>
      </w:r>
    </w:p>
    <w:p>
      <w:pPr>
        <w:spacing w:after="0" w:line="112" w:lineRule="exact"/>
        <w:rPr>
          <w:sz w:val="20"/>
          <w:szCs w:val="20"/>
          <w:color w:val="auto"/>
        </w:rPr>
      </w:pPr>
    </w:p>
    <w:p>
      <w:pPr>
        <w:ind w:right="40" w:firstLine="435"/>
        <w:spacing w:after="0" w:line="300" w:lineRule="auto"/>
        <w:rPr>
          <w:sz w:val="20"/>
          <w:szCs w:val="20"/>
          <w:color w:val="auto"/>
        </w:rPr>
      </w:pPr>
      <w:r>
        <w:rPr>
          <w:rFonts w:ascii="Arial" w:cs="Arial" w:eastAsia="Arial" w:hAnsi="Arial"/>
          <w:sz w:val="16"/>
          <w:szCs w:val="16"/>
          <w:color w:val="auto"/>
        </w:rPr>
        <w:t>On January 22, 2021, the Company closed on a one-year extension for the Green Acres Mall $258.2 million loan to February 3, 2022, which also included a one-year extension option to February 3, 2023 that has been exercised. The interest rate remained unchanged, and the Company repaid $9 million of the outstanding loan balance at closing. As discussed below, the Company replaced this loan prior to its maturity date.</w:t>
      </w:r>
    </w:p>
    <w:p>
      <w:pPr>
        <w:spacing w:after="0" w:line="87"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On March 25, 2021, the Company closed on a two-year extension for the Green Acres Commons $124.6 million loan to March 29, 2023. The interest rate is LIBOR plus 2.75% and the Company repaid $4.7 million of the outstanding loan balance at closing. As discussed below, the Company replaced this loan prior to its maturity date.</w:t>
      </w:r>
    </w:p>
    <w:p>
      <w:pPr>
        <w:spacing w:after="0" w:line="123" w:lineRule="exact"/>
        <w:rPr>
          <w:sz w:val="20"/>
          <w:szCs w:val="20"/>
          <w:color w:val="auto"/>
        </w:rPr>
      </w:pPr>
    </w:p>
    <w:p>
      <w:pPr>
        <w:ind w:right="60" w:firstLine="435"/>
        <w:spacing w:after="0" w:line="248" w:lineRule="auto"/>
        <w:rPr>
          <w:sz w:val="20"/>
          <w:szCs w:val="20"/>
          <w:color w:val="auto"/>
        </w:rPr>
      </w:pPr>
      <w:r>
        <w:rPr>
          <w:rFonts w:ascii="Arial" w:cs="Arial" w:eastAsia="Arial" w:hAnsi="Arial"/>
          <w:sz w:val="18"/>
          <w:szCs w:val="18"/>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The Company drew the $175 million term loan facility in its entirety simultaneously with entering into the new credit agreement in April 2021 and subsequently paid off the remaining balance outstanding on the term loan facility with proceeds from the sale of Tucson La Encantada in September 2021.</w:t>
      </w:r>
    </w:p>
    <w:p>
      <w:pPr>
        <w:spacing w:after="0" w:line="116" w:lineRule="exact"/>
        <w:rPr>
          <w:sz w:val="20"/>
          <w:szCs w:val="20"/>
          <w:color w:val="auto"/>
        </w:rPr>
      </w:pPr>
    </w:p>
    <w:p>
      <w:pPr>
        <w:ind w:right="40" w:firstLine="435"/>
        <w:spacing w:after="0" w:line="253" w:lineRule="auto"/>
        <w:rPr>
          <w:sz w:val="20"/>
          <w:szCs w:val="20"/>
          <w:color w:val="auto"/>
        </w:rPr>
      </w:pPr>
      <w:r>
        <w:rPr>
          <w:rFonts w:ascii="Arial" w:cs="Arial" w:eastAsia="Arial" w:hAnsi="Arial"/>
          <w:sz w:val="18"/>
          <w:szCs w:val="18"/>
          <w:color w:val="auto"/>
        </w:rPr>
        <w:t>On October 26, 2021, the Company's joint venture in The Shops at Atlas Park replaced the existing loan on the property with a new $65 million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123" w:lineRule="exact"/>
        <w:rPr>
          <w:sz w:val="20"/>
          <w:szCs w:val="20"/>
          <w:color w:val="auto"/>
        </w:rPr>
      </w:pPr>
    </w:p>
    <w:p>
      <w:pPr>
        <w:jc w:val="both"/>
        <w:ind w:right="240" w:firstLine="435"/>
        <w:spacing w:after="0" w:line="253" w:lineRule="auto"/>
        <w:rPr>
          <w:sz w:val="20"/>
          <w:szCs w:val="20"/>
          <w:color w:val="auto"/>
        </w:rPr>
      </w:pPr>
      <w:r>
        <w:rPr>
          <w:rFonts w:ascii="Arial" w:cs="Arial" w:eastAsia="Arial" w:hAnsi="Arial"/>
          <w:sz w:val="18"/>
          <w:szCs w:val="18"/>
          <w:color w:val="auto"/>
        </w:rPr>
        <w:t>During the year ended December 31, 2021, the Company repaid $1.7 billion of debt then outstanding, including the $985 million repaid in connection with entering into the new credit agreement in April 2021. These repaid amounts represented an approximately 20% reduction in the debt outstanding, at the Company’s share, since December 31, 2020.</w:t>
      </w:r>
    </w:p>
    <w:p>
      <w:pPr>
        <w:spacing w:after="0" w:line="123" w:lineRule="exact"/>
        <w:rPr>
          <w:sz w:val="20"/>
          <w:szCs w:val="20"/>
          <w:color w:val="auto"/>
        </w:rPr>
      </w:pPr>
    </w:p>
    <w:p>
      <w:pPr>
        <w:ind w:right="120" w:firstLine="435"/>
        <w:spacing w:after="0" w:line="262" w:lineRule="auto"/>
        <w:rPr>
          <w:sz w:val="20"/>
          <w:szCs w:val="20"/>
          <w:color w:val="auto"/>
        </w:rPr>
      </w:pPr>
      <w:r>
        <w:rPr>
          <w:rFonts w:ascii="Arial" w:cs="Arial" w:eastAsia="Arial" w:hAnsi="Arial"/>
          <w:sz w:val="18"/>
          <w:szCs w:val="18"/>
          <w:color w:val="auto"/>
        </w:rPr>
        <w:t>On February 2, 2022, the Company’s joint venture in FlatIron Crossing replaced the existing $197 million loan on the property with a new $175 million loan that bears interest at SOFR plus 3.70% and matures on February 9, 2025, including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extension options. The loan is covered by an interest rate cap agreement that effectively prevents SOFR from exceeding 4.0% through February 15, 2024.</w:t>
      </w:r>
    </w:p>
    <w:p>
      <w:pPr>
        <w:spacing w:after="0" w:line="159"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On April 29, 2022, the Company replaced the existing $110.6 million loan on Pacific View with a new $72.0 million loan that bears interest at a fixed rate of 5.29% and matures on May 6, 2032.</w:t>
      </w:r>
    </w:p>
    <w:p>
      <w:pPr>
        <w:spacing w:after="0" w:line="115" w:lineRule="exact"/>
        <w:rPr>
          <w:sz w:val="20"/>
          <w:szCs w:val="20"/>
          <w:color w:val="auto"/>
        </w:rPr>
      </w:pPr>
    </w:p>
    <w:p>
      <w:pPr>
        <w:ind w:right="240" w:firstLine="435"/>
        <w:spacing w:after="0" w:line="262" w:lineRule="auto"/>
        <w:rPr>
          <w:sz w:val="20"/>
          <w:szCs w:val="20"/>
          <w:color w:val="auto"/>
        </w:rPr>
      </w:pPr>
      <w:r>
        <w:rPr>
          <w:rFonts w:ascii="Arial" w:cs="Arial" w:eastAsia="Arial" w:hAnsi="Arial"/>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115" w:lineRule="exact"/>
        <w:rPr>
          <w:sz w:val="20"/>
          <w:szCs w:val="20"/>
          <w:color w:val="auto"/>
        </w:rPr>
      </w:pPr>
    </w:p>
    <w:p>
      <w:pPr>
        <w:ind w:right="180" w:firstLine="435"/>
        <w:spacing w:after="0" w:line="262" w:lineRule="auto"/>
        <w:rPr>
          <w:sz w:val="20"/>
          <w:szCs w:val="20"/>
          <w:color w:val="auto"/>
        </w:rPr>
      </w:pPr>
      <w:r>
        <w:rPr>
          <w:rFonts w:ascii="Arial" w:cs="Arial" w:eastAsia="Arial" w:hAnsi="Arial"/>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101" w:lineRule="exact"/>
        <w:rPr>
          <w:sz w:val="20"/>
          <w:szCs w:val="20"/>
          <w:color w:val="auto"/>
        </w:rPr>
      </w:pPr>
    </w:p>
    <w:p>
      <w:pPr>
        <w:ind w:right="40" w:firstLine="435"/>
        <w:spacing w:after="0" w:line="262" w:lineRule="auto"/>
        <w:rPr>
          <w:sz w:val="20"/>
          <w:szCs w:val="20"/>
          <w:color w:val="auto"/>
        </w:rPr>
      </w:pPr>
      <w:r>
        <w:rPr>
          <w:rFonts w:ascii="Arial" w:cs="Arial" w:eastAsia="Arial" w:hAnsi="Arial"/>
          <w:sz w:val="18"/>
          <w:szCs w:val="18"/>
          <w:color w:val="auto"/>
        </w:rPr>
        <w:t>The Company did not repay the loan on Towne Mall on its maturity date of November 1, 2022, and has begun the process of transitioning the property to a loan receiver.</w:t>
      </w:r>
    </w:p>
    <w:p>
      <w:pPr>
        <w:spacing w:after="0" w:line="115" w:lineRule="exact"/>
        <w:rPr>
          <w:sz w:val="20"/>
          <w:szCs w:val="20"/>
          <w:color w:val="auto"/>
        </w:rPr>
      </w:pPr>
    </w:p>
    <w:p>
      <w:pPr>
        <w:ind w:right="140" w:firstLine="435"/>
        <w:spacing w:after="0" w:line="250" w:lineRule="auto"/>
        <w:rPr>
          <w:sz w:val="20"/>
          <w:szCs w:val="20"/>
          <w:color w:val="auto"/>
        </w:rPr>
      </w:pPr>
      <w:r>
        <w:rPr>
          <w:rFonts w:ascii="Arial" w:cs="Arial" w:eastAsia="Arial" w:hAnsi="Arial"/>
          <w:sz w:val="18"/>
          <w:szCs w:val="18"/>
          <w:color w:val="auto"/>
        </w:rPr>
        <w:t>On November 14, 2022, the Company’s joint venture in Washington Square extended the maturity date on the $503.0 million loan on the property to November 1, 2026, including extension options. The loan bears interest at a floating interest rate of SOFR plus 4.0%, subject to an interest rate cap agreement that effectively prevents SOFR from exceeding 4.0% through November 1, 2023. The joint venture repaid $15.0 million ($9.0 million at the Company's pro rata share) of the loan at closing.</w:t>
      </w:r>
    </w:p>
    <w:p>
      <w:pPr>
        <w:spacing w:after="0" w:line="126" w:lineRule="exact"/>
        <w:rPr>
          <w:sz w:val="20"/>
          <w:szCs w:val="20"/>
          <w:color w:val="auto"/>
        </w:rPr>
      </w:pPr>
    </w:p>
    <w:p>
      <w:pPr>
        <w:ind w:right="480" w:firstLine="435"/>
        <w:spacing w:after="0" w:line="262" w:lineRule="auto"/>
        <w:rPr>
          <w:sz w:val="20"/>
          <w:szCs w:val="20"/>
          <w:color w:val="auto"/>
        </w:rPr>
      </w:pPr>
      <w:r>
        <w:rPr>
          <w:rFonts w:ascii="Arial" w:cs="Arial" w:eastAsia="Arial" w:hAnsi="Arial"/>
          <w:sz w:val="18"/>
          <w:szCs w:val="18"/>
          <w:color w:val="auto"/>
        </w:rPr>
        <w:t>On December 9, 2022, the Company extended the maturity date on the $300.0 million loan on Santa Monica Place to December 9, 2025, including extension options. The loan bears interest at a floating interest rate of LIBOR plus 1.48%.</w:t>
      </w:r>
    </w:p>
    <w:p>
      <w:pPr>
        <w:spacing w:after="0" w:line="101" w:lineRule="exact"/>
        <w:rPr>
          <w:sz w:val="20"/>
          <w:szCs w:val="20"/>
          <w:color w:val="auto"/>
        </w:rPr>
      </w:pPr>
    </w:p>
    <w:p>
      <w:pPr>
        <w:ind w:right="200" w:firstLine="435"/>
        <w:spacing w:after="0" w:line="253" w:lineRule="auto"/>
        <w:rPr>
          <w:sz w:val="20"/>
          <w:szCs w:val="20"/>
          <w:color w:val="auto"/>
        </w:rPr>
      </w:pPr>
      <w:r>
        <w:rPr>
          <w:rFonts w:ascii="Arial" w:cs="Arial" w:eastAsia="Arial" w:hAnsi="Arial"/>
          <w:sz w:val="18"/>
          <w:szCs w:val="18"/>
          <w:color w:val="auto"/>
        </w:rPr>
        <w:t>On January 3, 2023, the Company replaced the existing $363.0 million of combined loans on Green Acres Mall and Green Acres Commons, both of which were scheduled to mature during the first quarter of 2023, with a $370.0 million loan that bears interest at a fixed rate of 5.90%, is interest only during the entire loan term and matures on January 6, 2028.</w:t>
      </w:r>
    </w:p>
    <w:p>
      <w:pPr>
        <w:spacing w:after="0" w:line="123" w:lineRule="exact"/>
        <w:rPr>
          <w:sz w:val="20"/>
          <w:szCs w:val="20"/>
          <w:color w:val="auto"/>
        </w:rPr>
      </w:pPr>
    </w:p>
    <w:p>
      <w:pPr>
        <w:ind w:right="60" w:firstLine="435"/>
        <w:spacing w:after="0" w:line="262" w:lineRule="auto"/>
        <w:rPr>
          <w:sz w:val="20"/>
          <w:szCs w:val="20"/>
          <w:color w:val="auto"/>
        </w:rPr>
      </w:pPr>
      <w:r>
        <w:rPr>
          <w:rFonts w:ascii="Arial" w:cs="Arial" w:eastAsia="Arial" w:hAnsi="Arial"/>
          <w:sz w:val="18"/>
          <w:szCs w:val="18"/>
          <w:color w:val="auto"/>
        </w:rPr>
        <w:t>On January 20, 2023, the Company exercised its one-year extension option of the loan on Fashion District Philadelphia to January 22, 2024. The interest rate is SOFR plus 3.60% and the Company repaid $26.1 million of the outstanding loan balance at closing.</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joint venture that owns Scottsdale Fashion Square expects to replace the existing $406 million mortgage loan on the property with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$700 million, five-year, fixed-rate loan. The Company expects the joint venture to close this refinancing during the first quarter of 2023, subject to negotiating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final documentation and customary closing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149" w:lineRule="exact"/>
        <w:rPr>
          <w:sz w:val="20"/>
          <w:szCs w:val="20"/>
          <w:color w:val="auto"/>
        </w:rPr>
      </w:pPr>
    </w:p>
    <w:p>
      <w:pPr>
        <w:jc w:val="both"/>
        <w:ind w:right="260" w:firstLine="435"/>
        <w:spacing w:after="0" w:line="325" w:lineRule="auto"/>
        <w:rPr>
          <w:sz w:val="20"/>
          <w:szCs w:val="20"/>
          <w:color w:val="auto"/>
        </w:rPr>
      </w:pPr>
      <w:r>
        <w:rPr>
          <w:rFonts w:ascii="Arial" w:cs="Arial" w:eastAsia="Arial" w:hAnsi="Arial"/>
          <w:sz w:val="16"/>
          <w:szCs w:val="16"/>
          <w:color w:val="auto"/>
        </w:rPr>
        <w:t>The Company has a 50/50 joint venture with Simon Property Group, which was initially formed to develop Los Angeles Premium Outlets, a premium outlet center in Carson, California. The Company has funded $38.6 million of the total $77.2 million incurred by the joint venture as of December 31, 2022.</w:t>
      </w:r>
    </w:p>
    <w:p>
      <w:pPr>
        <w:spacing w:after="0" w:line="68" w:lineRule="exact"/>
        <w:rPr>
          <w:sz w:val="20"/>
          <w:szCs w:val="20"/>
          <w:color w:val="auto"/>
        </w:rPr>
      </w:pPr>
    </w:p>
    <w:p>
      <w:pPr>
        <w:ind w:right="60" w:firstLine="435"/>
        <w:spacing w:after="0" w:line="250" w:lineRule="auto"/>
        <w:rPr>
          <w:sz w:val="20"/>
          <w:szCs w:val="20"/>
          <w:color w:val="auto"/>
        </w:rPr>
      </w:pPr>
      <w:r>
        <w:rPr>
          <w:rFonts w:ascii="Arial" w:cs="Arial" w:eastAsia="Arial" w:hAnsi="Arial"/>
          <w:sz w:val="18"/>
          <w:szCs w:val="18"/>
          <w:color w:val="auto"/>
        </w:rPr>
        <w:t>The Company is redeveloping an approximately 150,000 square foot, three-level space (formerly occupied by Bloomingdale’s and Arclight Theatre) at Santa Monica Place, a 527,000 square foot regional town center in Santa Monica, California, with an entertainment destination use, high-end fitness, and co-working space. The total cost of the project is estimated to be between $35.0 million and $40.0 million. The Company has incurred approximately $1.2 million as of December 31, 2022. The anticipated opening is in 2024.</w:t>
      </w:r>
    </w:p>
    <w:p>
      <w:pPr>
        <w:spacing w:after="0" w:line="112" w:lineRule="exact"/>
        <w:rPr>
          <w:sz w:val="20"/>
          <w:szCs w:val="20"/>
          <w:color w:val="auto"/>
        </w:rPr>
      </w:pPr>
    </w:p>
    <w:p>
      <w:pPr>
        <w:jc w:val="both"/>
        <w:ind w:right="180" w:firstLine="435"/>
        <w:spacing w:after="0" w:line="250" w:lineRule="auto"/>
        <w:rPr>
          <w:sz w:val="20"/>
          <w:szCs w:val="20"/>
          <w:color w:val="auto"/>
        </w:rPr>
      </w:pPr>
      <w:r>
        <w:rPr>
          <w:rFonts w:ascii="Arial" w:cs="Arial" w:eastAsia="Arial" w:hAnsi="Arial"/>
          <w:sz w:val="18"/>
          <w:szCs w:val="18"/>
          <w:color w:val="auto"/>
        </w:rPr>
        <w:t>The Company’s joint venture in Scottsdale Fashion Square, a 1,884,000 square foot regional town center in Scottsdale, Arizona, is redeveloping a two-level Nordstrom wing with luxury-focused retail and restaurant uses. The total cost of the project is estimated to be between $80.0 million and $90.0 million, with $40.0 million and $45.0 million estimated to be the Company’s pro rata share. The Company has incurred $2.6 million of the total $5.1 million incurred by the joint venture as of December 31, 2022. The anticipated opening is in 2024.</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Transactions and Events:</w:t>
      </w:r>
    </w:p>
    <w:p>
      <w:pPr>
        <w:spacing w:after="0" w:line="136" w:lineRule="exact"/>
        <w:rPr>
          <w:sz w:val="20"/>
          <w:szCs w:val="20"/>
          <w:color w:val="auto"/>
        </w:rPr>
      </w:pPr>
    </w:p>
    <w:p>
      <w:pPr>
        <w:ind w:firstLine="435"/>
        <w:spacing w:after="0" w:line="231" w:lineRule="auto"/>
        <w:rPr>
          <w:sz w:val="20"/>
          <w:szCs w:val="20"/>
          <w:color w:val="auto"/>
        </w:rPr>
      </w:pPr>
      <w:r>
        <w:rPr>
          <w:rFonts w:ascii="Arial" w:cs="Arial" w:eastAsia="Arial" w:hAnsi="Arial"/>
          <w:sz w:val="18"/>
          <w:szCs w:val="18"/>
          <w:color w:val="auto"/>
        </w:rPr>
        <w:t>The Company declared a cash dividend of $0.15 per share of its common stock for each of the first three quarters of 2022 and a cash dividend of $0.17 per share of its common stock for the fourth quarter of 2022. On January 27, 2023, the Company announced a first quarter cash dividend of $0.17 per share of its common stock, which will be paid on March 3, 2023 to stockholders of record on February 17, 2023. The dividend amount will be reviewed by the Board on a quarterly basis. See “Liquidity and Capital Resources” for a further discussion of the Company’s anticipated liquidity needs, and the measures taken by the Company to meet those needs.</w:t>
      </w:r>
    </w:p>
    <w:p>
      <w:pPr>
        <w:spacing w:after="0" w:line="137" w:lineRule="exact"/>
        <w:rPr>
          <w:sz w:val="20"/>
          <w:szCs w:val="20"/>
          <w:color w:val="auto"/>
        </w:rPr>
      </w:pPr>
    </w:p>
    <w:p>
      <w:pPr>
        <w:ind w:right="540" w:firstLine="435"/>
        <w:spacing w:after="0" w:line="262" w:lineRule="auto"/>
        <w:rPr>
          <w:sz w:val="20"/>
          <w:szCs w:val="20"/>
          <w:color w:val="auto"/>
        </w:rPr>
      </w:pPr>
      <w:r>
        <w:rPr>
          <w:rFonts w:ascii="Arial" w:cs="Arial" w:eastAsia="Arial" w:hAnsi="Arial"/>
          <w:sz w:val="18"/>
          <w:szCs w:val="18"/>
          <w:color w:val="auto"/>
        </w:rPr>
        <w:t>In connection with the commencement of separate "at the market" offering programs, on each of February 1, 2021 and March 26, 2021, which are referred to as the "February 2021 ATM Program" and the "March 2021 ATM Program,"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2" w:name="page43"/>
    <w:bookmarkEnd w:id="42"/>
    <w:p>
      <w:pPr>
        <w:ind w:right="160"/>
        <w:spacing w:after="0" w:line="248" w:lineRule="auto"/>
        <w:rPr>
          <w:sz w:val="20"/>
          <w:szCs w:val="20"/>
          <w:color w:val="auto"/>
        </w:rPr>
      </w:pPr>
      <w:r>
        <w:rPr>
          <w:rFonts w:ascii="Arial" w:cs="Arial" w:eastAsia="Arial" w:hAnsi="Arial"/>
          <w:sz w:val="18"/>
          <w:szCs w:val="18"/>
          <w:color w:val="auto"/>
        </w:rPr>
        <w:t>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December 31, 2022, the Company had approximately $151.7 million of gross sales of its common stock available under the March 2021 ATM Program. The February 2021 ATM Program was fully utilized as of June 30, 2021 and is no longer active.</w:t>
      </w:r>
    </w:p>
    <w:p>
      <w:pPr>
        <w:spacing w:after="0" w:line="116" w:lineRule="exact"/>
        <w:rPr>
          <w:sz w:val="20"/>
          <w:szCs w:val="20"/>
          <w:color w:val="auto"/>
        </w:rPr>
      </w:pPr>
    </w:p>
    <w:p>
      <w:pPr>
        <w:ind w:right="600" w:firstLine="435"/>
        <w:spacing w:after="0" w:line="262" w:lineRule="auto"/>
        <w:rPr>
          <w:sz w:val="20"/>
          <w:szCs w:val="20"/>
          <w:color w:val="auto"/>
        </w:rPr>
      </w:pPr>
      <w:r>
        <w:rPr>
          <w:rFonts w:ascii="Arial" w:cs="Arial" w:eastAsia="Arial" w:hAnsi="Arial"/>
          <w:sz w:val="18"/>
          <w:szCs w:val="18"/>
          <w:color w:val="auto"/>
        </w:rPr>
        <w:t>See “Outlook” in Results of Operations for a further discussion of the forward-looking impact of COVID-19 and the Company’s strategic plan to mitigate the anticipated negative impact on its financial condition and results of operations.</w:t>
      </w:r>
    </w:p>
    <w:p>
      <w:pPr>
        <w:spacing w:after="0" w:line="115" w:lineRule="exact"/>
        <w:rPr>
          <w:sz w:val="20"/>
          <w:szCs w:val="20"/>
          <w:color w:val="auto"/>
        </w:rPr>
      </w:pPr>
    </w:p>
    <w:p>
      <w:pPr>
        <w:ind w:right="160" w:firstLine="435"/>
        <w:spacing w:after="0" w:line="325" w:lineRule="auto"/>
        <w:rPr>
          <w:sz w:val="20"/>
          <w:szCs w:val="20"/>
          <w:color w:val="auto"/>
        </w:rPr>
      </w:pPr>
      <w:r>
        <w:rPr>
          <w:rFonts w:ascii="Arial" w:cs="Arial" w:eastAsia="Arial" w:hAnsi="Arial"/>
          <w:sz w:val="16"/>
          <w:szCs w:val="16"/>
          <w:color w:val="auto"/>
        </w:rPr>
        <w:t>See “Item 7. Management’s Discussion and Analysis of Financial Condition and Results of Operations—Liquidity and Capital Resources” for a further discussion of the Company’s anticipated liquidity needs, and the measures taken by the Company to meet those needs.</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Inflation:</w:t>
      </w:r>
    </w:p>
    <w:p>
      <w:pPr>
        <w:spacing w:after="0" w:line="136" w:lineRule="exact"/>
        <w:rPr>
          <w:sz w:val="20"/>
          <w:szCs w:val="20"/>
          <w:color w:val="auto"/>
        </w:rPr>
      </w:pPr>
    </w:p>
    <w:p>
      <w:pPr>
        <w:ind w:right="180" w:firstLine="435"/>
        <w:spacing w:after="0" w:line="283" w:lineRule="auto"/>
        <w:rPr>
          <w:sz w:val="20"/>
          <w:szCs w:val="20"/>
          <w:color w:val="auto"/>
        </w:rPr>
      </w:pPr>
      <w:r>
        <w:rPr>
          <w:rFonts w:ascii="Arial" w:cs="Arial" w:eastAsia="Arial" w:hAnsi="Arial"/>
          <w:sz w:val="16"/>
          <w:szCs w:val="16"/>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(See "Item I. Business of the Company—Lease Expirations"),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2022 and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5"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2" w:lineRule="exact"/>
        <w:rPr>
          <w:sz w:val="20"/>
          <w:szCs w:val="20"/>
          <w:color w:val="auto"/>
        </w:rPr>
      </w:pPr>
    </w:p>
    <w:p>
      <w:pPr>
        <w:ind w:right="20" w:firstLine="435"/>
        <w:spacing w:after="0" w:line="316" w:lineRule="auto"/>
        <w:rPr>
          <w:sz w:val="20"/>
          <w:szCs w:val="20"/>
          <w:color w:val="auto"/>
        </w:rPr>
      </w:pPr>
      <w:r>
        <w:rPr>
          <w:rFonts w:ascii="Arial" w:cs="Arial" w:eastAsia="Arial" w:hAnsi="Arial"/>
          <w:sz w:val="15"/>
          <w:szCs w:val="15"/>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149" w:lineRule="exact"/>
        <w:rPr>
          <w:sz w:val="20"/>
          <w:szCs w:val="20"/>
          <w:color w:val="auto"/>
        </w:rPr>
      </w:pPr>
    </w:p>
    <w:p>
      <w:pPr>
        <w:ind w:right="20" w:firstLine="435"/>
        <w:spacing w:after="0" w:line="278" w:lineRule="auto"/>
        <w:rPr>
          <w:sz w:val="20"/>
          <w:szCs w:val="20"/>
          <w:color w:val="auto"/>
        </w:rPr>
      </w:pPr>
      <w:r>
        <w:rPr>
          <w:rFonts w:ascii="Arial" w:cs="Arial" w:eastAsia="Arial" w:hAnsi="Arial"/>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3" w:name="page44"/>
    <w:bookmarkEnd w:id="43"/>
    <w:p>
      <w:pPr>
        <w:ind w:right="140"/>
        <w:spacing w:after="0" w:line="248" w:lineRule="auto"/>
        <w:rPr>
          <w:sz w:val="20"/>
          <w:szCs w:val="20"/>
          <w:color w:val="auto"/>
        </w:rPr>
      </w:pPr>
      <w:r>
        <w:rPr>
          <w:rFonts w:ascii="Arial" w:cs="Arial" w:eastAsia="Arial" w:hAnsi="Arial"/>
          <w:sz w:val="18"/>
          <w:szCs w:val="18"/>
          <w:color w:val="auto"/>
        </w:rPr>
        <w:t>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116" w:lineRule="exact"/>
        <w:rPr>
          <w:sz w:val="20"/>
          <w:szCs w:val="20"/>
          <w:color w:val="auto"/>
        </w:rPr>
      </w:pPr>
    </w:p>
    <w:p>
      <w:pPr>
        <w:ind w:right="20" w:firstLine="435"/>
        <w:spacing w:after="0" w:line="291" w:lineRule="auto"/>
        <w:rPr>
          <w:sz w:val="20"/>
          <w:szCs w:val="20"/>
          <w:color w:val="auto"/>
        </w:rPr>
      </w:pPr>
      <w:r>
        <w:rPr>
          <w:rFonts w:ascii="Arial" w:cs="Arial" w:eastAsia="Arial" w:hAnsi="Arial"/>
          <w:sz w:val="16"/>
          <w:szCs w:val="16"/>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Impairment:</w:t>
      </w:r>
    </w:p>
    <w:p>
      <w:pPr>
        <w:spacing w:after="0" w:line="149" w:lineRule="exact"/>
        <w:rPr>
          <w:sz w:val="20"/>
          <w:szCs w:val="20"/>
          <w:color w:val="auto"/>
        </w:rPr>
      </w:pPr>
    </w:p>
    <w:p>
      <w:pPr>
        <w:ind w:right="20" w:firstLine="435"/>
        <w:spacing w:after="0" w:line="282"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89" w:lineRule="exact"/>
        <w:rPr>
          <w:sz w:val="20"/>
          <w:szCs w:val="20"/>
          <w:color w:val="auto"/>
        </w:rPr>
      </w:pPr>
    </w:p>
    <w:p>
      <w:pPr>
        <w:jc w:val="both"/>
        <w:ind w:right="80" w:firstLine="435"/>
        <w:spacing w:after="0" w:line="253"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9" w:lineRule="exact"/>
        <w:rPr>
          <w:sz w:val="20"/>
          <w:szCs w:val="20"/>
          <w:color w:val="auto"/>
        </w:rPr>
      </w:pPr>
    </w:p>
    <w:p>
      <w:pPr>
        <w:jc w:val="both"/>
        <w:ind w:right="80" w:firstLine="435"/>
        <w:spacing w:after="0" w:line="262"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01"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02" w:lineRule="exact"/>
        <w:rPr>
          <w:sz w:val="20"/>
          <w:szCs w:val="20"/>
          <w:color w:val="auto"/>
        </w:rPr>
      </w:pPr>
    </w:p>
    <w:p>
      <w:pPr>
        <w:ind w:right="120" w:firstLine="435"/>
        <w:spacing w:after="0" w:line="253"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23" w:lineRule="exact"/>
        <w:rPr>
          <w:sz w:val="20"/>
          <w:szCs w:val="20"/>
          <w:color w:val="auto"/>
        </w:rPr>
      </w:pPr>
    </w:p>
    <w:p>
      <w:pPr>
        <w:ind w:right="120" w:firstLine="435"/>
        <w:spacing w:after="0" w:line="291" w:lineRule="auto"/>
        <w:rPr>
          <w:sz w:val="20"/>
          <w:szCs w:val="20"/>
          <w:color w:val="auto"/>
        </w:rPr>
      </w:pPr>
      <w:r>
        <w:rPr>
          <w:rFonts w:ascii="Arial" w:cs="Arial" w:eastAsia="Arial" w:hAnsi="Arial"/>
          <w:sz w:val="16"/>
          <w:szCs w:val="16"/>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3"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142" w:lineRule="exact"/>
        <w:rPr>
          <w:sz w:val="20"/>
          <w:szCs w:val="20"/>
          <w:color w:val="auto"/>
        </w:rPr>
      </w:pPr>
    </w:p>
    <w:p>
      <w:pPr>
        <w:ind w:right="240" w:firstLine="435"/>
        <w:spacing w:after="0" w:line="362" w:lineRule="auto"/>
        <w:rPr>
          <w:sz w:val="20"/>
          <w:szCs w:val="20"/>
          <w:color w:val="auto"/>
        </w:rPr>
      </w:pPr>
      <w:r>
        <w:rPr>
          <w:rFonts w:ascii="Arial" w:cs="Arial" w:eastAsia="Arial" w:hAnsi="Arial"/>
          <w:sz w:val="15"/>
          <w:szCs w:val="15"/>
          <w:color w:val="auto"/>
        </w:rPr>
        <w:t>Many of the variations in the results of operations, discussed below, occurred because of the transactions affecting the Company's properties described above, including those related to the Redevelopment Properties, the JV Transition Centers and the Disposition Properties (each as defined below).</w:t>
      </w:r>
    </w:p>
    <w:p>
      <w:pPr>
        <w:spacing w:after="0" w:line="46" w:lineRule="exact"/>
        <w:rPr>
          <w:sz w:val="20"/>
          <w:szCs w:val="20"/>
          <w:color w:val="auto"/>
        </w:rPr>
      </w:pPr>
    </w:p>
    <w:p>
      <w:pPr>
        <w:ind w:right="20" w:firstLine="435"/>
        <w:spacing w:after="0" w:line="283" w:lineRule="auto"/>
        <w:rPr>
          <w:sz w:val="20"/>
          <w:szCs w:val="20"/>
          <w:color w:val="auto"/>
        </w:rPr>
      </w:pPr>
      <w:r>
        <w:rPr>
          <w:rFonts w:ascii="Arial" w:cs="Arial" w:eastAsia="Arial" w:hAnsi="Arial"/>
          <w:sz w:val="16"/>
          <w:szCs w:val="16"/>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the JV Transition Centers and the Disposition Properties for the periods of comparison.</w:t>
      </w:r>
    </w:p>
    <w:p>
      <w:pPr>
        <w:spacing w:after="0" w:line="102" w:lineRule="exact"/>
        <w:rPr>
          <w:sz w:val="20"/>
          <w:szCs w:val="20"/>
          <w:color w:val="auto"/>
        </w:rPr>
      </w:pPr>
    </w:p>
    <w:p>
      <w:pPr>
        <w:ind w:right="120" w:firstLine="435"/>
        <w:spacing w:after="0" w:line="262" w:lineRule="auto"/>
        <w:rPr>
          <w:sz w:val="20"/>
          <w:szCs w:val="20"/>
          <w:color w:val="auto"/>
        </w:rPr>
      </w:pPr>
      <w:r>
        <w:rPr>
          <w:rFonts w:ascii="Arial" w:cs="Arial" w:eastAsia="Arial" w:hAnsi="Arial"/>
          <w:sz w:val="18"/>
          <w:szCs w:val="18"/>
          <w:color w:val="auto"/>
        </w:rPr>
        <w:t>For the comparison of the year ended December 31, 2021 to the year ended December 31, 2020, the Redevelopment Properties are Paradise Valley Mall and certain ground up developments.</w:t>
      </w:r>
    </w:p>
    <w:p>
      <w:pPr>
        <w:spacing w:after="0" w:line="101" w:lineRule="exact"/>
        <w:rPr>
          <w:sz w:val="20"/>
          <w:szCs w:val="20"/>
          <w:color w:val="auto"/>
        </w:rPr>
      </w:pPr>
    </w:p>
    <w:p>
      <w:pPr>
        <w:ind w:right="60" w:firstLine="435"/>
        <w:spacing w:after="0" w:line="310" w:lineRule="auto"/>
        <w:rPr>
          <w:sz w:val="20"/>
          <w:szCs w:val="20"/>
          <w:color w:val="auto"/>
        </w:rPr>
      </w:pPr>
      <w:r>
        <w:rPr>
          <w:rFonts w:ascii="Arial" w:cs="Arial" w:eastAsia="Arial" w:hAnsi="Arial"/>
          <w:sz w:val="15"/>
          <w:szCs w:val="15"/>
          <w:color w:val="auto"/>
        </w:rPr>
        <w:t>For the comparison of the year ended December 31, 2022 to the year ended December 31, 2021, the JV Transition Centers are the two former Sears parcels at Deptford Mall and Vintage Faire Mall (See "Acquisitions" in Management's Overview and Summary), and for the comparison of the year ended December 31, 2021 to the year ended December 31, 2020, the JV Transition Centers are Fashion District Philadelphia and Sears South Plains. The change in revenues and expenses at the JV Transition Centers is primarily due to the conversion of Fashion District Philadelphia from an Unconsolidated Joint Venture Center to a Consolidated Center (See Note 15–Consolidated Joint Venture and Acquisitions in the Company's Notes to the Consolidated Financial Statements).</w:t>
      </w:r>
    </w:p>
    <w:p>
      <w:pPr>
        <w:spacing w:after="0" w:line="85" w:lineRule="exact"/>
        <w:rPr>
          <w:sz w:val="20"/>
          <w:szCs w:val="20"/>
          <w:color w:val="auto"/>
        </w:rPr>
      </w:pPr>
    </w:p>
    <w:p>
      <w:pPr>
        <w:ind w:right="380" w:firstLine="435"/>
        <w:spacing w:after="0" w:line="325" w:lineRule="auto"/>
        <w:rPr>
          <w:sz w:val="20"/>
          <w:szCs w:val="20"/>
          <w:color w:val="auto"/>
        </w:rPr>
      </w:pPr>
      <w:r>
        <w:rPr>
          <w:rFonts w:ascii="Arial" w:cs="Arial" w:eastAsia="Arial" w:hAnsi="Arial"/>
          <w:sz w:val="16"/>
          <w:szCs w:val="16"/>
          <w:color w:val="auto"/>
        </w:rPr>
        <w:t>For the comparison of the year ended December 31, 2022 to the year ended December 31, 2021 and the comparison of the year ended December 31, 2021 to the year ended December 31, 2020, the Disposition Properties are Paradise Valley Mall and Tucson La Encantada.</w:t>
      </w:r>
    </w:p>
    <w:p>
      <w:pPr>
        <w:spacing w:after="0" w:line="68" w:lineRule="exact"/>
        <w:rPr>
          <w:sz w:val="20"/>
          <w:szCs w:val="20"/>
          <w:color w:val="auto"/>
        </w:rPr>
      </w:pPr>
    </w:p>
    <w:p>
      <w:pPr>
        <w:ind w:right="360" w:firstLine="435"/>
        <w:spacing w:after="0" w:line="262"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(loss) of unconsolidated joint ventures.</w:t>
      </w:r>
    </w:p>
    <w:p>
      <w:pPr>
        <w:spacing w:after="0" w:line="101" w:lineRule="exact"/>
        <w:rPr>
          <w:sz w:val="20"/>
          <w:szCs w:val="20"/>
          <w:color w:val="auto"/>
        </w:rPr>
      </w:pPr>
    </w:p>
    <w:p>
      <w:pPr>
        <w:ind w:right="300" w:firstLine="435"/>
        <w:spacing w:after="0" w:line="250" w:lineRule="auto"/>
        <w:rPr>
          <w:sz w:val="20"/>
          <w:szCs w:val="20"/>
          <w:color w:val="auto"/>
        </w:rPr>
      </w:pPr>
      <w:r>
        <w:rPr>
          <w:rFonts w:ascii="Arial" w:cs="Arial" w:eastAsia="Arial" w:hAnsi="Arial"/>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26" w:lineRule="exact"/>
        <w:rPr>
          <w:sz w:val="20"/>
          <w:szCs w:val="20"/>
          <w:color w:val="auto"/>
        </w:rPr>
      </w:pPr>
    </w:p>
    <w:p>
      <w:pPr>
        <w:ind w:right="20" w:firstLine="435"/>
        <w:spacing w:after="0" w:line="287" w:lineRule="auto"/>
        <w:rPr>
          <w:sz w:val="20"/>
          <w:szCs w:val="20"/>
          <w:color w:val="auto"/>
        </w:rPr>
      </w:pPr>
      <w:r>
        <w:rPr>
          <w:rFonts w:ascii="Arial" w:cs="Arial" w:eastAsia="Arial" w:hAnsi="Arial"/>
          <w:sz w:val="16"/>
          <w:szCs w:val="16"/>
          <w:color w:val="auto"/>
        </w:rPr>
        <w:t>During the trailing twelve months ended December 31, 2022, comparable tenant sales for spaces less than 10,000 square feet across the portfolio increased by 2.8% compared to the time frame in 2021. The leased occupancy rate of 92.6% at December 31, 2022 represented a 1.1% increase from 91.5% at December 31, 2021 and a 0.5% sequential increase compared to the 92.1% occupancy rate at September 30, 2022. Releasing spreads increased as the Company executed leases at an average rent of $60.48 for new and renewal leases executed compared to $58.16 on leases expiring, resulting in a releasing spread increase of $2.32 per square foot, or 4%, for the trailing twelve months ended December 31, 2022.</w:t>
      </w:r>
    </w:p>
    <w:p>
      <w:pPr>
        <w:spacing w:after="0" w:line="99" w:lineRule="exact"/>
        <w:rPr>
          <w:sz w:val="20"/>
          <w:szCs w:val="20"/>
          <w:color w:val="auto"/>
        </w:rPr>
      </w:pPr>
    </w:p>
    <w:p>
      <w:pPr>
        <w:ind w:firstLine="435"/>
        <w:spacing w:after="0" w:line="247" w:lineRule="auto"/>
        <w:rPr>
          <w:sz w:val="20"/>
          <w:szCs w:val="20"/>
          <w:color w:val="auto"/>
        </w:rPr>
      </w:pPr>
      <w:r>
        <w:rPr>
          <w:rFonts w:ascii="Arial" w:cs="Arial" w:eastAsia="Arial" w:hAnsi="Arial"/>
          <w:sz w:val="18"/>
          <w:szCs w:val="18"/>
          <w:color w:val="auto"/>
        </w:rPr>
        <w:t>The Company continues to renew or replace leases that are scheduled to expire in 2023, however, for a variety of factors, the Company cannot be certain of its ability to sign, renew or replace leases expiring in 2023 or beyond. These leases that are scheduled to expire represent approximately 1.0 million square feet of the Centers, accounting for 18.14% of the GLA of mall stores and freestanding stores, for spaces 10,000 square feet and under, as of December 31, 2022. These calculations exclude Centers under development or redevelopment and property dispositions (See “Acquisitions,” "Dispositions" and "Redevelopment and Development Activities" in Management's Overview and Summary), and include square footage of Centers owned by joint ventures at the Company’s share.</w:t>
      </w:r>
    </w:p>
    <w:p>
      <w:pPr>
        <w:spacing w:after="0" w:line="118" w:lineRule="exact"/>
        <w:rPr>
          <w:sz w:val="20"/>
          <w:szCs w:val="20"/>
          <w:color w:val="auto"/>
        </w:rPr>
      </w:pPr>
    </w:p>
    <w:p>
      <w:pPr>
        <w:ind w:right="220" w:firstLine="435"/>
        <w:spacing w:after="0" w:line="250" w:lineRule="auto"/>
        <w:rPr>
          <w:sz w:val="20"/>
          <w:szCs w:val="20"/>
          <w:color w:val="auto"/>
        </w:rPr>
      </w:pPr>
      <w:r>
        <w:rPr>
          <w:rFonts w:ascii="Arial" w:cs="Arial" w:eastAsia="Arial" w:hAnsi="Arial"/>
          <w:sz w:val="18"/>
          <w:szCs w:val="18"/>
          <w:color w:val="auto"/>
        </w:rPr>
        <w:t>2023 lease expirations continue to be an important focal point for the Company. As of December 31, 2022, the Company has executed leases or commitments from retailers that are in lease documentation for 52% of the leased space expiring in 2023, and another 27% of such expiring space is in the letter of intent stage. Excluding those leases, the remaining leases expiring in 2023, which represent approximately 600,000 square feet of the Centers, are in the prospecting stage.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5" w:name="page46"/>
    <w:bookmarkEnd w:id="45"/>
    <w:p>
      <w:pPr>
        <w:ind w:right="160" w:firstLine="435"/>
        <w:spacing w:after="0" w:line="253" w:lineRule="auto"/>
        <w:rPr>
          <w:sz w:val="20"/>
          <w:szCs w:val="20"/>
          <w:color w:val="auto"/>
        </w:rPr>
      </w:pPr>
      <w:r>
        <w:rPr>
          <w:rFonts w:ascii="Arial" w:cs="Arial" w:eastAsia="Arial" w:hAnsi="Arial"/>
          <w:sz w:val="18"/>
          <w:szCs w:val="18"/>
          <w:color w:val="auto"/>
        </w:rPr>
        <w:t>The Company has entered into 123 leases for new stores totaling approximately 1.1 million square feet that have opened or are planned for opening in 2023, and another 17 leases for new stores totaling approximately 925,000 square feet opening after 2023. While there may be additional new space openings in 2023, any such leases are not yet executed.</w:t>
      </w:r>
    </w:p>
    <w:p>
      <w:pPr>
        <w:spacing w:after="0" w:line="109" w:lineRule="exact"/>
        <w:rPr>
          <w:sz w:val="20"/>
          <w:szCs w:val="20"/>
          <w:color w:val="auto"/>
        </w:rPr>
      </w:pPr>
    </w:p>
    <w:p>
      <w:pPr>
        <w:ind w:right="80" w:firstLine="435"/>
        <w:spacing w:after="0" w:line="362" w:lineRule="auto"/>
        <w:rPr>
          <w:sz w:val="20"/>
          <w:szCs w:val="20"/>
          <w:color w:val="auto"/>
        </w:rPr>
      </w:pPr>
      <w:r>
        <w:rPr>
          <w:rFonts w:ascii="Arial" w:cs="Arial" w:eastAsia="Arial" w:hAnsi="Arial"/>
          <w:sz w:val="15"/>
          <w:szCs w:val="15"/>
          <w:color w:val="auto"/>
        </w:rPr>
        <w:t>During the trailing twelve months ended December 31, 2022, the Company signed 314 new leases and 660 renewal leases comprising approximately 3.8 million square feet of GLA, of which 2.4 million square feet is related to the consolidated Centers. The average tenant allowance was $17.82 per square foot.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5" w:lineRule="exact"/>
        <w:rPr>
          <w:sz w:val="20"/>
          <w:szCs w:val="20"/>
          <w:color w:val="auto"/>
        </w:rPr>
      </w:pPr>
    </w:p>
    <w:p>
      <w:pPr>
        <w:ind w:right="80" w:firstLine="435"/>
        <w:spacing w:after="0" w:line="282" w:lineRule="auto"/>
        <w:rPr>
          <w:sz w:val="20"/>
          <w:szCs w:val="20"/>
          <w:color w:val="auto"/>
        </w:rPr>
      </w:pPr>
      <w:r>
        <w:rPr>
          <w:rFonts w:ascii="Arial" w:cs="Arial" w:eastAsia="Arial" w:hAnsi="Arial"/>
          <w:sz w:val="16"/>
          <w:szCs w:val="16"/>
          <w:color w:val="auto"/>
        </w:rPr>
        <w:t>The Company has a long-term four-pronged business strategy that focuses on the acquisition, leasing and management, redevelopment and development of Regional Town Centers. During 2022, the Company leased 3.8 million square feet, which represents the strongest year of leasing volume for the Company when measured on a comparable center basis since before the 2009 Global Financial Crisis. The Company’s portfolio also experienced the smallest volume of tenant bankruptcies since 2013. As of December 31, 2022, the Company’s portfolio leased occupancy was 92.6%, which has increased 4.1% in the past seven quarters since the pandemic-driven low of 88.5% as of March 31, 2021. The Company continues to make progress addressing the near-term maturities of its non-recourse mortgage debt, as further described below. Although fundamentals at the Centers continued to improve during 2022, operating results in 2023 could be negatively impacted by certain macro-economic factors, including any continued increase in inflation and interest rates or an economic slowdown or recession.</w:t>
      </w:r>
    </w:p>
    <w:p>
      <w:pPr>
        <w:spacing w:after="0" w:line="89" w:lineRule="exact"/>
        <w:rPr>
          <w:sz w:val="20"/>
          <w:szCs w:val="20"/>
          <w:color w:val="auto"/>
        </w:rPr>
      </w:pPr>
    </w:p>
    <w:p>
      <w:pPr>
        <w:ind w:right="100" w:firstLine="435"/>
        <w:spacing w:after="0" w:line="291" w:lineRule="auto"/>
        <w:rPr>
          <w:sz w:val="20"/>
          <w:szCs w:val="20"/>
          <w:color w:val="auto"/>
        </w:rPr>
      </w:pPr>
      <w:r>
        <w:rPr>
          <w:rFonts w:ascii="Arial" w:cs="Arial" w:eastAsia="Arial" w:hAnsi="Arial"/>
          <w:sz w:val="16"/>
          <w:szCs w:val="16"/>
          <w:color w:val="auto"/>
        </w:rPr>
        <w:t>The Company experienced a positive impact to its leasing revenue during the three and twelve months ended December 31, 2022. Leasing revenue increased by approximately 1.9% and 5.2%, compared to the three and twelve months ended December 31, 2021, respectively. This increase includes the joint ventures at the Company’s share and excludes the Disposition Properties and The Shops at Northbridge, at the Company’s share. Among other factors, the increase for the year was primarily due to increases in occupancy and from decreases in retroactive rent abatements incurred in 2022 compared to 2021.</w:t>
      </w:r>
    </w:p>
    <w:p>
      <w:pPr>
        <w:spacing w:after="0" w:line="96" w:lineRule="exact"/>
        <w:rPr>
          <w:sz w:val="20"/>
          <w:szCs w:val="20"/>
          <w:color w:val="auto"/>
        </w:rPr>
      </w:pPr>
    </w:p>
    <w:p>
      <w:pPr>
        <w:ind w:firstLine="435"/>
        <w:spacing w:after="0" w:line="248" w:lineRule="auto"/>
        <w:rPr>
          <w:sz w:val="20"/>
          <w:szCs w:val="20"/>
          <w:color w:val="auto"/>
        </w:rPr>
      </w:pPr>
      <w:r>
        <w:rPr>
          <w:rFonts w:ascii="Arial" w:cs="Arial" w:eastAsia="Arial" w:hAnsi="Arial"/>
          <w:sz w:val="18"/>
          <w:szCs w:val="18"/>
          <w:color w:val="auto"/>
        </w:rPr>
        <w:t>Traffic levels during the fourth quarter of 2022 continued to range in the mid 90%’s relative to the pre-pandemic fourth quarter of 2019. Similar traffic trends were generally consistent throughout all of 2022 when compared to pre-pandemic 2019. Comparable tenant sales from spaces less than 10,000 square feet across the portfolio for the trailing twelve months ended December 31, 2022 increased by 2.8% compared to the same period in 2021. Portfolio tenant sales per square foot for spaces less than 10,000 square feet for the trailing twelve months ended December 31, 2022 were $869 compared to $801 for the pre-pandemic trailing twelve months ended December 31, 2019.</w:t>
      </w:r>
    </w:p>
    <w:p>
      <w:pPr>
        <w:spacing w:after="0" w:line="129" w:lineRule="exact"/>
        <w:rPr>
          <w:sz w:val="20"/>
          <w:szCs w:val="20"/>
          <w:color w:val="auto"/>
        </w:rPr>
      </w:pPr>
    </w:p>
    <w:p>
      <w:pPr>
        <w:ind w:right="100" w:firstLine="435"/>
        <w:spacing w:after="0" w:line="253" w:lineRule="auto"/>
        <w:rPr>
          <w:sz w:val="20"/>
          <w:szCs w:val="20"/>
          <w:color w:val="auto"/>
        </w:rPr>
      </w:pPr>
      <w:r>
        <w:rPr>
          <w:rFonts w:ascii="Arial" w:cs="Arial" w:eastAsia="Arial" w:hAnsi="Arial"/>
          <w:sz w:val="18"/>
          <w:szCs w:val="18"/>
          <w:color w:val="auto"/>
        </w:rPr>
        <w:t>During 2022, the Company signed 974 new and renewal leases for approximately 3.8 million square feet, compared to 816 leases and 3.4 million square feet signed during 2021. This leasing volume represented a 19% increase in the number of leases and a 10% increase in the amount of square footage leased compared to the same period in 2021 on a comparable basis.</w:t>
      </w:r>
    </w:p>
    <w:p>
      <w:pPr>
        <w:spacing w:after="0" w:line="109" w:lineRule="exact"/>
        <w:rPr>
          <w:sz w:val="20"/>
          <w:szCs w:val="20"/>
          <w:color w:val="auto"/>
        </w:rPr>
      </w:pPr>
    </w:p>
    <w:p>
      <w:pPr>
        <w:ind w:right="180" w:firstLine="435"/>
        <w:spacing w:after="0" w:line="291" w:lineRule="auto"/>
        <w:rPr>
          <w:sz w:val="20"/>
          <w:szCs w:val="20"/>
          <w:color w:val="auto"/>
        </w:rPr>
      </w:pPr>
      <w:r>
        <w:rPr>
          <w:rFonts w:ascii="Arial" w:cs="Arial" w:eastAsia="Arial" w:hAnsi="Arial"/>
          <w:sz w:val="16"/>
          <w:szCs w:val="16"/>
          <w:color w:val="auto"/>
        </w:rPr>
        <w:t>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year ended December 31, 2022, the Company signed deals for new stores with new-to-Macerich portfolio uses for over 440,000 square feet, with another 210,000 square feet of such new-to-Macerich portfolio leases currently in negotiation as of the date of this Annual Report on Form 10-K.</w:t>
      </w:r>
    </w:p>
    <w:p>
      <w:pPr>
        <w:spacing w:after="0" w:line="96" w:lineRule="exact"/>
        <w:rPr>
          <w:sz w:val="20"/>
          <w:szCs w:val="20"/>
          <w:color w:val="auto"/>
        </w:rPr>
      </w:pPr>
    </w:p>
    <w:p>
      <w:pPr>
        <w:ind w:right="140" w:firstLine="435"/>
        <w:spacing w:after="0" w:line="262" w:lineRule="auto"/>
        <w:rPr>
          <w:sz w:val="20"/>
          <w:szCs w:val="20"/>
          <w:color w:val="auto"/>
        </w:rPr>
      </w:pPr>
      <w:r>
        <w:rPr>
          <w:rFonts w:ascii="Arial" w:cs="Arial" w:eastAsia="Arial" w:hAnsi="Arial"/>
          <w:sz w:val="18"/>
          <w:szCs w:val="18"/>
          <w:color w:val="auto"/>
        </w:rPr>
        <w:t>As of December 31, 2022, the leased occupancy rate increased to 92.6%, a 1.1% increase compared to the leased occupancy rate of 91.5% at December 31, 2021 and a 0.5% sequential increase compared to the leased occupancy rate of 92.1% at September 30, 2022.</w:t>
      </w:r>
    </w:p>
    <w:p>
      <w:pPr>
        <w:spacing w:after="0" w:line="115" w:lineRule="exact"/>
        <w:rPr>
          <w:sz w:val="20"/>
          <w:szCs w:val="20"/>
          <w:color w:val="auto"/>
        </w:rPr>
      </w:pPr>
    </w:p>
    <w:p>
      <w:pPr>
        <w:ind w:right="40" w:firstLine="435"/>
        <w:spacing w:after="0" w:line="284" w:lineRule="auto"/>
        <w:rPr>
          <w:sz w:val="20"/>
          <w:szCs w:val="20"/>
          <w:color w:val="auto"/>
        </w:rPr>
      </w:pPr>
      <w:r>
        <w:rPr>
          <w:rFonts w:ascii="Arial" w:cs="Arial" w:eastAsia="Arial" w:hAnsi="Arial"/>
          <w:sz w:val="16"/>
          <w:szCs w:val="16"/>
          <w:color w:val="auto"/>
        </w:rPr>
        <w:t>The Company’s rent collections through the year ended December 31, 2022 have been comparable to pre-COVID-19 levels for the year ended December 31, 2019. Prior to 2022, the Company completed the majority of its pandemic-driven negotiations with national and local tenants to secure rental payments. Those negotiations resulted in the Company entering into lease amendments that granted significant rental assistance in the form of rent deferral and/or rent reduction. 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90" w:lineRule="exact"/>
        <w:rPr>
          <w:sz w:val="20"/>
          <w:szCs w:val="20"/>
          <w:color w:val="auto"/>
        </w:rPr>
      </w:pPr>
    </w:p>
    <w:p>
      <w:pPr>
        <w:ind w:right="120" w:firstLine="435"/>
        <w:spacing w:after="0" w:line="287" w:lineRule="auto"/>
        <w:rPr>
          <w:sz w:val="20"/>
          <w:szCs w:val="20"/>
          <w:color w:val="auto"/>
        </w:rPr>
      </w:pPr>
      <w:r>
        <w:rPr>
          <w:rFonts w:ascii="Arial" w:cs="Arial" w:eastAsia="Arial" w:hAnsi="Arial"/>
          <w:sz w:val="16"/>
          <w:szCs w:val="16"/>
          <w:color w:val="auto"/>
        </w:rPr>
        <w:t>During the year ended December 31, 2021, the Company incurred $47.6 million of rent abatements at the Company’s share, relating primarily to 2020 rents as a result of COVID-19 and negotiated $4.6 million of rent deferrals during the year ended December 31, 2021 at the Company’s share. During the year ended December 31, 2022, the Company incurred $1.4 million of rent abatements at the Company’s share. The Company negotiated $1.1 million of rent deferrals during the year ended December 31, 2022. As of December 31, 2022, $2.6 million of the rent deferrals remain outstanding, with $1.4 million scheduled to be repaid during 2023 and the balance scheduled for repayment thereafter.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6" w:name="page47"/>
    <w:bookmarkEnd w:id="46"/>
    <w:p>
      <w:pPr>
        <w:ind w:firstLine="435"/>
        <w:spacing w:after="0" w:line="248" w:lineRule="auto"/>
        <w:rPr>
          <w:sz w:val="20"/>
          <w:szCs w:val="20"/>
          <w:color w:val="auto"/>
        </w:rPr>
      </w:pPr>
      <w:r>
        <w:rPr>
          <w:rFonts w:ascii="Arial" w:cs="Arial" w:eastAsia="Arial" w:hAnsi="Arial"/>
          <w:sz w:val="18"/>
          <w:szCs w:val="18"/>
          <w:color w:val="auto"/>
        </w:rPr>
        <w:t>During 2022, the pace of bankruptcy filings involving the Company’s tenants decreased substantially as compared to 2021, with only two bankruptcy filings involving three of the Company's tenants representing approximately 111,000 square feet of leased space and $2.2 million of annual leasing revenue at the Company’s share. The Company continues to expect that the pace of bankruptcy filings in 2023 will be low. Year-to-date in 2023, there have been two bankruptcy filings involving the Company’s tenants totaling seven leases and representing approximately 39,000 square feet of leased space and $1.9 million of annual leasing revenue.</w:t>
      </w:r>
    </w:p>
    <w:p>
      <w:pPr>
        <w:spacing w:after="0" w:line="116" w:lineRule="exact"/>
        <w:rPr>
          <w:sz w:val="20"/>
          <w:szCs w:val="20"/>
          <w:color w:val="auto"/>
        </w:rPr>
      </w:pPr>
    </w:p>
    <w:p>
      <w:pPr>
        <w:ind w:right="40" w:firstLine="435"/>
        <w:spacing w:after="0" w:line="291" w:lineRule="auto"/>
        <w:rPr>
          <w:sz w:val="20"/>
          <w:szCs w:val="20"/>
          <w:color w:val="auto"/>
        </w:rPr>
      </w:pPr>
      <w:r>
        <w:rPr>
          <w:rFonts w:ascii="Arial" w:cs="Arial" w:eastAsia="Arial" w:hAnsi="Arial"/>
          <w:sz w:val="16"/>
          <w:szCs w:val="16"/>
          <w:color w:val="auto"/>
        </w:rPr>
        <w:t>During 2023,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de-lever the Company’s balance sheet as well as to fund the Company’s development and redevelopment pipeline (See "—Redevelopment and Development Activities" in Management's Overview and Summary).</w:t>
      </w:r>
    </w:p>
    <w:p>
      <w:pPr>
        <w:spacing w:after="0" w:line="96" w:lineRule="exact"/>
        <w:rPr>
          <w:sz w:val="20"/>
          <w:szCs w:val="20"/>
          <w:color w:val="auto"/>
        </w:rPr>
      </w:pPr>
    </w:p>
    <w:p>
      <w:pPr>
        <w:ind w:firstLine="435"/>
        <w:spacing w:after="0" w:line="277" w:lineRule="auto"/>
        <w:rPr>
          <w:sz w:val="20"/>
          <w:szCs w:val="20"/>
          <w:color w:val="auto"/>
        </w:rPr>
      </w:pPr>
      <w:r>
        <w:rPr>
          <w:rFonts w:ascii="Arial" w:cs="Arial" w:eastAsia="Arial" w:hAnsi="Arial"/>
          <w:sz w:val="16"/>
          <w:szCs w:val="16"/>
          <w:color w:val="auto"/>
        </w:rPr>
        <w:t>On February 2, 2022, the Company’s joint venture in FlatIron Crossing replaced the existing $197 million loan on the property with a new $175 million loan that bears interest at SOFR plus 3.70% and matures on February 9, 2025, including extension options. On April 29, 2022, the Company closed on a new $72 million loan at Pacific View with a fixed rate of 5.29% that matures on May 6, 2032. On May 6, 2022, the Company closed on a two-year extension of the loan on The Oaks to June 5, 2024. The loan will now bear a fixed interest rate of 5.25%, and the Company repaid $5.0 million of the outstanding loan balance at closing. On July 1, 2022, the Company extended the loan maturity on Danbury Fair Mall to July 1, 2023. The interest rate remained unchanged at 5.5%, and the Company repaid $10.0 million of the outstanding loan balance at closing. On November 14, 2022, the Company’s joint venture closed a four-year extension on the $503 million loan on Washington Square. $15 million of the loan was repaid at closing by the joint venture ($9 million at the Company’s share). The extended loan bears interest at a floating rate of SOFR plus 4.0%, subject to an interest rate cap agreement, and matures on November 1, 2026, including extension options. On December 9, 2022, the Company closed a three-year extension on the $300 million loan on Santa Monica Place. None of the loan amount was repaid at closing. The extended loan bears interest at a floating rate of LIBOR plus 1.48% and matures on December 9, 2025, including extension options. In addition, on January 3, 2023, the Company closed on a five-year $370.0 million combined refinance of Green Acres Mall and Green Acres Commons. The new interest only loan bears a fixed interest rate of 5.90% and matures on January 6, 2028. On January 20, 2023, the Company exercised its one-year extension option of the loan on Fashion District Philadelphia to January 22, 2024. The interest rate is SOFR plus 3.60% and the Company repaid $26.1 million of the outstanding loan balance at closing. The Company’s joint venture in Scottsdale Fashion Square expects to replace the existing $406.0 million mortgage loan on the property with a $700.0 million, five-year, fixed-rate loan. The Company expects the joint venture to close this refinancing during the first quarter of 2023, subject to negotiating final documentation and customary closing conditions. The Company did not repay the loan on Towne Mall on its maturity date of November 1, 2022, and has begun the process of transitioning the property to a loan receiver. (See “—Financing Activities” in Management’s Overview and Summary).</w:t>
      </w:r>
    </w:p>
    <w:p>
      <w:pPr>
        <w:spacing w:after="0" w:line="117" w:lineRule="exact"/>
        <w:rPr>
          <w:sz w:val="20"/>
          <w:szCs w:val="20"/>
          <w:color w:val="auto"/>
        </w:rPr>
      </w:pPr>
    </w:p>
    <w:p>
      <w:pPr>
        <w:ind w:right="20" w:firstLine="435"/>
        <w:spacing w:after="0" w:line="284" w:lineRule="auto"/>
        <w:rPr>
          <w:sz w:val="20"/>
          <w:szCs w:val="20"/>
          <w:color w:val="auto"/>
        </w:rPr>
      </w:pPr>
      <w:r>
        <w:rPr>
          <w:rFonts w:ascii="Arial" w:cs="Arial" w:eastAsia="Arial" w:hAnsi="Arial"/>
          <w:sz w:val="16"/>
          <w:szCs w:val="16"/>
          <w:color w:val="auto"/>
        </w:rPr>
        <w:t>Rising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2022 and 2021</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49" w:lineRule="exact"/>
        <w:rPr>
          <w:sz w:val="20"/>
          <w:szCs w:val="20"/>
          <w:color w:val="auto"/>
        </w:rPr>
      </w:pPr>
    </w:p>
    <w:p>
      <w:pPr>
        <w:ind w:right="60" w:firstLine="435"/>
        <w:spacing w:after="0" w:line="284" w:lineRule="auto"/>
        <w:rPr>
          <w:sz w:val="20"/>
          <w:szCs w:val="20"/>
          <w:color w:val="auto"/>
        </w:rPr>
      </w:pPr>
      <w:r>
        <w:rPr>
          <w:rFonts w:ascii="Arial" w:cs="Arial" w:eastAsia="Arial" w:hAnsi="Arial"/>
          <w:sz w:val="16"/>
          <w:szCs w:val="16"/>
          <w:color w:val="auto"/>
        </w:rPr>
        <w:t>Leasing revenue increased by $13.0 million, or 1.7%, from 2021 to 2022. The increase in leasing revenue is attributed to increases of $21.3 million from the Same Centers and $1.9 million from the JV Transition Centers offset in part by $10.2 million from the Disposition Properties. Leasing revenue includes the amortization of above and below-market leases, the amortization of straight-line rents, lease termination income and the provision for bad debts. The amortization of above and below-market leases increased from $1.9 million in 2021 to $2.2 million in 2022. The amortization of straight-line rents decreased from $5.9 million in 2021 to $(0.8) million in 2022. Lease termination income decreased from $19.1 million in 2021 to $13.0 million in 2022. Percentage rent decreased from $58.8 million in 2021 to $49.5 million in 2022. Recovery of bad debts decreased from $6.4 million in 2021 to $0.7 million in 2022.</w:t>
      </w:r>
    </w:p>
    <w:p>
      <w:pPr>
        <w:spacing w:after="0" w:line="90" w:lineRule="exact"/>
        <w:rPr>
          <w:sz w:val="20"/>
          <w:szCs w:val="20"/>
          <w:color w:val="auto"/>
        </w:rPr>
      </w:pPr>
    </w:p>
    <w:p>
      <w:pPr>
        <w:ind w:right="640" w:firstLine="435"/>
        <w:spacing w:after="0" w:line="262" w:lineRule="auto"/>
        <w:rPr>
          <w:sz w:val="20"/>
          <w:szCs w:val="20"/>
          <w:color w:val="auto"/>
        </w:rPr>
      </w:pPr>
      <w:r>
        <w:rPr>
          <w:rFonts w:ascii="Arial" w:cs="Arial" w:eastAsia="Arial" w:hAnsi="Arial"/>
          <w:sz w:val="18"/>
          <w:szCs w:val="18"/>
          <w:color w:val="auto"/>
        </w:rPr>
        <w:t>Other income decreased from $33.9 million in 2021 to $30.1 million in 2022. This decrease is primarily due to income related to the Disposition Properties.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47" w:name="page48"/>
    <w:bookmarkEnd w:id="47"/>
    <w:p>
      <w:pPr>
        <w:ind w:left="440"/>
        <w:spacing w:after="0"/>
        <w:rPr>
          <w:sz w:val="20"/>
          <w:szCs w:val="20"/>
          <w:color w:val="auto"/>
        </w:rPr>
      </w:pPr>
      <w:r>
        <w:rPr>
          <w:rFonts w:ascii="Arial" w:cs="Arial" w:eastAsia="Arial" w:hAnsi="Arial"/>
          <w:sz w:val="16"/>
          <w:szCs w:val="16"/>
          <w:color w:val="auto"/>
        </w:rPr>
        <w:t>Management Companies' revenue increased from $26.0 million in 2021 to $28.5 million in 2022 due to an increase in management and leasing fees.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49" w:lineRule="exact"/>
        <w:rPr>
          <w:sz w:val="20"/>
          <w:szCs w:val="20"/>
          <w:color w:val="auto"/>
        </w:rPr>
      </w:pPr>
    </w:p>
    <w:p>
      <w:pPr>
        <w:ind w:right="60" w:firstLine="435"/>
        <w:spacing w:after="0" w:line="253" w:lineRule="auto"/>
        <w:rPr>
          <w:sz w:val="20"/>
          <w:szCs w:val="20"/>
          <w:color w:val="auto"/>
        </w:rPr>
      </w:pPr>
      <w:r>
        <w:rPr>
          <w:rFonts w:ascii="Arial" w:cs="Arial" w:eastAsia="Arial" w:hAnsi="Arial"/>
          <w:sz w:val="18"/>
          <w:szCs w:val="18"/>
          <w:color w:val="auto"/>
        </w:rPr>
        <w:t>Shopping center and operating expenses decreased $5.1 million, or 1.7%, from 2021 to 2022. The decrease in shopping center and operating expenses is attributed to decreases of $1.2 million from the Same Centers and $4.6 million from the Disposition Properties, offset in part by an increase of $0.7 million from the JV Transition Centers.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Leasing Expenses: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Leasing expenses increased from $24.8 million in 2021 to $32.7 million in 2022 due to an increase in compensation expense.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operating expenses increased $6.8 million from 2021 to 2022 due to an increase in compensation expense.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149" w:lineRule="exact"/>
        <w:rPr>
          <w:sz w:val="20"/>
          <w:szCs w:val="20"/>
          <w:color w:val="auto"/>
        </w:rPr>
      </w:pPr>
    </w:p>
    <w:p>
      <w:pPr>
        <w:jc w:val="both"/>
        <w:ind w:right="340" w:firstLine="435"/>
        <w:spacing w:after="0" w:line="253" w:lineRule="auto"/>
        <w:rPr>
          <w:sz w:val="20"/>
          <w:szCs w:val="20"/>
          <w:color w:val="auto"/>
        </w:rPr>
      </w:pPr>
      <w:r>
        <w:rPr>
          <w:rFonts w:ascii="Arial" w:cs="Arial" w:eastAsia="Arial" w:hAnsi="Arial"/>
          <w:sz w:val="18"/>
          <w:szCs w:val="18"/>
          <w:color w:val="auto"/>
        </w:rPr>
        <w:t>Depreciation and amortization decreased $19.5 million from 2021 to 2022. The decrease in depreciation and amortization is primarily attributed to a decrease of $10.9 million from the Same Centers and $9.7 million from the Disposition Properties offset in part by an increase of $1.1 million from the JV Transition Centers.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 (Income):</w:t>
      </w:r>
    </w:p>
    <w:p>
      <w:pPr>
        <w:spacing w:after="0" w:line="136" w:lineRule="exact"/>
        <w:rPr>
          <w:sz w:val="20"/>
          <w:szCs w:val="20"/>
          <w:color w:val="auto"/>
        </w:rPr>
      </w:pPr>
    </w:p>
    <w:p>
      <w:pPr>
        <w:ind w:right="300" w:firstLine="435"/>
        <w:spacing w:after="0" w:line="248" w:lineRule="auto"/>
        <w:rPr>
          <w:sz w:val="20"/>
          <w:szCs w:val="20"/>
          <w:color w:val="auto"/>
        </w:rPr>
      </w:pPr>
      <w:r>
        <w:rPr>
          <w:rFonts w:ascii="Arial" w:cs="Arial" w:eastAsia="Arial" w:hAnsi="Arial"/>
          <w:sz w:val="18"/>
          <w:szCs w:val="18"/>
          <w:color w:val="auto"/>
        </w:rPr>
        <w:t>Interest expense (income) increased $24.2 million from 2021 to 2022. The increase in interest expense (income) is attributed to an increase of $38.5 million from the financing arrangement (See Note 12–Financing Arrangement in the Company's Notes to the Consolidated Financial Statements) and $4.3 million from the Same Centers offset in part by decreases of $16.5 million from borrowings under the line of credit and $2.1 million from the Disposition Properties. The increase in interest expense from the financing arrangement is primarily due to the change in fair value of the underlying properties and the mortgage notes payable on the underlying properties.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$9.5 million in 2021 to $10.5 million in 2022.</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in (Loss) Income of Unconsolidated Joint Ventures:</w:t>
      </w:r>
    </w:p>
    <w:p>
      <w:pPr>
        <w:spacing w:after="0" w:line="136" w:lineRule="exact"/>
        <w:rPr>
          <w:sz w:val="20"/>
          <w:szCs w:val="20"/>
          <w:color w:val="auto"/>
        </w:rPr>
      </w:pPr>
    </w:p>
    <w:p>
      <w:pPr>
        <w:jc w:val="both"/>
        <w:ind w:right="340" w:firstLine="435"/>
        <w:spacing w:after="0" w:line="362" w:lineRule="auto"/>
        <w:rPr>
          <w:sz w:val="20"/>
          <w:szCs w:val="20"/>
          <w:color w:val="auto"/>
        </w:rPr>
      </w:pPr>
      <w:r>
        <w:rPr>
          <w:rFonts w:ascii="Arial" w:cs="Arial" w:eastAsia="Arial" w:hAnsi="Arial"/>
          <w:sz w:val="15"/>
          <w:szCs w:val="15"/>
          <w:color w:val="auto"/>
        </w:rPr>
        <w:t>Equity in (loss) income of unconsolidated joint ventures decreased $20.9 million from 2021 to 2022. The decrease in equity in (loss) income of unconsolidated joint ventures is primarily due to the write-down of assets as a result of the reduction in the estimated holding periods of certain properties.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Gain (Loss) on Sale or Write Down of Assets, net:</w:t>
      </w:r>
    </w:p>
    <w:p>
      <w:pPr>
        <w:spacing w:after="0" w:line="149" w:lineRule="exact"/>
        <w:rPr>
          <w:sz w:val="20"/>
          <w:szCs w:val="20"/>
          <w:color w:val="auto"/>
        </w:rPr>
      </w:pPr>
    </w:p>
    <w:p>
      <w:pPr>
        <w:jc w:val="both"/>
        <w:ind w:right="340" w:firstLine="435"/>
        <w:spacing w:after="0" w:line="253" w:lineRule="auto"/>
        <w:rPr>
          <w:sz w:val="20"/>
          <w:szCs w:val="20"/>
          <w:color w:val="auto"/>
        </w:rPr>
      </w:pPr>
      <w:r>
        <w:rPr>
          <w:rFonts w:ascii="Arial" w:cs="Arial" w:eastAsia="Arial" w:hAnsi="Arial"/>
          <w:sz w:val="18"/>
          <w:szCs w:val="18"/>
          <w:color w:val="auto"/>
        </w:rPr>
        <w:t>Gain (loss) on sale or write down of assets, net decreased from $75.7 million in 2021 to $7.7 million in 2022. The decrease is primarily due to $11.1 million of impairments in 2022 and the $117.2 million gain on sale of Tucson La Encantada in 2021 offset in part by the sale and impairment loss of $41.6 million on Estrella Falls in 2021.</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(Loss) Income: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income decreased $81.2 million from 2021 to 2022. The decrease in net income is primarily due to the variances noted above.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Funds From Operations ("FFO"):</w:t>
      </w:r>
    </w:p>
    <w:p>
      <w:pPr>
        <w:spacing w:after="0" w:line="149" w:lineRule="exact"/>
        <w:rPr>
          <w:sz w:val="20"/>
          <w:szCs w:val="20"/>
          <w:color w:val="auto"/>
        </w:rPr>
      </w:pPr>
    </w:p>
    <w:p>
      <w:pPr>
        <w:ind w:firstLine="435"/>
        <w:spacing w:after="0" w:line="247"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excluding financing expense in connection with Chandler Freehold and loss on extinguishment of debt increased 3.4% from $423.2 million in 2021 to $437.5 million in 2022. For a reconciliation of net (loss) income attributable to the Company, the most directly comparable GAAP financial measure, to FFO attributable to common stockholders and unit holders, excluding financing expense in connection with Chandler Freehold and loss on extinguishment of debt and FFO attributable to common stockholders and unit holders—diluted, excluding financing expense in connection with Chandler Freehold and loss on extinguishment of debt, see "Funds From Operations ("FFO")" below.</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3" w:right="379" w:bottom="1440" w:gutter="0" w:footer="0" w:header="0"/>
        </w:sectPr>
      </w:pPr>
    </w:p>
    <w:bookmarkStart w:id="48" w:name="page49"/>
    <w:bookmarkEnd w:id="48"/>
    <w:p>
      <w:pPr>
        <w:ind w:firstLine="435"/>
        <w:spacing w:after="0" w:line="262" w:lineRule="auto"/>
        <w:rPr>
          <w:sz w:val="20"/>
          <w:szCs w:val="20"/>
          <w:color w:val="auto"/>
        </w:rPr>
      </w:pPr>
      <w:r>
        <w:rPr>
          <w:rFonts w:ascii="Arial" w:cs="Arial" w:eastAsia="Arial" w:hAnsi="Arial"/>
          <w:sz w:val="18"/>
          <w:szCs w:val="18"/>
          <w:color w:val="auto"/>
        </w:rPr>
        <w:t>Cash provided by operating activities increased $51.1 million from 2021 to 2022. The increase is primarily due to the changes in assets and liabilities and the results, as discussed above.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49" w:lineRule="exact"/>
        <w:rPr>
          <w:sz w:val="20"/>
          <w:szCs w:val="20"/>
          <w:color w:val="auto"/>
        </w:rPr>
      </w:pPr>
    </w:p>
    <w:p>
      <w:pPr>
        <w:jc w:val="both"/>
        <w:ind w:right="80" w:firstLine="435"/>
        <w:spacing w:after="0" w:line="300" w:lineRule="auto"/>
        <w:rPr>
          <w:sz w:val="20"/>
          <w:szCs w:val="20"/>
          <w:color w:val="auto"/>
        </w:rPr>
      </w:pPr>
      <w:r>
        <w:rPr>
          <w:rFonts w:ascii="Arial" w:cs="Arial" w:eastAsia="Arial" w:hAnsi="Arial"/>
          <w:sz w:val="16"/>
          <w:szCs w:val="16"/>
          <w:color w:val="auto"/>
        </w:rPr>
        <w:t>Cash used in investing activities increased $236.4 million from 2021 to 2022. The increase in cash used in investing activities is primarily attributed to a decrease in proceeds from the sale of assets of $287.1 million offset in part by an increase of $37.4 million in distributions from unconsolidated joint ventures and $21.0 million in proceeds from collection of receivable in connection with sale of joint venture property.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36" w:lineRule="exact"/>
        <w:rPr>
          <w:sz w:val="20"/>
          <w:szCs w:val="20"/>
          <w:color w:val="auto"/>
        </w:rPr>
      </w:pPr>
    </w:p>
    <w:p>
      <w:pPr>
        <w:ind w:right="260" w:firstLine="435"/>
        <w:spacing w:after="0" w:line="300" w:lineRule="auto"/>
        <w:rPr>
          <w:sz w:val="20"/>
          <w:szCs w:val="20"/>
          <w:color w:val="auto"/>
        </w:rPr>
      </w:pPr>
      <w:r>
        <w:rPr>
          <w:rFonts w:ascii="Arial" w:cs="Arial" w:eastAsia="Arial" w:hAnsi="Arial"/>
          <w:sz w:val="16"/>
          <w:szCs w:val="16"/>
          <w:color w:val="auto"/>
        </w:rPr>
        <w:t>Cash used in financing activities decreased $0.5 billion from 2021 to 2022. The decrease in cash used in financing activities is primarily due to the decrease in payments on mortgages, bank and other notes payable of $1.7 billion offset by a reduction in the amounts of net proceeds received from sales of common shares under the ATM Programs of $830.4 million and proceeds from mortgages, bank and other notes payable of $315.0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36" w:lineRule="exact"/>
        <w:rPr>
          <w:sz w:val="20"/>
          <w:szCs w:val="20"/>
          <w:color w:val="auto"/>
        </w:rPr>
      </w:pPr>
    </w:p>
    <w:p>
      <w:pPr>
        <w:ind w:right="40" w:firstLine="435"/>
        <w:spacing w:after="0" w:line="281" w:lineRule="auto"/>
        <w:rPr>
          <w:sz w:val="20"/>
          <w:szCs w:val="20"/>
          <w:color w:val="auto"/>
        </w:rPr>
      </w:pPr>
      <w:r>
        <w:rPr>
          <w:rFonts w:ascii="Arial" w:cs="Arial" w:eastAsia="Arial" w:hAnsi="Arial"/>
          <w:sz w:val="16"/>
          <w:szCs w:val="16"/>
          <w:color w:val="auto"/>
        </w:rPr>
        <w:t>Leasing revenue increased by $47.2 million, or 6.4%, from 2020 to 2021. The increase in leasing revenue is attributed to increases of $23.2 million from the Same Centers and $31.8 million from the JV Transition Centers offset in part by $7.8 million from the Disposition Properties. Leasing revenue includes the amortization of above and below-market leases, the amortization of straight-line rents, lease termination income and the provision for bad debts. The amortization of above and below-market leases decreased from $2.1 million in 2020 to $1.9 million in 2021. The amortization of straight-line rents decreased from $24.8 million in 2020 to $5.9 million in 2021. Lease termination income increased from $8.3 million in 2020 to $19.1 million in 2021. Percentage rent increased from $15.5 million in 2020 to $58.8 million in 2021. Provision for bad debts decreased from $44.3 million in 2020 to a recovery of $(6.4) million in 2021. The increase in leasing revenue and decrease in bad debt at the Same Centers is primarily the result of all Centers being open in 2021 compared to the majority of Centers being closed for portions of 2020 and an increase in tenant sales to pre-COVID 2019 levels (See "Other Transactions and Events" in Management's Overview and Summary).</w:t>
      </w:r>
    </w:p>
    <w:p>
      <w:pPr>
        <w:spacing w:after="0" w:line="103"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Other income increased from $22.2 million in 2020 to $33.9 million in 2021. This is primarily due to increased parking garage income resulting from increased traffic at the Centers (See "Other Transactions and Events" in Management's Overview and Summary).</w:t>
      </w:r>
    </w:p>
    <w:p>
      <w:pPr>
        <w:spacing w:after="0" w:line="115" w:lineRule="exact"/>
        <w:rPr>
          <w:sz w:val="20"/>
          <w:szCs w:val="20"/>
          <w:color w:val="auto"/>
        </w:rPr>
      </w:pPr>
    </w:p>
    <w:p>
      <w:pPr>
        <w:ind w:right="560" w:firstLine="435"/>
        <w:spacing w:after="0" w:line="325" w:lineRule="auto"/>
        <w:rPr>
          <w:sz w:val="20"/>
          <w:szCs w:val="20"/>
          <w:color w:val="auto"/>
        </w:rPr>
      </w:pPr>
      <w:r>
        <w:rPr>
          <w:rFonts w:ascii="Arial" w:cs="Arial" w:eastAsia="Arial" w:hAnsi="Arial"/>
          <w:sz w:val="16"/>
          <w:szCs w:val="16"/>
          <w:color w:val="auto"/>
        </w:rPr>
        <w:t>Management Companies' revenue increased from $23.5 million in 2020 to $26.0 million in 2021. The increase is primarily the result of increased management fees in 2021 due to all Centers being open in 2021 compared to Centers being closed for portions of 2020.</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49" w:lineRule="exact"/>
        <w:rPr>
          <w:sz w:val="20"/>
          <w:szCs w:val="20"/>
          <w:color w:val="auto"/>
        </w:rPr>
      </w:pPr>
    </w:p>
    <w:p>
      <w:pPr>
        <w:ind w:right="120" w:firstLine="435"/>
        <w:spacing w:after="0" w:line="248" w:lineRule="auto"/>
        <w:rPr>
          <w:sz w:val="20"/>
          <w:szCs w:val="20"/>
          <w:color w:val="auto"/>
        </w:rPr>
      </w:pPr>
      <w:r>
        <w:rPr>
          <w:rFonts w:ascii="Arial" w:cs="Arial" w:eastAsia="Arial" w:hAnsi="Arial"/>
          <w:sz w:val="18"/>
          <w:szCs w:val="18"/>
          <w:color w:val="auto"/>
        </w:rPr>
        <w:t>Shopping center and operating expenses increased $37.8 million, or 14.7%, from 2020 to 2021. The increase in shopping center and operating expenses is attributed to increases of $21.4 million from the Same Centers, $19.6 million from the JV Transition Centers and $0.2 million from the Redevelopment Properties offset in part by $3.4 million from the Disposition Properties. The increase in shopping center and operating expenses at the Same Centers is primarily the result of all Centers being opened in 2021 compared to the majority of Centers being closed for portions of 2020 (See "Other Transactions and Events" in Management's Overview and Summary).</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operating expenses decreased $4.5 million from 2020 to 2021 due to a decrease in compensation expense.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Depreciation and Amortization:</w:t>
      </w:r>
    </w:p>
    <w:p>
      <w:pPr>
        <w:spacing w:after="0" w:line="149" w:lineRule="exact"/>
        <w:rPr>
          <w:sz w:val="20"/>
          <w:szCs w:val="20"/>
          <w:color w:val="auto"/>
        </w:rPr>
      </w:pPr>
    </w:p>
    <w:p>
      <w:pPr>
        <w:jc w:val="both"/>
        <w:ind w:right="420" w:firstLine="435"/>
        <w:spacing w:after="0" w:line="253" w:lineRule="auto"/>
        <w:rPr>
          <w:sz w:val="20"/>
          <w:szCs w:val="20"/>
          <w:color w:val="auto"/>
        </w:rPr>
      </w:pPr>
      <w:r>
        <w:rPr>
          <w:rFonts w:ascii="Arial" w:cs="Arial" w:eastAsia="Arial" w:hAnsi="Arial"/>
          <w:sz w:val="18"/>
          <w:szCs w:val="18"/>
          <w:color w:val="auto"/>
        </w:rPr>
        <w:t>Depreciation and amortization decreased $8.5 million from 2020 to 2021. The decrease in depreciation and amortization is primarily attributed to a decrease of $18.0 million from the Same Centers and $4.7 million from the Disposition Properties offset in part by increases of $13.7 million from the JV Transition Centers and $0.5 million from the Redevelopment Properties.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(Income) Expense: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3" w:right="359" w:bottom="1440" w:gutter="0" w:footer="0" w:header="0"/>
        </w:sectPr>
      </w:pPr>
    </w:p>
    <w:bookmarkStart w:id="49" w:name="page50"/>
    <w:bookmarkEnd w:id="49"/>
    <w:p>
      <w:pPr>
        <w:ind w:right="40" w:firstLine="435"/>
        <w:spacing w:after="0" w:line="287" w:lineRule="auto"/>
        <w:rPr>
          <w:sz w:val="20"/>
          <w:szCs w:val="20"/>
          <w:color w:val="auto"/>
        </w:rPr>
      </w:pPr>
      <w:r>
        <w:rPr>
          <w:rFonts w:ascii="Arial" w:cs="Arial" w:eastAsia="Arial" w:hAnsi="Arial"/>
          <w:sz w:val="16"/>
          <w:szCs w:val="16"/>
          <w:color w:val="auto"/>
        </w:rPr>
        <w:t>Interest (income) expense increased $117.1 million from 2020 to 2021. The increase in interest (income) expense is attributed to an increase of $131.6 million from the Financing Arrangement (See Note 12–Financing Arrangement in the Company's Notes to the Consolidated Financial Statements) and $5.9 million from the JV Transition Centers offset in part by decreases of $7.9 million from the Same Centers, $11.7 million from borrowings under the line of credit and $0.8 million from the Disposition Properties. The increase in interest expense from the Financing Arrangement is primarily due to the change in fair value of the underlying properties and the mortgage notes payable on the underlying properties.</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above interest expense items are net of capitalized interest, which increased from $5.2 million in 2020 to $9.5 million in 2021.</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in Income (Loss) of Unconsolidated Joint Ventures:</w:t>
      </w:r>
    </w:p>
    <w:p>
      <w:pPr>
        <w:spacing w:after="0" w:line="149" w:lineRule="exact"/>
        <w:rPr>
          <w:sz w:val="20"/>
          <w:szCs w:val="20"/>
          <w:color w:val="auto"/>
        </w:rPr>
      </w:pPr>
    </w:p>
    <w:p>
      <w:pPr>
        <w:ind w:right="560" w:firstLine="435"/>
        <w:spacing w:after="0" w:line="362" w:lineRule="auto"/>
        <w:rPr>
          <w:sz w:val="20"/>
          <w:szCs w:val="20"/>
          <w:color w:val="auto"/>
        </w:rPr>
      </w:pPr>
      <w:r>
        <w:rPr>
          <w:rFonts w:ascii="Arial" w:cs="Arial" w:eastAsia="Arial" w:hAnsi="Arial"/>
          <w:sz w:val="15"/>
          <w:szCs w:val="15"/>
          <w:color w:val="auto"/>
        </w:rPr>
        <w:t>Equity in income (loss) of unconsolidated joint ventures increased $42.7 million from 2020 to 2021. The increase in equity in income (loss) of unconsolidated joint ventures is primarily due to a decrease in the provision for bad debts and an increase in percentage rent in 2021 compared to 2020.</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Loss on Remeasurement of Assets:</w:t>
      </w:r>
    </w:p>
    <w:p>
      <w:pPr>
        <w:spacing w:after="0" w:line="149" w:lineRule="exact"/>
        <w:rPr>
          <w:sz w:val="20"/>
          <w:szCs w:val="20"/>
          <w:color w:val="auto"/>
        </w:rPr>
      </w:pPr>
    </w:p>
    <w:p>
      <w:pPr>
        <w:ind w:right="580" w:firstLine="435"/>
        <w:spacing w:after="0" w:line="262" w:lineRule="auto"/>
        <w:rPr>
          <w:sz w:val="20"/>
          <w:szCs w:val="20"/>
          <w:color w:val="auto"/>
        </w:rPr>
      </w:pPr>
      <w:r>
        <w:rPr>
          <w:rFonts w:ascii="Arial" w:cs="Arial" w:eastAsia="Arial" w:hAnsi="Arial"/>
          <w:sz w:val="18"/>
          <w:szCs w:val="18"/>
          <w:color w:val="auto"/>
        </w:rPr>
        <w:t>Loss on remeasurement of assets of $163.3 million in 2020 relates to Fashion District Philadelphia (See Note 15–Consolidated Joint Venture and Acquisitions in the Company's Notes to the Consolidated Financial Statements).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(Loss) on Sale or Write Down of Assets, net:</w:t>
      </w:r>
    </w:p>
    <w:p>
      <w:pPr>
        <w:spacing w:after="0" w:line="136" w:lineRule="exact"/>
        <w:rPr>
          <w:sz w:val="20"/>
          <w:szCs w:val="20"/>
          <w:color w:val="auto"/>
        </w:rPr>
      </w:pPr>
    </w:p>
    <w:p>
      <w:pPr>
        <w:ind w:right="140" w:firstLine="435"/>
        <w:spacing w:after="0" w:line="287" w:lineRule="auto"/>
        <w:rPr>
          <w:sz w:val="20"/>
          <w:szCs w:val="20"/>
          <w:color w:val="auto"/>
        </w:rPr>
      </w:pPr>
      <w:r>
        <w:rPr>
          <w:rFonts w:ascii="Arial" w:cs="Arial" w:eastAsia="Arial" w:hAnsi="Arial"/>
          <w:sz w:val="16"/>
          <w:szCs w:val="16"/>
          <w:color w:val="auto"/>
        </w:rPr>
        <w:t>Gain (loss) on sale or write down of assets, net increased from a loss of $68.1 million in 2020 to a gain of $75.7 million in 2021. The increase is primarily due to the $36.7 million of impairment losses on Wilton Mall and Paradise Valley Mall, $4.2 million write-down of non-real estate assets and $36.7 million write-down of development costs in 2020 and $117.2 million gain on the sale of Tucson La Encantada and $29.4 million gain on land sales in 2021 offset in part by the sale and impairment loss of $41.6 million on Estrella Falls and $28.3 million loss related to North Bridge in 2021 (See "Dispositions" in Management's Overview and Summary). The impairment losses were due to the reduction in the estimated holding periods of the properties.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 (Loss):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 increased $261.6 million from 2020 to 2021. The increase in net income is primarily due to the variances noted above.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Funds From Operations ("FFO"):</w:t>
      </w:r>
    </w:p>
    <w:p>
      <w:pPr>
        <w:spacing w:after="0" w:line="149" w:lineRule="exact"/>
        <w:rPr>
          <w:sz w:val="20"/>
          <w:szCs w:val="20"/>
          <w:color w:val="auto"/>
        </w:rPr>
      </w:pPr>
    </w:p>
    <w:p>
      <w:pPr>
        <w:ind w:firstLine="435"/>
        <w:spacing w:after="0" w:line="247" w:lineRule="auto"/>
        <w:rPr>
          <w:sz w:val="20"/>
          <w:szCs w:val="20"/>
          <w:color w:val="auto"/>
        </w:rPr>
      </w:pPr>
      <w:r>
        <w:rPr>
          <w:rFonts w:ascii="Arial" w:cs="Arial" w:eastAsia="Arial" w:hAnsi="Arial"/>
          <w:sz w:val="18"/>
          <w:szCs w:val="18"/>
          <w:color w:val="auto"/>
        </w:rPr>
        <w:t>Primarily as a result of the factors mentioned above, FFO attributable to common stockholders and unit holders—diluted, excluding financing expense in connection with Chandler Freehold and loss on extinguishment of debt increased 24.7% from $339.5 million in 2020 to $423.2 million in 2021. For a reconciliation of net income (loss) attributable to the Company, the most directly comparable GAAP financial measure, to FFO attributable to common stockholders and unit holders, excluding financing expense in connection with Chandler Freehold and loss on extinguishment of debt and FFO attributable to common stockholders and unit holders—diluted, excluding financing expense in connection with Chandler Freehold and loss on extinguishment of debt, see "Funds From Operations ("FFO")" below.</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136" w:lineRule="exact"/>
        <w:rPr>
          <w:sz w:val="20"/>
          <w:szCs w:val="20"/>
          <w:color w:val="auto"/>
        </w:rPr>
      </w:pPr>
    </w:p>
    <w:p>
      <w:pPr>
        <w:ind w:right="180" w:firstLine="435"/>
        <w:spacing w:after="0" w:line="262" w:lineRule="auto"/>
        <w:rPr>
          <w:sz w:val="20"/>
          <w:szCs w:val="20"/>
          <w:color w:val="auto"/>
        </w:rPr>
      </w:pPr>
      <w:r>
        <w:rPr>
          <w:rFonts w:ascii="Arial" w:cs="Arial" w:eastAsia="Arial" w:hAnsi="Arial"/>
          <w:sz w:val="18"/>
          <w:szCs w:val="18"/>
          <w:color w:val="auto"/>
        </w:rPr>
        <w:t>Cash provided by operating activities increased $161.5 million from 2020 to 2021. The increase is primarily due to the changes in assets and liabilities and the results, as discussed above.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149" w:lineRule="exact"/>
        <w:rPr>
          <w:sz w:val="20"/>
          <w:szCs w:val="20"/>
          <w:color w:val="auto"/>
        </w:rPr>
      </w:pPr>
    </w:p>
    <w:p>
      <w:pPr>
        <w:ind w:right="280" w:firstLine="435"/>
        <w:spacing w:after="0" w:line="300" w:lineRule="auto"/>
        <w:rPr>
          <w:sz w:val="20"/>
          <w:szCs w:val="20"/>
          <w:color w:val="auto"/>
        </w:rPr>
      </w:pPr>
      <w:r>
        <w:rPr>
          <w:rFonts w:ascii="Arial" w:cs="Arial" w:eastAsia="Arial" w:hAnsi="Arial"/>
          <w:sz w:val="16"/>
          <w:szCs w:val="16"/>
          <w:color w:val="auto"/>
        </w:rPr>
        <w:t>Cash provided by investing activities increased $437.8 million from 2020 to 2021. The increase in cash provided by investing activities is primarily attributed to an increase in proceeds from the sale of assets of $320.6 million, proceeds from notes receivable of $1.3 million, a decrease in contributions to unconsolidated joint ventures of $45.6 million and an increase of $15.5 million in distributions from unconsolidated joint ventures.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149" w:lineRule="exact"/>
        <w:rPr>
          <w:sz w:val="20"/>
          <w:szCs w:val="20"/>
          <w:color w:val="auto"/>
        </w:rPr>
      </w:pPr>
    </w:p>
    <w:p>
      <w:pPr>
        <w:ind w:right="40" w:firstLine="435"/>
        <w:spacing w:after="0" w:line="250" w:lineRule="auto"/>
        <w:rPr>
          <w:sz w:val="20"/>
          <w:szCs w:val="20"/>
          <w:color w:val="auto"/>
        </w:rPr>
      </w:pPr>
      <w:r>
        <w:rPr>
          <w:rFonts w:ascii="Arial" w:cs="Arial" w:eastAsia="Arial" w:hAnsi="Arial"/>
          <w:sz w:val="18"/>
          <w:szCs w:val="18"/>
          <w:color w:val="auto"/>
        </w:rPr>
        <w:t>Cash provided by financing activities decreased $1.3 billion from 2020 to 2021. The decrease in cash provided by financing activities is primarily due to decreases in proceeds from mortgages, bank and other notes payable of $140.0 million and an increase in payments on mortgages, bank and other notes payable of $2.0 billion offset in part by net proceeds from sales of common shares under the ATM Programs of $830.2 million and a decrease in dividends and distributions of $36.4 million.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3"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8" w:lineRule="exact"/>
        <w:rPr>
          <w:sz w:val="20"/>
          <w:szCs w:val="20"/>
          <w:color w:val="auto"/>
        </w:rPr>
      </w:pPr>
    </w:p>
    <w:p>
      <w:pPr>
        <w:jc w:val="both"/>
        <w:ind w:right="120" w:firstLine="435"/>
        <w:spacing w:after="0" w:line="238" w:lineRule="auto"/>
        <w:rPr>
          <w:sz w:val="20"/>
          <w:szCs w:val="20"/>
          <w:color w:val="auto"/>
        </w:rPr>
      </w:pPr>
      <w:r>
        <w:rPr>
          <w:rFonts w:ascii="Arial" w:cs="Arial" w:eastAsia="Arial" w:hAnsi="Arial"/>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Uses of Capital</w:t>
      </w:r>
    </w:p>
    <w:p>
      <w:pPr>
        <w:spacing w:after="0" w:line="136" w:lineRule="exact"/>
        <w:rPr>
          <w:sz w:val="20"/>
          <w:szCs w:val="20"/>
          <w:color w:val="auto"/>
        </w:rPr>
      </w:pPr>
    </w:p>
    <w:p>
      <w:pPr>
        <w:ind w:right="220" w:firstLine="435"/>
        <w:spacing w:after="0" w:line="261" w:lineRule="auto"/>
        <w:rPr>
          <w:sz w:val="20"/>
          <w:szCs w:val="20"/>
          <w:color w:val="auto"/>
        </w:rPr>
      </w:pPr>
      <w:r>
        <w:rPr>
          <w:rFonts w:ascii="Arial" w:cs="Arial" w:eastAsia="Arial" w:hAnsi="Arial"/>
          <w:sz w:val="18"/>
          <w:szCs w:val="18"/>
          <w:color w:val="auto"/>
        </w:rPr>
        <w:t>The following tables summarize capital expenditures and lease acquisition costs incurred at the Centers (at the Company's pro rata share)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4"/>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Centers: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49,459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18,715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9,570</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38,405</w:t>
            </w: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12,413</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w:t>
            </w:r>
          </w:p>
        </w:tc>
      </w:t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Joint Venture Centers (at the Company's pro rata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18,803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6,497</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 and renovation of Centers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109,902</w:t>
            </w:r>
          </w:p>
        </w:tc>
      </w:tr>
      <w:tr>
        <w:trPr>
          <w:trHeight w:val="224"/>
        </w:trPr>
        <w:tc>
          <w:tcPr>
            <w:tcW w:w="662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4,804</w:t>
            </w:r>
          </w:p>
        </w:tc>
      </w:tr>
      <w:tr>
        <w:trPr>
          <w:trHeight w:val="224"/>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17"/>
        </w:trPr>
        <w:tc>
          <w:tcPr>
            <w:tcW w:w="66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123,314</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firstLine="435"/>
        <w:spacing w:after="0" w:line="248" w:lineRule="auto"/>
        <w:rPr>
          <w:sz w:val="20"/>
          <w:szCs w:val="20"/>
          <w:color w:val="auto"/>
        </w:rPr>
      </w:pPr>
      <w:r>
        <w:rPr>
          <w:rFonts w:ascii="Arial" w:cs="Arial" w:eastAsia="Arial" w:hAnsi="Arial"/>
          <w:sz w:val="18"/>
          <w:szCs w:val="18"/>
          <w:color w:val="auto"/>
        </w:rPr>
        <w:t>The Company expects amounts to be incurred during the next twelve months for tenant allowances and deferred leasing charges to be comparable to 2022. The Company expects to incur approximately $150.0 million during 2023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Sources of </w:t>
      </w:r>
      <w:r>
        <w:rPr>
          <w:rFonts w:ascii="Arial" w:cs="Arial" w:eastAsia="Arial" w:hAnsi="Arial"/>
          <w:sz w:val="18"/>
          <w:szCs w:val="18"/>
          <w:color w:val="auto"/>
        </w:rPr>
        <w:t>Capital</w:t>
      </w:r>
    </w:p>
    <w:p>
      <w:pPr>
        <w:spacing w:after="0" w:line="136" w:lineRule="exact"/>
        <w:rPr>
          <w:sz w:val="20"/>
          <w:szCs w:val="20"/>
          <w:color w:val="auto"/>
        </w:rPr>
      </w:pPr>
    </w:p>
    <w:p>
      <w:pPr>
        <w:ind w:right="80" w:firstLine="435"/>
        <w:spacing w:after="0" w:line="266" w:lineRule="auto"/>
        <w:rPr>
          <w:sz w:val="20"/>
          <w:szCs w:val="20"/>
          <w:color w:val="auto"/>
        </w:rPr>
      </w:pPr>
      <w:r>
        <w:rPr>
          <w:rFonts w:ascii="Arial" w:cs="Arial" w:eastAsia="Arial" w:hAnsi="Arial"/>
          <w:sz w:val="16"/>
          <w:szCs w:val="16"/>
          <w:color w:val="auto"/>
        </w:rPr>
        <w:t>The Company has also generated liquidity in the past, and may continue to do so in the future, through equity offerings and issuances, property refinancings, joint venture transactions and the sale of non-core assets. For example, the Company sold Paradise Valley Mall in Phoenix, Arizona and Tucson La Encantada in Tucson, Arizona during the year ended December 31, 2021 and used the proceeds to pay down its line of credit and other debt obligations. During the year ended December 31, 2022, the Company and certain joint venture partners sold various land parcels in separate transactions for aggregate proceeds of $60.3 million (at the Company's share), which the Company used to pay down debt and for other general corporate purposes.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180" w:lineRule="exact"/>
        <w:rPr>
          <w:sz w:val="20"/>
          <w:szCs w:val="20"/>
          <w:color w:val="auto"/>
        </w:rPr>
      </w:pPr>
    </w:p>
    <w:p>
      <w:pPr>
        <w:ind w:firstLine="435"/>
        <w:spacing w:after="0" w:line="267" w:lineRule="auto"/>
        <w:rPr>
          <w:sz w:val="20"/>
          <w:szCs w:val="20"/>
          <w:color w:val="auto"/>
        </w:rPr>
      </w:pPr>
      <w:r>
        <w:rPr>
          <w:rFonts w:ascii="Arial" w:cs="Arial" w:eastAsia="Arial" w:hAnsi="Arial"/>
          <w:sz w:val="16"/>
          <w:szCs w:val="16"/>
          <w:color w:val="auto"/>
        </w:rPr>
        <w:t>On each of February 1, 2021 and March 26, 2021, the Company registered a separate "at the market" offering program, pursuant to which the Company may issue and sell shares of its common stock having an aggregate offering price of up to $500 million under each ATM Program, or a total of $1.0 billion under the ATM Programs, in amounts and at times to be determined by the Company. During the twelve months ended December 31, 2021, the Company issued approximately 62.0 million shares of common stock under the ATM Programs for net proceeds of $830.2 million. During the twelve months ended December 31, 2022, no shares were issued under the March 2021 ATM Program. As of December 31, 2022, the Company had approximately $151.7 million of gross sales of its common stock available under the March 2021 ATM Program.</w:t>
      </w:r>
    </w:p>
    <w:p>
      <w:pPr>
        <w:spacing w:after="0" w:line="116" w:lineRule="exact"/>
        <w:rPr>
          <w:sz w:val="20"/>
          <w:szCs w:val="20"/>
          <w:color w:val="auto"/>
        </w:rPr>
      </w:pPr>
    </w:p>
    <w:p>
      <w:pPr>
        <w:ind w:right="20" w:firstLine="435"/>
        <w:spacing w:after="0" w:line="247" w:lineRule="auto"/>
        <w:rPr>
          <w:sz w:val="20"/>
          <w:szCs w:val="20"/>
          <w:color w:val="auto"/>
        </w:rPr>
      </w:pPr>
      <w:r>
        <w:rPr>
          <w:rFonts w:ascii="Arial" w:cs="Arial" w:eastAsia="Arial" w:hAnsi="Arial"/>
          <w:sz w:val="18"/>
          <w:szCs w:val="18"/>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and prevailing market conditions, including periods of economic slowdown or recession. The Company expects to incur increased interest expense from the refinancing or extension of loans that may currently carry below-market interest rates. In addition, increases in the Company's proportion of floating rate debt will cause it to be subject to interest rate fluctuations in the future.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51" w:name="page52"/>
    <w:bookmarkEnd w:id="51"/>
    <w:p>
      <w:pPr>
        <w:ind w:right="160" w:firstLine="435"/>
        <w:spacing w:after="0" w:line="248" w:lineRule="auto"/>
        <w:rPr>
          <w:sz w:val="20"/>
          <w:szCs w:val="20"/>
          <w:color w:val="auto"/>
        </w:rPr>
      </w:pPr>
      <w:r>
        <w:rPr>
          <w:rFonts w:ascii="Arial" w:cs="Arial" w:eastAsia="Arial" w:hAnsi="Arial"/>
          <w:sz w:val="18"/>
          <w:szCs w:val="18"/>
          <w:color w:val="auto"/>
        </w:rPr>
        <w:t>The Company's total outstanding loan indebtedness, which includes mortgages and other notes payable, at December 31, 2022 was $6.81 billion (consisting of $4.40 billion of consolidated debt, less $0.41 billion of noncontrolling interests, plus $2.82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 with the exception of the loan on Towne Mall.</w:t>
      </w:r>
    </w:p>
    <w:p>
      <w:pPr>
        <w:spacing w:after="0" w:line="116" w:lineRule="exact"/>
        <w:rPr>
          <w:sz w:val="20"/>
          <w:szCs w:val="20"/>
          <w:color w:val="auto"/>
        </w:rPr>
      </w:pPr>
    </w:p>
    <w:p>
      <w:pPr>
        <w:ind w:right="40" w:firstLine="435"/>
        <w:spacing w:after="0" w:line="247"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29" w:lineRule="exact"/>
        <w:rPr>
          <w:sz w:val="20"/>
          <w:szCs w:val="20"/>
          <w:color w:val="auto"/>
        </w:rPr>
      </w:pPr>
    </w:p>
    <w:p>
      <w:pPr>
        <w:jc w:val="both"/>
        <w:ind w:right="140" w:firstLine="435"/>
        <w:spacing w:after="0" w:line="362" w:lineRule="auto"/>
        <w:rPr>
          <w:sz w:val="20"/>
          <w:szCs w:val="20"/>
          <w:color w:val="auto"/>
        </w:rPr>
      </w:pPr>
      <w:r>
        <w:rPr>
          <w:rFonts w:ascii="Arial" w:cs="Arial" w:eastAsia="Arial" w:hAnsi="Arial"/>
          <w:sz w:val="15"/>
          <w:szCs w:val="15"/>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46" w:lineRule="exact"/>
        <w:rPr>
          <w:sz w:val="20"/>
          <w:szCs w:val="20"/>
          <w:color w:val="auto"/>
        </w:rPr>
      </w:pPr>
    </w:p>
    <w:p>
      <w:pPr>
        <w:ind w:right="180" w:firstLine="435"/>
        <w:spacing w:after="0" w:line="253" w:lineRule="auto"/>
        <w:rPr>
          <w:sz w:val="20"/>
          <w:szCs w:val="20"/>
          <w:color w:val="auto"/>
        </w:rPr>
      </w:pPr>
      <w:r>
        <w:rPr>
          <w:rFonts w:ascii="Arial" w:cs="Arial" w:eastAsia="Arial" w:hAnsi="Arial"/>
          <w:sz w:val="18"/>
          <w:szCs w:val="18"/>
          <w:color w:val="auto"/>
        </w:rPr>
        <w:t>Additionally, as of December 31, 2022, the Company was contingently liable for $40.9 million in letters of credit guaranteeing performance by the Company of certain obligations relating to the Centers. As of December 31, 2022, $40.7 million of these letters of credit were secured by restricted cash. The Company does not believe that these letters of credit will result in a liability to the Company.</w:t>
      </w:r>
    </w:p>
    <w:p>
      <w:pPr>
        <w:spacing w:after="0" w:line="109" w:lineRule="exact"/>
        <w:rPr>
          <w:sz w:val="20"/>
          <w:szCs w:val="20"/>
          <w:color w:val="auto"/>
        </w:rPr>
      </w:pPr>
    </w:p>
    <w:p>
      <w:pPr>
        <w:ind w:firstLine="435"/>
        <w:spacing w:after="0" w:line="277" w:lineRule="auto"/>
        <w:rPr>
          <w:sz w:val="20"/>
          <w:szCs w:val="20"/>
          <w:color w:val="auto"/>
        </w:rPr>
      </w:pPr>
      <w:r>
        <w:rPr>
          <w:rFonts w:ascii="Arial" w:cs="Arial" w:eastAsia="Arial" w:hAnsi="Arial"/>
          <w:sz w:val="16"/>
          <w:szCs w:val="16"/>
          <w:color w:val="auto"/>
        </w:rPr>
        <w:t>On February 2, 2022, the Company’s joint venture in FlatIron Crossing replaced the existing $197 million loan on the property with a new $175 million loan that bears interest at SOFR plus 3.70% and matures on February 9, 2025, including extension options. On April 29, 2022, the Company closed on a new $72 million loan at Pacific View with a fixed rate of 5.29% that matures on May 6, 2032. On May 6, 2022, the Company closed on a two-year extension of the loan on The Oaks to June 5, 2024. The loan will now bear a fixed interest rate of 5.25%, and the Company repaid $5.0 million of the outstanding loan balance at closing. On July 1, 2022, the Company extended the loan maturity on Danbury Fair Mall to July 1, 2023. The interest rate remained unchanged at 5.5%, and the Company repaid $10.0 million of the outstanding loan balance at closing. On November 14, 2022, the Company’s joint venture closed a four-year extension on the $503 million loan on Washington Square. $15 million of the loan was repaid at closing by the joint venture ($9 million at the Company’s share). The extended loan bears interest at a floating rate of SOFR plus 4.0%, subject to an interest rate cap agreement, and matures on November 1, 2026, including extension options. On December 9, 2022, the Company closed a three-year extension on the $300 million loan on Santa Monica Place. None of the loan amount was repaid at closing. The extended loan bears interest at a floating rate of LIBOR plus 1.48% and matures on December 9, 2025, including extension options. In addition, on January 3, 2023, the Company closed on a five-year $370.0 million combined refinance of Green Acres Mall and Green Acres Commons. The new interest only loan bears a fixed interest rate of 5.90% and matures on January 6, 2028. On January 20, 2023, the Company exercised its one-year extension option of the loan on Fashion District Philadelphia to January 22, 2024. The interest rate is SOFR plus 3.60% and the Company repaid $26.1 million of the outstanding loan balance at closing. The Company’s joint venture in Scottsdale Fashion Square expects to replace the existing $406.0 million mortgage loan on the property with a $700.0 million, five-year, fixed-rate loan. The Company expects the joint venture to close this refinancing during the first quarter of 2023, subject to negotiating final documentation and customary closing conditions. The Company did not repay the loan on Towne Mall on its maturity date of November 1, 2022, and has begun the process of transitioning the property to a loan receiver. (See “—Financing Activities” in Management’s Overview and Summary).</w:t>
      </w:r>
    </w:p>
    <w:p>
      <w:pPr>
        <w:spacing w:after="0" w:line="117" w:lineRule="exact"/>
        <w:rPr>
          <w:sz w:val="20"/>
          <w:szCs w:val="20"/>
          <w:color w:val="auto"/>
        </w:rPr>
      </w:pPr>
    </w:p>
    <w:p>
      <w:pPr>
        <w:ind w:right="100" w:firstLine="435"/>
        <w:spacing w:after="0" w:line="283" w:lineRule="auto"/>
        <w:rPr>
          <w:sz w:val="20"/>
          <w:szCs w:val="20"/>
          <w:color w:val="auto"/>
        </w:rPr>
      </w:pPr>
      <w:r>
        <w:rPr>
          <w:rFonts w:ascii="Arial" w:cs="Arial" w:eastAsia="Arial" w:hAnsi="Arial"/>
          <w:sz w:val="16"/>
          <w:szCs w:val="16"/>
          <w:color w:val="auto"/>
        </w:rPr>
        <w:t>The Company has a $700 million credit facility, including a $525 million revolving loan facility that matures on April 14, 2023, with a one-year extension option. The revolving loan facility can be expanded up to $800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credit facility bears interest at LIBOR plus a spread of 2.25% to 3.25% depending on Company’s overall leverage level. As of December 31, 2022, the borrowing rate was LIBOR plus 2.25%. As of December 31, 2022, borrowings under the credit facility were $171.0 million less unamortized deferred finance costs of $7.9 million for the revolving loan facility at a total interest rate of 8.08%. As of December 31, 2022, the Company’s availability under the revolving loan facility for additional borrowings was $353.8 million.</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Cash dividends and distributions for the twelve months ended December 31, 2022 were $186.3 million which were funded by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52" w:name="page53"/>
    <w:bookmarkEnd w:id="52"/>
    <w:p>
      <w:pPr>
        <w:ind w:left="400" w:right="2800" w:firstLine="40"/>
        <w:spacing w:after="0" w:line="407" w:lineRule="auto"/>
        <w:rPr>
          <w:sz w:val="20"/>
          <w:szCs w:val="20"/>
          <w:color w:val="auto"/>
        </w:rPr>
      </w:pPr>
      <w:r>
        <w:rPr>
          <w:rFonts w:ascii="Arial" w:cs="Arial" w:eastAsia="Arial" w:hAnsi="Arial"/>
          <w:sz w:val="18"/>
          <w:szCs w:val="18"/>
          <w:color w:val="auto"/>
        </w:rPr>
        <w:t xml:space="preserve">At December 31, 2022, the Company was in compliance with all applicable loan covenants under its agreements. At December 31, 2022, the Company had cash and cash equivalents of $100.3 million. </w:t>
      </w:r>
      <w:r>
        <w:rPr>
          <w:rFonts w:ascii="Arial" w:cs="Arial" w:eastAsia="Arial" w:hAnsi="Arial"/>
          <w:sz w:val="18"/>
          <w:szCs w:val="18"/>
          <w:i w:val="1"/>
          <w:iCs w:val="1"/>
          <w:color w:val="auto"/>
        </w:rPr>
        <w:t>Material Cash Commitments:</w:t>
      </w:r>
    </w:p>
    <w:p>
      <w:pPr>
        <w:spacing w:after="0" w:line="1" w:lineRule="exact"/>
        <w:rPr>
          <w:sz w:val="20"/>
          <w:szCs w:val="20"/>
          <w:color w:val="auto"/>
        </w:rPr>
      </w:pPr>
    </w:p>
    <w:p>
      <w:pPr>
        <w:ind w:right="400" w:firstLine="435"/>
        <w:spacing w:after="0" w:line="262" w:lineRule="auto"/>
        <w:rPr>
          <w:sz w:val="20"/>
          <w:szCs w:val="20"/>
          <w:color w:val="auto"/>
        </w:rPr>
      </w:pPr>
      <w:r>
        <w:rPr>
          <w:rFonts w:ascii="Arial" w:cs="Arial" w:eastAsia="Arial" w:hAnsi="Arial"/>
          <w:sz w:val="18"/>
          <w:szCs w:val="18"/>
          <w:color w:val="auto"/>
        </w:rPr>
        <w:t>The following is a schedule of material cash commitments as of December 31, 2022 for the consolidated Centers over the periods in which they are expected to be paid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00" w:type="dxa"/>
            <w:vAlign w:val="bottom"/>
            <w:gridSpan w:val="4"/>
          </w:tcPr>
          <w:p>
            <w:pPr>
              <w:ind w:left="60"/>
              <w:spacing w:after="0"/>
              <w:rPr>
                <w:sz w:val="20"/>
                <w:szCs w:val="20"/>
                <w:color w:val="auto"/>
              </w:rPr>
            </w:pPr>
            <w:r>
              <w:rPr>
                <w:rFonts w:ascii="Arial" w:cs="Arial" w:eastAsia="Arial" w:hAnsi="Arial"/>
                <w:sz w:val="14"/>
                <w:szCs w:val="14"/>
                <w:b w:val="1"/>
                <w:bCs w:val="1"/>
                <w:color w:val="auto"/>
              </w:rPr>
              <w:t>Payment Due by Period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Commitments</w:t>
            </w:r>
          </w:p>
        </w:tc>
        <w:tc>
          <w:tcPr>
            <w:tcW w:w="10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ind w:right="379"/>
              <w:spacing w:after="0" w:line="125"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1 - 3 years</w:t>
            </w:r>
          </w:p>
        </w:tc>
        <w:tc>
          <w:tcPr>
            <w:tcW w:w="1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jc w:val="right"/>
              <w:ind w:right="339"/>
              <w:spacing w:after="0" w:line="12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1"/>
        </w:trPr>
        <w:tc>
          <w:tcPr>
            <w:tcW w:w="2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72"/>
        </w:trPr>
        <w:tc>
          <w:tcPr>
            <w:tcW w:w="29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w w:val="98"/>
              </w:rPr>
              <w:t>Long-term debt obligations (includes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interest payments)(1)(2)</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5,125,634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828,237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1,947,004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1,672,549</w:t>
            </w:r>
          </w:p>
        </w:tc>
        <w:tc>
          <w:tcPr>
            <w:tcW w:w="0" w:type="dxa"/>
            <w:vAlign w:val="bottom"/>
          </w:tcPr>
          <w:p>
            <w:pPr>
              <w:spacing w:after="0"/>
              <w:rPr>
                <w:sz w:val="1"/>
                <w:szCs w:val="1"/>
                <w:color w:val="auto"/>
              </w:rPr>
            </w:pPr>
          </w:p>
        </w:tc>
      </w:tr>
      <w:tr>
        <w:trPr>
          <w:trHeight w:val="224"/>
        </w:trPr>
        <w:tc>
          <w:tcPr>
            <w:tcW w:w="2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obligations(3)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109,158</w:t>
            </w:r>
          </w:p>
        </w:tc>
        <w:tc>
          <w:tcPr>
            <w:tcW w:w="0" w:type="dxa"/>
            <w:vAlign w:val="bottom"/>
          </w:tcPr>
          <w:p>
            <w:pPr>
              <w:spacing w:after="0"/>
              <w:rPr>
                <w:sz w:val="1"/>
                <w:szCs w:val="1"/>
                <w:color w:val="auto"/>
              </w:rPr>
            </w:pPr>
          </w:p>
        </w:tc>
      </w:tr>
      <w:tr>
        <w:trPr>
          <w:trHeight w:val="237"/>
        </w:trPr>
        <w:tc>
          <w:tcPr>
            <w:tcW w:w="2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5,307,583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842,942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1,981,191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701,743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1,781,707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9" w:lineRule="exact"/>
        <w:rPr>
          <w:sz w:val="20"/>
          <w:szCs w:val="20"/>
          <w:color w:val="auto"/>
        </w:rPr>
      </w:pPr>
    </w:p>
    <w:p>
      <w:pPr>
        <w:ind w:left="800" w:hanging="399"/>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December 31, 2022.</w:t>
      </w:r>
    </w:p>
    <w:p>
      <w:pPr>
        <w:spacing w:after="0" w:line="14" w:lineRule="exact"/>
        <w:rPr>
          <w:rFonts w:ascii="Arial" w:cs="Arial" w:eastAsia="Arial" w:hAnsi="Arial"/>
          <w:sz w:val="16"/>
          <w:szCs w:val="16"/>
          <w:color w:val="auto"/>
        </w:rPr>
      </w:pPr>
    </w:p>
    <w:p>
      <w:pPr>
        <w:ind w:left="800" w:right="160" w:hanging="399"/>
        <w:spacing w:after="0" w:line="262" w:lineRule="auto"/>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On January 3, 2023, the Company closed a $370 million, five-year refinance of the combined loans that formerly encumbered Green Acres Mall and Green Acres Commons. On January 20, 2023, the Company exercised its one-year extension option of the Fashion District Philadelphia loan to January 22, 2024 and repaid $26.1 million of the outstanding loan balance at closing (See “Financing Activity” in Management’s Overview and Summary).</w:t>
      </w:r>
    </w:p>
    <w:p>
      <w:pPr>
        <w:spacing w:after="0" w:line="1" w:lineRule="exact"/>
        <w:rPr>
          <w:rFonts w:ascii="Arial" w:cs="Arial" w:eastAsia="Arial" w:hAnsi="Arial"/>
          <w:sz w:val="15"/>
          <w:szCs w:val="15"/>
          <w:color w:val="auto"/>
        </w:rPr>
      </w:pPr>
    </w:p>
    <w:p>
      <w:pPr>
        <w:ind w:left="800" w:hanging="399"/>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See Note 8—Leases in the Company's Notes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155" w:lineRule="exact"/>
        <w:rPr>
          <w:sz w:val="20"/>
          <w:szCs w:val="20"/>
          <w:color w:val="auto"/>
        </w:rPr>
      </w:pPr>
    </w:p>
    <w:p>
      <w:pPr>
        <w:ind w:right="120" w:firstLine="435"/>
        <w:spacing w:after="0" w:line="247" w:lineRule="auto"/>
        <w:rPr>
          <w:sz w:val="20"/>
          <w:szCs w:val="20"/>
          <w:color w:val="auto"/>
        </w:rPr>
      </w:pPr>
      <w:r>
        <w:rPr>
          <w:rFonts w:ascii="Arial" w:cs="Arial" w:eastAsia="Arial" w:hAnsi="Arial"/>
          <w:sz w:val="18"/>
          <w:szCs w:val="18"/>
          <w:color w:val="auto"/>
        </w:rPr>
        <w:t>The Company uses FFO in addition to net income to report its operating and financial results and considers FFO and FFO -diluted as supplemental measures for the real estate industry and a supplement to GAAP measures. The National Association of Real Estate Investment Trusts ("Nareit")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31" w:lineRule="exact"/>
        <w:rPr>
          <w:sz w:val="20"/>
          <w:szCs w:val="20"/>
          <w:color w:val="auto"/>
        </w:rPr>
      </w:pPr>
    </w:p>
    <w:p>
      <w:pPr>
        <w:ind w:firstLine="435"/>
        <w:spacing w:after="0" w:line="248" w:lineRule="auto"/>
        <w:rPr>
          <w:sz w:val="20"/>
          <w:szCs w:val="20"/>
          <w:color w:val="auto"/>
        </w:rPr>
      </w:pPr>
      <w:r>
        <w:rPr>
          <w:rFonts w:ascii="Arial" w:cs="Arial" w:eastAsia="Arial" w:hAnsi="Arial"/>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also presents FFO excluding financing expense in connection with Chandler Freehold and loss on extinguishment of debt.</w:t>
      </w:r>
    </w:p>
    <w:p>
      <w:pPr>
        <w:spacing w:after="0" w:line="172" w:lineRule="exact"/>
        <w:rPr>
          <w:sz w:val="20"/>
          <w:szCs w:val="20"/>
          <w:color w:val="auto"/>
        </w:rPr>
      </w:pPr>
    </w:p>
    <w:p>
      <w:pPr>
        <w:ind w:right="40" w:firstLine="435"/>
        <w:spacing w:after="0" w:line="282"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and costs related to shareholder activism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02"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23"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Funds From Operations ("FFO") (Continued)</w:t>
      </w:r>
    </w:p>
    <w:p>
      <w:pPr>
        <w:spacing w:after="0" w:line="142" w:lineRule="exact"/>
        <w:rPr>
          <w:sz w:val="20"/>
          <w:szCs w:val="20"/>
          <w:color w:val="auto"/>
        </w:rPr>
      </w:pPr>
    </w:p>
    <w:p>
      <w:pPr>
        <w:ind w:right="120" w:firstLine="435"/>
        <w:spacing w:after="0" w:line="247"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(loss) income to FFO and FFO—diluted. Management believes that to further understand the Company's performance, FFO should be compared with the Company's reported net (loss) income and considered in addition to cash flows in accordance with GAAP, as presented in the Company's consolidated financial statements. The following reconciles net (loss) income attributable to the Company to FFO and FFO— diluted attributable to common stockholders and unit holders—basic and diluted, excluding financing expense in connection with Chandler Freehold and loss on extinguishment of debt, net and costs related to shareholder activism for the years ended December 31, 2022, 2021, 2020, 2019 and 2018 (dollars and shares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440" w:type="dxa"/>
        <w:tblCellMar>
          <w:top w:w="0" w:type="dxa"/>
          <w:left w:w="0" w:type="dxa"/>
          <w:bottom w:w="0" w:type="dxa"/>
          <w:right w:w="0" w:type="dxa"/>
        </w:tblCellMar>
      </w:tblPr>
      <w:tr>
        <w:trPr>
          <w:trHeight w:val="183"/>
        </w:trPr>
        <w:tc>
          <w:tcPr>
            <w:tcW w:w="4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8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the Company</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14,263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(230,203)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96,820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61"/>
        </w:trPr>
        <w:tc>
          <w:tcPr>
            <w:tcW w:w="4840" w:type="dxa"/>
            <w:vAlign w:val="bottom"/>
          </w:tcPr>
          <w:p>
            <w:pPr>
              <w:ind w:left="20"/>
              <w:spacing w:after="0" w:line="161" w:lineRule="exact"/>
              <w:rPr>
                <w:sz w:val="20"/>
                <w:szCs w:val="20"/>
                <w:color w:val="auto"/>
              </w:rPr>
            </w:pPr>
            <w:r>
              <w:rPr>
                <w:rFonts w:ascii="Arial" w:cs="Arial" w:eastAsia="Arial" w:hAnsi="Arial"/>
                <w:sz w:val="16"/>
                <w:szCs w:val="16"/>
                <w:color w:val="auto"/>
                <w:w w:val="92"/>
              </w:rPr>
              <w:t>Adjustments to reconcile net (loss) income attributable to the Company to</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Arial" w:cs="Arial" w:eastAsia="Arial" w:hAnsi="Arial"/>
                <w:sz w:val="16"/>
                <w:szCs w:val="16"/>
                <w:color w:val="auto"/>
                <w:w w:val="96"/>
              </w:rPr>
              <w:t>FFO attributable to common stockholders and unit holders—basic and</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840" w:type="dxa"/>
            <w:vAlign w:val="bottom"/>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 in the Operating Partnership</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4840" w:type="dxa"/>
            <w:vAlign w:val="bottom"/>
          </w:tcPr>
          <w:p>
            <w:pPr>
              <w:ind w:left="140"/>
              <w:spacing w:after="0"/>
              <w:rPr>
                <w:sz w:val="20"/>
                <w:szCs w:val="20"/>
                <w:color w:val="auto"/>
              </w:rPr>
            </w:pPr>
            <w:r>
              <w:rPr>
                <w:rFonts w:ascii="Arial" w:cs="Arial" w:eastAsia="Arial" w:hAnsi="Arial"/>
                <w:sz w:val="16"/>
                <w:szCs w:val="16"/>
                <w:color w:val="auto"/>
              </w:rPr>
              <w:t>(Gain) loss on sale or write down of consolidated assets,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11,909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remeasurement of consolidated assets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140"/>
              <w:spacing w:after="0" w:line="161" w:lineRule="exact"/>
              <w:rPr>
                <w:sz w:val="20"/>
                <w:szCs w:val="20"/>
                <w:color w:val="auto"/>
              </w:rPr>
            </w:pPr>
            <w:r>
              <w:rPr>
                <w:rFonts w:ascii="Arial" w:cs="Arial" w:eastAsia="Arial" w:hAnsi="Arial"/>
                <w:sz w:val="16"/>
                <w:szCs w:val="16"/>
                <w:color w:val="auto"/>
                <w:w w:val="91"/>
              </w:rPr>
              <w:t>Add: gain on undepreciated asset sales or write-down from consolidated</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16,091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19,461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7,777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3,829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4"/>
        </w:trPr>
        <w:tc>
          <w:tcPr>
            <w:tcW w:w="4840" w:type="dxa"/>
            <w:vAlign w:val="bottom"/>
          </w:tcPr>
          <w:p>
            <w:pPr>
              <w:ind w:left="14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8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0"/>
              </w:rPr>
              <w:t>Less: loss on write-down of non-real estate sales or write-down of assets</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assets</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140"/>
              <w:spacing w:after="0" w:line="161" w:lineRule="exact"/>
              <w:rPr>
                <w:sz w:val="20"/>
                <w:szCs w:val="20"/>
                <w:color w:val="auto"/>
              </w:rPr>
            </w:pPr>
            <w:r>
              <w:rPr>
                <w:rFonts w:ascii="Arial" w:cs="Arial" w:eastAsia="Arial" w:hAnsi="Arial"/>
                <w:sz w:val="16"/>
                <w:szCs w:val="16"/>
                <w:color w:val="auto"/>
                <w:w w:val="93"/>
              </w:rPr>
              <w:t>Add: noncontrolling interests share of gain (loss) on sale or write-down</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6,287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9,732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840" w:type="dxa"/>
            <w:vAlign w:val="bottom"/>
          </w:tcPr>
          <w:p>
            <w:pPr>
              <w:ind w:left="140"/>
              <w:spacing w:after="0"/>
              <w:rPr>
                <w:sz w:val="20"/>
                <w:szCs w:val="20"/>
                <w:color w:val="auto"/>
              </w:rPr>
            </w:pPr>
            <w:r>
              <w:rPr>
                <w:rFonts w:ascii="Arial" w:cs="Arial" w:eastAsia="Arial" w:hAnsi="Arial"/>
                <w:sz w:val="16"/>
                <w:szCs w:val="16"/>
                <w:color w:val="auto"/>
              </w:rPr>
              <w:t>of assets—consolidated assets</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8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Loss (gain) on sale or write down of assets—unconsolidated joint</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4,931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ventures(1)</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40" w:type="dxa"/>
            <w:vAlign w:val="bottom"/>
          </w:tcPr>
          <w:p>
            <w:pPr>
              <w:ind w:left="140"/>
              <w:spacing w:after="0" w:line="161" w:lineRule="exact"/>
              <w:rPr>
                <w:sz w:val="20"/>
                <w:szCs w:val="20"/>
                <w:color w:val="auto"/>
              </w:rPr>
            </w:pPr>
            <w:r>
              <w:rPr>
                <w:rFonts w:ascii="Arial" w:cs="Arial" w:eastAsia="Arial" w:hAnsi="Arial"/>
                <w:sz w:val="16"/>
                <w:szCs w:val="16"/>
                <w:color w:val="auto"/>
              </w:rPr>
              <w:t>Add: gain on sale of undepreciated assets—unconsolidated joint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7,794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840" w:type="dxa"/>
            <w:vAlign w:val="bottom"/>
          </w:tcPr>
          <w:p>
            <w:pPr>
              <w:ind w:left="140"/>
              <w:spacing w:after="0"/>
              <w:rPr>
                <w:sz w:val="20"/>
                <w:szCs w:val="20"/>
                <w:color w:val="auto"/>
              </w:rPr>
            </w:pPr>
            <w:r>
              <w:rPr>
                <w:rFonts w:ascii="Arial" w:cs="Arial" w:eastAsia="Arial" w:hAnsi="Arial"/>
                <w:sz w:val="16"/>
                <w:szCs w:val="16"/>
                <w:color w:val="auto"/>
              </w:rPr>
              <w:t>ventures(1)</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on consolidated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311,129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319,619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330,726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61"/>
        </w:trPr>
        <w:tc>
          <w:tcPr>
            <w:tcW w:w="4840" w:type="dxa"/>
            <w:vAlign w:val="bottom"/>
          </w:tcPr>
          <w:p>
            <w:pPr>
              <w:ind w:left="140"/>
              <w:spacing w:after="0" w:line="161" w:lineRule="exact"/>
              <w:rPr>
                <w:sz w:val="20"/>
                <w:szCs w:val="20"/>
                <w:color w:val="auto"/>
              </w:rPr>
            </w:pPr>
            <w:r>
              <w:rPr>
                <w:rFonts w:ascii="Arial" w:cs="Arial" w:eastAsia="Arial" w:hAnsi="Arial"/>
                <w:sz w:val="16"/>
                <w:szCs w:val="16"/>
                <w:color w:val="auto"/>
              </w:rPr>
              <w:t>Less: noncontrolling interests in depreciation and amortization—</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(21,592)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(29,239)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(15,517)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(15,124)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4840" w:type="dxa"/>
            <w:vAlign w:val="bottom"/>
          </w:tcPr>
          <w:p>
            <w:pPr>
              <w:ind w:left="140"/>
              <w:spacing w:after="0"/>
              <w:rPr>
                <w:sz w:val="20"/>
                <w:szCs w:val="20"/>
                <w:color w:val="auto"/>
              </w:rPr>
            </w:pPr>
            <w:r>
              <w:rPr>
                <w:rFonts w:ascii="Arial" w:cs="Arial" w:eastAsia="Arial" w:hAnsi="Arial"/>
                <w:sz w:val="16"/>
                <w:szCs w:val="16"/>
                <w:color w:val="auto"/>
              </w:rPr>
              <w:t>consolidated assets</w:t>
            </w: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amortization—unconsolidated joint ventures(1)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182,956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189,728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7"/>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depreciation on personal property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45"/>
        </w:trPr>
        <w:tc>
          <w:tcPr>
            <w:tcW w:w="484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w w:val="96"/>
              </w:rPr>
              <w:t>FFO attributable to common stockholders and unit holders—basic and</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404,632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423,145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475,930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606,662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expense in connection with Chandler Freehold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45"/>
        </w:trPr>
        <w:tc>
          <w:tcPr>
            <w:tcW w:w="484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w w:val="98"/>
              </w:rPr>
              <w:t>FFO attributable to common stockholders and unit holders, excluding</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9"/>
              </w:rPr>
              <w:t>financing expense in connection with Chandler Freehold—basic and</w:t>
            </w:r>
          </w:p>
        </w:tc>
        <w:tc>
          <w:tcPr>
            <w:tcW w:w="2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437,534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422,190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339,505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536,961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40" w:type="dxa"/>
            <w:vAlign w:val="bottom"/>
          </w:tcPr>
          <w:p>
            <w:pPr>
              <w:ind w:left="140"/>
              <w:spacing w:after="0"/>
              <w:rPr>
                <w:sz w:val="20"/>
                <w:szCs w:val="20"/>
                <w:color w:val="auto"/>
              </w:rPr>
            </w:pPr>
            <w:r>
              <w:rPr>
                <w:rFonts w:ascii="Arial" w:cs="Arial" w:eastAsia="Arial" w:hAnsi="Arial"/>
                <w:sz w:val="16"/>
                <w:szCs w:val="16"/>
                <w:color w:val="auto"/>
              </w:rPr>
              <w:t>Loss on extinguishment of debt, net—consolidated assets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Costs related to shareholder activism</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41"/>
        </w:trPr>
        <w:tc>
          <w:tcPr>
            <w:tcW w:w="4840" w:type="dxa"/>
            <w:vAlign w:val="bottom"/>
          </w:tcPr>
          <w:p>
            <w:pPr>
              <w:ind w:left="20"/>
              <w:spacing w:after="0" w:line="142" w:lineRule="exact"/>
              <w:rPr>
                <w:sz w:val="20"/>
                <w:szCs w:val="20"/>
                <w:color w:val="auto"/>
              </w:rPr>
            </w:pPr>
            <w:r>
              <w:rPr>
                <w:rFonts w:ascii="Arial" w:cs="Arial" w:eastAsia="Arial" w:hAnsi="Arial"/>
                <w:sz w:val="16"/>
                <w:szCs w:val="16"/>
                <w:color w:val="auto"/>
                <w:w w:val="99"/>
              </w:rPr>
              <w:t>FFO attributable to common stockholders and unit holders excluding</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58" w:lineRule="exact"/>
              <w:rPr>
                <w:sz w:val="20"/>
                <w:szCs w:val="20"/>
                <w:color w:val="auto"/>
              </w:rPr>
            </w:pPr>
            <w:r>
              <w:rPr>
                <w:rFonts w:ascii="Arial" w:cs="Arial" w:eastAsia="Arial" w:hAnsi="Arial"/>
                <w:sz w:val="16"/>
                <w:szCs w:val="16"/>
                <w:color w:val="auto"/>
                <w:w w:val="93"/>
              </w:rPr>
              <w:t>financing expense in connection with Chandler Freehold, extinguishment</w:t>
            </w:r>
          </w:p>
        </w:tc>
        <w:tc>
          <w:tcPr>
            <w:tcW w:w="260" w:type="dxa"/>
            <w:vAlign w:val="bottom"/>
            <w:vMerge w:val="restart"/>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437,534</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423,197</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339,505</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537,312</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186"/>
        </w:trPr>
        <w:tc>
          <w:tcPr>
            <w:tcW w:w="4840" w:type="dxa"/>
            <w:vAlign w:val="bottom"/>
          </w:tcPr>
          <w:p>
            <w:pPr>
              <w:ind w:left="20"/>
              <w:spacing w:after="0" w:line="181" w:lineRule="exact"/>
              <w:rPr>
                <w:sz w:val="20"/>
                <w:szCs w:val="20"/>
                <w:color w:val="auto"/>
              </w:rPr>
            </w:pPr>
            <w:r>
              <w:rPr>
                <w:rFonts w:ascii="Arial" w:cs="Arial" w:eastAsia="Arial" w:hAnsi="Arial"/>
                <w:sz w:val="16"/>
                <w:szCs w:val="16"/>
                <w:color w:val="auto"/>
              </w:rPr>
              <w:t>of debt, net and costs related to shareholder activism—diluted</w:t>
            </w:r>
          </w:p>
        </w:tc>
        <w:tc>
          <w:tcPr>
            <w:tcW w:w="26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FFO shares outstanding for:</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w w:val="99"/>
              </w:rPr>
              <w:t>FFO attributable to common stockholders and unit holders—basic(2)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223,678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207,991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156,920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151,755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65"/>
        </w:trPr>
        <w:tc>
          <w:tcPr>
            <w:tcW w:w="48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9"/>
              </w:rPr>
              <w:t>Adjustments for the impact of dilutive securities in computing FFO—</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40" w:type="dxa"/>
            <w:vAlign w:val="bottom"/>
          </w:tcPr>
          <w:p>
            <w:pPr>
              <w:ind w:left="140"/>
              <w:spacing w:after="0"/>
              <w:rPr>
                <w:sz w:val="20"/>
                <w:szCs w:val="20"/>
                <w:color w:val="auto"/>
              </w:rPr>
            </w:pPr>
            <w:r>
              <w:rPr>
                <w:rFonts w:ascii="Arial" w:cs="Arial" w:eastAsia="Arial" w:hAnsi="Arial"/>
                <w:sz w:val="16"/>
                <w:szCs w:val="16"/>
                <w:color w:val="auto"/>
              </w:rPr>
              <w:t>Share and unit-based compensation plans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FFO attributable to common stockholders and unit holders—diluted(3)</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223,678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207,991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151,755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17" w:right="2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800" w:hanging="399"/>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Unconsolidated assets are presented at the Company's pro rata share.</w:t>
      </w:r>
    </w:p>
    <w:p>
      <w:pPr>
        <w:spacing w:after="0" w:line="158" w:lineRule="exact"/>
        <w:rPr>
          <w:rFonts w:ascii="Arial" w:cs="Arial" w:eastAsia="Arial" w:hAnsi="Arial"/>
          <w:sz w:val="16"/>
          <w:szCs w:val="16"/>
          <w:color w:val="auto"/>
        </w:rPr>
      </w:pPr>
    </w:p>
    <w:p>
      <w:pPr>
        <w:ind w:left="800" w:right="280" w:hanging="399"/>
        <w:spacing w:after="0" w:line="262"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During the years ended December 31, 2022, 2021, 2020, 2019 and 2018, there were 8.6 million, 9.9 million, 10.7 million, 10.4 million and 10.4 million OP Units outstanding, respectively.</w:t>
      </w:r>
    </w:p>
    <w:p>
      <w:pPr>
        <w:spacing w:after="0" w:line="112" w:lineRule="exact"/>
        <w:rPr>
          <w:rFonts w:ascii="Arial" w:cs="Arial" w:eastAsia="Arial" w:hAnsi="Arial"/>
          <w:sz w:val="16"/>
          <w:szCs w:val="16"/>
          <w:color w:val="auto"/>
        </w:rPr>
      </w:pPr>
    </w:p>
    <w:p>
      <w:pPr>
        <w:ind w:left="800" w:right="360" w:hanging="399"/>
        <w:spacing w:after="0" w:line="260"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and the convertible senior notes using the treasury stock method. It also assumes the conversion of MACWH, LP common and preferred units to the extent that they are dilutive to the FFO-diluted computation.</w:t>
      </w:r>
    </w:p>
    <w:p>
      <w:pPr>
        <w:spacing w:after="0" w:line="10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primary market risk exposure is interest rate risk. The Company has managed and will continue to manage interest rate risk by</w:t>
      </w:r>
    </w:p>
    <w:p>
      <w:pPr>
        <w:spacing w:after="0" w:line="38" w:lineRule="exact"/>
        <w:rPr>
          <w:sz w:val="20"/>
          <w:szCs w:val="20"/>
          <w:color w:val="auto"/>
        </w:rPr>
      </w:pPr>
    </w:p>
    <w:p>
      <w:pPr>
        <w:ind w:right="180" w:firstLine="5"/>
        <w:spacing w:after="0" w:line="245"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31" w:lineRule="exact"/>
        <w:rPr>
          <w:sz w:val="20"/>
          <w:szCs w:val="20"/>
          <w:color w:val="auto"/>
        </w:rPr>
      </w:pPr>
    </w:p>
    <w:p>
      <w:pPr>
        <w:ind w:firstLine="435"/>
        <w:spacing w:after="0" w:line="261" w:lineRule="auto"/>
        <w:rPr>
          <w:sz w:val="20"/>
          <w:szCs w:val="20"/>
          <w:color w:val="auto"/>
        </w:rPr>
      </w:pPr>
      <w:r>
        <w:rPr>
          <w:rFonts w:ascii="Arial" w:cs="Arial" w:eastAsia="Arial" w:hAnsi="Arial"/>
          <w:sz w:val="18"/>
          <w:szCs w:val="18"/>
          <w:color w:val="auto"/>
        </w:rPr>
        <w:t>The following table sets forth information as of December 31, 2022 concerning the Company's long term debt obligations, including principal cash flows by scheduled maturity, weighted average interest rates and estimated fair value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Expected Maturity Date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8"/>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For the years ending December 31,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9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70"/>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90"/>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CENTERS: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rPr>
                <w:sz w:val="20"/>
                <w:szCs w:val="20"/>
                <w:color w:val="auto"/>
              </w:rPr>
            </w:pPr>
            <w:r>
              <w:rPr>
                <w:rFonts w:ascii="Arial" w:cs="Arial" w:eastAsia="Arial" w:hAnsi="Arial"/>
                <w:sz w:val="14"/>
                <w:szCs w:val="14"/>
                <w:color w:val="auto"/>
              </w:rPr>
              <w:t>Long term debt: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rate(1)</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517,585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530,491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608,383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538,780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1,527,758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3,724,679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3,385,936</w:t>
            </w:r>
          </w:p>
        </w:tc>
        <w:tc>
          <w:tcPr>
            <w:tcW w:w="0" w:type="dxa"/>
            <w:vAlign w:val="bottom"/>
          </w:tcPr>
          <w:p>
            <w:pPr>
              <w:spacing w:after="0"/>
              <w:rPr>
                <w:sz w:val="1"/>
                <w:szCs w:val="1"/>
                <w:color w:val="auto"/>
              </w:rPr>
            </w:pPr>
          </w:p>
        </w:tc>
      </w:tr>
      <w:tr>
        <w:trPr>
          <w:trHeight w:val="188"/>
        </w:trPr>
        <w:tc>
          <w:tcPr>
            <w:tcW w:w="216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4.39 %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4.01 %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Floating rate(1)(2)</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132,820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267,927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700,747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679,550</w:t>
            </w:r>
          </w:p>
        </w:tc>
        <w:tc>
          <w:tcPr>
            <w:tcW w:w="0" w:type="dxa"/>
            <w:vAlign w:val="bottom"/>
          </w:tcPr>
          <w:p>
            <w:pPr>
              <w:spacing w:after="0"/>
              <w:rPr>
                <w:sz w:val="1"/>
                <w:szCs w:val="1"/>
                <w:color w:val="auto"/>
              </w:rPr>
            </w:pPr>
          </w:p>
        </w:tc>
      </w:tr>
      <w:tr>
        <w:trPr>
          <w:trHeight w:val="191"/>
        </w:trPr>
        <w:tc>
          <w:tcPr>
            <w:tcW w:w="216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7.15 %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6"/>
                <w:szCs w:val="16"/>
                <w:color w:val="auto"/>
              </w:rPr>
            </w:pPr>
          </w:p>
        </w:tc>
        <w:tc>
          <w:tcPr>
            <w:tcW w:w="860" w:type="dxa"/>
            <w:vAlign w:val="bottom"/>
            <w:gridSpan w:val="2"/>
          </w:tcPr>
          <w:p>
            <w:pPr>
              <w:ind w:left="44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6"/>
                <w:szCs w:val="16"/>
                <w:color w:val="auto"/>
              </w:rPr>
            </w:pP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debt—Consolidated Centers</w:t>
            </w: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650,405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798,418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908,383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538,780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1,527,758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4,425,426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4,065,486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b w:val="1"/>
                <w:bCs w:val="1"/>
                <w:color w:val="auto"/>
              </w:rPr>
              <w:t>UNCONSOLIDATED JOINT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1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180"/>
              <w:spacing w:after="0"/>
              <w:rPr>
                <w:sz w:val="20"/>
                <w:szCs w:val="20"/>
                <w:color w:val="auto"/>
              </w:rPr>
            </w:pPr>
            <w:r>
              <w:rPr>
                <w:rFonts w:ascii="Arial" w:cs="Arial" w:eastAsia="Arial" w:hAnsi="Arial"/>
                <w:sz w:val="14"/>
                <w:szCs w:val="14"/>
                <w:b w:val="1"/>
                <w:bCs w:val="1"/>
                <w:color w:val="auto"/>
              </w:rPr>
              <w:t>VENTURE CENTERS: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1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Long term debt (at the Company's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 rata share):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140"/>
              <w:spacing w:after="0"/>
              <w:rPr>
                <w:sz w:val="20"/>
                <w:szCs w:val="20"/>
                <w:color w:val="auto"/>
              </w:rPr>
            </w:pPr>
            <w:r>
              <w:rPr>
                <w:rFonts w:ascii="Arial" w:cs="Arial" w:eastAsia="Arial" w:hAnsi="Arial"/>
                <w:sz w:val="14"/>
                <w:szCs w:val="14"/>
                <w:color w:val="auto"/>
              </w:rPr>
              <w:t>Fixed rate(3)</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333,870</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371,432</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240,112</w:t>
            </w:r>
          </w:p>
        </w:tc>
        <w:tc>
          <w:tcPr>
            <w:tcW w:w="100" w:type="dxa"/>
            <w:vAlign w:val="bottom"/>
          </w:tcPr>
          <w:p>
            <w:pPr>
              <w:spacing w:after="0"/>
              <w:rPr>
                <w:sz w:val="16"/>
                <w:szCs w:val="16"/>
                <w:color w:val="auto"/>
              </w:rPr>
            </w:pPr>
          </w:p>
        </w:tc>
        <w:tc>
          <w:tcPr>
            <w:tcW w:w="220" w:type="dxa"/>
            <w:vAlign w:val="bottom"/>
          </w:tcPr>
          <w:p>
            <w:pPr>
              <w:jc w:val="center"/>
              <w:ind w:right="5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743,959</w:t>
            </w:r>
          </w:p>
        </w:tc>
        <w:tc>
          <w:tcPr>
            <w:tcW w:w="12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386,594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665,795</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2,741,762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2,591,309</w:t>
            </w: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140"/>
              <w:spacing w:after="0"/>
              <w:rPr>
                <w:sz w:val="20"/>
                <w:szCs w:val="20"/>
                <w:color w:val="auto"/>
              </w:rPr>
            </w:pPr>
            <w:r>
              <w:rPr>
                <w:rFonts w:ascii="Arial" w:cs="Arial" w:eastAsia="Arial" w:hAnsi="Arial"/>
                <w:sz w:val="14"/>
                <w:szCs w:val="14"/>
                <w:color w:val="auto"/>
              </w:rPr>
              <w:t>Floating rate</w:t>
            </w:r>
          </w:p>
        </w:tc>
        <w:tc>
          <w:tcPr>
            <w:tcW w:w="20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11,500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79,150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90,650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86,941</w:t>
            </w: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160" w:type="dxa"/>
            <w:vAlign w:val="bottom"/>
          </w:tcPr>
          <w:p>
            <w:pPr>
              <w:ind w:left="20"/>
              <w:spacing w:after="0" w:line="119" w:lineRule="exact"/>
              <w:rPr>
                <w:sz w:val="20"/>
                <w:szCs w:val="20"/>
                <w:color w:val="auto"/>
              </w:rPr>
            </w:pPr>
            <w:r>
              <w:rPr>
                <w:rFonts w:ascii="Arial" w:cs="Arial" w:eastAsia="Arial" w:hAnsi="Arial"/>
                <w:sz w:val="13"/>
                <w:szCs w:val="13"/>
                <w:color w:val="auto"/>
              </w:rPr>
              <w:t>Total debt—Unconsolidated Joint</w:t>
            </w:r>
          </w:p>
        </w:tc>
        <w:tc>
          <w:tcPr>
            <w:tcW w:w="2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345,370</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450,582</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240,112</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743,959</w:t>
            </w:r>
          </w:p>
        </w:tc>
        <w:tc>
          <w:tcPr>
            <w:tcW w:w="12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386,594</w:t>
            </w:r>
          </w:p>
        </w:tc>
        <w:tc>
          <w:tcPr>
            <w:tcW w:w="10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665,795</w:t>
            </w:r>
          </w:p>
        </w:tc>
        <w:tc>
          <w:tcPr>
            <w:tcW w:w="100" w:type="dxa"/>
            <w:vAlign w:val="bottom"/>
          </w:tcPr>
          <w:p>
            <w:pPr>
              <w:spacing w:after="0"/>
              <w:rPr>
                <w:sz w:val="10"/>
                <w:szCs w:val="10"/>
                <w:color w:val="auto"/>
              </w:rPr>
            </w:pPr>
          </w:p>
        </w:tc>
        <w:tc>
          <w:tcPr>
            <w:tcW w:w="2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2,832,412</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2,678,250</w:t>
            </w:r>
          </w:p>
        </w:tc>
        <w:tc>
          <w:tcPr>
            <w:tcW w:w="0" w:type="dxa"/>
            <w:vAlign w:val="bottom"/>
          </w:tcPr>
          <w:p>
            <w:pPr>
              <w:spacing w:after="0"/>
              <w:rPr>
                <w:sz w:val="1"/>
                <w:szCs w:val="1"/>
                <w:color w:val="auto"/>
              </w:rPr>
            </w:pPr>
          </w:p>
        </w:tc>
      </w:tr>
      <w:tr>
        <w:trPr>
          <w:trHeight w:val="168"/>
        </w:trPr>
        <w:tc>
          <w:tcPr>
            <w:tcW w:w="2160" w:type="dxa"/>
            <w:vAlign w:val="bottom"/>
          </w:tcPr>
          <w:p>
            <w:pPr>
              <w:ind w:left="100"/>
              <w:spacing w:after="0"/>
              <w:rPr>
                <w:sz w:val="20"/>
                <w:szCs w:val="20"/>
                <w:color w:val="auto"/>
              </w:rPr>
            </w:pPr>
            <w:r>
              <w:rPr>
                <w:rFonts w:ascii="Arial" w:cs="Arial" w:eastAsia="Arial" w:hAnsi="Arial"/>
                <w:sz w:val="14"/>
                <w:szCs w:val="14"/>
                <w:color w:val="auto"/>
              </w:rPr>
              <w:t>Venture Centers</w:t>
            </w:r>
          </w:p>
        </w:tc>
        <w:tc>
          <w:tcPr>
            <w:tcW w:w="2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1" w:lineRule="exact"/>
        <w:rPr>
          <w:sz w:val="20"/>
          <w:szCs w:val="20"/>
          <w:color w:val="auto"/>
        </w:rPr>
      </w:pPr>
    </w:p>
    <w:p>
      <w:pPr>
        <w:ind w:left="800" w:right="160" w:hanging="399"/>
        <w:spacing w:after="0" w:line="241"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January 3, 2023, the Company closed a $370 million, five-year refinance of the combined loans that formerly encumbered Green Acres Mall and Green Acres Commons (See “Financing Activity” in Management’s Overview and Summary).</w:t>
      </w:r>
    </w:p>
    <w:p>
      <w:pPr>
        <w:ind w:left="800" w:hanging="399"/>
        <w:spacing w:after="0" w:line="231"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January 20, 2023, the Company exercised its one-year extension option of the Fashion District Philadelphia loan to January 22, 2024 and repaid $26.1 million of the outstanding loan balance at closing (See “Financing Activity” in Management’s Overview and Summary).</w:t>
      </w:r>
    </w:p>
    <w:p>
      <w:pPr>
        <w:spacing w:after="0" w:line="1" w:lineRule="exact"/>
        <w:rPr>
          <w:rFonts w:ascii="Arial" w:cs="Arial" w:eastAsia="Arial" w:hAnsi="Arial"/>
          <w:sz w:val="16"/>
          <w:szCs w:val="16"/>
          <w:color w:val="auto"/>
        </w:rPr>
      </w:pPr>
    </w:p>
    <w:p>
      <w:pPr>
        <w:jc w:val="both"/>
        <w:ind w:left="800" w:right="20" w:hanging="399"/>
        <w:spacing w:after="0" w:line="230"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Company's joint venture in Scottsdale Fashion Square expects to replace the existing $406.0 million mortgage loan on the property with a $700.0 million, five-year, fixed rate loan. The Company expects the joint venture to close this refinancing during the first quarter of 2023, subject to negotiating final documentation and customary closing conditions (See "Financing Activity" in Management's Overview and Summary).</w:t>
      </w:r>
    </w:p>
    <w:p>
      <w:pPr>
        <w:spacing w:after="0" w:line="140" w:lineRule="exact"/>
        <w:rPr>
          <w:sz w:val="20"/>
          <w:szCs w:val="20"/>
          <w:color w:val="auto"/>
        </w:rPr>
      </w:pPr>
    </w:p>
    <w:p>
      <w:pPr>
        <w:ind w:right="40" w:firstLine="435"/>
        <w:spacing w:after="0" w:line="300" w:lineRule="auto"/>
        <w:rPr>
          <w:sz w:val="20"/>
          <w:szCs w:val="20"/>
          <w:color w:val="auto"/>
        </w:rPr>
      </w:pPr>
      <w:r>
        <w:rPr>
          <w:rFonts w:ascii="Arial" w:cs="Arial" w:eastAsia="Arial" w:hAnsi="Arial"/>
          <w:sz w:val="16"/>
          <w:szCs w:val="16"/>
          <w:color w:val="auto"/>
        </w:rPr>
        <w:t>The Consolidated Centers' total fixed rate debt at December 31, 2022 and 2021 was $3.7 billion and $3.8 billion, respectively. The average interest rate on such fixed rate debt at December 31, 2022 and 2021 was 4.01% and 3.94%, respectively. The Consolidated Centers' total floating rate debt at December 31, 2022 and 2021 was $0.7 billion. The average interest rate on such floating rate debt at December 31, 2022 and 2021 was 6.53% and 2.61%, respectively.</w:t>
      </w:r>
    </w:p>
    <w:p>
      <w:pPr>
        <w:spacing w:after="0" w:line="74" w:lineRule="exact"/>
        <w:rPr>
          <w:sz w:val="20"/>
          <w:szCs w:val="20"/>
          <w:color w:val="auto"/>
        </w:rPr>
      </w:pPr>
    </w:p>
    <w:p>
      <w:pPr>
        <w:ind w:right="320" w:firstLine="435"/>
        <w:spacing w:after="0" w:line="262" w:lineRule="auto"/>
        <w:rPr>
          <w:sz w:val="20"/>
          <w:szCs w:val="20"/>
          <w:color w:val="auto"/>
        </w:rPr>
      </w:pPr>
      <w:r>
        <w:rPr>
          <w:rFonts w:ascii="Arial" w:cs="Arial" w:eastAsia="Arial" w:hAnsi="Arial"/>
          <w:sz w:val="18"/>
          <w:szCs w:val="18"/>
          <w:color w:val="auto"/>
        </w:rPr>
        <w:t>The Company's pro rata share of the Unconsolidated Joint Venture Centers' fixed rate debt at December 31, 2022 and 2021 was $2.7 billion and $2.8 billion, respectively. The average interest rate on such fixed rate debt at December 31, 2022 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9" w:right="379" w:bottom="1440" w:gutter="0" w:footer="0" w:header="0"/>
        </w:sectPr>
      </w:pPr>
    </w:p>
    <w:bookmarkStart w:id="55" w:name="page56"/>
    <w:bookmarkEnd w:id="55"/>
    <w:p>
      <w:pPr>
        <w:jc w:val="both"/>
        <w:ind w:right="120"/>
        <w:spacing w:after="0" w:line="253" w:lineRule="auto"/>
        <w:rPr>
          <w:sz w:val="20"/>
          <w:szCs w:val="20"/>
          <w:color w:val="auto"/>
        </w:rPr>
      </w:pPr>
      <w:r>
        <w:rPr>
          <w:rFonts w:ascii="Arial" w:cs="Arial" w:eastAsia="Arial" w:hAnsi="Arial"/>
          <w:sz w:val="18"/>
          <w:szCs w:val="18"/>
          <w:color w:val="auto"/>
        </w:rPr>
        <w:t>2021 was 4.46% and 3.83%, respectively. The Company's pro rata share of the Unconsolidated Joint Venture Centers' floating rate debt at December 31, 2022 and 2021 was $90.7 million and $104.3 million, respectively. The average interest rate on such floating rate debt at December 31, 2022 and 2021 was 5.81% and 2.60%, respectively.</w:t>
      </w:r>
    </w:p>
    <w:p>
      <w:pPr>
        <w:spacing w:after="0" w:line="109" w:lineRule="exact"/>
        <w:rPr>
          <w:sz w:val="20"/>
          <w:szCs w:val="20"/>
          <w:color w:val="auto"/>
        </w:rPr>
      </w:pPr>
    </w:p>
    <w:p>
      <w:pPr>
        <w:ind w:right="20" w:firstLine="435"/>
        <w:spacing w:after="0" w:line="281" w:lineRule="auto"/>
        <w:rPr>
          <w:sz w:val="20"/>
          <w:szCs w:val="20"/>
          <w:color w:val="auto"/>
        </w:rPr>
      </w:pPr>
      <w:r>
        <w:rPr>
          <w:rFonts w:ascii="Arial" w:cs="Arial" w:eastAsia="Arial" w:hAnsi="Arial"/>
          <w:sz w:val="16"/>
          <w:szCs w:val="16"/>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December 31, 2022, the Company has interest rate cap agreements in place (See Note 4—Investments in Unconsolidated Joint Ventures and Note 5— Derivative Instruments and Hedging Activities in the Company's Notes to the Consolidated Financial Statements). The respective loans each require an interest rate cap agreement to be in place at all times, which limits how high the prevailing floating loan rate index (i.e., LIBOR or SOFR) for the loans can rise. As of the date of this report, LIBOR/SOFR for each of these loans exceeded the strike interest rate (the "Strike Rate") within the required interest rate cap agreement. If LIBOR/SOFR does exceed the Strike Rate, each of these loans would then be considered fixed rate debt. If LIBOR/SOFR for these respective loans thereafter no longer exceeds the Strike Rate, then these loans would once again be considered floating rate debt.</w:t>
      </w:r>
    </w:p>
    <w:p>
      <w:pPr>
        <w:spacing w:after="0" w:line="103" w:lineRule="exact"/>
        <w:rPr>
          <w:sz w:val="20"/>
          <w:szCs w:val="20"/>
          <w:color w:val="auto"/>
        </w:rPr>
      </w:pPr>
    </w:p>
    <w:p>
      <w:pPr>
        <w:ind w:right="320" w:firstLine="435"/>
        <w:spacing w:after="0" w:line="325"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$7.9 million per year based on $791.4 million of floating rate debt outstanding at December 31, 2022.</w:t>
      </w:r>
    </w:p>
    <w:p>
      <w:pPr>
        <w:spacing w:after="0" w:line="68" w:lineRule="exact"/>
        <w:rPr>
          <w:sz w:val="20"/>
          <w:szCs w:val="20"/>
          <w:color w:val="auto"/>
        </w:rPr>
      </w:pPr>
    </w:p>
    <w:p>
      <w:pPr>
        <w:ind w:right="160" w:firstLine="435"/>
        <w:spacing w:after="0" w:line="291" w:lineRule="auto"/>
        <w:rPr>
          <w:sz w:val="20"/>
          <w:szCs w:val="20"/>
          <w:color w:val="auto"/>
        </w:rPr>
      </w:pPr>
      <w:r>
        <w:rPr>
          <w:rFonts w:ascii="Arial" w:cs="Arial" w:eastAsia="Arial" w:hAnsi="Arial"/>
          <w:sz w:val="16"/>
          <w:szCs w:val="16"/>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83" w:lineRule="exact"/>
        <w:rPr>
          <w:sz w:val="20"/>
          <w:szCs w:val="20"/>
          <w:color w:val="auto"/>
        </w:rPr>
      </w:pPr>
    </w:p>
    <w:p>
      <w:pPr>
        <w:ind w:right="80" w:firstLine="435"/>
        <w:spacing w:after="0" w:line="280" w:lineRule="auto"/>
        <w:rPr>
          <w:sz w:val="20"/>
          <w:szCs w:val="20"/>
          <w:color w:val="auto"/>
        </w:rPr>
      </w:pPr>
      <w:r>
        <w:rPr>
          <w:rFonts w:ascii="Arial" w:cs="Arial" w:eastAsia="Arial" w:hAnsi="Arial"/>
          <w:sz w:val="16"/>
          <w:szCs w:val="16"/>
          <w:color w:val="auto"/>
        </w:rPr>
        <w:t>The Company expects that all LIBOR settings relevant to it will cease to be published or will no longer be representative after June 30, 2023. The discontinuation of LIBOR will not affect the Company’s ability to borrow or maintain already outstanding borrowings or hedging transactions, but if the Company’s contracts indexed to LIBOR, including certain contracts governing the variable rate debt of the Company and its joint ventures and the Company’s interest rate caps, are converted to SOFR, the differences between LIBOR and SOFR, plus the recommended spread adjustment, could result in interest or hedging costs that are higher than if LIBOR remained available. Additionally, although SOFR is the Alternative Reference Rates Committee’s recommended replacement rate, it is also possible that lenders may instead choose alternative replacement rates that may differ from LIBOR in ways similar to SOFR or in ways that would result in higher interest or hedging costs for the Company. It is not yet possible to predict the magnitude of LIBOR’s end on the Company’s borrowing costs given the remaining uncertainty about which rates will replace LIBOR. As of December 31, 2022, each of the agreements governing the Company’s variable rate debt provides for the replacement of LIBOR if it becomes unavailable during the term of such agreement. The Company does not expect that the costs of converting any remaining LIBOR-based loans to SOFR-based loans to be significant.</w:t>
      </w:r>
    </w:p>
    <w:p>
      <w:pPr>
        <w:spacing w:after="0" w:line="10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Financial Statements and Financial Statement Schedules for the required information appearing in Item 15.</w:t>
      </w:r>
    </w:p>
    <w:p>
      <w:pPr>
        <w:spacing w:after="0" w:line="1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Conclusion Regarding Effectiveness of Disclosure Controls and Procedures</w:t>
      </w:r>
    </w:p>
    <w:p>
      <w:pPr>
        <w:spacing w:after="0" w:line="149"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As required by Rule 13a-15(b) under the Securities and Exchange Act of 1934, as amended (the "Exchange Act"), management carried out an evaluation, under the supervision and with the participation of the Company's Chief Executive Officer and Chief Financial Officer, of the effectiveness of the Company's disclosure controls and procedures as of the end of the period covered by this Annual Report on Form 10-K. Based on their evaluation as of December 31, 2022, the Company's Chief Executive Officer and Chief Financial Officer have concluded that the Company's disclosure controls and procedures (as defined in Rule 13a-15(e) and 15d-15(e) under the Exchange Act) were effective to ensure that the information required to be disclosed by the Company in the reports that it files or submits under the Exchange Act is (a) recorded, processed, summarized, and reported within the time periods specified in the SEC's rules and forms and (b) accumulated and communicated to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23" w:right="359" w:bottom="1440" w:gutter="0" w:footer="0" w:header="0"/>
        </w:sectPr>
      </w:pPr>
    </w:p>
    <w:bookmarkStart w:id="56" w:name="page57"/>
    <w:bookmarkEnd w:id="56"/>
    <w:p>
      <w:pPr>
        <w:ind w:right="160"/>
        <w:spacing w:after="0" w:line="262" w:lineRule="auto"/>
        <w:rPr>
          <w:sz w:val="20"/>
          <w:szCs w:val="20"/>
          <w:color w:val="auto"/>
        </w:rPr>
      </w:pPr>
      <w:r>
        <w:rPr>
          <w:rFonts w:ascii="Arial" w:cs="Arial" w:eastAsia="Arial" w:hAnsi="Arial"/>
          <w:sz w:val="18"/>
          <w:szCs w:val="18"/>
          <w:color w:val="auto"/>
        </w:rPr>
        <w:t>Company's management, including its Chief Executive Officer and Chief Financial Officer, or persons performing similar functions, as appropriate to allow timely decisions regarding required disclosure.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49"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Rule 13a-15(f) under the Exchange Act). The Company's management assessed the effectiveness of the Company's internal control over financial reporting as of December 31, 2022. In making this assessment, the Company's management used the criteria set forth by the Committee of Sponsoring Organizations of the Treadway Commission in Internal Control—Integrated Framework (2013). The Company's management concluded that, as of December 31, 2022, its internal control over financial reporting was effective based on this assessment.</w:t>
      </w:r>
    </w:p>
    <w:p>
      <w:pPr>
        <w:spacing w:after="0" w:line="99" w:lineRule="exact"/>
        <w:rPr>
          <w:sz w:val="20"/>
          <w:szCs w:val="20"/>
          <w:color w:val="auto"/>
        </w:rPr>
      </w:pPr>
    </w:p>
    <w:p>
      <w:pPr>
        <w:ind w:right="400" w:firstLine="435"/>
        <w:spacing w:after="0" w:line="325" w:lineRule="auto"/>
        <w:rPr>
          <w:sz w:val="20"/>
          <w:szCs w:val="20"/>
          <w:color w:val="auto"/>
        </w:rPr>
      </w:pPr>
      <w:r>
        <w:rPr>
          <w:rFonts w:ascii="Arial" w:cs="Arial" w:eastAsia="Arial" w:hAnsi="Arial"/>
          <w:sz w:val="16"/>
          <w:szCs w:val="16"/>
          <w:color w:val="auto"/>
        </w:rPr>
        <w:t>KPMG LLP, the independent registered public accounting firm that audited the Company's 2022 consolidated financial statements included in this Annual Report on Form 10-K, has issued a report on the Company's internal control over financial reporting which follows below.</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9" w:lineRule="exact"/>
        <w:rPr>
          <w:sz w:val="20"/>
          <w:szCs w:val="20"/>
          <w:color w:val="auto"/>
        </w:rPr>
      </w:pPr>
    </w:p>
    <w:p>
      <w:pPr>
        <w:ind w:right="340" w:firstLine="435"/>
        <w:spacing w:after="0" w:line="262"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023" w:right="4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36" w:lineRule="exact"/>
        <w:rPr>
          <w:sz w:val="20"/>
          <w:szCs w:val="20"/>
          <w:color w:val="auto"/>
        </w:rPr>
      </w:pPr>
    </w:p>
    <w:p>
      <w:pPr>
        <w:ind w:right="120" w:firstLine="435"/>
        <w:spacing w:after="0" w:line="291" w:lineRule="auto"/>
        <w:rPr>
          <w:sz w:val="20"/>
          <w:szCs w:val="20"/>
          <w:color w:val="auto"/>
        </w:rPr>
      </w:pPr>
      <w:r>
        <w:rPr>
          <w:rFonts w:ascii="Arial" w:cs="Arial" w:eastAsia="Arial" w:hAnsi="Arial"/>
          <w:sz w:val="16"/>
          <w:szCs w:val="16"/>
          <w:color w:val="auto"/>
        </w:rPr>
        <w:t>We have audited The Macerich Company and subsidiaries’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96" w:lineRule="exact"/>
        <w:rPr>
          <w:sz w:val="20"/>
          <w:szCs w:val="20"/>
          <w:color w:val="auto"/>
        </w:rPr>
      </w:pPr>
    </w:p>
    <w:p>
      <w:pPr>
        <w:ind w:right="40" w:firstLine="435"/>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income, equity, and cash flows for each of the years in the three-year period ended December 31, 2022, and the related notes and financial statement Schedule III - Real Estate and Accumulated Depreciation (collectively, the consolidated financial statements), and our report dated February 24, 2023 expressed an unqualified opinion on those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36" w:lineRule="exact"/>
        <w:rPr>
          <w:sz w:val="20"/>
          <w:szCs w:val="20"/>
          <w:color w:val="auto"/>
        </w:rPr>
      </w:pPr>
    </w:p>
    <w:p>
      <w:pPr>
        <w:ind w:right="20" w:firstLine="435"/>
        <w:spacing w:after="0" w:line="24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right="20" w:firstLine="435"/>
        <w:spacing w:after="0" w:line="28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36"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2" w:lineRule="exact"/>
        <w:rPr>
          <w:sz w:val="20"/>
          <w:szCs w:val="20"/>
          <w:color w:val="auto"/>
        </w:rPr>
      </w:pPr>
    </w:p>
    <w:p>
      <w:pPr>
        <w:ind w:right="20" w:firstLine="435"/>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8" w:name="page59"/>
    <w:bookmarkEnd w:id="58"/>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3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4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55" w:lineRule="exact"/>
        <w:rPr>
          <w:sz w:val="20"/>
          <w:szCs w:val="20"/>
          <w:color w:val="auto"/>
        </w:rPr>
      </w:pPr>
    </w:p>
    <w:p>
      <w:pPr>
        <w:ind w:right="880" w:firstLine="435"/>
        <w:spacing w:after="0" w:line="262" w:lineRule="auto"/>
        <w:rPr>
          <w:sz w:val="20"/>
          <w:szCs w:val="20"/>
          <w:color w:val="auto"/>
        </w:rPr>
      </w:pPr>
      <w:r>
        <w:rPr>
          <w:rFonts w:ascii="Arial" w:cs="Arial" w:eastAsia="Arial" w:hAnsi="Arial"/>
          <w:sz w:val="18"/>
          <w:szCs w:val="18"/>
          <w:color w:val="auto"/>
        </w:rPr>
        <w:t>The information required by Item 10 will be included in the Company’s definitive proxy statement to be filed for its 2023 Annual Meeting of Stockholders and is incorporated by reference herein.</w:t>
      </w:r>
    </w:p>
    <w:p>
      <w:pPr>
        <w:spacing w:after="0" w:line="101" w:lineRule="exact"/>
        <w:rPr>
          <w:sz w:val="20"/>
          <w:szCs w:val="20"/>
          <w:color w:val="auto"/>
        </w:rPr>
      </w:pPr>
    </w:p>
    <w:p>
      <w:pPr>
        <w:ind w:firstLine="435"/>
        <w:spacing w:after="0" w:line="281" w:lineRule="auto"/>
        <w:rPr>
          <w:sz w:val="20"/>
          <w:szCs w:val="20"/>
          <w:color w:val="auto"/>
        </w:rPr>
      </w:pPr>
      <w:r>
        <w:rPr>
          <w:rFonts w:ascii="Arial" w:cs="Arial" w:eastAsia="Arial" w:hAnsi="Arial"/>
          <w:sz w:val="16"/>
          <w:szCs w:val="16"/>
          <w:color w:val="auto"/>
        </w:rPr>
        <w:t xml:space="preserve">The Company has adopted a Code of Business Conduct and Ethics that provides principles of conduct and ethics for its directors, officers and employees. This Code complies with the requirements of the Sarbanes-Oxley Act of 2002 and applicable rules of the Securities and Exchange Commission and the New York Stock Exchange. In addition, the Company has adopted a Code of Ethics for CEO and Senior Financial Officers which supplements the Code of Business Conduct and Ethics applicable to all employees and complies with the additional requirements of the Sarbanes-Oxley Act of 2002 and applicable rules of the Securities and Exchange Commission for those officers. To the extent required by applicable rules of the Securities and Exchange Commission and the New York Stock Exchange, the Company intends to promptly disclose future amendments to certain provisions of these Codes or waivers of such provisions granted to directors and executive officers, including the Company’s principal executive officer, principal financial officer, principal accounting officer or persons performing similar functions, on the Company’s website at </w:t>
      </w:r>
      <w:r>
        <w:rPr>
          <w:rFonts w:ascii="Arial" w:cs="Arial" w:eastAsia="Arial" w:hAnsi="Arial"/>
          <w:sz w:val="16"/>
          <w:szCs w:val="16"/>
          <w:i w:val="1"/>
          <w:iCs w:val="1"/>
          <w:color w:val="auto"/>
        </w:rPr>
        <w:t>www.macerich.com</w:t>
      </w:r>
      <w:r>
        <w:rPr>
          <w:rFonts w:ascii="Arial" w:cs="Arial" w:eastAsia="Arial" w:hAnsi="Arial"/>
          <w:sz w:val="16"/>
          <w:szCs w:val="16"/>
          <w:color w:val="auto"/>
        </w:rPr>
        <w:t xml:space="preserve"> under "Investors—Corporate Governance—Code of Ethics." Each of these Codes of Conduct is available on the Company’s website at </w:t>
      </w:r>
      <w:r>
        <w:rPr>
          <w:rFonts w:ascii="Arial" w:cs="Arial" w:eastAsia="Arial" w:hAnsi="Arial"/>
          <w:sz w:val="16"/>
          <w:szCs w:val="16"/>
          <w:i w:val="1"/>
          <w:iCs w:val="1"/>
          <w:color w:val="auto"/>
        </w:rPr>
        <w:t>www.macerich.com</w:t>
      </w:r>
      <w:r>
        <w:rPr>
          <w:rFonts w:ascii="Arial" w:cs="Arial" w:eastAsia="Arial" w:hAnsi="Arial"/>
          <w:sz w:val="16"/>
          <w:szCs w:val="16"/>
          <w:color w:val="auto"/>
        </w:rPr>
        <w:t xml:space="preserve"> under "Investors—Corporate Governance."</w:t>
      </w:r>
    </w:p>
    <w:p>
      <w:pPr>
        <w:spacing w:after="0" w:line="103" w:lineRule="exact"/>
        <w:rPr>
          <w:sz w:val="20"/>
          <w:szCs w:val="20"/>
          <w:color w:val="auto"/>
        </w:rPr>
      </w:pPr>
    </w:p>
    <w:p>
      <w:pPr>
        <w:ind w:right="440" w:firstLine="435"/>
        <w:spacing w:after="0" w:line="262" w:lineRule="auto"/>
        <w:rPr>
          <w:sz w:val="20"/>
          <w:szCs w:val="20"/>
          <w:color w:val="auto"/>
        </w:rPr>
      </w:pPr>
      <w:r>
        <w:rPr>
          <w:rFonts w:ascii="Arial" w:cs="Arial" w:eastAsia="Arial" w:hAnsi="Arial"/>
          <w:sz w:val="18"/>
          <w:szCs w:val="18"/>
          <w:color w:val="auto"/>
        </w:rPr>
        <w:t>During 2022, there were no material changes to the procedures described in the Company's proxy statement relating to the 2022 Annual Meeting of Stockholders by which stockholders may recommend director nominees to the Company.</w:t>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2" w:lineRule="exact"/>
        <w:rPr>
          <w:sz w:val="20"/>
          <w:szCs w:val="20"/>
          <w:color w:val="auto"/>
        </w:rPr>
      </w:pPr>
    </w:p>
    <w:p>
      <w:pPr>
        <w:ind w:right="900" w:firstLine="435"/>
        <w:spacing w:after="0" w:line="262" w:lineRule="auto"/>
        <w:rPr>
          <w:sz w:val="20"/>
          <w:szCs w:val="20"/>
          <w:color w:val="auto"/>
        </w:rPr>
      </w:pPr>
      <w:r>
        <w:rPr>
          <w:rFonts w:ascii="Arial" w:cs="Arial" w:eastAsia="Arial" w:hAnsi="Arial"/>
          <w:sz w:val="18"/>
          <w:szCs w:val="18"/>
          <w:color w:val="auto"/>
        </w:rPr>
        <w:t>The information required by Item 11 will be included in the Company’s definitive proxy statement to be filed for its 2023 Annual Meeting of Stockholders and is incorporated by reference herein.</w:t>
      </w:r>
    </w:p>
    <w:p>
      <w:pPr>
        <w:spacing w:after="0" w:line="109" w:lineRule="exact"/>
        <w:rPr>
          <w:sz w:val="20"/>
          <w:szCs w:val="20"/>
          <w:color w:val="auto"/>
        </w:rPr>
      </w:pPr>
    </w:p>
    <w:p>
      <w:pPr>
        <w:ind w:right="680"/>
        <w:spacing w:after="0" w:line="26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880" w:firstLine="435"/>
        <w:spacing w:after="0" w:line="262" w:lineRule="auto"/>
        <w:rPr>
          <w:sz w:val="20"/>
          <w:szCs w:val="20"/>
          <w:color w:val="auto"/>
        </w:rPr>
      </w:pPr>
      <w:r>
        <w:rPr>
          <w:rFonts w:ascii="Arial" w:cs="Arial" w:eastAsia="Arial" w:hAnsi="Arial"/>
          <w:sz w:val="18"/>
          <w:szCs w:val="18"/>
          <w:color w:val="auto"/>
        </w:rPr>
        <w:t>The information required by Item 12 will be included in the Company’s definitive proxy statement to be filed for its 2023 Annual Meeting of Stockholders and is incorporated by reference herein.</w:t>
      </w:r>
    </w:p>
    <w:p>
      <w:pPr>
        <w:spacing w:after="0" w:line="9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55" w:lineRule="exact"/>
        <w:rPr>
          <w:sz w:val="20"/>
          <w:szCs w:val="20"/>
          <w:color w:val="auto"/>
        </w:rPr>
      </w:pPr>
    </w:p>
    <w:p>
      <w:pPr>
        <w:ind w:right="880" w:firstLine="435"/>
        <w:spacing w:after="0" w:line="262" w:lineRule="auto"/>
        <w:rPr>
          <w:sz w:val="20"/>
          <w:szCs w:val="20"/>
          <w:color w:val="auto"/>
        </w:rPr>
      </w:pPr>
      <w:r>
        <w:rPr>
          <w:rFonts w:ascii="Arial" w:cs="Arial" w:eastAsia="Arial" w:hAnsi="Arial"/>
          <w:sz w:val="18"/>
          <w:szCs w:val="18"/>
          <w:color w:val="auto"/>
        </w:rPr>
        <w:t>The information required by Item 13 will be included in the Company’s definitive proxy statement to be filed for its 2023 Annual Meeting of Stockholders and is incorporated by reference herein.</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142" w:lineRule="exact"/>
        <w:rPr>
          <w:sz w:val="20"/>
          <w:szCs w:val="20"/>
          <w:color w:val="auto"/>
        </w:rPr>
      </w:pPr>
    </w:p>
    <w:p>
      <w:pPr>
        <w:ind w:right="880" w:firstLine="435"/>
        <w:spacing w:after="0" w:line="262" w:lineRule="auto"/>
        <w:rPr>
          <w:sz w:val="20"/>
          <w:szCs w:val="20"/>
          <w:color w:val="auto"/>
        </w:rPr>
      </w:pPr>
      <w:r>
        <w:rPr>
          <w:rFonts w:ascii="Arial" w:cs="Arial" w:eastAsia="Arial" w:hAnsi="Arial"/>
          <w:sz w:val="18"/>
          <w:szCs w:val="18"/>
          <w:color w:val="auto"/>
        </w:rPr>
        <w:t>The information required by Item 14 will be included in the Company’s definitive proxy statement to be filed for its 2023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480" w:type="dxa"/>
            <w:vAlign w:val="bottom"/>
            <w:gridSpan w:val="7"/>
          </w:tcPr>
          <w:p>
            <w:pPr>
              <w:ind w:left="540"/>
              <w:spacing w:after="0"/>
              <w:rPr>
                <w:sz w:val="20"/>
                <w:szCs w:val="20"/>
                <w:color w:val="auto"/>
              </w:rPr>
            </w:pPr>
            <w:r>
              <w:rPr>
                <w:rFonts w:ascii="Arial" w:cs="Arial" w:eastAsia="Arial" w:hAnsi="Arial"/>
                <w:sz w:val="18"/>
                <w:szCs w:val="18"/>
                <w:b w:val="1"/>
                <w:bCs w:val="1"/>
                <w:color w:val="auto"/>
              </w:rPr>
              <w:t>PART IV</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10220" w:type="dxa"/>
            <w:vAlign w:val="bottom"/>
            <w:gridSpan w:val="1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 and (c)</w:t>
            </w:r>
          </w:p>
        </w:tc>
        <w:tc>
          <w:tcPr>
            <w:tcW w:w="9020" w:type="dxa"/>
            <w:vAlign w:val="bottom"/>
            <w:gridSpan w:val="11"/>
            <w:vMerge w:val="restart"/>
          </w:tcPr>
          <w:p>
            <w:pPr>
              <w:ind w:left="40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Financial Statements</w:t>
            </w: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9020" w:type="dxa"/>
            <w:vAlign w:val="bottom"/>
            <w:gridSpan w:val="11"/>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40" w:type="dxa"/>
            <w:vAlign w:val="bottom"/>
            <w:gridSpan w:val="10"/>
          </w:tcPr>
          <w:p>
            <w:pPr>
              <w:spacing w:after="0" w:line="185" w:lineRule="exact"/>
              <w:rPr>
                <w:sz w:val="20"/>
                <w:szCs w:val="20"/>
                <w:color w:val="auto"/>
              </w:rPr>
            </w:pPr>
            <w:r>
              <w:rPr>
                <w:rFonts w:ascii="Arial" w:cs="Arial" w:eastAsia="Arial" w:hAnsi="Arial"/>
                <w:sz w:val="18"/>
                <w:szCs w:val="18"/>
                <w:color w:val="0000FF"/>
                <w:w w:val="95"/>
              </w:rPr>
              <w:t>Report of Independent Registered Public Accounting Firm (KPMG LLP, Los Angeles, CA, PCAOB Auditor Firm</w:t>
            </w: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164"/>
        </w:trPr>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top w:val="single" w:sz="8" w:color="0000FF"/>
            </w:tcBorders>
          </w:tcPr>
          <w:p>
            <w:pPr>
              <w:spacing w:after="0" w:line="164" w:lineRule="exact"/>
              <w:rPr>
                <w:sz w:val="20"/>
                <w:szCs w:val="20"/>
                <w:color w:val="auto"/>
              </w:rPr>
            </w:pPr>
            <w:r>
              <w:rPr>
                <w:rFonts w:ascii="Arial" w:cs="Arial" w:eastAsia="Arial" w:hAnsi="Arial"/>
                <w:sz w:val="18"/>
                <w:szCs w:val="18"/>
                <w:color w:val="0000FF"/>
                <w:w w:val="91"/>
              </w:rPr>
              <w:t>ID:185)</w:t>
            </w:r>
          </w:p>
        </w:tc>
        <w:tc>
          <w:tcPr>
            <w:tcW w:w="7440" w:type="dxa"/>
            <w:vAlign w:val="bottom"/>
            <w:tcBorders>
              <w:top w:val="single" w:sz="8" w:color="0000FF"/>
            </w:tcBorders>
            <w:gridSpan w:val="8"/>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gridSpan w:val="5"/>
          </w:tcPr>
          <w:p>
            <w:pPr>
              <w:spacing w:after="0" w:line="204" w:lineRule="exact"/>
              <w:rPr>
                <w:sz w:val="20"/>
                <w:szCs w:val="20"/>
                <w:color w:val="auto"/>
              </w:rPr>
            </w:pPr>
            <w:r>
              <w:rPr>
                <w:rFonts w:ascii="Arial" w:cs="Arial" w:eastAsia="Arial" w:hAnsi="Arial"/>
                <w:sz w:val="18"/>
                <w:szCs w:val="18"/>
                <w:color w:val="0000FF"/>
                <w:w w:val="86"/>
              </w:rPr>
              <w:t>Consolidated balance sheets as of December 31, 2022 and 2021</w:t>
            </w:r>
          </w:p>
        </w:tc>
        <w:tc>
          <w:tcPr>
            <w:tcW w:w="3960" w:type="dxa"/>
            <w:vAlign w:val="bottom"/>
            <w:gridSpan w:val="5"/>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20" w:type="dxa"/>
            <w:vAlign w:val="bottom"/>
            <w:gridSpan w:val="7"/>
          </w:tcPr>
          <w:p>
            <w:pPr>
              <w:spacing w:after="0" w:line="204" w:lineRule="exact"/>
              <w:rPr>
                <w:sz w:val="20"/>
                <w:szCs w:val="20"/>
                <w:color w:val="auto"/>
              </w:rPr>
            </w:pPr>
            <w:r>
              <w:rPr>
                <w:rFonts w:ascii="Arial" w:cs="Arial" w:eastAsia="Arial" w:hAnsi="Arial"/>
                <w:sz w:val="18"/>
                <w:szCs w:val="18"/>
                <w:color w:val="0000FF"/>
                <w:w w:val="86"/>
              </w:rPr>
              <w:t>Consolidated statements of operations for the years ended December 31, 2022, 2021 and 2020</w:t>
            </w:r>
          </w:p>
        </w:tc>
        <w:tc>
          <w:tcPr>
            <w:tcW w:w="1820" w:type="dxa"/>
            <w:vAlign w:val="bottom"/>
            <w:gridSpan w:val="3"/>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940" w:type="dxa"/>
            <w:vAlign w:val="bottom"/>
            <w:gridSpan w:val="8"/>
          </w:tcPr>
          <w:p>
            <w:pPr>
              <w:spacing w:after="0" w:line="204" w:lineRule="exact"/>
              <w:rPr>
                <w:sz w:val="20"/>
                <w:szCs w:val="20"/>
                <w:color w:val="auto"/>
              </w:rPr>
            </w:pPr>
            <w:r>
              <w:rPr>
                <w:rFonts w:ascii="Arial" w:cs="Arial" w:eastAsia="Arial" w:hAnsi="Arial"/>
                <w:sz w:val="18"/>
                <w:szCs w:val="18"/>
                <w:color w:val="0000FF"/>
                <w:w w:val="86"/>
              </w:rPr>
              <w:t>Consolidated statements of comprehensive (loss) income for the years ended December 31, 2022, 2021 and 2020</w:t>
            </w:r>
          </w:p>
        </w:tc>
        <w:tc>
          <w:tcPr>
            <w:tcW w:w="500" w:type="dxa"/>
            <w:vAlign w:val="bottom"/>
            <w:gridSpan w:val="2"/>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320" w:type="dxa"/>
            <w:vAlign w:val="bottom"/>
            <w:gridSpan w:val="6"/>
          </w:tcPr>
          <w:p>
            <w:pPr>
              <w:spacing w:after="0" w:line="204" w:lineRule="exact"/>
              <w:rPr>
                <w:sz w:val="20"/>
                <w:szCs w:val="20"/>
                <w:color w:val="auto"/>
              </w:rPr>
            </w:pPr>
            <w:r>
              <w:rPr>
                <w:rFonts w:ascii="Arial" w:cs="Arial" w:eastAsia="Arial" w:hAnsi="Arial"/>
                <w:sz w:val="18"/>
                <w:szCs w:val="18"/>
                <w:color w:val="0000FF"/>
                <w:w w:val="86"/>
              </w:rPr>
              <w:t>Consolidated statements of equity for the years ended December 31, 2022, 2021 and 2020</w:t>
            </w:r>
          </w:p>
        </w:tc>
        <w:tc>
          <w:tcPr>
            <w:tcW w:w="1620" w:type="dxa"/>
            <w:vAlign w:val="bottom"/>
            <w:gridSpan w:val="2"/>
          </w:tcPr>
          <w:p>
            <w:pPr>
              <w:spacing w:after="0"/>
              <w:rPr>
                <w:sz w:val="17"/>
                <w:szCs w:val="17"/>
                <w:color w:val="auto"/>
              </w:rPr>
            </w:pPr>
          </w:p>
        </w:tc>
        <w:tc>
          <w:tcPr>
            <w:tcW w:w="500" w:type="dxa"/>
            <w:vAlign w:val="bottom"/>
            <w:gridSpan w:val="2"/>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40" w:type="dxa"/>
            <w:vAlign w:val="bottom"/>
            <w:gridSpan w:val="10"/>
          </w:tcPr>
          <w:p>
            <w:pPr>
              <w:spacing w:after="0" w:line="204" w:lineRule="exact"/>
              <w:rPr>
                <w:sz w:val="20"/>
                <w:szCs w:val="20"/>
                <w:color w:val="auto"/>
              </w:rPr>
            </w:pPr>
            <w:r>
              <w:rPr>
                <w:rFonts w:ascii="Arial" w:cs="Arial" w:eastAsia="Arial" w:hAnsi="Arial"/>
                <w:sz w:val="18"/>
                <w:szCs w:val="18"/>
                <w:color w:val="0000FF"/>
              </w:rPr>
              <w:t>Consolidated statements of cash flows for the years ended December 31, 2022, 2021 and 2020</w:t>
            </w:r>
          </w:p>
        </w:tc>
        <w:tc>
          <w:tcPr>
            <w:tcW w:w="7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69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gridSpan w:val="3"/>
          </w:tcPr>
          <w:p>
            <w:pPr>
              <w:spacing w:after="0" w:line="204" w:lineRule="exact"/>
              <w:rPr>
                <w:sz w:val="20"/>
                <w:szCs w:val="20"/>
                <w:color w:val="auto"/>
              </w:rPr>
            </w:pPr>
            <w:r>
              <w:rPr>
                <w:rFonts w:ascii="Arial" w:cs="Arial" w:eastAsia="Arial" w:hAnsi="Arial"/>
                <w:sz w:val="18"/>
                <w:szCs w:val="18"/>
                <w:color w:val="0000FF"/>
                <w:w w:val="87"/>
              </w:rPr>
              <w:t>Notes to consolidated financial statements</w:t>
            </w:r>
          </w:p>
        </w:tc>
        <w:tc>
          <w:tcPr>
            <w:tcW w:w="3660" w:type="dxa"/>
            <w:vAlign w:val="bottom"/>
            <w:gridSpan w:val="4"/>
          </w:tcPr>
          <w:p>
            <w:pPr>
              <w:spacing w:after="0"/>
              <w:rPr>
                <w:sz w:val="17"/>
                <w:szCs w:val="17"/>
                <w:color w:val="auto"/>
              </w:rPr>
            </w:pPr>
          </w:p>
        </w:tc>
        <w:tc>
          <w:tcPr>
            <w:tcW w:w="1820" w:type="dxa"/>
            <w:vAlign w:val="bottom"/>
            <w:gridSpan w:val="3"/>
          </w:tcPr>
          <w:p>
            <w:pPr>
              <w:spacing w:after="0"/>
              <w:rPr>
                <w:sz w:val="17"/>
                <w:szCs w:val="17"/>
                <w:color w:val="auto"/>
              </w:rPr>
            </w:pPr>
          </w:p>
        </w:tc>
        <w:tc>
          <w:tcPr>
            <w:tcW w:w="780" w:type="dxa"/>
            <w:vAlign w:val="bottom"/>
            <w:gridSpan w:val="4"/>
          </w:tcPr>
          <w:p>
            <w:pPr>
              <w:jc w:val="right"/>
              <w:ind w:right="20"/>
              <w:spacing w:after="0" w:line="204" w:lineRule="exact"/>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0" w:type="dxa"/>
            <w:vAlign w:val="bottom"/>
          </w:tcPr>
          <w:p>
            <w:pPr>
              <w:spacing w:after="0"/>
              <w:rPr>
                <w:sz w:val="21"/>
                <w:szCs w:val="21"/>
                <w:color w:val="auto"/>
              </w:rPr>
            </w:pPr>
          </w:p>
        </w:tc>
        <w:tc>
          <w:tcPr>
            <w:tcW w:w="9020" w:type="dxa"/>
            <w:vAlign w:val="bottom"/>
            <w:gridSpan w:val="11"/>
          </w:tcPr>
          <w:p>
            <w:pPr>
              <w:ind w:left="40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Financial Statement Schedule</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940" w:type="dxa"/>
            <w:vAlign w:val="bottom"/>
            <w:gridSpan w:val="4"/>
          </w:tcPr>
          <w:p>
            <w:pPr>
              <w:spacing w:after="0" w:line="185" w:lineRule="exact"/>
              <w:rPr>
                <w:sz w:val="20"/>
                <w:szCs w:val="20"/>
                <w:color w:val="auto"/>
              </w:rPr>
            </w:pPr>
            <w:r>
              <w:rPr>
                <w:rFonts w:ascii="Arial" w:cs="Arial" w:eastAsia="Arial" w:hAnsi="Arial"/>
                <w:sz w:val="18"/>
                <w:szCs w:val="18"/>
                <w:color w:val="0000FF"/>
                <w:w w:val="87"/>
              </w:rPr>
              <w:t>Schedule III—Real estate and accumulated depreciation</w:t>
            </w:r>
          </w:p>
        </w:tc>
        <w:tc>
          <w:tcPr>
            <w:tcW w:w="4500" w:type="dxa"/>
            <w:vAlign w:val="bottom"/>
            <w:gridSpan w:val="6"/>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79"/>
              </w:rPr>
              <w:t>102</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w:t>
            </w:r>
          </w:p>
        </w:tc>
        <w:tc>
          <w:tcPr>
            <w:tcW w:w="58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2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0000FF"/>
                <w:w w:val="91"/>
              </w:rPr>
              <w:t>Exhibit Index</w:t>
            </w:r>
          </w:p>
        </w:tc>
        <w:tc>
          <w:tcPr>
            <w:tcW w:w="2980" w:type="dxa"/>
            <w:vAlign w:val="bottom"/>
            <w:gridSpan w:val="2"/>
          </w:tcPr>
          <w:p>
            <w:pPr>
              <w:spacing w:after="0"/>
              <w:rPr>
                <w:sz w:val="24"/>
                <w:szCs w:val="24"/>
                <w:color w:val="auto"/>
              </w:rPr>
            </w:pPr>
          </w:p>
        </w:tc>
        <w:tc>
          <w:tcPr>
            <w:tcW w:w="450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105</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017" w:right="57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Macerich Company: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49" w:lineRule="exact"/>
        <w:rPr>
          <w:sz w:val="20"/>
          <w:szCs w:val="20"/>
          <w:color w:val="auto"/>
        </w:rPr>
      </w:pPr>
    </w:p>
    <w:p>
      <w:pPr>
        <w:ind w:right="80" w:firstLine="435"/>
        <w:spacing w:after="0" w:line="284" w:lineRule="auto"/>
        <w:rPr>
          <w:sz w:val="20"/>
          <w:szCs w:val="20"/>
          <w:color w:val="auto"/>
        </w:rPr>
      </w:pPr>
      <w:r>
        <w:rPr>
          <w:rFonts w:ascii="Arial" w:cs="Arial" w:eastAsia="Arial" w:hAnsi="Arial"/>
          <w:sz w:val="16"/>
          <w:szCs w:val="16"/>
          <w:color w:val="auto"/>
        </w:rPr>
        <w:t>We have audited the accompanying consolidated balance sheets of The Macerich Company and subsidiaries (Company) as of December 31, 2022 and 2021, the related consolidated statements of operations, comprehensive (loss) income, equity, and cash flows for each of the years in the three-year period ended December 31, 2022, and the related notes and financial statement Schedule III - Real Estate and Accumulated Depreciation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03"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24, 2023 expressed an unqualified opinion on the effectiveness of the Company’s internal control over financial reporting.</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Basis for Opinion</w:t>
      </w:r>
    </w:p>
    <w:p>
      <w:pPr>
        <w:spacing w:after="0" w:line="149" w:lineRule="exact"/>
        <w:rPr>
          <w:sz w:val="20"/>
          <w:szCs w:val="20"/>
          <w:color w:val="auto"/>
        </w:rPr>
      </w:pPr>
    </w:p>
    <w:p>
      <w:pPr>
        <w:ind w:firstLine="435"/>
        <w:spacing w:after="0" w:line="250"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0" w:firstLine="435"/>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Critical Audit Matters</w:t>
      </w:r>
    </w:p>
    <w:p>
      <w:pPr>
        <w:spacing w:after="0" w:line="149"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9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Assessment of the Company’s evaluation of the expected holding period for operating properties</w:t>
      </w:r>
    </w:p>
    <w:p>
      <w:pPr>
        <w:spacing w:after="0" w:line="136" w:lineRule="exact"/>
        <w:rPr>
          <w:sz w:val="20"/>
          <w:szCs w:val="20"/>
          <w:color w:val="auto"/>
        </w:rPr>
      </w:pPr>
    </w:p>
    <w:p>
      <w:pPr>
        <w:ind w:left="720" w:right="80"/>
        <w:spacing w:after="0" w:line="253" w:lineRule="auto"/>
        <w:rPr>
          <w:sz w:val="20"/>
          <w:szCs w:val="20"/>
          <w:color w:val="auto"/>
        </w:rPr>
      </w:pPr>
      <w:r>
        <w:rPr>
          <w:rFonts w:ascii="Arial" w:cs="Arial" w:eastAsia="Arial" w:hAnsi="Arial"/>
          <w:sz w:val="18"/>
          <w:szCs w:val="18"/>
          <w:color w:val="auto"/>
        </w:rPr>
        <w:t>As discussed in Notes 2 and 6 to the consolidated financial statements, the Company assesses whether an indicator of impairment in the carrying value of its properties exists by considering property operating performance, holding periods, capitalization rates, and other market factors. Property, net as of December 31, 2022 was $6,128 million, or 76% of total assets.</w:t>
      </w:r>
    </w:p>
    <w:p>
      <w:pPr>
        <w:spacing w:after="0" w:line="123" w:lineRule="exact"/>
        <w:rPr>
          <w:sz w:val="20"/>
          <w:szCs w:val="20"/>
          <w:color w:val="auto"/>
        </w:rPr>
      </w:pPr>
    </w:p>
    <w:p>
      <w:pPr>
        <w:ind w:left="720" w:right="220"/>
        <w:spacing w:after="0" w:line="300" w:lineRule="auto"/>
        <w:rPr>
          <w:sz w:val="20"/>
          <w:szCs w:val="20"/>
          <w:color w:val="auto"/>
        </w:rPr>
      </w:pPr>
      <w:r>
        <w:rPr>
          <w:rFonts w:ascii="Arial" w:cs="Arial" w:eastAsia="Arial" w:hAnsi="Arial"/>
          <w:sz w:val="16"/>
          <w:szCs w:val="16"/>
          <w:color w:val="auto"/>
        </w:rPr>
        <w:t>We identified the assessment of the Company’s evaluation of the expected holding period for operating properties as a critical audit matter. Subjective auditor judgment was required to assess the relevant events or changes in circumstances that the Company used to evaluate its expected holding period. A shortening of the expected holding period could indicate a potential impairment.</w:t>
      </w:r>
    </w:p>
    <w:p>
      <w:pPr>
        <w:spacing w:after="0" w:line="87" w:lineRule="exact"/>
        <w:rPr>
          <w:sz w:val="20"/>
          <w:szCs w:val="20"/>
          <w:color w:val="auto"/>
        </w:rPr>
      </w:pPr>
    </w:p>
    <w:p>
      <w:pPr>
        <w:ind w:left="720" w:right="140"/>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over the Company’s property impairment process, including controls over the Company’s evaluation of the expected holding period. We evaluated the relevant events 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1" w:name="page62"/>
    <w:bookmarkEnd w:id="61"/>
    <w:p>
      <w:pPr>
        <w:ind w:left="720"/>
        <w:spacing w:after="0"/>
        <w:rPr>
          <w:sz w:val="20"/>
          <w:szCs w:val="20"/>
          <w:color w:val="auto"/>
        </w:rPr>
      </w:pPr>
      <w:r>
        <w:rPr>
          <w:rFonts w:ascii="Arial" w:cs="Arial" w:eastAsia="Arial" w:hAnsi="Arial"/>
          <w:sz w:val="18"/>
          <w:szCs w:val="18"/>
          <w:color w:val="auto"/>
        </w:rPr>
        <w:t>changes in circumstances and the current economic environment that the Company used to evaluate its expected holding period by:</w:t>
      </w:r>
    </w:p>
    <w:p>
      <w:pPr>
        <w:spacing w:after="0" w:line="136" w:lineRule="exact"/>
        <w:rPr>
          <w:sz w:val="20"/>
          <w:szCs w:val="20"/>
          <w:color w:val="auto"/>
        </w:rPr>
      </w:pPr>
    </w:p>
    <w:p>
      <w:pPr>
        <w:ind w:left="1260" w:hanging="14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reading minutes of the meetings of the Company’s Board of Directors</w:t>
      </w:r>
    </w:p>
    <w:p>
      <w:pPr>
        <w:spacing w:after="0" w:line="148" w:lineRule="exact"/>
        <w:rPr>
          <w:rFonts w:ascii="Arial" w:cs="Arial" w:eastAsia="Arial" w:hAnsi="Arial"/>
          <w:sz w:val="18"/>
          <w:szCs w:val="18"/>
          <w:color w:val="auto"/>
        </w:rPr>
      </w:pPr>
    </w:p>
    <w:p>
      <w:pPr>
        <w:ind w:left="1260" w:hanging="14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reading external communications with investors and analysts</w:t>
      </w:r>
    </w:p>
    <w:p>
      <w:pPr>
        <w:spacing w:after="0" w:line="148" w:lineRule="exact"/>
        <w:rPr>
          <w:rFonts w:ascii="Arial" w:cs="Arial" w:eastAsia="Arial" w:hAnsi="Arial"/>
          <w:sz w:val="18"/>
          <w:szCs w:val="18"/>
          <w:color w:val="auto"/>
        </w:rPr>
      </w:pPr>
    </w:p>
    <w:p>
      <w:pPr>
        <w:ind w:left="1260" w:hanging="14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analyzing documents prepared by the Company regarding proposed real estate transactions</w:t>
      </w:r>
    </w:p>
    <w:p>
      <w:pPr>
        <w:spacing w:after="0" w:line="135" w:lineRule="exact"/>
        <w:rPr>
          <w:rFonts w:ascii="Arial" w:cs="Arial" w:eastAsia="Arial" w:hAnsi="Arial"/>
          <w:sz w:val="18"/>
          <w:szCs w:val="18"/>
          <w:color w:val="auto"/>
        </w:rPr>
      </w:pPr>
    </w:p>
    <w:p>
      <w:pPr>
        <w:ind w:left="1260" w:hanging="148"/>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considering properties with current encumbrances that are set to mature within one year.</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Evaluation of the fair value of the Chandler Freehold financing arrangement obligation</w:t>
      </w:r>
    </w:p>
    <w:p>
      <w:pPr>
        <w:spacing w:after="0" w:line="149" w:lineRule="exact"/>
        <w:rPr>
          <w:sz w:val="20"/>
          <w:szCs w:val="20"/>
          <w:color w:val="auto"/>
        </w:rPr>
      </w:pPr>
    </w:p>
    <w:p>
      <w:pPr>
        <w:ind w:left="720"/>
        <w:spacing w:after="0" w:line="283" w:lineRule="auto"/>
        <w:rPr>
          <w:sz w:val="20"/>
          <w:szCs w:val="20"/>
          <w:color w:val="auto"/>
        </w:rPr>
      </w:pPr>
      <w:r>
        <w:rPr>
          <w:rFonts w:ascii="Arial" w:cs="Arial" w:eastAsia="Arial" w:hAnsi="Arial"/>
          <w:sz w:val="16"/>
          <w:szCs w:val="16"/>
          <w:color w:val="auto"/>
        </w:rPr>
        <w:t>As discussed in Notes 2 and 12 to the consolidated financial statements, the Company reports the Chandler Freehold consolidated joint venture as a financing arrangement with the related deferred gain recorded as a liability at fair value. The fair value of the financing arrangement obligation is determined primarily based upon the fair value of the underlying shopping centers, Chandler Fashion Center and Freehold Raceway Mall, owned by the Chandler Freehold consolidated joint venture. The fair value of the shopping centers is estimated using a discounted cash flow model. Subsequent changes in the fair value of the financing arrangement obligation are recorded as interest expense. The financing arrangement obligation as of December 31, 2022 was $143 million, or 3% of total liabilities. The adjustment to fair value of the financing arrangement obligation was $24 million, or 37% of net income for the year ended December 31, 2022.</w:t>
      </w:r>
    </w:p>
    <w:p>
      <w:pPr>
        <w:spacing w:after="0" w:line="89" w:lineRule="exact"/>
        <w:rPr>
          <w:sz w:val="20"/>
          <w:szCs w:val="20"/>
          <w:color w:val="auto"/>
        </w:rPr>
      </w:pPr>
    </w:p>
    <w:p>
      <w:pPr>
        <w:ind w:left="720" w:right="120"/>
        <w:spacing w:after="0" w:line="291" w:lineRule="auto"/>
        <w:rPr>
          <w:sz w:val="20"/>
          <w:szCs w:val="20"/>
          <w:color w:val="auto"/>
        </w:rPr>
      </w:pPr>
      <w:r>
        <w:rPr>
          <w:rFonts w:ascii="Arial" w:cs="Arial" w:eastAsia="Arial" w:hAnsi="Arial"/>
          <w:sz w:val="16"/>
          <w:szCs w:val="16"/>
          <w:color w:val="auto"/>
        </w:rPr>
        <w:t>We identified the evaluation of the fair value of the Chandler Freehold financing arrangement obligation as a critical audit matter. A high degree of subjectivity was required in evaluating the discounted cash flow model used to fair value the shopping centers. Specifically, the model was sensitive to reasonably possible changes to significant assumptions, which have a significant effect on the determination of fair value of the financing arrangement obligation. The significant assumptions include market rental rates, discount rates, and terminal capitalization rates.</w:t>
      </w:r>
    </w:p>
    <w:p>
      <w:pPr>
        <w:spacing w:after="0" w:line="96" w:lineRule="exact"/>
        <w:rPr>
          <w:sz w:val="20"/>
          <w:szCs w:val="20"/>
          <w:color w:val="auto"/>
        </w:rPr>
      </w:pPr>
    </w:p>
    <w:p>
      <w:pPr>
        <w:ind w:left="720" w:right="20"/>
        <w:spacing w:after="0" w:line="307"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over the Company’s fair value determination process for the financing arrangement obligation and specifically the development of the significant assumptions. We involved valuation professionals with specialized skills and knowledge who assisted in evaluating the Company’s significant assumptions used in the discounted cash flow model. The valuation professionals independently developed a range of the market rental rates, discount rates, and terminal capitalization rates using publicly available market data for comparable properties and geographic regions in which Chandler Fashion Center and Freehold Raceway Mall are located and compared the rates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BALANCE SHEETS</w:t>
      </w:r>
    </w:p>
    <w:p>
      <w:pPr>
        <w:spacing w:after="0" w:line="14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7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6,127,790</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6,284,206</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112,454</w:t>
            </w: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54,517</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211,361</w:t>
            </w: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126,606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110,638</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254,908</w:t>
            </w: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1,224,288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1,317,571</w:t>
            </w:r>
          </w:p>
        </w:tc>
      </w:tr>
      <w:tr>
        <w:trPr>
          <w:trHeight w:val="217"/>
        </w:trPr>
        <w:tc>
          <w:tcPr>
            <w:tcW w:w="774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8,094,139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8,345,655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4,240,596</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4,423,554</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104,811</w:t>
            </w: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59,228</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94,911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80,711</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254,279</w:t>
            </w: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127,608</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arrangement obligation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118,988</w:t>
            </w:r>
          </w:p>
        </w:tc>
      </w:tr>
      <w:tr>
        <w:trPr>
          <w:trHeight w:val="217"/>
        </w:trPr>
        <w:tc>
          <w:tcPr>
            <w:tcW w:w="77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5,144,790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5,169,506</w:t>
            </w:r>
          </w:p>
        </w:tc>
      </w:tr>
      <w:tr>
        <w:trPr>
          <w:trHeight w:val="204"/>
        </w:trPr>
        <w:tc>
          <w:tcPr>
            <w:tcW w:w="77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7740" w:type="dxa"/>
            <w:vAlign w:val="bottom"/>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2"/>
        </w:trPr>
        <w:tc>
          <w:tcPr>
            <w:tcW w:w="7740" w:type="dxa"/>
            <w:vAlign w:val="bottom"/>
          </w:tcPr>
          <w:p>
            <w:pPr>
              <w:ind w:left="340"/>
              <w:spacing w:after="0" w:line="172" w:lineRule="exact"/>
              <w:rPr>
                <w:sz w:val="20"/>
                <w:szCs w:val="20"/>
                <w:color w:val="auto"/>
              </w:rPr>
            </w:pPr>
            <w:r>
              <w:rPr>
                <w:rFonts w:ascii="Arial" w:cs="Arial" w:eastAsia="Arial" w:hAnsi="Arial"/>
                <w:sz w:val="18"/>
                <w:szCs w:val="18"/>
                <w:color w:val="auto"/>
                <w:w w:val="94"/>
              </w:rPr>
              <w:t>Common stock, $0.01 par value, 500,000,000 shares authorized at December 31, 2022 and 2021,</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7740" w:type="dxa"/>
            <w:vAlign w:val="bottom"/>
          </w:tcPr>
          <w:p>
            <w:pPr>
              <w:ind w:left="340"/>
              <w:spacing w:after="0" w:line="171" w:lineRule="exact"/>
              <w:rPr>
                <w:sz w:val="20"/>
                <w:szCs w:val="20"/>
                <w:color w:val="auto"/>
              </w:rPr>
            </w:pPr>
            <w:r>
              <w:rPr>
                <w:rFonts w:ascii="Arial" w:cs="Arial" w:eastAsia="Arial" w:hAnsi="Arial"/>
                <w:sz w:val="18"/>
                <w:szCs w:val="18"/>
                <w:color w:val="auto"/>
                <w:w w:val="97"/>
              </w:rPr>
              <w:t>215,241,129 and 214,797,057 shares issued and outstanding at December 31, 2022 and 2021,</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6"/>
        </w:trPr>
        <w:tc>
          <w:tcPr>
            <w:tcW w:w="77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24"/>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5,488,440</w:t>
            </w:r>
          </w:p>
        </w:tc>
      </w:tr>
      <w:tr>
        <w:trPr>
          <w:trHeight w:val="224"/>
        </w:trPr>
        <w:tc>
          <w:tcPr>
            <w:tcW w:w="77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(2,643,094)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(2,443,696)</w:t>
            </w:r>
          </w:p>
        </w:tc>
      </w:tr>
      <w:tr>
        <w:trPr>
          <w:trHeight w:val="224"/>
        </w:trPr>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774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2,865,773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3,046,867</w:t>
            </w:r>
          </w:p>
        </w:tc>
      </w:tr>
      <w:tr>
        <w:trPr>
          <w:trHeight w:val="224"/>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129,282</w:t>
            </w:r>
          </w:p>
        </w:tc>
      </w:tr>
      <w:tr>
        <w:trPr>
          <w:trHeight w:val="217"/>
        </w:trPr>
        <w:tc>
          <w:tcPr>
            <w:tcW w:w="77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2,949,349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3,176,149</w:t>
            </w:r>
          </w:p>
        </w:tc>
      </w:tr>
      <w:tr>
        <w:trPr>
          <w:trHeight w:val="242"/>
        </w:trPr>
        <w:tc>
          <w:tcPr>
            <w:tcW w:w="77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8,094,139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8,345,655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20"/>
          </w:cols>
          <w:pgMar w:left="580" w:top="1017" w:right="59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Leasing revenue</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800,548</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787,547</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740,323</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22,242</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Management Companies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23,461</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859,164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847,437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786,026</w:t>
            </w:r>
          </w:p>
        </w:tc>
        <w:tc>
          <w:tcPr>
            <w:tcW w:w="0" w:type="dxa"/>
            <w:vAlign w:val="bottom"/>
          </w:tcPr>
          <w:p>
            <w:pPr>
              <w:spacing w:after="0"/>
              <w:rPr>
                <w:sz w:val="1"/>
                <w:szCs w:val="1"/>
                <w:color w:val="auto"/>
              </w:rPr>
            </w:pPr>
          </w:p>
        </w:tc>
      </w:tr>
      <w:tr>
        <w:trPr>
          <w:trHeight w:val="167"/>
        </w:trPr>
        <w:tc>
          <w:tcPr>
            <w:tcW w:w="6940" w:type="dxa"/>
            <w:vAlign w:val="bottom"/>
          </w:tcPr>
          <w:p>
            <w:pPr>
              <w:ind w:left="20"/>
              <w:spacing w:after="0"/>
              <w:rPr>
                <w:sz w:val="20"/>
                <w:szCs w:val="20"/>
                <w:color w:val="auto"/>
              </w:rPr>
            </w:pPr>
            <w:r>
              <w:rPr>
                <w:rFonts w:ascii="Arial" w:cs="Arial" w:eastAsia="Arial" w:hAnsi="Arial"/>
                <w:sz w:val="14"/>
                <w:szCs w:val="14"/>
                <w:color w:val="auto"/>
              </w:rPr>
              <w:t>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289,884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257,212</w:t>
            </w: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Leasing expense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32,670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24,838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25,191</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Management Companies' operating expenses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65,576</w:t>
            </w: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REIT general and administrative expenses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27,164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30,339</w:t>
            </w:r>
          </w:p>
        </w:tc>
        <w:tc>
          <w:tcPr>
            <w:tcW w:w="0" w:type="dxa"/>
            <w:vAlign w:val="bottom"/>
          </w:tcPr>
          <w:p>
            <w:pPr>
              <w:spacing w:after="0"/>
              <w:rPr>
                <w:sz w:val="1"/>
                <w:szCs w:val="1"/>
                <w:color w:val="auto"/>
              </w:rPr>
            </w:pPr>
          </w:p>
        </w:tc>
      </w:tr>
      <w:tr>
        <w:trPr>
          <w:trHeight w:val="200"/>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291,612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311,129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319,619</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709,129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722,069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697,937</w:t>
            </w:r>
          </w:p>
        </w:tc>
        <w:tc>
          <w:tcPr>
            <w:tcW w:w="0" w:type="dxa"/>
            <w:vAlign w:val="bottom"/>
          </w:tcPr>
          <w:p>
            <w:pPr>
              <w:spacing w:after="0"/>
              <w:rPr>
                <w:sz w:val="1"/>
                <w:szCs w:val="1"/>
                <w:color w:val="auto"/>
              </w:rPr>
            </w:pPr>
          </w:p>
        </w:tc>
      </w:tr>
      <w:tr>
        <w:trPr>
          <w:trHeight w:val="17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expense (income):</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Related parties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34,735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(135,281)</w:t>
            </w:r>
          </w:p>
        </w:tc>
        <w:tc>
          <w:tcPr>
            <w:tcW w:w="0" w:type="dxa"/>
            <w:vAlign w:val="bottom"/>
          </w:tcPr>
          <w:p>
            <w:pPr>
              <w:spacing w:after="0"/>
              <w:rPr>
                <w:sz w:val="1"/>
                <w:szCs w:val="1"/>
                <w:color w:val="auto"/>
              </w:rPr>
            </w:pPr>
          </w:p>
        </w:tc>
      </w:tr>
      <w:tr>
        <w:trPr>
          <w:trHeight w:val="200"/>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182,116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196,397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210,831</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216,851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192,679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75,550</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940" w:type="dxa"/>
            <w:vAlign w:val="bottom"/>
          </w:tcPr>
          <w:p>
            <w:pPr>
              <w:ind w:left="320"/>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925,980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915,755</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773,487</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 income of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(27,038)</w:t>
            </w:r>
          </w:p>
        </w:tc>
        <w:tc>
          <w:tcPr>
            <w:tcW w:w="0" w:type="dxa"/>
            <w:vAlign w:val="bottom"/>
          </w:tcPr>
          <w:p>
            <w:pPr>
              <w:spacing w:after="0"/>
              <w:rPr>
                <w:sz w:val="1"/>
                <w:szCs w:val="1"/>
                <w:color w:val="auto"/>
              </w:rPr>
            </w:pP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remeasurement of assets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(163,298)</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Gain (loss) on sale or write down of assets, net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75,740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(68,112)</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(245,462)</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(15,259)</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the Company</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(66,068)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(230,203)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per common share attributable to common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215,031,000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198,070,000</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146,232,000</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215,031,000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198,070,000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146,232,000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898" w:right="55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w w:val="96"/>
              </w:rPr>
              <w:t>2020</w:t>
            </w:r>
          </w:p>
        </w:tc>
      </w:tr>
      <w:tr>
        <w:trPr>
          <w:trHeight w:val="198"/>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(245,462)</w:t>
            </w:r>
          </w:p>
        </w:tc>
      </w:tr>
      <w:tr>
        <w:trPr>
          <w:trHeight w:val="188"/>
        </w:trPr>
        <w:tc>
          <w:tcPr>
            <w:tcW w:w="69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cap/swap agreements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w:t>
            </w:r>
          </w:p>
        </w:tc>
      </w:tr>
      <w:tr>
        <w:trPr>
          <w:trHeight w:val="182"/>
        </w:trPr>
        <w:tc>
          <w:tcPr>
            <w:tcW w:w="6940" w:type="dxa"/>
            <w:vAlign w:val="bottom"/>
          </w:tcPr>
          <w:p>
            <w:pPr>
              <w:ind w:left="20"/>
              <w:spacing w:after="0"/>
              <w:rPr>
                <w:sz w:val="20"/>
                <w:szCs w:val="20"/>
                <w:color w:val="auto"/>
              </w:rPr>
            </w:pPr>
            <w:r>
              <w:rPr>
                <w:rFonts w:ascii="Arial" w:cs="Arial" w:eastAsia="Arial" w:hAnsi="Arial"/>
                <w:sz w:val="14"/>
                <w:szCs w:val="14"/>
                <w:color w:val="auto"/>
              </w:rPr>
              <w:t>Comprehensive (loss) income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(64,423)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24,347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(244,619)</w:t>
            </w:r>
          </w:p>
        </w:tc>
      </w:tr>
      <w:tr>
        <w:trPr>
          <w:trHeight w:val="200"/>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(loss)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(15,259)</w:t>
            </w:r>
          </w:p>
        </w:tc>
      </w:tr>
      <w:tr>
        <w:trPr>
          <w:trHeight w:val="198"/>
        </w:trPr>
        <w:tc>
          <w:tcPr>
            <w:tcW w:w="6940" w:type="dxa"/>
            <w:vAlign w:val="bottom"/>
          </w:tcPr>
          <w:p>
            <w:pPr>
              <w:ind w:left="20"/>
              <w:spacing w:after="0"/>
              <w:rPr>
                <w:sz w:val="20"/>
                <w:szCs w:val="20"/>
                <w:color w:val="auto"/>
              </w:rPr>
            </w:pPr>
            <w:r>
              <w:rPr>
                <w:rFonts w:ascii="Arial" w:cs="Arial" w:eastAsia="Arial" w:hAnsi="Arial"/>
                <w:sz w:val="14"/>
                <w:szCs w:val="14"/>
                <w:color w:val="auto"/>
              </w:rPr>
              <w:t>Comprehensive (loss) income attributable to the Company</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(65,412)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(229,360)</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7" w:right="5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60"/>
              <w:spacing w:after="0"/>
              <w:rPr>
                <w:sz w:val="20"/>
                <w:szCs w:val="20"/>
                <w:color w:val="auto"/>
              </w:rPr>
            </w:pPr>
            <w:r>
              <w:rPr>
                <w:rFonts w:ascii="Arial" w:cs="Arial" w:eastAsia="Arial" w:hAnsi="Arial"/>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43"/>
        </w:trPr>
        <w:tc>
          <w:tcPr>
            <w:tcW w:w="3360" w:type="dxa"/>
            <w:vAlign w:val="bottom"/>
          </w:tcPr>
          <w:p>
            <w:pPr>
              <w:spacing w:after="0"/>
              <w:rPr>
                <w:sz w:val="21"/>
                <w:szCs w:val="21"/>
                <w:color w:val="auto"/>
              </w:rPr>
            </w:pPr>
          </w:p>
        </w:tc>
        <w:tc>
          <w:tcPr>
            <w:tcW w:w="15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3"/>
              </w:rPr>
              <w:t>Accumulated Other</w:t>
            </w:r>
          </w:p>
        </w:tc>
        <w:tc>
          <w:tcPr>
            <w:tcW w:w="10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119"/>
        </w:trPr>
        <w:tc>
          <w:tcPr>
            <w:tcW w:w="3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9" w:lineRule="exact"/>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960" w:type="dxa"/>
            <w:vAlign w:val="bottom"/>
            <w:gridSpan w:val="2"/>
          </w:tcPr>
          <w:p>
            <w:pPr>
              <w:ind w:left="20"/>
              <w:spacing w:after="0" w:line="119"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Arial" w:cs="Arial" w:eastAsia="Arial" w:hAnsi="Arial"/>
                <w:sz w:val="12"/>
                <w:szCs w:val="12"/>
                <w:b w:val="1"/>
                <w:bCs w:val="1"/>
                <w:color w:val="auto"/>
                <w:w w:val="91"/>
              </w:rPr>
              <w:t>Stockholders'</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19" w:lineRule="exact"/>
              <w:rPr>
                <w:sz w:val="20"/>
                <w:szCs w:val="20"/>
                <w:color w:val="auto"/>
              </w:rPr>
            </w:pPr>
            <w:r>
              <w:rPr>
                <w:rFonts w:ascii="Arial" w:cs="Arial" w:eastAsia="Arial" w:hAnsi="Arial"/>
                <w:sz w:val="12"/>
                <w:szCs w:val="12"/>
                <w:b w:val="1"/>
                <w:bCs w:val="1"/>
                <w:color w:val="auto"/>
                <w:w w:val="91"/>
              </w:rPr>
              <w:t>Noncontrolling</w:t>
            </w:r>
          </w:p>
        </w:tc>
        <w:tc>
          <w:tcPr>
            <w:tcW w:w="140" w:type="dxa"/>
            <w:vAlign w:val="bottom"/>
          </w:tcPr>
          <w:p>
            <w:pPr>
              <w:spacing w:after="0"/>
              <w:rPr>
                <w:sz w:val="10"/>
                <w:szCs w:val="10"/>
                <w:color w:val="auto"/>
              </w:rPr>
            </w:pPr>
          </w:p>
        </w:tc>
        <w:tc>
          <w:tcPr>
            <w:tcW w:w="600" w:type="dxa"/>
            <w:vAlign w:val="bottom"/>
          </w:tcPr>
          <w:p>
            <w:pPr>
              <w:jc w:val="right"/>
              <w:ind w:right="179"/>
              <w:spacing w:after="0" w:line="119" w:lineRule="exact"/>
              <w:rPr>
                <w:sz w:val="20"/>
                <w:szCs w:val="20"/>
                <w:color w:val="auto"/>
              </w:rPr>
            </w:pPr>
            <w:r>
              <w:rPr>
                <w:rFonts w:ascii="Arial" w:cs="Arial" w:eastAsia="Arial" w:hAnsi="Arial"/>
                <w:sz w:val="12"/>
                <w:szCs w:val="12"/>
                <w:b w:val="1"/>
                <w:bCs w:val="1"/>
                <w:color w:val="auto"/>
              </w:rPr>
              <w:t>Total</w:t>
            </w:r>
          </w:p>
        </w:tc>
      </w:tr>
      <w:tr>
        <w:trPr>
          <w:trHeight w:val="178"/>
        </w:trPr>
        <w:tc>
          <w:tcPr>
            <w:tcW w:w="3360" w:type="dxa"/>
            <w:vAlign w:val="bottom"/>
          </w:tcPr>
          <w:p>
            <w:pPr>
              <w:spacing w:after="0"/>
              <w:rPr>
                <w:sz w:val="15"/>
                <w:szCs w:val="15"/>
                <w:color w:val="auto"/>
              </w:rPr>
            </w:pPr>
          </w:p>
        </w:tc>
        <w:tc>
          <w:tcPr>
            <w:tcW w:w="100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5"/>
                <w:szCs w:val="15"/>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Value</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Interests</w:t>
            </w:r>
          </w:p>
        </w:tc>
        <w:tc>
          <w:tcPr>
            <w:tcW w:w="14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Arial" w:cs="Arial" w:eastAsia="Arial" w:hAnsi="Arial"/>
                <w:sz w:val="12"/>
                <w:szCs w:val="12"/>
                <w:b w:val="1"/>
                <w:bCs w:val="1"/>
                <w:color w:val="auto"/>
              </w:rPr>
              <w:t>Equity</w:t>
            </w:r>
          </w:p>
        </w:tc>
      </w:tr>
      <w:tr>
        <w:trPr>
          <w:trHeight w:val="171"/>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141,407,650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1,414</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4,583,911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(1,944,012)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(9,051)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2,632,262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198,708</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2,830,970</w:t>
            </w: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(230,203)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(230,203)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(15,259)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(245,462)</w:t>
            </w:r>
          </w:p>
        </w:tc>
      </w:tr>
      <w:tr>
        <w:trPr>
          <w:trHeight w:val="179"/>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rate cap/swap agreements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w:t>
            </w: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Amortization of share and unit-based plans</w:t>
            </w:r>
          </w:p>
        </w:tc>
        <w:tc>
          <w:tcPr>
            <w:tcW w:w="900" w:type="dxa"/>
            <w:vAlign w:val="bottom"/>
          </w:tcPr>
          <w:p>
            <w:pPr>
              <w:jc w:val="right"/>
              <w:spacing w:after="0"/>
              <w:rPr>
                <w:sz w:val="20"/>
                <w:szCs w:val="20"/>
                <w:color w:val="auto"/>
              </w:rPr>
            </w:pPr>
            <w:r>
              <w:rPr>
                <w:rFonts w:ascii="Arial" w:cs="Arial" w:eastAsia="Arial" w:hAnsi="Arial"/>
                <w:sz w:val="12"/>
                <w:szCs w:val="12"/>
                <w:color w:val="auto"/>
              </w:rPr>
              <w:t>151,468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18,065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18,066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18,066</w:t>
            </w:r>
          </w:p>
        </w:tc>
      </w:tr>
      <w:tr>
        <w:trPr>
          <w:trHeight w:val="179"/>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stock purchases</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265,386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1,531</w:t>
            </w: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Distributions declared ($1.55) per share</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(165,404)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(165,404)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(165,404)</w:t>
            </w:r>
          </w:p>
        </w:tc>
      </w:tr>
      <w:tr>
        <w:trPr>
          <w:trHeight w:val="179"/>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 dividend</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7,759,280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Distributions to noncontrolling interests</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(14,458)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(14,458)</w:t>
            </w:r>
          </w:p>
        </w:tc>
      </w:tr>
      <w:tr>
        <w:trPr>
          <w:trHeight w:val="179"/>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from noncontrolling interests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19,203</w:t>
            </w: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Conversion of noncontrolling interests to common shares</w:t>
            </w:r>
          </w:p>
        </w:tc>
        <w:tc>
          <w:tcPr>
            <w:tcW w:w="900" w:type="dxa"/>
            <w:vAlign w:val="bottom"/>
          </w:tcPr>
          <w:p>
            <w:pPr>
              <w:jc w:val="right"/>
              <w:spacing w:after="0"/>
              <w:rPr>
                <w:sz w:val="20"/>
                <w:szCs w:val="20"/>
                <w:color w:val="auto"/>
              </w:rPr>
            </w:pPr>
            <w:r>
              <w:rPr>
                <w:rFonts w:ascii="Arial" w:cs="Arial" w:eastAsia="Arial" w:hAnsi="Arial"/>
                <w:sz w:val="12"/>
                <w:szCs w:val="12"/>
                <w:color w:val="auto"/>
              </w:rPr>
              <w:t>186,791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12,084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12,086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(12,086)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9"/>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Redemption of noncontrolling interests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64"/>
        </w:trPr>
        <w:tc>
          <w:tcPr>
            <w:tcW w:w="3360" w:type="dxa"/>
            <w:vAlign w:val="bottom"/>
          </w:tcPr>
          <w:p>
            <w:pPr>
              <w:ind w:left="20"/>
              <w:spacing w:after="0"/>
              <w:rPr>
                <w:sz w:val="20"/>
                <w:szCs w:val="20"/>
                <w:color w:val="auto"/>
              </w:rPr>
            </w:pPr>
            <w:r>
              <w:rPr>
                <w:rFonts w:ascii="Arial" w:cs="Arial" w:eastAsia="Arial" w:hAnsi="Arial"/>
                <w:sz w:val="12"/>
                <w:szCs w:val="12"/>
                <w:color w:val="auto"/>
                <w:w w:val="99"/>
              </w:rPr>
              <w:t>Adjustment of noncontrolling interests in Operating Partnership</w:t>
            </w:r>
          </w:p>
        </w:tc>
        <w:tc>
          <w:tcPr>
            <w:tcW w:w="10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(12,157)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(12,157)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12,157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6"/>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149,770,575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4,603,378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(2,339,619)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2,257,049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188,211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2,445,260</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640"/>
              <w:spacing w:after="0"/>
              <w:rPr>
                <w:sz w:val="20"/>
                <w:szCs w:val="20"/>
                <w:color w:val="auto"/>
              </w:rPr>
            </w:pPr>
            <w:r>
              <w:rPr>
                <w:rFonts w:ascii="Arial" w:cs="Arial" w:eastAsia="Arial" w:hAnsi="Arial"/>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5"/>
        </w:trPr>
        <w:tc>
          <w:tcPr>
            <w:tcW w:w="3240" w:type="dxa"/>
            <w:vAlign w:val="bottom"/>
          </w:tcPr>
          <w:p>
            <w:pPr>
              <w:spacing w:after="0"/>
              <w:rPr>
                <w:sz w:val="12"/>
                <w:szCs w:val="12"/>
                <w:color w:val="auto"/>
              </w:rPr>
            </w:pPr>
          </w:p>
        </w:tc>
        <w:tc>
          <w:tcPr>
            <w:tcW w:w="1620" w:type="dxa"/>
            <w:vAlign w:val="bottom"/>
            <w:gridSpan w:val="5"/>
          </w:tcPr>
          <w:p>
            <w:pPr>
              <w:ind w:left="360"/>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53"/>
        </w:trPr>
        <w:tc>
          <w:tcPr>
            <w:tcW w:w="32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Additional</w:t>
            </w: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98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Total</w:t>
            </w: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138"/>
        </w:trPr>
        <w:tc>
          <w:tcPr>
            <w:tcW w:w="3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Par</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Comprehensive</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Stockholders'</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Noncontrolling</w:t>
            </w:r>
          </w:p>
        </w:tc>
        <w:tc>
          <w:tcPr>
            <w:tcW w:w="140" w:type="dxa"/>
            <w:vAlign w:val="bottom"/>
          </w:tcPr>
          <w:p>
            <w:pPr>
              <w:spacing w:after="0"/>
              <w:rPr>
                <w:sz w:val="12"/>
                <w:szCs w:val="12"/>
                <w:color w:val="auto"/>
              </w:rPr>
            </w:pPr>
          </w:p>
        </w:tc>
        <w:tc>
          <w:tcPr>
            <w:tcW w:w="660" w:type="dxa"/>
            <w:vAlign w:val="bottom"/>
          </w:tcPr>
          <w:p>
            <w:pPr>
              <w:jc w:val="right"/>
              <w:ind w:right="219"/>
              <w:spacing w:after="0"/>
              <w:rPr>
                <w:sz w:val="20"/>
                <w:szCs w:val="20"/>
                <w:color w:val="auto"/>
              </w:rPr>
            </w:pPr>
            <w:r>
              <w:rPr>
                <w:rFonts w:ascii="Arial" w:cs="Arial" w:eastAsia="Arial" w:hAnsi="Arial"/>
                <w:sz w:val="12"/>
                <w:szCs w:val="12"/>
                <w:b w:val="1"/>
                <w:bCs w:val="1"/>
                <w:color w:val="auto"/>
              </w:rPr>
              <w:t>Total</w:t>
            </w:r>
          </w:p>
        </w:tc>
      </w:tr>
      <w:tr>
        <w:trPr>
          <w:trHeight w:val="178"/>
        </w:trPr>
        <w:tc>
          <w:tcPr>
            <w:tcW w:w="324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5"/>
                <w:szCs w:val="15"/>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Interests</w:t>
            </w:r>
          </w:p>
        </w:tc>
        <w:tc>
          <w:tcPr>
            <w:tcW w:w="140" w:type="dxa"/>
            <w:vAlign w:val="bottom"/>
          </w:tcPr>
          <w:p>
            <w:pPr>
              <w:spacing w:after="0"/>
              <w:rPr>
                <w:sz w:val="15"/>
                <w:szCs w:val="15"/>
                <w:color w:val="auto"/>
              </w:rPr>
            </w:pPr>
          </w:p>
        </w:tc>
        <w:tc>
          <w:tcPr>
            <w:tcW w:w="660" w:type="dxa"/>
            <w:vAlign w:val="bottom"/>
          </w:tcPr>
          <w:p>
            <w:pPr>
              <w:jc w:val="right"/>
              <w:ind w:right="159"/>
              <w:spacing w:after="0"/>
              <w:rPr>
                <w:sz w:val="20"/>
                <w:szCs w:val="20"/>
                <w:color w:val="auto"/>
              </w:rPr>
            </w:pPr>
            <w:r>
              <w:rPr>
                <w:rFonts w:ascii="Arial" w:cs="Arial" w:eastAsia="Arial" w:hAnsi="Arial"/>
                <w:sz w:val="12"/>
                <w:szCs w:val="12"/>
                <w:b w:val="1"/>
                <w:bCs w:val="1"/>
                <w:color w:val="auto"/>
              </w:rPr>
              <w:t>Equity</w:t>
            </w:r>
          </w:p>
        </w:tc>
      </w:tr>
      <w:tr>
        <w:trPr>
          <w:trHeight w:val="171"/>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149,770,575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4,603,378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(2,339,619)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2,257,049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188,211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2,445,260</w:t>
            </w:r>
          </w:p>
        </w:tc>
      </w:tr>
      <w:tr>
        <w:trPr>
          <w:trHeight w:val="163"/>
        </w:trPr>
        <w:tc>
          <w:tcPr>
            <w:tcW w:w="3240" w:type="dxa"/>
            <w:vAlign w:val="bottom"/>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14,263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14,263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16,163</w:t>
            </w:r>
          </w:p>
        </w:tc>
      </w:tr>
      <w:tr>
        <w:trPr>
          <w:trHeight w:val="179"/>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Interest rate cap/swap agreements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8,184</w:t>
            </w:r>
          </w:p>
        </w:tc>
      </w:tr>
      <w:tr>
        <w:trPr>
          <w:trHeight w:val="163"/>
        </w:trPr>
        <w:tc>
          <w:tcPr>
            <w:tcW w:w="3240" w:type="dxa"/>
            <w:vAlign w:val="bottom"/>
          </w:tcPr>
          <w:p>
            <w:pPr>
              <w:spacing w:after="0"/>
              <w:rPr>
                <w:sz w:val="20"/>
                <w:szCs w:val="20"/>
                <w:color w:val="auto"/>
              </w:rPr>
            </w:pPr>
            <w:r>
              <w:rPr>
                <w:rFonts w:ascii="Arial" w:cs="Arial" w:eastAsia="Arial" w:hAnsi="Arial"/>
                <w:sz w:val="12"/>
                <w:szCs w:val="12"/>
                <w:color w:val="auto"/>
              </w:rPr>
              <w:t>Amortization of share and unit-based plans</w:t>
            </w:r>
          </w:p>
        </w:tc>
        <w:tc>
          <w:tcPr>
            <w:tcW w:w="880" w:type="dxa"/>
            <w:vAlign w:val="bottom"/>
          </w:tcPr>
          <w:p>
            <w:pPr>
              <w:jc w:val="right"/>
              <w:spacing w:after="0"/>
              <w:rPr>
                <w:sz w:val="20"/>
                <w:szCs w:val="20"/>
                <w:color w:val="auto"/>
              </w:rPr>
            </w:pPr>
            <w:r>
              <w:rPr>
                <w:rFonts w:ascii="Arial" w:cs="Arial" w:eastAsia="Arial" w:hAnsi="Arial"/>
                <w:sz w:val="12"/>
                <w:szCs w:val="12"/>
                <w:color w:val="auto"/>
              </w:rPr>
              <w:t>248,264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17,996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17,998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17,998</w:t>
            </w:r>
          </w:p>
        </w:tc>
      </w:tr>
      <w:tr>
        <w:trPr>
          <w:trHeight w:val="179"/>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Employee stock purchases</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143,191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1,348</w:t>
            </w:r>
          </w:p>
        </w:tc>
      </w:tr>
      <w:tr>
        <w:trPr>
          <w:trHeight w:val="163"/>
        </w:trPr>
        <w:tc>
          <w:tcPr>
            <w:tcW w:w="3240" w:type="dxa"/>
            <w:vAlign w:val="bottom"/>
          </w:tcPr>
          <w:p>
            <w:pPr>
              <w:spacing w:after="0"/>
              <w:rPr>
                <w:sz w:val="20"/>
                <w:szCs w:val="20"/>
                <w:color w:val="auto"/>
              </w:rPr>
            </w:pPr>
            <w:r>
              <w:rPr>
                <w:rFonts w:ascii="Arial" w:cs="Arial" w:eastAsia="Arial" w:hAnsi="Arial"/>
                <w:sz w:val="12"/>
                <w:szCs w:val="12"/>
                <w:color w:val="auto"/>
              </w:rPr>
              <w:t>Stock offerings, net</w:t>
            </w:r>
          </w:p>
        </w:tc>
        <w:tc>
          <w:tcPr>
            <w:tcW w:w="880" w:type="dxa"/>
            <w:vAlign w:val="bottom"/>
          </w:tcPr>
          <w:p>
            <w:pPr>
              <w:jc w:val="right"/>
              <w:spacing w:after="0"/>
              <w:rPr>
                <w:sz w:val="20"/>
                <w:szCs w:val="20"/>
                <w:color w:val="auto"/>
              </w:rPr>
            </w:pPr>
            <w:r>
              <w:rPr>
                <w:rFonts w:ascii="Arial" w:cs="Arial" w:eastAsia="Arial" w:hAnsi="Arial"/>
                <w:sz w:val="12"/>
                <w:szCs w:val="12"/>
                <w:color w:val="auto"/>
              </w:rPr>
              <w:t>62,049,131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829,621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830,241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830,241</w:t>
            </w:r>
          </w:p>
        </w:tc>
      </w:tr>
      <w:tr>
        <w:trPr>
          <w:trHeight w:val="179"/>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Distributions declared ($0.60) per share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(118,340)</w:t>
            </w:r>
          </w:p>
        </w:tc>
      </w:tr>
      <w:tr>
        <w:trPr>
          <w:trHeight w:val="163"/>
        </w:trPr>
        <w:tc>
          <w:tcPr>
            <w:tcW w:w="3240" w:type="dxa"/>
            <w:vAlign w:val="bottom"/>
          </w:tcPr>
          <w:p>
            <w:pPr>
              <w:spacing w:after="0"/>
              <w:rPr>
                <w:sz w:val="20"/>
                <w:szCs w:val="20"/>
                <w:color w:val="auto"/>
              </w:rPr>
            </w:pPr>
            <w:r>
              <w:rPr>
                <w:rFonts w:ascii="Arial" w:cs="Arial" w:eastAsia="Arial" w:hAnsi="Arial"/>
                <w:sz w:val="12"/>
                <w:szCs w:val="12"/>
                <w:color w:val="auto"/>
              </w:rPr>
              <w:t>Distributions to noncontrolling interests</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(25,107)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(25,107)</w:t>
            </w:r>
          </w:p>
        </w:tc>
      </w:tr>
      <w:tr>
        <w:trPr>
          <w:trHeight w:val="179"/>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Contributions from noncontrolling interests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w:t>
            </w:r>
          </w:p>
        </w:tc>
      </w:tr>
      <w:tr>
        <w:trPr>
          <w:trHeight w:val="163"/>
        </w:trPr>
        <w:tc>
          <w:tcPr>
            <w:tcW w:w="3240" w:type="dxa"/>
            <w:vAlign w:val="bottom"/>
          </w:tcPr>
          <w:p>
            <w:pPr>
              <w:spacing w:after="0"/>
              <w:rPr>
                <w:sz w:val="20"/>
                <w:szCs w:val="20"/>
                <w:color w:val="auto"/>
              </w:rPr>
            </w:pPr>
            <w:r>
              <w:rPr>
                <w:rFonts w:ascii="Arial" w:cs="Arial" w:eastAsia="Arial" w:hAnsi="Arial"/>
                <w:sz w:val="12"/>
                <w:szCs w:val="12"/>
                <w:color w:val="auto"/>
              </w:rPr>
              <w:t>Conversion of noncontrolling interests to common shares</w:t>
            </w:r>
          </w:p>
        </w:tc>
        <w:tc>
          <w:tcPr>
            <w:tcW w:w="880" w:type="dxa"/>
            <w:vAlign w:val="bottom"/>
          </w:tcPr>
          <w:p>
            <w:pPr>
              <w:jc w:val="right"/>
              <w:spacing w:after="0"/>
              <w:rPr>
                <w:sz w:val="20"/>
                <w:szCs w:val="20"/>
                <w:color w:val="auto"/>
              </w:rPr>
            </w:pPr>
            <w:r>
              <w:rPr>
                <w:rFonts w:ascii="Arial" w:cs="Arial" w:eastAsia="Arial" w:hAnsi="Arial"/>
                <w:sz w:val="12"/>
                <w:szCs w:val="12"/>
                <w:color w:val="auto"/>
              </w:rPr>
              <w:t>2,585,896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48,781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48,807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(48,807)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9"/>
        </w:trPr>
        <w:tc>
          <w:tcPr>
            <w:tcW w:w="3240" w:type="dxa"/>
            <w:vAlign w:val="bottom"/>
            <w:shd w:val="clear" w:color="auto" w:fill="CCEEFF"/>
          </w:tcPr>
          <w:p>
            <w:pPr>
              <w:spacing w:after="0"/>
              <w:rPr>
                <w:sz w:val="20"/>
                <w:szCs w:val="20"/>
                <w:color w:val="auto"/>
              </w:rPr>
            </w:pPr>
            <w:r>
              <w:rPr>
                <w:rFonts w:ascii="Arial" w:cs="Arial" w:eastAsia="Arial" w:hAnsi="Arial"/>
                <w:sz w:val="12"/>
                <w:szCs w:val="12"/>
                <w:color w:val="auto"/>
              </w:rPr>
              <w:t>Redemption of noncontrolling interests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r>
      <w:tr>
        <w:trPr>
          <w:trHeight w:val="164"/>
        </w:trPr>
        <w:tc>
          <w:tcPr>
            <w:tcW w:w="3240" w:type="dxa"/>
            <w:vAlign w:val="bottom"/>
          </w:tcPr>
          <w:p>
            <w:pPr>
              <w:spacing w:after="0"/>
              <w:rPr>
                <w:sz w:val="20"/>
                <w:szCs w:val="20"/>
                <w:color w:val="auto"/>
              </w:rPr>
            </w:pPr>
            <w:r>
              <w:rPr>
                <w:rFonts w:ascii="Arial" w:cs="Arial" w:eastAsia="Arial" w:hAnsi="Arial"/>
                <w:sz w:val="12"/>
                <w:szCs w:val="12"/>
                <w:color w:val="auto"/>
                <w:w w:val="96"/>
              </w:rPr>
              <w:t>Adjustment of noncontrolling interests in Operating Partnership</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(12,666)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(12,666)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12,666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6"/>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214,797,057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5,488,440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(2,443,696)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3,046,867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129,282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3,176,149</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425"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2"/>
                <w:szCs w:val="12"/>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1"/>
        </w:trPr>
        <w:tc>
          <w:tcPr>
            <w:tcW w:w="2580" w:type="dxa"/>
            <w:vAlign w:val="bottom"/>
          </w:tcPr>
          <w:p>
            <w:pPr>
              <w:spacing w:after="0"/>
              <w:rPr>
                <w:sz w:val="16"/>
                <w:szCs w:val="16"/>
                <w:color w:val="auto"/>
              </w:rPr>
            </w:pPr>
          </w:p>
        </w:tc>
        <w:tc>
          <w:tcPr>
            <w:tcW w:w="15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2"/>
                <w:szCs w:val="12"/>
                <w:b w:val="1"/>
                <w:bCs w:val="1"/>
                <w:color w:val="auto"/>
              </w:rPr>
              <w:t>Common Stock</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Accumulated Other</w:t>
            </w:r>
          </w:p>
        </w:tc>
        <w:tc>
          <w:tcPr>
            <w:tcW w:w="16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19"/>
        </w:trPr>
        <w:tc>
          <w:tcPr>
            <w:tcW w:w="2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20"/>
              <w:spacing w:after="0" w:line="119" w:lineRule="exact"/>
              <w:rPr>
                <w:sz w:val="20"/>
                <w:szCs w:val="20"/>
                <w:color w:val="auto"/>
              </w:rPr>
            </w:pPr>
            <w:r>
              <w:rPr>
                <w:rFonts w:ascii="Arial" w:cs="Arial" w:eastAsia="Arial" w:hAnsi="Arial"/>
                <w:sz w:val="12"/>
                <w:szCs w:val="12"/>
                <w:b w:val="1"/>
                <w:bCs w:val="1"/>
                <w:color w:val="auto"/>
              </w:rPr>
              <w:t>Par</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19"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0"/>
                <w:szCs w:val="10"/>
                <w:color w:val="auto"/>
              </w:rPr>
            </w:pPr>
          </w:p>
        </w:tc>
        <w:tc>
          <w:tcPr>
            <w:tcW w:w="1020" w:type="dxa"/>
            <w:vAlign w:val="bottom"/>
          </w:tcPr>
          <w:p>
            <w:pPr>
              <w:jc w:val="right"/>
              <w:ind w:right="119"/>
              <w:spacing w:after="0" w:line="119" w:lineRule="exact"/>
              <w:rPr>
                <w:sz w:val="20"/>
                <w:szCs w:val="20"/>
                <w:color w:val="auto"/>
              </w:rPr>
            </w:pPr>
            <w:r>
              <w:rPr>
                <w:rFonts w:ascii="Arial" w:cs="Arial" w:eastAsia="Arial" w:hAnsi="Arial"/>
                <w:sz w:val="12"/>
                <w:szCs w:val="12"/>
                <w:b w:val="1"/>
                <w:bCs w:val="1"/>
                <w:color w:val="auto"/>
                <w:w w:val="91"/>
              </w:rPr>
              <w:t>Comprehensive</w:t>
            </w:r>
          </w:p>
        </w:tc>
        <w:tc>
          <w:tcPr>
            <w:tcW w:w="160" w:type="dxa"/>
            <w:vAlign w:val="bottom"/>
          </w:tcPr>
          <w:p>
            <w:pPr>
              <w:spacing w:after="0"/>
              <w:rPr>
                <w:sz w:val="10"/>
                <w:szCs w:val="10"/>
                <w:color w:val="auto"/>
              </w:rPr>
            </w:pPr>
          </w:p>
        </w:tc>
        <w:tc>
          <w:tcPr>
            <w:tcW w:w="980" w:type="dxa"/>
            <w:vAlign w:val="bottom"/>
            <w:gridSpan w:val="2"/>
          </w:tcPr>
          <w:p>
            <w:pPr>
              <w:jc w:val="center"/>
              <w:ind w:right="220"/>
              <w:spacing w:after="0" w:line="119" w:lineRule="exact"/>
              <w:rPr>
                <w:sz w:val="20"/>
                <w:szCs w:val="20"/>
                <w:color w:val="auto"/>
              </w:rPr>
            </w:pPr>
            <w:r>
              <w:rPr>
                <w:rFonts w:ascii="Arial" w:cs="Arial" w:eastAsia="Arial" w:hAnsi="Arial"/>
                <w:sz w:val="12"/>
                <w:szCs w:val="12"/>
                <w:b w:val="1"/>
                <w:bCs w:val="1"/>
                <w:color w:val="auto"/>
                <w:w w:val="91"/>
              </w:rPr>
              <w:t>Stockholders'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2"/>
                <w:szCs w:val="12"/>
                <w:b w:val="1"/>
                <w:bCs w:val="1"/>
                <w:color w:val="auto"/>
                <w:w w:val="91"/>
              </w:rPr>
              <w:t>Noncontrolling</w:t>
            </w:r>
          </w:p>
        </w:tc>
        <w:tc>
          <w:tcPr>
            <w:tcW w:w="160" w:type="dxa"/>
            <w:vAlign w:val="bottom"/>
          </w:tcPr>
          <w:p>
            <w:pPr>
              <w:spacing w:after="0"/>
              <w:rPr>
                <w:sz w:val="10"/>
                <w:szCs w:val="10"/>
                <w:color w:val="auto"/>
              </w:rPr>
            </w:pPr>
          </w:p>
        </w:tc>
        <w:tc>
          <w:tcPr>
            <w:tcW w:w="700" w:type="dxa"/>
            <w:vAlign w:val="bottom"/>
          </w:tcPr>
          <w:p>
            <w:pPr>
              <w:jc w:val="right"/>
              <w:ind w:right="239"/>
              <w:spacing w:after="0" w:line="119" w:lineRule="exact"/>
              <w:rPr>
                <w:sz w:val="20"/>
                <w:szCs w:val="20"/>
                <w:color w:val="auto"/>
              </w:rPr>
            </w:pPr>
            <w:r>
              <w:rPr>
                <w:rFonts w:ascii="Arial" w:cs="Arial" w:eastAsia="Arial" w:hAnsi="Arial"/>
                <w:sz w:val="12"/>
                <w:szCs w:val="12"/>
                <w:b w:val="1"/>
                <w:bCs w:val="1"/>
                <w:color w:val="auto"/>
              </w:rPr>
              <w:t>Total</w:t>
            </w:r>
          </w:p>
        </w:tc>
      </w:tr>
      <w:tr>
        <w:trPr>
          <w:trHeight w:val="178"/>
        </w:trPr>
        <w:tc>
          <w:tcPr>
            <w:tcW w:w="258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5"/>
                <w:szCs w:val="15"/>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5"/>
                <w:szCs w:val="15"/>
                <w:color w:val="auto"/>
              </w:rPr>
            </w:pPr>
          </w:p>
        </w:tc>
        <w:tc>
          <w:tcPr>
            <w:tcW w:w="1020" w:type="dxa"/>
            <w:vAlign w:val="bottom"/>
          </w:tcPr>
          <w:p>
            <w:pPr>
              <w:jc w:val="right"/>
              <w:ind w:right="159"/>
              <w:spacing w:after="0"/>
              <w:rPr>
                <w:sz w:val="20"/>
                <w:szCs w:val="20"/>
                <w:color w:val="auto"/>
              </w:rPr>
            </w:pPr>
            <w:r>
              <w:rPr>
                <w:rFonts w:ascii="Arial" w:cs="Arial" w:eastAsia="Arial" w:hAnsi="Arial"/>
                <w:sz w:val="12"/>
                <w:szCs w:val="12"/>
                <w:b w:val="1"/>
                <w:bCs w:val="1"/>
                <w:color w:val="auto"/>
                <w:w w:val="95"/>
              </w:rPr>
              <w:t>(Loss) Income</w:t>
            </w:r>
          </w:p>
        </w:tc>
        <w:tc>
          <w:tcPr>
            <w:tcW w:w="1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Interests</w:t>
            </w:r>
          </w:p>
        </w:tc>
        <w:tc>
          <w:tcPr>
            <w:tcW w:w="160" w:type="dxa"/>
            <w:vAlign w:val="bottom"/>
          </w:tcPr>
          <w:p>
            <w:pPr>
              <w:spacing w:after="0"/>
              <w:rPr>
                <w:sz w:val="15"/>
                <w:szCs w:val="15"/>
                <w:color w:val="auto"/>
              </w:rPr>
            </w:pPr>
          </w:p>
        </w:tc>
        <w:tc>
          <w:tcPr>
            <w:tcW w:w="700" w:type="dxa"/>
            <w:vAlign w:val="bottom"/>
          </w:tcPr>
          <w:p>
            <w:pPr>
              <w:jc w:val="right"/>
              <w:ind w:right="179"/>
              <w:spacing w:after="0"/>
              <w:rPr>
                <w:sz w:val="20"/>
                <w:szCs w:val="20"/>
                <w:color w:val="auto"/>
              </w:rPr>
            </w:pPr>
            <w:r>
              <w:rPr>
                <w:rFonts w:ascii="Arial" w:cs="Arial" w:eastAsia="Arial" w:hAnsi="Arial"/>
                <w:sz w:val="12"/>
                <w:szCs w:val="12"/>
                <w:b w:val="1"/>
                <w:bCs w:val="1"/>
                <w:color w:val="auto"/>
              </w:rPr>
              <w:t>Equity</w:t>
            </w:r>
          </w:p>
        </w:tc>
      </w:tr>
      <w:tr>
        <w:trPr>
          <w:trHeight w:val="171"/>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214,797,057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5,488,440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(2,443,696)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3,046,867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129,282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3,176,149</w:t>
            </w:r>
          </w:p>
        </w:tc>
      </w:tr>
      <w:tr>
        <w:trPr>
          <w:trHeight w:val="163"/>
        </w:trPr>
        <w:tc>
          <w:tcPr>
            <w:tcW w:w="258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(66,068)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(66,068)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(65,079)</w:t>
            </w:r>
          </w:p>
        </w:tc>
      </w:tr>
      <w:tr>
        <w:trPr>
          <w:trHeight w:val="179"/>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rate cap/swap agreements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656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w:t>
            </w:r>
          </w:p>
        </w:tc>
      </w:tr>
      <w:tr>
        <w:trPr>
          <w:trHeight w:val="163"/>
        </w:trPr>
        <w:tc>
          <w:tcPr>
            <w:tcW w:w="2580" w:type="dxa"/>
            <w:vAlign w:val="bottom"/>
          </w:tcPr>
          <w:p>
            <w:pPr>
              <w:ind w:left="20"/>
              <w:spacing w:after="0"/>
              <w:rPr>
                <w:sz w:val="20"/>
                <w:szCs w:val="20"/>
                <w:color w:val="auto"/>
              </w:rPr>
            </w:pPr>
            <w:r>
              <w:rPr>
                <w:rFonts w:ascii="Arial" w:cs="Arial" w:eastAsia="Arial" w:hAnsi="Arial"/>
                <w:sz w:val="12"/>
                <w:szCs w:val="12"/>
                <w:color w:val="auto"/>
              </w:rPr>
              <w:t>Amortization of share and unit-based plans</w:t>
            </w:r>
          </w:p>
        </w:tc>
        <w:tc>
          <w:tcPr>
            <w:tcW w:w="860" w:type="dxa"/>
            <w:vAlign w:val="bottom"/>
          </w:tcPr>
          <w:p>
            <w:pPr>
              <w:jc w:val="right"/>
              <w:spacing w:after="0"/>
              <w:rPr>
                <w:sz w:val="20"/>
                <w:szCs w:val="20"/>
                <w:color w:val="auto"/>
              </w:rPr>
            </w:pPr>
            <w:r>
              <w:rPr>
                <w:rFonts w:ascii="Arial" w:cs="Arial" w:eastAsia="Arial" w:hAnsi="Arial"/>
                <w:sz w:val="12"/>
                <w:szCs w:val="12"/>
                <w:color w:val="auto"/>
              </w:rPr>
              <w:t>218,771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22,117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22,119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22,119</w:t>
            </w:r>
          </w:p>
        </w:tc>
      </w:tr>
      <w:tr>
        <w:trPr>
          <w:trHeight w:val="179"/>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stock purchases</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179,723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1,741</w:t>
            </w:r>
          </w:p>
        </w:tc>
      </w:tr>
      <w:tr>
        <w:trPr>
          <w:trHeight w:val="163"/>
        </w:trPr>
        <w:tc>
          <w:tcPr>
            <w:tcW w:w="2580" w:type="dxa"/>
            <w:vAlign w:val="bottom"/>
          </w:tcPr>
          <w:p>
            <w:pPr>
              <w:ind w:left="20"/>
              <w:spacing w:after="0"/>
              <w:rPr>
                <w:sz w:val="20"/>
                <w:szCs w:val="20"/>
                <w:color w:val="auto"/>
              </w:rPr>
            </w:pPr>
            <w:r>
              <w:rPr>
                <w:rFonts w:ascii="Arial" w:cs="Arial" w:eastAsia="Arial" w:hAnsi="Arial"/>
                <w:sz w:val="12"/>
                <w:szCs w:val="12"/>
                <w:color w:val="auto"/>
              </w:rPr>
              <w:t>Stock offerings, net</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(183)</w:t>
            </w:r>
          </w:p>
        </w:tc>
      </w:tr>
      <w:tr>
        <w:trPr>
          <w:trHeight w:val="179"/>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Distributions declared ($0.62)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(133,330)</w:t>
            </w:r>
          </w:p>
        </w:tc>
      </w:tr>
      <w:tr>
        <w:trPr>
          <w:trHeight w:val="163"/>
        </w:trPr>
        <w:tc>
          <w:tcPr>
            <w:tcW w:w="2580" w:type="dxa"/>
            <w:vAlign w:val="bottom"/>
          </w:tcPr>
          <w:p>
            <w:pPr>
              <w:ind w:left="20"/>
              <w:spacing w:after="0"/>
              <w:rPr>
                <w:sz w:val="20"/>
                <w:szCs w:val="20"/>
                <w:color w:val="auto"/>
              </w:rPr>
            </w:pPr>
            <w:r>
              <w:rPr>
                <w:rFonts w:ascii="Arial" w:cs="Arial" w:eastAsia="Arial" w:hAnsi="Arial"/>
                <w:sz w:val="12"/>
                <w:szCs w:val="12"/>
                <w:color w:val="auto"/>
              </w:rPr>
              <w:t>Distributions to noncontrolling interests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(52,998)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(52,998)</w:t>
            </w:r>
          </w:p>
        </w:tc>
      </w:tr>
      <w:tr>
        <w:trPr>
          <w:trHeight w:val="179"/>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from noncontrolling interests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w:t>
            </w:r>
          </w:p>
        </w:tc>
      </w:tr>
      <w:tr>
        <w:trPr>
          <w:trHeight w:val="119"/>
        </w:trPr>
        <w:tc>
          <w:tcPr>
            <w:tcW w:w="2580" w:type="dxa"/>
            <w:vAlign w:val="bottom"/>
          </w:tcPr>
          <w:p>
            <w:pPr>
              <w:ind w:left="20"/>
              <w:spacing w:after="0" w:line="119" w:lineRule="exact"/>
              <w:rPr>
                <w:sz w:val="20"/>
                <w:szCs w:val="20"/>
                <w:color w:val="auto"/>
              </w:rPr>
            </w:pPr>
            <w:r>
              <w:rPr>
                <w:rFonts w:ascii="Arial" w:cs="Arial" w:eastAsia="Arial" w:hAnsi="Arial"/>
                <w:sz w:val="12"/>
                <w:szCs w:val="12"/>
                <w:color w:val="auto"/>
              </w:rPr>
              <w:t>Conversion of noncontrolling interests to</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76"/>
        </w:trPr>
        <w:tc>
          <w:tcPr>
            <w:tcW w:w="2580" w:type="dxa"/>
            <w:vAlign w:val="bottom"/>
          </w:tcPr>
          <w:p>
            <w:pPr>
              <w:ind w:left="100"/>
              <w:spacing w:after="0"/>
              <w:rPr>
                <w:sz w:val="20"/>
                <w:szCs w:val="20"/>
                <w:color w:val="auto"/>
              </w:rPr>
            </w:pPr>
            <w:r>
              <w:rPr>
                <w:rFonts w:ascii="Arial" w:cs="Arial" w:eastAsia="Arial" w:hAnsi="Arial"/>
                <w:sz w:val="12"/>
                <w:szCs w:val="12"/>
                <w:color w:val="auto"/>
              </w:rPr>
              <w:t>common shares</w:t>
            </w:r>
          </w:p>
        </w:tc>
        <w:tc>
          <w:tcPr>
            <w:tcW w:w="860" w:type="dxa"/>
            <w:vAlign w:val="bottom"/>
          </w:tcPr>
          <w:p>
            <w:pPr>
              <w:jc w:val="right"/>
              <w:spacing w:after="0"/>
              <w:rPr>
                <w:sz w:val="20"/>
                <w:szCs w:val="20"/>
                <w:color w:val="auto"/>
              </w:rPr>
            </w:pPr>
            <w:r>
              <w:rPr>
                <w:rFonts w:ascii="Arial" w:cs="Arial" w:eastAsia="Arial" w:hAnsi="Arial"/>
                <w:sz w:val="12"/>
                <w:szCs w:val="12"/>
                <w:color w:val="auto"/>
              </w:rPr>
              <w:t>45,578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Redemption of noncontrolling interests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w:t>
            </w:r>
          </w:p>
        </w:tc>
      </w:tr>
      <w:tr>
        <w:trPr>
          <w:trHeight w:val="119"/>
        </w:trPr>
        <w:tc>
          <w:tcPr>
            <w:tcW w:w="2580" w:type="dxa"/>
            <w:vAlign w:val="bottom"/>
          </w:tcPr>
          <w:p>
            <w:pPr>
              <w:ind w:left="20"/>
              <w:spacing w:after="0" w:line="119" w:lineRule="exact"/>
              <w:rPr>
                <w:sz w:val="20"/>
                <w:szCs w:val="20"/>
                <w:color w:val="auto"/>
              </w:rPr>
            </w:pPr>
            <w:r>
              <w:rPr>
                <w:rFonts w:ascii="Arial" w:cs="Arial" w:eastAsia="Arial" w:hAnsi="Arial"/>
                <w:sz w:val="12"/>
                <w:szCs w:val="12"/>
                <w:color w:val="auto"/>
              </w:rPr>
              <w:t>Adjustment of noncontrolling interests in</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78"/>
        </w:trPr>
        <w:tc>
          <w:tcPr>
            <w:tcW w:w="2580" w:type="dxa"/>
            <w:vAlign w:val="bottom"/>
          </w:tcPr>
          <w:p>
            <w:pPr>
              <w:ind w:left="100"/>
              <w:spacing w:after="0"/>
              <w:rPr>
                <w:sz w:val="20"/>
                <w:szCs w:val="20"/>
                <w:color w:val="auto"/>
              </w:rPr>
            </w:pPr>
            <w:r>
              <w:rPr>
                <w:rFonts w:ascii="Arial" w:cs="Arial" w:eastAsia="Arial" w:hAnsi="Arial"/>
                <w:sz w:val="12"/>
                <w:szCs w:val="12"/>
                <w:color w:val="auto"/>
              </w:rPr>
              <w:t>Operating Partnership</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(8,906)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2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(8,906)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8,906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6"/>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215,241,129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5,506,084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(2,643,094)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632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2,865,773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83,576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2,949,349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80"/>
          </w:cols>
          <w:pgMar w:left="700" w:top="1425" w:right="71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r>
      <w:tr>
        <w:trPr>
          <w:trHeight w:val="17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(65,079)</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16,163</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(245,462)</w:t>
            </w: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Loss on remeasurement of assets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163,298</w:t>
            </w: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(Gain) loss on sale or write down of assets,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(75,740)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68,112</w:t>
            </w:r>
          </w:p>
        </w:tc>
      </w:tr>
      <w:tr>
        <w:trPr>
          <w:trHeight w:val="207"/>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302,480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324,403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326,058</w:t>
            </w: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Amortization of net premium on mortgage notes payable</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(773)</w:t>
            </w:r>
          </w:p>
        </w:tc>
      </w:tr>
      <w:tr>
        <w:trPr>
          <w:trHeight w:val="207"/>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Amortization of share and unit-based plans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13,843</w:t>
            </w: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Straight-line rent and amortization of above and below market leases,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(23,707)</w:t>
            </w:r>
          </w:p>
        </w:tc>
      </w:tr>
      <w:tr>
        <w:trPr>
          <w:trHeight w:val="207"/>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(Recovery of) provision for doubtful accounts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44,250</w:t>
            </w: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w:t>
            </w:r>
          </w:p>
        </w:tc>
      </w:tr>
      <w:tr>
        <w:trPr>
          <w:trHeight w:val="207"/>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Equity in loss (income) of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27,038</w:t>
            </w: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Change in fair value of financing arrangement obligation</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(15,390)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(139,522)</w:t>
            </w:r>
          </w:p>
        </w:tc>
      </w:tr>
      <w:tr>
        <w:trPr>
          <w:trHeight w:val="207"/>
        </w:trPr>
        <w:tc>
          <w:tcPr>
            <w:tcW w:w="69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Distributions of income from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940" w:type="dxa"/>
            <w:vAlign w:val="bottom"/>
          </w:tcPr>
          <w:p>
            <w:pPr>
              <w:ind w:left="320"/>
              <w:spacing w:after="0"/>
              <w:rPr>
                <w:sz w:val="20"/>
                <w:szCs w:val="20"/>
                <w:color w:val="auto"/>
              </w:rPr>
            </w:pPr>
            <w:r>
              <w:rPr>
                <w:rFonts w:ascii="Arial" w:cs="Arial" w:eastAsia="Arial" w:hAnsi="Arial"/>
                <w:sz w:val="14"/>
                <w:szCs w:val="14"/>
                <w:color w:val="auto"/>
              </w:rPr>
              <w:t>Changes in assets and liabilities, net of acquisitions and dispositions: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69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Tenant and other receivables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62,421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(105,947)</w:t>
            </w:r>
          </w:p>
        </w:tc>
      </w:tr>
      <w:tr>
        <w:trPr>
          <w:trHeight w:val="188"/>
        </w:trPr>
        <w:tc>
          <w:tcPr>
            <w:tcW w:w="6940" w:type="dxa"/>
            <w:vAlign w:val="bottom"/>
          </w:tcPr>
          <w:p>
            <w:pPr>
              <w:ind w:left="52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810</w:t>
            </w:r>
          </w:p>
        </w:tc>
      </w:tr>
      <w:tr>
        <w:trPr>
          <w:trHeight w:val="207"/>
        </w:trPr>
        <w:tc>
          <w:tcPr>
            <w:tcW w:w="69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Due (from) to affiliates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3,385</w:t>
            </w:r>
          </w:p>
        </w:tc>
      </w:tr>
      <w:tr>
        <w:trPr>
          <w:trHeight w:val="188"/>
        </w:trPr>
        <w:tc>
          <w:tcPr>
            <w:tcW w:w="6940" w:type="dxa"/>
            <w:vAlign w:val="bottom"/>
          </w:tcPr>
          <w:p>
            <w:pPr>
              <w:ind w:left="520"/>
              <w:spacing w:after="0"/>
              <w:rPr>
                <w:sz w:val="20"/>
                <w:szCs w:val="20"/>
                <w:color w:val="auto"/>
              </w:rPr>
            </w:pPr>
            <w:r>
              <w:rPr>
                <w:rFonts w:ascii="Arial" w:cs="Arial" w:eastAsia="Arial" w:hAnsi="Arial"/>
                <w:sz w:val="14"/>
                <w:szCs w:val="14"/>
                <w:color w:val="auto"/>
              </w:rPr>
              <w:t>Accounts payable and accrued expenses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15,479</w:t>
            </w:r>
          </w:p>
        </w:tc>
      </w:tr>
      <w:tr>
        <w:trPr>
          <w:trHeight w:val="207"/>
        </w:trPr>
        <w:tc>
          <w:tcPr>
            <w:tcW w:w="69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71,014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(21,578)</w:t>
            </w:r>
          </w:p>
        </w:tc>
      </w:tr>
      <w:tr>
        <w:trPr>
          <w:trHeight w:val="184"/>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286,368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124,837</w:t>
            </w:r>
          </w:p>
        </w:tc>
      </w:tr>
      <w:tr>
        <w:trPr>
          <w:trHeight w:val="17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Acquisition of property</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Development, redevelopment, expansion and renovation of properties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(77,686)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(45,161)</w:t>
            </w: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Property improvements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(52,640)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(30,521)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(23,143)</w:t>
            </w: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collection of notes receivable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Deferred leasing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(3,212)</w:t>
            </w: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from unconsolidated joint ventures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93,927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78,427</w:t>
            </w: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Contributions to unconsolidated joint ventures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(81,718)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(86,846)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(132,466)</w:t>
            </w: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restricted cash acquired from acquisition of previously unconsolidated joint venture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w:t>
            </w: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Loan to previously unconsolidated joint venture</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collection of receivable in connection with sale of joint venture property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assets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337,514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16,896</w:t>
            </w:r>
          </w:p>
        </w:tc>
      </w:tr>
      <w:tr>
        <w:trPr>
          <w:trHeight w:val="191"/>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(used in) provided by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234,968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(202,848)</w:t>
            </w:r>
          </w:p>
        </w:tc>
      </w:tr>
    </w:tbl>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7" w:right="55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THE MACERICH COMPANY</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9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Proceeds from mortgages, bank and other notes payable</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205,000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520,000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660,000</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mortgages, bank and other notes payable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(2,020,395)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(33,972)</w:t>
            </w: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Deferred financing costs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(4,320)</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finance lease</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w:t>
            </w: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Payments on finance leases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share and unit-based plans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(Costs) proceeds from stock offerings, net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830,241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Redemption of noncontrolling interests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8"/>
        </w:trPr>
        <w:tc>
          <w:tcPr>
            <w:tcW w:w="6940" w:type="dxa"/>
            <w:vAlign w:val="bottom"/>
          </w:tcPr>
          <w:p>
            <w:pPr>
              <w:ind w:left="140"/>
              <w:spacing w:after="0"/>
              <w:rPr>
                <w:sz w:val="20"/>
                <w:szCs w:val="20"/>
                <w:color w:val="auto"/>
              </w:rPr>
            </w:pPr>
            <w:r>
              <w:rPr>
                <w:rFonts w:ascii="Arial" w:cs="Arial" w:eastAsia="Arial" w:hAnsi="Arial"/>
                <w:sz w:val="14"/>
                <w:szCs w:val="14"/>
                <w:color w:val="auto"/>
              </w:rPr>
              <w:t>Contributions from noncontrolling interests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and distributions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(186,328)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(143,447)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(179,862)</w:t>
            </w:r>
          </w:p>
        </w:tc>
        <w:tc>
          <w:tcPr>
            <w:tcW w:w="0" w:type="dxa"/>
            <w:vAlign w:val="bottom"/>
          </w:tcPr>
          <w:p>
            <w:pPr>
              <w:spacing w:after="0"/>
              <w:rPr>
                <w:sz w:val="1"/>
                <w:szCs w:val="1"/>
                <w:color w:val="auto"/>
              </w:rPr>
            </w:pPr>
          </w:p>
        </w:tc>
      </w:tr>
      <w:tr>
        <w:trPr>
          <w:trHeight w:val="184"/>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(321,940)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446,454</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(315,688)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368,443</w:t>
            </w:r>
          </w:p>
        </w:tc>
        <w:tc>
          <w:tcPr>
            <w:tcW w:w="0" w:type="dxa"/>
            <w:vAlign w:val="bottom"/>
          </w:tcPr>
          <w:p>
            <w:pPr>
              <w:spacing w:after="0"/>
              <w:rPr>
                <w:sz w:val="1"/>
                <w:szCs w:val="1"/>
                <w:color w:val="auto"/>
              </w:rPr>
            </w:pPr>
          </w:p>
        </w:tc>
      </w:tr>
      <w:tr>
        <w:trPr>
          <w:trHeight w:val="191"/>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at beginning of year</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166,971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482,659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114,216</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end of year</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181,139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166,971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482,659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payments for interest, net of amounts capitalized</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180,321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204,221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199,147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development costs included in accounts payable and accrued expenses and other accrued liabilities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35,334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29,376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Arial" w:cs="Arial" w:eastAsia="Arial" w:hAnsi="Arial"/>
                <w:sz w:val="14"/>
                <w:szCs w:val="14"/>
                <w:color w:val="auto"/>
              </w:rPr>
              <w:t>Conversion of Operating Partnership Units to common stock</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48,807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12,086</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 in connection with sale of joint venture property</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Lease liabilities recorded in connection with right-of-use assets</w:t>
            </w: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940" w:type="dxa"/>
            <w:vAlign w:val="bottom"/>
            <w:tcBorders>
              <w:top w:val="single" w:sz="8" w:color="CCEEFF"/>
            </w:tcBorders>
            <w:vMerge w:val="continue"/>
          </w:tcPr>
          <w:p>
            <w:pPr>
              <w:spacing w:after="0"/>
              <w:rPr>
                <w:sz w:val="12"/>
                <w:szCs w:val="12"/>
                <w:color w:val="auto"/>
              </w:rPr>
            </w:pPr>
          </w:p>
        </w:tc>
        <w:tc>
          <w:tcPr>
            <w:tcW w:w="260" w:type="dxa"/>
            <w:vAlign w:val="bottom"/>
            <w:tcBorders>
              <w:top w:val="single" w:sz="8" w:color="auto"/>
              <w:bottom w:val="single" w:sz="8" w:color="auto"/>
            </w:tcBorders>
          </w:tcPr>
          <w:p>
            <w:pPr>
              <w:jc w:val="right"/>
              <w:ind w:right="110"/>
              <w:spacing w:after="0" w:line="144"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10"/>
              <w:spacing w:after="0" w:line="144"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50"/>
              <w:spacing w:after="0" w:line="144"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Assets acquired from previously unconsolidated joint venture</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23,554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395,844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40" w:type="dxa"/>
            <w:vAlign w:val="bottom"/>
          </w:tcPr>
          <w:p>
            <w:pPr>
              <w:ind w:left="140"/>
              <w:spacing w:after="0"/>
              <w:rPr>
                <w:sz w:val="20"/>
                <w:szCs w:val="20"/>
                <w:color w:val="auto"/>
              </w:rPr>
            </w:pPr>
            <w:r>
              <w:rPr>
                <w:rFonts w:ascii="Arial" w:cs="Arial" w:eastAsia="Arial" w:hAnsi="Arial"/>
                <w:sz w:val="14"/>
                <w:szCs w:val="14"/>
                <w:color w:val="auto"/>
              </w:rPr>
              <w:t>Liabilities assumed from previously unconsolidated joint venture</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263,393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Property distribution from unconsolidated joint venture</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80"/>
          </w:cols>
          <w:pgMar w:left="560" w:top="1017" w:right="5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42" w:lineRule="exact"/>
        <w:rPr>
          <w:sz w:val="20"/>
          <w:szCs w:val="20"/>
          <w:color w:val="auto"/>
        </w:rPr>
      </w:pPr>
    </w:p>
    <w:p>
      <w:pPr>
        <w:ind w:right="180" w:firstLine="435"/>
        <w:spacing w:after="0" w:line="262"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and community/power shopping centers (the "Centers") located throughout the United States.</w:t>
      </w:r>
    </w:p>
    <w:p>
      <w:pPr>
        <w:spacing w:after="0" w:line="115" w:lineRule="exact"/>
        <w:rPr>
          <w:sz w:val="20"/>
          <w:szCs w:val="20"/>
          <w:color w:val="auto"/>
        </w:rPr>
      </w:pPr>
    </w:p>
    <w:p>
      <w:pPr>
        <w:ind w:right="260" w:firstLine="435"/>
        <w:spacing w:after="0" w:line="300" w:lineRule="auto"/>
        <w:rPr>
          <w:sz w:val="20"/>
          <w:szCs w:val="20"/>
          <w:color w:val="auto"/>
        </w:rPr>
      </w:pPr>
      <w:r>
        <w:rPr>
          <w:rFonts w:ascii="Arial" w:cs="Arial" w:eastAsia="Arial" w:hAnsi="Arial"/>
          <w:sz w:val="16"/>
          <w:szCs w:val="16"/>
          <w:color w:val="auto"/>
        </w:rPr>
        <w:t>The Company commenced operations effective with the completion of its initial public offering on March 16, 1994. As of December 31, 2022,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87" w:lineRule="exact"/>
        <w:rPr>
          <w:sz w:val="20"/>
          <w:szCs w:val="20"/>
          <w:color w:val="auto"/>
        </w:rPr>
      </w:pPr>
    </w:p>
    <w:p>
      <w:pPr>
        <w:ind w:right="80" w:firstLine="435"/>
        <w:spacing w:after="0" w:line="284" w:lineRule="auto"/>
        <w:rPr>
          <w:sz w:val="20"/>
          <w:szCs w:val="20"/>
          <w:color w:val="auto"/>
        </w:rPr>
      </w:pPr>
      <w:r>
        <w:rPr>
          <w:rFonts w:ascii="Arial" w:cs="Arial" w:eastAsia="Arial" w:hAnsi="Arial"/>
          <w:sz w:val="16"/>
          <w:szCs w:val="16"/>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owned by the Company and are collectively referred to herein as the "Management Companies."</w:t>
      </w:r>
    </w:p>
    <w:p>
      <w:pPr>
        <w:spacing w:after="0" w:line="84" w:lineRule="exact"/>
        <w:rPr>
          <w:sz w:val="20"/>
          <w:szCs w:val="20"/>
          <w:color w:val="auto"/>
        </w:rPr>
      </w:pPr>
    </w:p>
    <w:p>
      <w:pPr>
        <w:ind w:left="440" w:right="7680" w:hanging="435"/>
        <w:spacing w:after="0" w:line="415" w:lineRule="auto"/>
        <w:tabs>
          <w:tab w:leader="none" w:pos="181"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2" w:lineRule="exact"/>
        <w:rPr>
          <w:sz w:val="20"/>
          <w:szCs w:val="20"/>
          <w:color w:val="auto"/>
        </w:rPr>
      </w:pPr>
    </w:p>
    <w:p>
      <w:pPr>
        <w:ind w:right="100" w:firstLine="435"/>
        <w:spacing w:after="0" w:line="262" w:lineRule="auto"/>
        <w:rPr>
          <w:sz w:val="20"/>
          <w:szCs w:val="20"/>
          <w:color w:val="auto"/>
        </w:rPr>
      </w:pPr>
      <w:r>
        <w:rPr>
          <w:rFonts w:ascii="Arial" w:cs="Arial" w:eastAsia="Arial" w:hAnsi="Arial"/>
          <w:sz w:val="18"/>
          <w:szCs w:val="18"/>
          <w:color w:val="auto"/>
        </w:rPr>
        <w:t>These consolidated financial statements have been prepared in accordance with generally accepted accounting principles ("GAAP") in the United States of America.</w:t>
      </w:r>
    </w:p>
    <w:p>
      <w:pPr>
        <w:spacing w:after="0" w:line="101" w:lineRule="exact"/>
        <w:rPr>
          <w:sz w:val="20"/>
          <w:szCs w:val="20"/>
          <w:color w:val="auto"/>
        </w:rPr>
      </w:pPr>
    </w:p>
    <w:p>
      <w:pPr>
        <w:ind w:right="60" w:firstLine="435"/>
        <w:spacing w:after="0" w:line="247" w:lineRule="auto"/>
        <w:rPr>
          <w:sz w:val="20"/>
          <w:szCs w:val="20"/>
          <w:color w:val="auto"/>
        </w:rPr>
      </w:pPr>
      <w:r>
        <w:rPr>
          <w:rFonts w:ascii="Arial" w:cs="Arial" w:eastAsia="Arial" w:hAnsi="Arial"/>
          <w:sz w:val="18"/>
          <w:szCs w:val="18"/>
          <w:color w:val="auto"/>
        </w:rPr>
        <w:t>The accompanying consolidated financial statements include the accounts of the Company. Investments in entities in which the Company has a controlling financial interest or entities that meet the definition of a variable interest entity ("VIE") in accordance with Accounting Standards Codification ("ASC") 810, "Consolidation", in which the Company has, as a result of ownership, contractual or other financial interests, both the power to direct activities that most significantly impact the economic performance of the VIE and the obligation to absorb losses or the right to receive benefits that could potentially be significant to the VIE are consolidated; otherwise they are accounted for under the equity method of accounting and are reflected as investments in unconsolidated joint ventures.</w:t>
      </w:r>
    </w:p>
    <w:p>
      <w:pPr>
        <w:spacing w:after="0" w:line="131" w:lineRule="exact"/>
        <w:rPr>
          <w:sz w:val="20"/>
          <w:szCs w:val="20"/>
          <w:color w:val="auto"/>
        </w:rPr>
      </w:pPr>
    </w:p>
    <w:p>
      <w:pPr>
        <w:jc w:val="both"/>
        <w:ind w:firstLine="435"/>
        <w:spacing w:after="0" w:line="253"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VIEs, including Fashion District Philadelphia and SanTan Village Regional Center.</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Partnership's VIEs included the following assets and liabilities: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5"/>
                <w:szCs w:val="15"/>
                <w:color w:val="auto"/>
              </w:rPr>
            </w:pPr>
          </w:p>
        </w:tc>
      </w:tr>
      <w:tr>
        <w:trPr>
          <w:trHeight w:val="24"/>
        </w:trPr>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7860" w:type="dxa"/>
            <w:vAlign w:val="bottom"/>
          </w:tcPr>
          <w:p>
            <w:pPr>
              <w:ind w:left="140"/>
              <w:spacing w:after="0"/>
              <w:rPr>
                <w:sz w:val="20"/>
                <w:szCs w:val="20"/>
                <w:color w:val="auto"/>
              </w:rPr>
            </w:pPr>
            <w:r>
              <w:rPr>
                <w:rFonts w:ascii="Arial" w:cs="Arial" w:eastAsia="Arial" w:hAnsi="Arial"/>
                <w:sz w:val="18"/>
                <w:szCs w:val="18"/>
                <w:color w:val="auto"/>
              </w:rPr>
              <w:t>Property, net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452,559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458,964</w:t>
            </w:r>
          </w:p>
        </w:tc>
      </w:tr>
      <w:tr>
        <w:trPr>
          <w:trHeight w:val="224"/>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83,685</w:t>
            </w:r>
          </w:p>
        </w:tc>
      </w:tr>
      <w:tr>
        <w:trPr>
          <w:trHeight w:val="217"/>
        </w:trPr>
        <w:tc>
          <w:tcPr>
            <w:tcW w:w="786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545,661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542,649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4"/>
        </w:trPr>
        <w:tc>
          <w:tcPr>
            <w:tcW w:w="7860" w:type="dxa"/>
            <w:vAlign w:val="bottom"/>
          </w:tcPr>
          <w:p>
            <w:pPr>
              <w:ind w:left="140"/>
              <w:spacing w:after="0"/>
              <w:rPr>
                <w:sz w:val="20"/>
                <w:szCs w:val="20"/>
                <w:color w:val="auto"/>
              </w:rPr>
            </w:pPr>
            <w:r>
              <w:rPr>
                <w:rFonts w:ascii="Arial" w:cs="Arial" w:eastAsia="Arial" w:hAnsi="Arial"/>
                <w:sz w:val="18"/>
                <w:szCs w:val="18"/>
                <w:color w:val="auto"/>
              </w:rPr>
              <w:t>Mortgage notes payable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323,841</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413,925</w:t>
            </w:r>
          </w:p>
        </w:tc>
      </w:tr>
      <w:tr>
        <w:trPr>
          <w:trHeight w:val="224"/>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56,947</w:t>
            </w:r>
          </w:p>
        </w:tc>
      </w:tr>
      <w:tr>
        <w:trPr>
          <w:trHeight w:val="217"/>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459,181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470,872</w:t>
            </w: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 (Continued)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a reconciliation of the beginning of period and end of period cash and cash equivalents and restricted cash reported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consolidated balance sheets to the totals shown on its consolidated statements of cash flows:</w:t>
      </w:r>
    </w:p>
    <w:p>
      <w:pPr>
        <w:spacing w:after="0" w:line="166"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5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100,005</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End of period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465,297</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17,362</w:t>
            </w: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482,659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COVID-19 Pandemic:</w:t>
      </w:r>
    </w:p>
    <w:p>
      <w:pPr>
        <w:spacing w:after="0" w:line="136" w:lineRule="exact"/>
        <w:rPr>
          <w:sz w:val="20"/>
          <w:szCs w:val="20"/>
          <w:color w:val="auto"/>
        </w:rPr>
      </w:pPr>
    </w:p>
    <w:p>
      <w:pPr>
        <w:ind w:right="100" w:firstLine="435"/>
        <w:spacing w:after="0" w:line="250" w:lineRule="auto"/>
        <w:rPr>
          <w:sz w:val="20"/>
          <w:szCs w:val="20"/>
          <w:color w:val="auto"/>
        </w:rPr>
      </w:pPr>
      <w:r>
        <w:rPr>
          <w:rFonts w:ascii="Arial" w:cs="Arial" w:eastAsia="Arial" w:hAnsi="Arial"/>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and government-imposed capacity restrictions resulting from COVID-19 have been eliminated across the Company’s markets.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COVID-19 Lease Accounting:</w:t>
      </w:r>
    </w:p>
    <w:p>
      <w:pPr>
        <w:spacing w:after="0" w:line="149"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In April 2020, the Financial Accounting Standards Board ("FASB") issued a Staff Question-and-Answer (“Q&amp;A”) to clarify whether lease concessions related to the effects of COVID-19 require the application of the lease modification guidance under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twelve months ended December 31, 2022, 2021 and 2020.</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and Cash Equivalents and Restricted Cash:</w:t>
      </w:r>
    </w:p>
    <w:p>
      <w:pPr>
        <w:spacing w:after="0" w:line="149" w:lineRule="exact"/>
        <w:rPr>
          <w:sz w:val="20"/>
          <w:szCs w:val="20"/>
          <w:color w:val="auto"/>
        </w:rPr>
      </w:pPr>
    </w:p>
    <w:p>
      <w:pPr>
        <w:ind w:right="40" w:firstLine="435"/>
        <w:spacing w:after="0" w:line="325"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when purchased to be cash equivalents, for which cost approximates fair value. Restricted cash includes impounds of property taxes and other capital reserves required under loan and other agreements.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Revenues:</w:t>
      </w:r>
    </w:p>
    <w:p>
      <w:pPr>
        <w:spacing w:after="0" w:line="149" w:lineRule="exact"/>
        <w:rPr>
          <w:sz w:val="20"/>
          <w:szCs w:val="20"/>
          <w:color w:val="auto"/>
        </w:rPr>
      </w:pPr>
    </w:p>
    <w:p>
      <w:pPr>
        <w:ind w:right="40" w:firstLine="435"/>
        <w:spacing w:after="0" w:line="283" w:lineRule="auto"/>
        <w:rPr>
          <w:sz w:val="20"/>
          <w:szCs w:val="20"/>
          <w:color w:val="auto"/>
        </w:rPr>
      </w:pPr>
      <w:r>
        <w:rPr>
          <w:rFonts w:ascii="Arial" w:cs="Arial" w:eastAsia="Arial" w:hAnsi="Arial"/>
          <w:sz w:val="16"/>
          <w:szCs w:val="16"/>
          <w:color w:val="auto"/>
        </w:rPr>
        <w:t>Leasing revenue includes minimum rents, percentage rents, tenant recoveries and other leasing income. Minimum rental revenues are recognized on a straight-line basis over the terms of the related leases. The difference between the amount of rent due in a year and the amount recorded as rental income is referred to as the "straight-line rent adjustment." Minimum rents were (decreased) increased by $(777), $5,873 and $24,789 due to the straight-line rent adjustment during the years ended December 31, 2022, 2021 and 2020, respectively.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w:t>
      </w:r>
    </w:p>
    <w:p>
      <w:pPr>
        <w:spacing w:after="0" w:line="102" w:lineRule="exact"/>
        <w:rPr>
          <w:sz w:val="20"/>
          <w:szCs w:val="20"/>
          <w:color w:val="auto"/>
        </w:rPr>
      </w:pPr>
    </w:p>
    <w:p>
      <w:pPr>
        <w:ind w:right="200" w:firstLine="435"/>
        <w:spacing w:after="0" w:line="253" w:lineRule="auto"/>
        <w:rPr>
          <w:sz w:val="20"/>
          <w:szCs w:val="20"/>
          <w:color w:val="auto"/>
        </w:rPr>
      </w:pPr>
      <w:r>
        <w:rPr>
          <w:rFonts w:ascii="Arial" w:cs="Arial" w:eastAsia="Arial" w:hAnsi="Arial"/>
          <w:sz w:val="18"/>
          <w:szCs w:val="18"/>
          <w:color w:val="auto"/>
        </w:rPr>
        <w:t>The Management Companies provide property management, leasing, corporate, development, redevelopment and acquisition services to affiliated and non-affiliated shopping centers. In consideration for these services, the Management Companies receive monthly management fees generally ranging from 1.5% to 4% of the gross monthly rental revenue of the properties managed.</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w:t>
      </w:r>
    </w:p>
    <w:p>
      <w:pPr>
        <w:spacing w:after="0" w:line="149" w:lineRule="exact"/>
        <w:rPr>
          <w:sz w:val="20"/>
          <w:szCs w:val="20"/>
          <w:color w:val="auto"/>
        </w:rPr>
      </w:pPr>
    </w:p>
    <w:p>
      <w:pPr>
        <w:ind w:firstLine="435"/>
        <w:spacing w:after="0" w:line="253" w:lineRule="auto"/>
        <w:rPr>
          <w:sz w:val="20"/>
          <w:szCs w:val="20"/>
          <w:color w:val="auto"/>
        </w:rPr>
      </w:pPr>
      <w:r>
        <w:rPr>
          <w:rFonts w:ascii="Arial" w:cs="Arial" w:eastAsia="Arial" w:hAnsi="Arial"/>
          <w:sz w:val="18"/>
          <w:szCs w:val="18"/>
          <w:color w:val="auto"/>
        </w:rPr>
        <w:t>Maintenance and repair expenses are charged to operations as incurred. Costs for major replacements and betterments, which includes HVAC equipment, roofs, parking lots, etc., are capitalized and depreciated over their estimated useful lives. Gains and losses are recognized upon disposal or retirement of the related assets and are reflected in earnings.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is recorded at cost and is depreciated using a straight-line method over the estimated useful lives of the assets as follows:</w:t>
      </w:r>
    </w:p>
    <w:p>
      <w:pPr>
        <w:spacing w:after="0" w:line="174" w:lineRule="exact"/>
        <w:rPr>
          <w:sz w:val="20"/>
          <w:szCs w:val="20"/>
          <w:color w:val="auto"/>
        </w:rPr>
      </w:pPr>
    </w:p>
    <w:tbl>
      <w:tblPr>
        <w:tblLayout w:type="fixed"/>
        <w:tblInd w:w="1240" w:type="dxa"/>
        <w:tblCellMar>
          <w:top w:w="0" w:type="dxa"/>
          <w:left w:w="0" w:type="dxa"/>
          <w:bottom w:w="0" w:type="dxa"/>
          <w:right w:w="0" w:type="dxa"/>
        </w:tblCellMar>
      </w:tblPr>
      <w:tr>
        <w:trPr>
          <w:trHeight w:val="224"/>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 years</w:t>
            </w:r>
          </w:p>
        </w:tc>
      </w:tr>
      <w:tr>
        <w:trPr>
          <w:trHeight w:val="224"/>
        </w:trPr>
        <w:tc>
          <w:tcPr>
            <w:tcW w:w="4920" w:type="dxa"/>
            <w:vAlign w:val="bottom"/>
          </w:tcPr>
          <w:p>
            <w:pPr>
              <w:spacing w:after="0"/>
              <w:rPr>
                <w:sz w:val="20"/>
                <w:szCs w:val="20"/>
                <w:color w:val="auto"/>
              </w:rPr>
            </w:pPr>
            <w:r>
              <w:rPr>
                <w:rFonts w:ascii="Arial" w:cs="Arial" w:eastAsia="Arial" w:hAnsi="Arial"/>
                <w:sz w:val="18"/>
                <w:szCs w:val="18"/>
                <w:color w:val="auto"/>
              </w:rPr>
              <w:t>Tenant improvements</w:t>
            </w:r>
          </w:p>
        </w:tc>
        <w:tc>
          <w:tcPr>
            <w:tcW w:w="2980" w:type="dxa"/>
            <w:vAlign w:val="bottom"/>
          </w:tcPr>
          <w:p>
            <w:pPr>
              <w:jc w:val="right"/>
              <w:spacing w:after="0"/>
              <w:rPr>
                <w:sz w:val="20"/>
                <w:szCs w:val="20"/>
                <w:color w:val="auto"/>
              </w:rPr>
            </w:pPr>
            <w:r>
              <w:rPr>
                <w:rFonts w:ascii="Arial" w:cs="Arial" w:eastAsia="Arial" w:hAnsi="Arial"/>
                <w:sz w:val="18"/>
                <w:szCs w:val="18"/>
                <w:color w:val="auto"/>
              </w:rPr>
              <w:t>5</w:t>
            </w:r>
          </w:p>
        </w:tc>
        <w:tc>
          <w:tcPr>
            <w:tcW w:w="132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24"/>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furnishings</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bl>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Capitalization of Costs:</w:t>
      </w:r>
    </w:p>
    <w:p>
      <w:pPr>
        <w:spacing w:after="0" w:line="136" w:lineRule="exact"/>
        <w:rPr>
          <w:sz w:val="20"/>
          <w:szCs w:val="20"/>
          <w:color w:val="auto"/>
        </w:rPr>
      </w:pPr>
    </w:p>
    <w:p>
      <w:pPr>
        <w:ind w:right="20" w:firstLine="435"/>
        <w:spacing w:after="0" w:line="280" w:lineRule="auto"/>
        <w:rPr>
          <w:sz w:val="20"/>
          <w:szCs w:val="20"/>
          <w:color w:val="auto"/>
        </w:rPr>
      </w:pPr>
      <w:r>
        <w:rPr>
          <w:rFonts w:ascii="Arial" w:cs="Arial" w:eastAsia="Arial" w:hAnsi="Arial"/>
          <w:sz w:val="16"/>
          <w:szCs w:val="16"/>
          <w:color w:val="auto"/>
        </w:rPr>
        <w:t>The Company capitalizes costs incurred in redevelopment, development, renovation and improvement of properties. The capitalized costs include pre-construction costs essential to the development of the property, development costs, construction costs, interest costs, real estate taxes, salaries and related costs and other costs incurred during the period of development. These capitalized costs include direct and certain indirect costs clearly associated with the project. Indirect costs include real estate taxes, insurance and certain shared administrative costs. In assessing the amounts of direct and indirect costs to be capitalized, allocations are made to projects based on estimates of the actual amount of time spent on each activity. Indirect costs not clearly associated with specific projects are expensed as period costs. Capitalized indirect costs are allocated to development and redevelopment activities based on the square footage of the portion of the building not held available for immediate occupancy. If costs and activities incurred to ready the vacant space cease, then cost capitalization is also discontinued until such activities are resumed. Once work has been completed on a vacant space, project costs are no longer capitalized. For projects with extended lease-up periods, the Company ends the capitalization when significant activities have ceased, which does not exceed the shorter of a one-year period after the completion of the building shell or when the construction is substantially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Investment in Unconsolidated Joint Ventures:</w:t>
      </w:r>
    </w:p>
    <w:p>
      <w:pPr>
        <w:spacing w:after="0" w:line="149" w:lineRule="exact"/>
        <w:rPr>
          <w:sz w:val="20"/>
          <w:szCs w:val="20"/>
          <w:color w:val="auto"/>
        </w:rPr>
      </w:pPr>
    </w:p>
    <w:p>
      <w:pPr>
        <w:ind w:right="40" w:firstLine="435"/>
        <w:spacing w:after="0" w:line="278" w:lineRule="auto"/>
        <w:rPr>
          <w:sz w:val="20"/>
          <w:szCs w:val="20"/>
          <w:color w:val="auto"/>
        </w:rPr>
      </w:pPr>
      <w:r>
        <w:rPr>
          <w:rFonts w:ascii="Arial" w:cs="Arial" w:eastAsia="Arial" w:hAnsi="Arial"/>
          <w:sz w:val="16"/>
          <w:szCs w:val="16"/>
          <w:color w:val="auto"/>
        </w:rPr>
        <w:t>The Company accounts for its investments in joint ventures using the equity method of accounting unless the Company has a controlling financial interest in the joint venture or the joint venture meets the definition of a VIE in which the Company is the primary beneficiary through both its power to direct activities that most significantly impact the economic performance of the variable interest entity and the obligation to absorb losses or the right to receive benefits that could potentially be significant to the variable interest entity. Although the Company has a greater than 50% interest in Corte Madera</w:t>
      </w:r>
    </w:p>
    <w:p>
      <w:pPr>
        <w:spacing w:after="0" w:line="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Village, LLC, Macerich HHF Centers LLC, New River Associates LLC and Pacific Premier Retail LLC, the Company does not have controlling financial interests in these joint ventures due to the substantive participation rights of the outside partners in these joint ventures and, therefore, accounts for its investments in these joint ventures using the equity method of accounting.</w:t>
      </w:r>
    </w:p>
    <w:p>
      <w:pPr>
        <w:spacing w:after="0" w:line="129"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Equity method investments are initially recorded on the balance sheet at cost and are subsequently adjusted to reflect the Company’s proportionate share of net earnings and losses, distributions received, additional contributions and certain other adjustments, as appropriate. The Company separately reports investments in joint ventures when accumulated distributions have exceeded the Company’s investment, as distributions in excess of investments in unconsolidated joint ventures. The net investment of certain joint ventures is less than zero because of financing or operating distributions that are usually greater than net income, as net income includes charges for depreciation and amortization.</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149" w:lineRule="exact"/>
        <w:rPr>
          <w:sz w:val="20"/>
          <w:szCs w:val="20"/>
          <w:color w:val="auto"/>
        </w:rPr>
      </w:pPr>
    </w:p>
    <w:p>
      <w:pPr>
        <w:ind w:firstLine="435"/>
        <w:spacing w:after="0" w:line="297" w:lineRule="auto"/>
        <w:rPr>
          <w:sz w:val="20"/>
          <w:szCs w:val="20"/>
          <w:color w:val="auto"/>
        </w:rPr>
      </w:pPr>
      <w:r>
        <w:rPr>
          <w:rFonts w:ascii="Arial" w:cs="Arial" w:eastAsia="Arial" w:hAnsi="Arial"/>
          <w:sz w:val="15"/>
          <w:szCs w:val="15"/>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 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is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305" w:lineRule="exact"/>
        <w:rPr>
          <w:sz w:val="20"/>
          <w:szCs w:val="20"/>
          <w:color w:val="auto"/>
        </w:rPr>
      </w:pPr>
    </w:p>
    <w:p>
      <w:pPr>
        <w:jc w:val="both"/>
        <w:ind w:right="20" w:firstLine="435"/>
        <w:spacing w:after="0" w:line="250" w:lineRule="auto"/>
        <w:rPr>
          <w:sz w:val="20"/>
          <w:szCs w:val="20"/>
          <w:color w:val="auto"/>
        </w:rPr>
      </w:pPr>
      <w:r>
        <w:rPr>
          <w:rFonts w:ascii="Arial" w:cs="Arial" w:eastAsia="Arial" w:hAnsi="Arial"/>
          <w:sz w:val="18"/>
          <w:szCs w:val="18"/>
          <w:color w:val="auto"/>
        </w:rPr>
        <w:t>Remeasurement gains and losses are recognized when the Company becomes the primary beneficiary of an existing equity method investment that is a VIE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72" w:right="41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Charges:</w:t>
      </w:r>
    </w:p>
    <w:p>
      <w:pPr>
        <w:spacing w:after="0" w:line="149" w:lineRule="exact"/>
        <w:rPr>
          <w:sz w:val="20"/>
          <w:szCs w:val="20"/>
          <w:color w:val="auto"/>
        </w:rPr>
      </w:pPr>
    </w:p>
    <w:p>
      <w:pPr>
        <w:ind w:right="20" w:firstLine="435"/>
        <w:spacing w:after="0" w:line="291" w:lineRule="auto"/>
        <w:rPr>
          <w:sz w:val="20"/>
          <w:szCs w:val="20"/>
          <w:color w:val="auto"/>
        </w:rPr>
      </w:pPr>
      <w:r>
        <w:rPr>
          <w:rFonts w:ascii="Arial" w:cs="Arial" w:eastAsia="Arial" w:hAnsi="Arial"/>
          <w:sz w:val="16"/>
          <w:szCs w:val="16"/>
          <w:color w:val="auto"/>
        </w:rPr>
        <w:t>Direct costs relating to obtaining tenant leases are deferred and amortized over the initial term of the lease agreement using the straight-line method. As these deferred leasing costs represent productive assets incurred in connection with the Company's leasing arrangements at the Centers, the related cash flows are classified as investing activities within the accompanying Consolidated Statements of Cash Flows. Costs relating to financing of shopping center properties are deferred and amortized over the life of the related loan using the straight-line method, which approximates the effective interest method.</w:t>
      </w:r>
    </w:p>
    <w:p>
      <w:pPr>
        <w:spacing w:after="0" w:line="200" w:lineRule="exact"/>
        <w:rPr>
          <w:sz w:val="20"/>
          <w:szCs w:val="20"/>
          <w:color w:val="auto"/>
        </w:rPr>
      </w:pP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The range of the terms of the agreements is as follows:</w:t>
            </w:r>
          </w:p>
        </w:tc>
        <w:tc>
          <w:tcPr>
            <w:tcW w:w="32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leasing costs</w:t>
            </w:r>
          </w:p>
        </w:tc>
        <w:tc>
          <w:tcPr>
            <w:tcW w:w="32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1 - 15 years</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3200" w:type="dxa"/>
            <w:vAlign w:val="bottom"/>
          </w:tcPr>
          <w:p>
            <w:pPr>
              <w:ind w:left="1840"/>
              <w:spacing w:after="0"/>
              <w:rPr>
                <w:sz w:val="20"/>
                <w:szCs w:val="20"/>
                <w:color w:val="auto"/>
              </w:rPr>
            </w:pPr>
            <w:r>
              <w:rPr>
                <w:rFonts w:ascii="Arial" w:cs="Arial" w:eastAsia="Arial" w:hAnsi="Arial"/>
                <w:sz w:val="18"/>
                <w:szCs w:val="18"/>
                <w:color w:val="auto"/>
              </w:rPr>
              <w:t>1 - 15 years</w:t>
            </w:r>
          </w:p>
        </w:tc>
      </w:tr>
    </w:tbl>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Accounting for Impairment:</w:t>
      </w:r>
    </w:p>
    <w:p>
      <w:pPr>
        <w:spacing w:after="0" w:line="136" w:lineRule="exact"/>
        <w:rPr>
          <w:sz w:val="20"/>
          <w:szCs w:val="20"/>
          <w:color w:val="auto"/>
        </w:rPr>
      </w:pPr>
    </w:p>
    <w:p>
      <w:pPr>
        <w:ind w:right="40" w:firstLine="435"/>
        <w:spacing w:after="0" w:line="282"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102" w:lineRule="exact"/>
        <w:rPr>
          <w:sz w:val="20"/>
          <w:szCs w:val="20"/>
          <w:color w:val="auto"/>
        </w:rPr>
      </w:pPr>
    </w:p>
    <w:p>
      <w:pPr>
        <w:jc w:val="both"/>
        <w:ind w:right="60" w:firstLine="435"/>
        <w:spacing w:after="0" w:line="253"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and Unit-based Compensation Plans:</w:t>
      </w:r>
    </w:p>
    <w:p>
      <w:pPr>
        <w:spacing w:after="0" w:line="136"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cost of share and unit-based compensation awards is measured at the grant date based on the calculated fair value of the awards and is recognized on a straight-line basis over the requisite service period, which is generally the vesting period of the awards.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49" w:lineRule="exact"/>
        <w:rPr>
          <w:sz w:val="20"/>
          <w:szCs w:val="20"/>
          <w:color w:val="auto"/>
        </w:rPr>
      </w:pPr>
    </w:p>
    <w:p>
      <w:pPr>
        <w:ind w:right="60" w:firstLine="435"/>
        <w:spacing w:after="0" w:line="247" w:lineRule="auto"/>
        <w:rPr>
          <w:sz w:val="20"/>
          <w:szCs w:val="20"/>
          <w:color w:val="auto"/>
        </w:rPr>
      </w:pPr>
      <w:r>
        <w:rPr>
          <w:rFonts w:ascii="Arial" w:cs="Arial" w:eastAsia="Arial" w:hAnsi="Arial"/>
          <w:sz w:val="18"/>
          <w:szCs w:val="18"/>
          <w:color w:val="auto"/>
        </w:rPr>
        <w:t>The Company recognizes all derivatives in the consolidated financial statements and measures the derivatives at fair value. The Company uses interest rate swap and cap agreements (collectively, "interest rate agreements") in the normal course of business to manage or reduce its exposure to adverse fluctuations in interest rates. The Company designs its hedges to be effective in reducing the risk exposure that they are designated to hedge. Any instrument that meets the cash flow hedging criteria is formally designated as a cash flow hedge at the inception of the derivative contract. On an ongoing quarterly basis, the Company adjusts its balance sheet to reflect the current fair value of its derivatives. To the extent they are effective, changes in fair value are recorded in comprehensive income.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Amounts paid (received) as a result of interest rate agreements are recorded as an addition (reduction) to (of) interest expense.</w:t>
      </w:r>
    </w:p>
    <w:p>
      <w:pPr>
        <w:spacing w:after="0" w:line="149" w:lineRule="exact"/>
        <w:rPr>
          <w:sz w:val="20"/>
          <w:szCs w:val="20"/>
          <w:color w:val="auto"/>
        </w:rPr>
      </w:pPr>
    </w:p>
    <w:p>
      <w:pPr>
        <w:ind w:right="240" w:firstLine="435"/>
        <w:spacing w:after="0" w:line="262" w:lineRule="auto"/>
        <w:rPr>
          <w:sz w:val="20"/>
          <w:szCs w:val="20"/>
          <w:color w:val="auto"/>
        </w:rPr>
      </w:pPr>
      <w:r>
        <w:rPr>
          <w:rFonts w:ascii="Arial" w:cs="Arial" w:eastAsia="Arial" w:hAnsi="Arial"/>
          <w:sz w:val="18"/>
          <w:szCs w:val="18"/>
          <w:color w:val="auto"/>
        </w:rPr>
        <w:t>If any derivative instrument used for risk management does not meet the hedging criteria, it is marked-to-market each period with the change in value included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149"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The Company elected to be taxed as a REIT under the Code commencing with its taxable year ended December 31, 1994. To qualify as a REIT, the Company must meet a number of organizational and operational requirements, including a requirement that it distribute at least 90% of its taxable income to its stockholders. It is management's current intention to adhere to these requirements and maintain the Company's REIT status. As a REIT, the Company generally will not be subject to corporate level federal income tax on taxable income it distributes currently to its stockholders. If the Company fails to qualify as a REIT in any taxable year, then it will be subject to federal income taxes at regular corporate rates and may not be able to qualify as a REIT for four subsequent taxable years. Even if the Company qualifies for taxation as a REIT, the Company may be subject to certain state and local taxes on its income and property and to federal income and excise taxes on its undistributed taxable income, if any.</w:t>
      </w:r>
    </w:p>
    <w:p>
      <w:pPr>
        <w:spacing w:after="0" w:line="102" w:lineRule="exact"/>
        <w:rPr>
          <w:sz w:val="20"/>
          <w:szCs w:val="20"/>
          <w:color w:val="auto"/>
        </w:rPr>
      </w:pPr>
    </w:p>
    <w:p>
      <w:pPr>
        <w:ind w:right="220" w:firstLine="435"/>
        <w:spacing w:after="0" w:line="253" w:lineRule="auto"/>
        <w:rPr>
          <w:sz w:val="20"/>
          <w:szCs w:val="20"/>
          <w:color w:val="auto"/>
        </w:rPr>
      </w:pPr>
      <w:r>
        <w:rPr>
          <w:rFonts w:ascii="Arial" w:cs="Arial" w:eastAsia="Arial" w:hAnsi="Arial"/>
          <w:sz w:val="18"/>
          <w:szCs w:val="18"/>
          <w:color w:val="auto"/>
        </w:rPr>
        <w:t>Each partner is taxed individually on its share of partnership income or loss, and accordingly, no provision for federal and state income tax is provided for the Operating Partnership in the consolidated financial statements. The Company's taxable REIT subsidiaries ("TRSs") are subject to corporate level income taxes, which are provided for in the Company's consolidated financial statements.</w:t>
      </w:r>
    </w:p>
    <w:p>
      <w:pPr>
        <w:spacing w:after="0" w:line="109" w:lineRule="exact"/>
        <w:rPr>
          <w:sz w:val="20"/>
          <w:szCs w:val="20"/>
          <w:color w:val="auto"/>
        </w:rPr>
      </w:pPr>
    </w:p>
    <w:p>
      <w:pPr>
        <w:ind w:firstLine="435"/>
        <w:spacing w:after="0" w:line="284" w:lineRule="auto"/>
        <w:rPr>
          <w:sz w:val="20"/>
          <w:szCs w:val="20"/>
          <w:color w:val="auto"/>
        </w:rPr>
      </w:pPr>
      <w:r>
        <w:rPr>
          <w:rFonts w:ascii="Arial" w:cs="Arial" w:eastAsia="Arial" w:hAnsi="Arial"/>
          <w:sz w:val="16"/>
          <w:szCs w:val="16"/>
          <w:color w:val="auto"/>
        </w:rPr>
        <w:t>Deferred tax assets and liabilities are recognized for the expected future tax consequences of events that have been included in the financial statements or tax returns. Under this method, deferred tax assets and liabilities are determined based on the differences between the financial reporting and tax bases of assets and liabilities using enacted tax rates in effect for the year in which the differences are expected to reverse. The deferred tax assets and liabilities of the TRSs relate primarily to differences in the book and tax bases of property and to operating loss carryforwards for federal and state income tax purposes. A valuation allowance for deferred tax assets is provided if the Company believes it is more likely than not that all or some portion of the deferred tax assets will not be realized. Realization of deferred tax assets is dependent on the Company generating sufficient taxable income in future periods.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Segment Information:</w:t>
      </w:r>
    </w:p>
    <w:p>
      <w:pPr>
        <w:spacing w:after="0" w:line="149" w:lineRule="exact"/>
        <w:rPr>
          <w:sz w:val="20"/>
          <w:szCs w:val="20"/>
          <w:color w:val="auto"/>
        </w:rPr>
      </w:pPr>
    </w:p>
    <w:p>
      <w:pPr>
        <w:ind w:right="40" w:firstLine="435"/>
        <w:spacing w:after="0" w:line="262" w:lineRule="auto"/>
        <w:rPr>
          <w:sz w:val="20"/>
          <w:szCs w:val="20"/>
          <w:color w:val="auto"/>
        </w:rPr>
      </w:pPr>
      <w:r>
        <w:rPr>
          <w:rFonts w:ascii="Arial" w:cs="Arial" w:eastAsia="Arial" w:hAnsi="Arial"/>
          <w:sz w:val="18"/>
          <w:szCs w:val="18"/>
          <w:color w:val="auto"/>
        </w:rPr>
        <w:t>The Company currently operates in one business segment, the acquisition, ownership, development, redevelopment, management and leasing of regional and community shopping centers. Additionally, the Company operates in one geographic area, the United States.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9" w:lineRule="exact"/>
        <w:rPr>
          <w:sz w:val="20"/>
          <w:szCs w:val="20"/>
          <w:color w:val="auto"/>
        </w:rPr>
      </w:pPr>
    </w:p>
    <w:p>
      <w:pPr>
        <w:ind w:right="80" w:firstLine="435"/>
        <w:spacing w:after="0" w:line="262" w:lineRule="auto"/>
        <w:rPr>
          <w:sz w:val="20"/>
          <w:szCs w:val="20"/>
          <w:color w:val="auto"/>
        </w:rPr>
      </w:pPr>
      <w:r>
        <w:rPr>
          <w:rFonts w:ascii="Arial" w:cs="Arial" w:eastAsia="Arial" w:hAnsi="Arial"/>
          <w:sz w:val="18"/>
          <w:szCs w:val="18"/>
          <w:color w:val="auto"/>
        </w:rPr>
        <w:t>The fair value hierarchy distinguishes between market participant assumptions based on market data obtained from sources independent of the reporting entity and the reporting entity's own assumptions about market participant assumptions.</w:t>
      </w:r>
    </w:p>
    <w:p>
      <w:pPr>
        <w:spacing w:after="0" w:line="115"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89" w:lineRule="exact"/>
        <w:rPr>
          <w:sz w:val="20"/>
          <w:szCs w:val="20"/>
          <w:color w:val="auto"/>
        </w:rPr>
      </w:pPr>
    </w:p>
    <w:p>
      <w:pPr>
        <w:ind w:right="120" w:firstLine="435"/>
        <w:spacing w:after="0" w:line="253"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consolidated financial statements when the fair value is different than the carrying value of those financial instruments. When the fair value reasonably approximates the carrying value, no additional disclosure is made.</w:t>
      </w:r>
    </w:p>
    <w:p>
      <w:pPr>
        <w:spacing w:after="0" w:line="123" w:lineRule="exact"/>
        <w:rPr>
          <w:sz w:val="20"/>
          <w:szCs w:val="20"/>
          <w:color w:val="auto"/>
        </w:rPr>
      </w:pPr>
    </w:p>
    <w:p>
      <w:pPr>
        <w:ind w:right="40" w:firstLine="435"/>
        <w:spacing w:after="0" w:line="253" w:lineRule="auto"/>
        <w:rPr>
          <w:sz w:val="20"/>
          <w:szCs w:val="20"/>
          <w:color w:val="auto"/>
        </w:rPr>
      </w:pPr>
      <w:r>
        <w:rPr>
          <w:rFonts w:ascii="Arial" w:cs="Arial" w:eastAsia="Arial" w:hAnsi="Arial"/>
          <w:sz w:val="18"/>
          <w:szCs w:val="18"/>
          <w:color w:val="auto"/>
        </w:rPr>
        <w:t>The fair values of interest rate agreements are determined using the market standard methodology of discounting the future expected cash receipts that would occur if variable interest rates fell below or rose above the strike rate of the interest rate agreements. The variable interest rates used in the calculation of projected receipts on the interest rate agreements are based 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expectation of future interest rates derived from observable market interest rate curves and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96" w:lineRule="exact"/>
        <w:rPr>
          <w:sz w:val="20"/>
          <w:szCs w:val="20"/>
          <w:color w:val="auto"/>
        </w:rPr>
      </w:pPr>
    </w:p>
    <w:p>
      <w:pPr>
        <w:ind w:firstLine="435"/>
        <w:spacing w:after="0" w:line="291" w:lineRule="auto"/>
        <w:rPr>
          <w:sz w:val="20"/>
          <w:szCs w:val="20"/>
          <w:color w:val="auto"/>
        </w:rPr>
      </w:pPr>
      <w:r>
        <w:rPr>
          <w:rFonts w:ascii="Arial" w:cs="Arial" w:eastAsia="Arial" w:hAnsi="Arial"/>
          <w:sz w:val="16"/>
          <w:szCs w:val="16"/>
          <w:color w:val="auto"/>
        </w:rPr>
        <w:t>The Company records its financing arrangement obligation at fair value on a recurring basis with changes in fair value being recorded as interest expense in the Company’s consolidated statements of operations. The fair value is determined based on a discounted cash flow model, with the significant unobservable inputs including the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Concentration of Risk:</w:t>
      </w:r>
    </w:p>
    <w:p>
      <w:pPr>
        <w:spacing w:after="0" w:line="136" w:lineRule="exact"/>
        <w:rPr>
          <w:sz w:val="20"/>
          <w:szCs w:val="20"/>
          <w:color w:val="auto"/>
        </w:rPr>
      </w:pPr>
    </w:p>
    <w:p>
      <w:pPr>
        <w:ind w:right="220" w:firstLine="435"/>
        <w:spacing w:after="0" w:line="325" w:lineRule="auto"/>
        <w:rPr>
          <w:sz w:val="20"/>
          <w:szCs w:val="20"/>
          <w:color w:val="auto"/>
        </w:rPr>
      </w:pPr>
      <w:r>
        <w:rPr>
          <w:rFonts w:ascii="Arial" w:cs="Arial" w:eastAsia="Arial" w:hAnsi="Arial"/>
          <w:sz w:val="16"/>
          <w:szCs w:val="16"/>
          <w:color w:val="auto"/>
        </w:rPr>
        <w:t>The Company maintains its cash accounts in a number of commercial banks. Accounts at these banks are guaranteed by the Federal Deposit Insurance Corporation ("FDIC") up to $250. At various times during the year, the Company had deposits in excess of the FDIC insurance limit.</w:t>
      </w:r>
    </w:p>
    <w:p>
      <w:pPr>
        <w:spacing w:after="0" w:line="68" w:lineRule="exact"/>
        <w:rPr>
          <w:sz w:val="20"/>
          <w:szCs w:val="20"/>
          <w:color w:val="auto"/>
        </w:rPr>
      </w:pPr>
    </w:p>
    <w:p>
      <w:pPr>
        <w:ind w:right="380" w:firstLine="435"/>
        <w:spacing w:after="0" w:line="325" w:lineRule="auto"/>
        <w:rPr>
          <w:sz w:val="20"/>
          <w:szCs w:val="20"/>
          <w:color w:val="auto"/>
        </w:rPr>
      </w:pPr>
      <w:r>
        <w:rPr>
          <w:rFonts w:ascii="Arial" w:cs="Arial" w:eastAsia="Arial" w:hAnsi="Arial"/>
          <w:sz w:val="16"/>
          <w:szCs w:val="16"/>
          <w:color w:val="auto"/>
        </w:rPr>
        <w:t>No Center or tenant generated more than 10% of total revenues during the years ended December 31, 2022, 2021 or 2020, with the exception of one Center in New York which represents approximately 12% of the Company's consolidated revenues for the year ended December 31, 2022.</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Management Estimates:</w:t>
      </w:r>
    </w:p>
    <w:p>
      <w:pPr>
        <w:spacing w:after="0" w:line="136" w:lineRule="exact"/>
        <w:rPr>
          <w:sz w:val="20"/>
          <w:szCs w:val="20"/>
          <w:color w:val="auto"/>
        </w:rPr>
      </w:pPr>
    </w:p>
    <w:p>
      <w:pPr>
        <w:ind w:right="160" w:firstLine="435"/>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 Accounting Pronouncements:</w:t>
      </w:r>
    </w:p>
    <w:p>
      <w:pPr>
        <w:spacing w:after="0" w:line="149"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In March 2020, the FASB issued guidance codified in Accounting Standards Update ("ASU") 2020-04, “Reference Rate Reform (Topic 848): Facilitation of the Effects of Reference Rate Reform on Financial Reporting,” which provides optional expedients for a limited period of time to ease the potential burden in accounting for (or recognizing the effects of) reference rate reform on financial reporting. ASU 2020-04 provides optional expedients and exceptions for applying GAAP to contracts, hedging relationships, and other transactions affected by reference rate reform if certain criteria are met. The standard is effective for the Company as of March 12, 2020 through December 31, 2022. An entity can elect to apply the amendments as of any date from the beginning of an interim period that includes or is subsequent to March 12, 2020, or prospectively from a date within an interim period that includes or is subsequent to March 12, 2020, up to that date that the financial statements are available to be issued. The Company evaluated the optional expedients and exceptions provided by ASU 2020-04 and determined that the impact will not be significant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55" w:lineRule="exact"/>
        <w:rPr>
          <w:sz w:val="20"/>
          <w:szCs w:val="20"/>
          <w:color w:val="auto"/>
        </w:rPr>
      </w:pPr>
    </w:p>
    <w:p>
      <w:pPr>
        <w:ind w:left="240" w:firstLine="395"/>
        <w:spacing w:after="0" w:line="262" w:lineRule="auto"/>
        <w:rPr>
          <w:sz w:val="20"/>
          <w:szCs w:val="20"/>
          <w:color w:val="auto"/>
        </w:rPr>
      </w:pPr>
      <w:r>
        <w:rPr>
          <w:rFonts w:ascii="Arial" w:cs="Arial" w:eastAsia="Arial" w:hAnsi="Arial"/>
          <w:sz w:val="18"/>
          <w:szCs w:val="18"/>
          <w:color w:val="auto"/>
        </w:rPr>
        <w:t>The following table reconciles the numerator and denominator used in the computation of earnings per share for the years ended December 31 (shares in thousands):</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83"/>
        </w:trPr>
        <w:tc>
          <w:tcPr>
            <w:tcW w:w="6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(65,079)</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(245,462)</w:t>
            </w: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(15,259)</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8"/>
                <w:szCs w:val="18"/>
                <w:color w:val="auto"/>
              </w:rPr>
              <w:t>Net (loss) income attributable to the Company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(230,203)</w:t>
            </w:r>
          </w:p>
        </w:tc>
        <w:tc>
          <w:tcPr>
            <w:tcW w:w="0" w:type="dxa"/>
            <w:vAlign w:val="bottom"/>
          </w:tcPr>
          <w:p>
            <w:pPr>
              <w:spacing w:after="0"/>
              <w:rPr>
                <w:sz w:val="1"/>
                <w:szCs w:val="1"/>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152"/>
        </w:trPr>
        <w:tc>
          <w:tcPr>
            <w:tcW w:w="6220" w:type="dxa"/>
            <w:vAlign w:val="bottom"/>
          </w:tcPr>
          <w:p>
            <w:pPr>
              <w:ind w:left="20"/>
              <w:spacing w:after="0" w:line="152" w:lineRule="exact"/>
              <w:rPr>
                <w:sz w:val="20"/>
                <w:szCs w:val="20"/>
                <w:color w:val="auto"/>
              </w:rPr>
            </w:pPr>
            <w:r>
              <w:rPr>
                <w:rFonts w:ascii="Arial" w:cs="Arial" w:eastAsia="Arial" w:hAnsi="Arial"/>
                <w:sz w:val="16"/>
                <w:szCs w:val="16"/>
                <w:color w:val="auto"/>
              </w:rPr>
              <w:t>Numerator for basic and diluted EPS—net (loss) income attributable to common</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(66,924)</w:t>
            </w:r>
          </w:p>
        </w:tc>
        <w:tc>
          <w:tcPr>
            <w:tcW w:w="100" w:type="dxa"/>
            <w:vAlign w:val="bottom"/>
          </w:tcPr>
          <w:p>
            <w:pPr>
              <w:spacing w:after="0"/>
              <w:rPr>
                <w:sz w:val="13"/>
                <w:szCs w:val="13"/>
                <w:color w:val="auto"/>
              </w:rPr>
            </w:pPr>
          </w:p>
        </w:tc>
        <w:tc>
          <w:tcPr>
            <w:tcW w:w="280" w:type="dxa"/>
            <w:vAlign w:val="bottom"/>
            <w:vMerge w:val="restart"/>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tcPr>
          <w:p>
            <w:pPr>
              <w:spacing w:after="0"/>
              <w:rPr>
                <w:sz w:val="13"/>
                <w:szCs w:val="13"/>
                <w:color w:val="auto"/>
              </w:rPr>
            </w:pP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(231,251)</w:t>
            </w:r>
          </w:p>
        </w:tc>
        <w:tc>
          <w:tcPr>
            <w:tcW w:w="0" w:type="dxa"/>
            <w:vAlign w:val="bottom"/>
          </w:tcPr>
          <w:p>
            <w:pPr>
              <w:spacing w:after="0"/>
              <w:rPr>
                <w:sz w:val="1"/>
                <w:szCs w:val="1"/>
                <w:color w:val="auto"/>
              </w:rPr>
            </w:pPr>
          </w:p>
        </w:tc>
      </w:tr>
      <w:tr>
        <w:trPr>
          <w:trHeight w:val="215"/>
        </w:trPr>
        <w:tc>
          <w:tcPr>
            <w:tcW w:w="6220" w:type="dxa"/>
            <w:vAlign w:val="bottom"/>
          </w:tcPr>
          <w:p>
            <w:pPr>
              <w:ind w:left="100"/>
              <w:spacing w:after="0"/>
              <w:rPr>
                <w:sz w:val="20"/>
                <w:szCs w:val="20"/>
                <w:color w:val="auto"/>
              </w:rPr>
            </w:pPr>
            <w:r>
              <w:rPr>
                <w:rFonts w:ascii="Arial" w:cs="Arial" w:eastAsia="Arial" w:hAnsi="Arial"/>
                <w:sz w:val="18"/>
                <w:szCs w:val="18"/>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220" w:type="dxa"/>
            <w:vAlign w:val="bottom"/>
          </w:tcPr>
          <w:p>
            <w:pPr>
              <w:ind w:left="20"/>
              <w:spacing w:after="0" w:line="172" w:lineRule="exact"/>
              <w:rPr>
                <w:sz w:val="20"/>
                <w:szCs w:val="20"/>
                <w:color w:val="auto"/>
              </w:rPr>
            </w:pPr>
            <w:r>
              <w:rPr>
                <w:rFonts w:ascii="Arial" w:cs="Arial" w:eastAsia="Arial" w:hAnsi="Arial"/>
                <w:sz w:val="18"/>
                <w:szCs w:val="18"/>
                <w:color w:val="auto"/>
                <w:w w:val="89"/>
              </w:rPr>
              <w:t>Denominator for basic and diluted EPS—weighted average number of common shares</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215,031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198,070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146,232</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outstanding(1)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EPS—net (loss) income attributable to common stockholders: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____________________________________</w:t>
      </w:r>
    </w:p>
    <w:p>
      <w:pPr>
        <w:spacing w:after="0" w:line="151" w:lineRule="exact"/>
        <w:rPr>
          <w:sz w:val="20"/>
          <w:szCs w:val="20"/>
          <w:color w:val="auto"/>
        </w:rPr>
      </w:pPr>
    </w:p>
    <w:p>
      <w:pPr>
        <w:ind w:left="800" w:right="100" w:hanging="399"/>
        <w:spacing w:after="0" w:line="279" w:lineRule="auto"/>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Diluted EPS excludes 99,565, 101,948 and 97,926 convertible preferred units for the years ended December 31, 2022, 2021 and 2020, respectively, as their impact was antidilutive.</w:t>
      </w:r>
    </w:p>
    <w:p>
      <w:pPr>
        <w:spacing w:after="0" w:line="99" w:lineRule="exact"/>
        <w:rPr>
          <w:rFonts w:ascii="Arial" w:cs="Arial" w:eastAsia="Arial" w:hAnsi="Arial"/>
          <w:sz w:val="16"/>
          <w:szCs w:val="16"/>
          <w:color w:val="auto"/>
        </w:rPr>
      </w:pPr>
    </w:p>
    <w:p>
      <w:pPr>
        <w:ind w:left="800" w:right="380"/>
        <w:spacing w:after="0" w:line="262" w:lineRule="auto"/>
        <w:rPr>
          <w:rFonts w:ascii="Arial" w:cs="Arial" w:eastAsia="Arial" w:hAnsi="Arial"/>
          <w:sz w:val="16"/>
          <w:szCs w:val="16"/>
          <w:color w:val="auto"/>
        </w:rPr>
      </w:pPr>
      <w:r>
        <w:rPr>
          <w:rFonts w:ascii="Arial" w:cs="Arial" w:eastAsia="Arial" w:hAnsi="Arial"/>
          <w:sz w:val="16"/>
          <w:szCs w:val="16"/>
          <w:color w:val="auto"/>
        </w:rPr>
        <w:t>Diluted EPS excludes 8,646,182, 9,920,654 and 10,688,179 Operating Partnership units ("OP Units") for the years ended December 31, 2022, 2021 and 2020, respectively,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72" w:right="39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w:t>
      </w:r>
    </w:p>
    <w:p>
      <w:pPr>
        <w:spacing w:after="0" w:line="155" w:lineRule="exact"/>
        <w:rPr>
          <w:sz w:val="20"/>
          <w:szCs w:val="20"/>
          <w:color w:val="auto"/>
        </w:rPr>
      </w:pPr>
    </w:p>
    <w:p>
      <w:pPr>
        <w:ind w:right="180" w:firstLine="435"/>
        <w:spacing w:after="0" w:line="261" w:lineRule="auto"/>
        <w:rPr>
          <w:sz w:val="20"/>
          <w:szCs w:val="20"/>
          <w:color w:val="auto"/>
        </w:rPr>
      </w:pPr>
      <w:r>
        <w:rPr>
          <w:rFonts w:ascii="Arial" w:cs="Arial" w:eastAsia="Arial" w:hAnsi="Arial"/>
          <w:sz w:val="18"/>
          <w:szCs w:val="18"/>
          <w:color w:val="auto"/>
        </w:rPr>
        <w:t>The Company owns operating properties through various unconsolidated joint ventures with third parties. The Company's direct or indirect ownership interest in each joint venture as of December 31, 2022 was as follows:</w:t>
      </w:r>
    </w:p>
    <w:tbl>
      <w:tblPr>
        <w:tblLayout w:type="fixed"/>
        <w:tblInd w:w="0" w:type="dxa"/>
        <w:tblCellMar>
          <w:top w:w="0" w:type="dxa"/>
          <w:left w:w="0" w:type="dxa"/>
          <w:bottom w:w="0" w:type="dxa"/>
          <w:right w:w="0" w:type="dxa"/>
        </w:tblCellMar>
      </w:tblPr>
      <w:tr>
        <w:trPr>
          <w:trHeight w:val="155"/>
        </w:trPr>
        <w:tc>
          <w:tcPr>
            <w:tcW w:w="76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Joint Venture</w:t>
            </w:r>
          </w:p>
        </w:tc>
        <w:tc>
          <w:tcPr>
            <w:tcW w:w="158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Ownership %(1)</w:t>
            </w:r>
          </w:p>
        </w:tc>
      </w:tr>
      <w:tr>
        <w:trPr>
          <w:trHeight w:val="33"/>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 Tysons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Biltmore Shopping Center Partners LLC</w:t>
            </w: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Corte Madera Village,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Country Club Plaza KC Partners LLC</w:t>
            </w: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HPP-MAC WSP, LLC—One Westside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Kierland Commons Investment LLC</w:t>
            </w: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Macerich HHF Broadway Plaza LLC—Broadway Plaza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Macerich HHF Centers LLC—Various Properties</w:t>
            </w:r>
          </w:p>
        </w:tc>
        <w:tc>
          <w:tcPr>
            <w:tcW w:w="1580" w:type="dxa"/>
            <w:vAlign w:val="bottom"/>
          </w:tcPr>
          <w:p>
            <w:pPr>
              <w:jc w:val="right"/>
              <w:spacing w:after="0"/>
              <w:rPr>
                <w:sz w:val="20"/>
                <w:szCs w:val="20"/>
                <w:color w:val="auto"/>
              </w:rPr>
            </w:pPr>
            <w:r>
              <w:rPr>
                <w:rFonts w:ascii="Arial" w:cs="Arial" w:eastAsia="Arial" w:hAnsi="Arial"/>
                <w:sz w:val="18"/>
                <w:szCs w:val="18"/>
                <w:color w:val="auto"/>
              </w:rPr>
              <w:t>51.0 %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MS Portfolio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New River Associates LLC—Arrowhead Towne Center</w:t>
            </w:r>
          </w:p>
        </w:tc>
        <w:tc>
          <w:tcPr>
            <w:tcW w:w="1580" w:type="dxa"/>
            <w:vAlign w:val="bottom"/>
          </w:tcPr>
          <w:p>
            <w:pPr>
              <w:jc w:val="right"/>
              <w:spacing w:after="0"/>
              <w:rPr>
                <w:sz w:val="20"/>
                <w:szCs w:val="20"/>
                <w:color w:val="auto"/>
              </w:rPr>
            </w:pPr>
            <w:r>
              <w:rPr>
                <w:rFonts w:ascii="Arial" w:cs="Arial" w:eastAsia="Arial" w:hAnsi="Arial"/>
                <w:sz w:val="18"/>
                <w:szCs w:val="18"/>
                <w:color w:val="auto"/>
              </w:rPr>
              <w:t>60.0 %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Pacific Premier Retail LLC—Various Properties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Propcor II Associates, LLC—Boulevard Shops</w:t>
            </w: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PV Land SPE,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Scottsdale Fashion Square Partnership</w:t>
            </w: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TM TRS Holding Company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Tysons Corner LLC</w:t>
            </w: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Tysons Corner Hotel I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Tysons Corner Property Holdings II LLC</w:t>
            </w:r>
          </w:p>
        </w:tc>
        <w:tc>
          <w:tcPr>
            <w:tcW w:w="158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Tysons Corner Property LLC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24"/>
        </w:trPr>
        <w:tc>
          <w:tcPr>
            <w:tcW w:w="7680" w:type="dxa"/>
            <w:vAlign w:val="bottom"/>
            <w:gridSpan w:val="3"/>
          </w:tcPr>
          <w:p>
            <w:pPr>
              <w:ind w:left="20"/>
              <w:spacing w:after="0"/>
              <w:rPr>
                <w:sz w:val="20"/>
                <w:szCs w:val="20"/>
                <w:color w:val="auto"/>
              </w:rPr>
            </w:pPr>
            <w:r>
              <w:rPr>
                <w:rFonts w:ascii="Arial" w:cs="Arial" w:eastAsia="Arial" w:hAnsi="Arial"/>
                <w:sz w:val="18"/>
                <w:szCs w:val="18"/>
                <w:color w:val="auto"/>
              </w:rPr>
              <w:t>West Acres Development, LLP</w:t>
            </w:r>
          </w:p>
        </w:tc>
        <w:tc>
          <w:tcPr>
            <w:tcW w:w="1580" w:type="dxa"/>
            <w:vAlign w:val="bottom"/>
          </w:tcPr>
          <w:p>
            <w:pPr>
              <w:jc w:val="right"/>
              <w:spacing w:after="0"/>
              <w:rPr>
                <w:sz w:val="20"/>
                <w:szCs w:val="20"/>
                <w:color w:val="auto"/>
              </w:rPr>
            </w:pPr>
            <w:r>
              <w:rPr>
                <w:rFonts w:ascii="Arial" w:cs="Arial" w:eastAsia="Arial" w:hAnsi="Arial"/>
                <w:sz w:val="18"/>
                <w:szCs w:val="18"/>
                <w:color w:val="auto"/>
              </w:rPr>
              <w:t>19.0 %</w:t>
            </w:r>
          </w:p>
        </w:tc>
      </w:tr>
      <w:tr>
        <w:trPr>
          <w:trHeight w:val="224"/>
        </w:trPr>
        <w:tc>
          <w:tcPr>
            <w:tcW w:w="7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WMAP, L.L.C.—Atlas Park, The Shops at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6" w:lineRule="exact"/>
        <w:rPr>
          <w:sz w:val="20"/>
          <w:szCs w:val="20"/>
          <w:color w:val="auto"/>
        </w:rPr>
      </w:pPr>
    </w:p>
    <w:p>
      <w:pPr>
        <w:ind w:left="1200" w:hanging="562"/>
        <w:spacing w:after="0" w:line="285" w:lineRule="auto"/>
        <w:tabs>
          <w:tab w:leader="none" w:pos="12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Company's ownership interest in this table reflects its direct or indirect legal ownership interest. Legal ownership may, at times, not equal the Company’s economic interest in the listed entities because of various provisions in certain joint venture agreements regarding distributions of cash flow based on capital account balances, allocations of profits and losses and payments of preferred returns. As a result, the Company’s actual economic interest (as distinct from its legal ownership interest) in certain of the properties could fluctuate from time to time and may not wholly align with its legal ownership interests.</w:t>
      </w:r>
    </w:p>
    <w:p>
      <w:pPr>
        <w:spacing w:after="0" w:line="2" w:lineRule="exact"/>
        <w:rPr>
          <w:rFonts w:ascii="Arial" w:cs="Arial" w:eastAsia="Arial" w:hAnsi="Arial"/>
          <w:sz w:val="14"/>
          <w:szCs w:val="14"/>
          <w:color w:val="auto"/>
        </w:rPr>
      </w:pPr>
    </w:p>
    <w:p>
      <w:pPr>
        <w:ind w:left="1200"/>
        <w:spacing w:after="0" w:line="249" w:lineRule="auto"/>
        <w:rPr>
          <w:rFonts w:ascii="Arial" w:cs="Arial" w:eastAsia="Arial" w:hAnsi="Arial"/>
          <w:sz w:val="14"/>
          <w:szCs w:val="14"/>
          <w:color w:val="auto"/>
        </w:rPr>
      </w:pPr>
      <w:r>
        <w:rPr>
          <w:rFonts w:ascii="Arial" w:cs="Arial" w:eastAsia="Arial" w:hAnsi="Arial"/>
          <w:sz w:val="16"/>
          <w:szCs w:val="16"/>
          <w:color w:val="auto"/>
        </w:rPr>
        <w:t>Substantially all of the Company’s joint venture agreements contain rights of first refusal, buy-sell provisions, exit rights, default dilution remedies and/or other break up provisions or remedies which are customary in real estate joint venture agreements and which may, positively or negatively, affect the ultimate realization of cash flow and/or capital or liquidation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72" w:right="41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The Company has made the following investments, dispositions and financings in unconsolidated joint ventures during the years ended December 31, 2022, 2021 and 2020 and events subsequent to December 31, 2022:</w:t>
      </w:r>
    </w:p>
    <w:p>
      <w:pPr>
        <w:spacing w:after="0" w:line="115" w:lineRule="exact"/>
        <w:rPr>
          <w:sz w:val="20"/>
          <w:szCs w:val="20"/>
          <w:color w:val="auto"/>
        </w:rPr>
      </w:pPr>
    </w:p>
    <w:p>
      <w:pPr>
        <w:jc w:val="both"/>
        <w:ind w:right="180" w:firstLine="435"/>
        <w:spacing w:after="0" w:line="300" w:lineRule="auto"/>
        <w:rPr>
          <w:sz w:val="20"/>
          <w:szCs w:val="20"/>
          <w:color w:val="auto"/>
        </w:rPr>
      </w:pPr>
      <w:r>
        <w:rPr>
          <w:rFonts w:ascii="Arial" w:cs="Arial" w:eastAsia="Arial" w:hAnsi="Arial"/>
          <w:sz w:val="16"/>
          <w:szCs w:val="16"/>
          <w:color w:val="auto"/>
        </w:rPr>
        <w:t>On November 17, 2020, the Company’s joint venture in Tysons VITA, the residential tower at Tysons Corner Center, placed a new $95,000 loan on the property that bears interest at an effective rate of 3.43% and matures on December 1, 2030. Initial loan funding for the Company’s joint venture was $90,000 with future advance potential of up to $5,000. The Company used its share of the initial proceeds of $45,000 for general corporate purposes.</w:t>
      </w:r>
    </w:p>
    <w:p>
      <w:pPr>
        <w:spacing w:after="0" w:line="87"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On December 10, 2020, the Company made a loan (the “Partnership Loan”) to the Company’s previously unconsolidated joint venture in Fashion District Philadelphia to fund the entirety of a $100,000 repayment to reduce the mortgage loan on Fashion District Philadelphia from $301,000 to $201,000. This mortgage loan matures on January 22, 2024, and bears interest at the Secured Overnight Financing Rate ("SOFR") plus 3.6% (See Note 10–Mortgage Notes Payable). The partnership agreement for the joint venture was amended in connection with the Partnership Loan, and pursuant to the amended agreement, the Partnership Loan plus 15% accrued interest must be repaid prior to the resumption of 50/50 cash distributions to the Company and its joint venture partner. As a result of the substantive participation rights of the Company’s joint venture partner being terminated in the amended agreement, the Company determined that the joint venture is a VIE and the Company is the primary beneficiary. Effective December 10, 2020, the Company has consolidated the results of the joint venture into the consolidated financial statements of the Company (See Note 15–Consolidated Joint Venture and Acquisitions).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 December 29, 2020, the Company’s joint venture in FlatIron Crossing closed on a one-year maturity date extension for the existing loan to January 5,</w:t>
      </w:r>
    </w:p>
    <w:p>
      <w:pPr>
        <w:spacing w:after="0" w:line="50" w:lineRule="exact"/>
        <w:rPr>
          <w:sz w:val="20"/>
          <w:szCs w:val="20"/>
          <w:color w:val="auto"/>
        </w:rPr>
      </w:pPr>
    </w:p>
    <w:p>
      <w:pPr>
        <w:ind w:right="600"/>
        <w:spacing w:after="0" w:line="248" w:lineRule="auto"/>
        <w:rPr>
          <w:sz w:val="20"/>
          <w:szCs w:val="20"/>
          <w:color w:val="auto"/>
        </w:rPr>
      </w:pPr>
      <w:r>
        <w:rPr>
          <w:rFonts w:ascii="Arial" w:cs="Arial" w:eastAsia="Arial" w:hAnsi="Arial"/>
          <w:sz w:val="18"/>
          <w:szCs w:val="18"/>
          <w:color w:val="auto"/>
        </w:rPr>
        <w:t>2022. The interest rate increased from 3.85% to 4.10%, and the Company’s joint venture repaid $15,000, $7,650 at the Company's pro rata share, of the outstanding loan balance at closing.</w:t>
      </w:r>
    </w:p>
    <w:p>
      <w:pPr>
        <w:spacing w:after="0" w:line="127" w:lineRule="exact"/>
        <w:rPr>
          <w:sz w:val="20"/>
          <w:szCs w:val="20"/>
          <w:color w:val="auto"/>
        </w:rPr>
      </w:pPr>
    </w:p>
    <w:p>
      <w:pPr>
        <w:ind w:right="100" w:firstLine="435"/>
        <w:spacing w:after="0" w:line="247" w:lineRule="auto"/>
        <w:rPr>
          <w:sz w:val="20"/>
          <w:szCs w:val="20"/>
          <w:color w:val="auto"/>
        </w:rPr>
      </w:pPr>
      <w:r>
        <w:rPr>
          <w:rFonts w:ascii="Arial" w:cs="Arial" w:eastAsia="Arial" w:hAnsi="Arial"/>
          <w:sz w:val="18"/>
          <w:szCs w:val="18"/>
          <w:color w:val="auto"/>
        </w:rPr>
        <w:t>On December 31, 2020, the Company and its joint venture partner in MS Portfolio LLC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the joint venture partner. The joint venture partners agreed that the distributed properties were of equal value. The Company now owns 100% of the former Sears parcel at South Plains Mall. Effective December 31, 2020, the Company consolidates its 100% interest in the Sears parcel at South Plains Mall in its consolidated financial statements (See Note 15 – Consolidated Joint Venture and Acquisitions).</w:t>
      </w:r>
    </w:p>
    <w:p>
      <w:pPr>
        <w:spacing w:after="0" w:line="131" w:lineRule="exact"/>
        <w:rPr>
          <w:sz w:val="20"/>
          <w:szCs w:val="20"/>
          <w:color w:val="auto"/>
        </w:rPr>
      </w:pPr>
    </w:p>
    <w:p>
      <w:pPr>
        <w:ind w:right="520" w:firstLine="435"/>
        <w:spacing w:after="0" w:line="325" w:lineRule="auto"/>
        <w:rPr>
          <w:sz w:val="20"/>
          <w:szCs w:val="20"/>
          <w:color w:val="auto"/>
        </w:rPr>
      </w:pPr>
      <w:r>
        <w:rPr>
          <w:rFonts w:ascii="Arial" w:cs="Arial" w:eastAsia="Arial" w:hAnsi="Arial"/>
          <w:sz w:val="16"/>
          <w:szCs w:val="16"/>
          <w:color w:val="auto"/>
        </w:rPr>
        <w:t>On March 29, 2021, concurrent with the sale of Paradise Valley Mall (see Note 16 – Dispositions), the Company elected to reinvest into the newly formed joint venture at a 5% ownership interest for $3,819 in cash that is accounted for under the equity method of accounting.</w:t>
      </w:r>
    </w:p>
    <w:p>
      <w:pPr>
        <w:spacing w:after="0" w:line="55" w:lineRule="exact"/>
        <w:rPr>
          <w:sz w:val="20"/>
          <w:szCs w:val="20"/>
          <w:color w:val="auto"/>
        </w:rPr>
      </w:pPr>
    </w:p>
    <w:p>
      <w:pPr>
        <w:jc w:val="both"/>
        <w:ind w:right="260" w:firstLine="435"/>
        <w:spacing w:after="0" w:line="253" w:lineRule="auto"/>
        <w:rPr>
          <w:sz w:val="20"/>
          <w:szCs w:val="20"/>
          <w:color w:val="auto"/>
        </w:rPr>
      </w:pPr>
      <w:r>
        <w:rPr>
          <w:rFonts w:ascii="Arial" w:cs="Arial" w:eastAsia="Arial" w:hAnsi="Arial"/>
          <w:sz w:val="18"/>
          <w:szCs w:val="18"/>
          <w:color w:val="auto"/>
        </w:rPr>
        <w:t>On October 26, 2021, the Company's joint venture in The Shops at Atlas Park replaced the existing loan on the property with a new $65,000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123" w:lineRule="exact"/>
        <w:rPr>
          <w:sz w:val="20"/>
          <w:szCs w:val="20"/>
          <w:color w:val="auto"/>
        </w:rPr>
      </w:pPr>
    </w:p>
    <w:p>
      <w:pPr>
        <w:jc w:val="both"/>
        <w:ind w:right="520" w:firstLine="435"/>
        <w:spacing w:after="0" w:line="300" w:lineRule="auto"/>
        <w:rPr>
          <w:sz w:val="20"/>
          <w:szCs w:val="20"/>
          <w:color w:val="auto"/>
        </w:rPr>
      </w:pPr>
      <w:r>
        <w:rPr>
          <w:rFonts w:ascii="Arial" w:cs="Arial" w:eastAsia="Arial" w:hAnsi="Arial"/>
          <w:sz w:val="16"/>
          <w:szCs w:val="16"/>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$28,276 in connection with the assignment.</w:t>
      </w:r>
    </w:p>
    <w:p>
      <w:pPr>
        <w:spacing w:after="0" w:line="87" w:lineRule="exact"/>
        <w:rPr>
          <w:sz w:val="20"/>
          <w:szCs w:val="20"/>
          <w:color w:val="auto"/>
        </w:rPr>
      </w:pPr>
    </w:p>
    <w:p>
      <w:pPr>
        <w:ind w:right="180" w:firstLine="435"/>
        <w:spacing w:after="0" w:line="262" w:lineRule="auto"/>
        <w:rPr>
          <w:sz w:val="20"/>
          <w:szCs w:val="20"/>
          <w:color w:val="auto"/>
        </w:rPr>
      </w:pPr>
      <w:r>
        <w:rPr>
          <w:rFonts w:ascii="Arial" w:cs="Arial" w:eastAsia="Arial" w:hAnsi="Arial"/>
          <w:sz w:val="18"/>
          <w:szCs w:val="18"/>
          <w:color w:val="auto"/>
        </w:rPr>
        <w:t>On December 31, 2021, the Company sold its joint venture interest in the undeveloped property at 443 North Wabash Avenue in Chicago, Illinois to its partner in the joint venture for $21,000. The Company recognized an immaterial gain in connection with the sale.</w:t>
      </w:r>
    </w:p>
    <w:p>
      <w:pPr>
        <w:spacing w:after="0" w:line="101" w:lineRule="exact"/>
        <w:rPr>
          <w:sz w:val="20"/>
          <w:szCs w:val="20"/>
          <w:color w:val="auto"/>
        </w:rPr>
      </w:pPr>
    </w:p>
    <w:p>
      <w:pPr>
        <w:jc w:val="both"/>
        <w:ind w:right="280" w:firstLine="435"/>
        <w:spacing w:after="0" w:line="253" w:lineRule="auto"/>
        <w:rPr>
          <w:sz w:val="20"/>
          <w:szCs w:val="20"/>
          <w:color w:val="auto"/>
        </w:rPr>
      </w:pPr>
      <w:r>
        <w:rPr>
          <w:rFonts w:ascii="Arial" w:cs="Arial" w:eastAsia="Arial" w:hAnsi="Arial"/>
          <w:sz w:val="18"/>
          <w:szCs w:val="18"/>
          <w:color w:val="auto"/>
        </w:rPr>
        <w:t>On February 2, 2022, the Company’s joint venture in FlatIron Crossing replaced the existing $197,011 loan on the property with a new $175,000 loan that bears interest at SOFR plus 3.70% and matures on February 9, 2025, including extension options. The loan is covered by an interest rate cap agreement that effectively prevents SOFR from exceeding 4.0% through February 15,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80" w:firstLine="435"/>
        <w:spacing w:after="0" w:line="310" w:lineRule="auto"/>
        <w:rPr>
          <w:sz w:val="20"/>
          <w:szCs w:val="20"/>
          <w:color w:val="auto"/>
        </w:rPr>
      </w:pPr>
      <w:r>
        <w:rPr>
          <w:rFonts w:ascii="Arial" w:cs="Arial" w:eastAsia="Arial" w:hAnsi="Arial"/>
          <w:sz w:val="15"/>
          <w:szCs w:val="15"/>
          <w:color w:val="auto"/>
        </w:rPr>
        <w:t>On August 2, 2022, the Company acquired the remaining 50% ownership interest in two former Sears parcels (Deptford Mall and Vintage Faire Mall) in MS Portfolio LLC, the Company's joint venture with Seritage Growth Properties, for a total purchase price of approximately $24,544. As a result of this transaction and the shortening of holding periods on certain other assets in the joint venture, an impairment loss was recorded for the twelve months ending December 31, 2022. The Company's share of the impairment loss was $27,054. Effective as of August 2, 2022, the Company now owns and has consolidated its 100% interest in these two former Sears parcels in its consolidated financial statements (See Note 15</w:t>
      </w:r>
      <w:r>
        <w:rPr>
          <w:rFonts w:ascii="Arial" w:cs="Arial" w:eastAsia="Arial" w:hAnsi="Arial"/>
          <w:sz w:val="12"/>
          <w:szCs w:val="12"/>
          <w:color w:val="auto"/>
        </w:rPr>
        <w:t>—</w:t>
      </w:r>
      <w:r>
        <w:rPr>
          <w:rFonts w:ascii="Arial" w:cs="Arial" w:eastAsia="Arial" w:hAnsi="Arial"/>
          <w:sz w:val="15"/>
          <w:szCs w:val="15"/>
          <w:color w:val="auto"/>
        </w:rPr>
        <w:t>Consolidated Joint Venture and Acquisitions).</w:t>
      </w:r>
    </w:p>
    <w:p>
      <w:pPr>
        <w:spacing w:after="0" w:line="85" w:lineRule="exact"/>
        <w:rPr>
          <w:sz w:val="20"/>
          <w:szCs w:val="20"/>
          <w:color w:val="auto"/>
        </w:rPr>
      </w:pPr>
    </w:p>
    <w:p>
      <w:pPr>
        <w:ind w:right="120" w:firstLine="435"/>
        <w:spacing w:after="0" w:line="328" w:lineRule="auto"/>
        <w:rPr>
          <w:sz w:val="20"/>
          <w:szCs w:val="20"/>
          <w:color w:val="auto"/>
        </w:rPr>
      </w:pPr>
      <w:r>
        <w:rPr>
          <w:rFonts w:ascii="Arial" w:cs="Arial" w:eastAsia="Arial" w:hAnsi="Arial"/>
          <w:sz w:val="15"/>
          <w:szCs w:val="15"/>
          <w:color w:val="auto"/>
        </w:rPr>
        <w:t>On November 14, 2022, the Company's joint venture in Washington Square closed on a four-year maturity date extension for the existing loan to November 1, 2026, including extension options. The Company's joint venture repaid $15,000 ($9,000 at the Company's pro rata share) of the outstanding loan balance. The loan bears interest at SOFR plus 4.0% and is covered by an interest rate cap agreement that effectively prevents SOFR from exceeding 4.0%.</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and Condensed Balance Sheets of Unconsolidated Joint Ventures as of December 31:</w:t>
      </w:r>
    </w:p>
    <w:p>
      <w:pPr>
        <w:spacing w:after="0" w:line="39" w:lineRule="exact"/>
        <w:rPr>
          <w:sz w:val="20"/>
          <w:szCs w:val="20"/>
          <w:color w:val="auto"/>
        </w:rPr>
      </w:pPr>
    </w:p>
    <w:tbl>
      <w:tblPr>
        <w:tblLayout w:type="fixed"/>
        <w:tblInd w:w="1020" w:type="dxa"/>
        <w:tblCellMar>
          <w:top w:w="0" w:type="dxa"/>
          <w:left w:w="0" w:type="dxa"/>
          <w:bottom w:w="0" w:type="dxa"/>
          <w:right w:w="0" w:type="dxa"/>
        </w:tblCellMar>
      </w:tblPr>
      <w:tr>
        <w:trPr>
          <w:trHeight w:val="183"/>
        </w:trPr>
        <w:tc>
          <w:tcPr>
            <w:tcW w:w="6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Arial" w:cs="Arial" w:eastAsia="Arial" w:hAnsi="Arial"/>
                <w:sz w:val="18"/>
                <w:szCs w:val="18"/>
                <w:color w:val="auto"/>
              </w:rPr>
              <w:t>Property, net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8,156,632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8,289,412</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750,629</w:t>
            </w:r>
          </w:p>
        </w:tc>
      </w:tr>
      <w:tr>
        <w:trPr>
          <w:trHeight w:val="217"/>
        </w:trPr>
        <w:tc>
          <w:tcPr>
            <w:tcW w:w="622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8,820,668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9,040,041</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partners' capital(1):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Arial" w:cs="Arial" w:eastAsia="Arial" w:hAnsi="Arial"/>
                <w:sz w:val="18"/>
                <w:szCs w:val="18"/>
                <w:color w:val="auto"/>
              </w:rPr>
              <w:t>Mortgage and other notes payable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5,491,250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5,686,500</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325,115</w:t>
            </w:r>
          </w:p>
        </w:tc>
      </w:tr>
      <w:tr>
        <w:trPr>
          <w:trHeight w:val="224"/>
        </w:trPr>
        <w:tc>
          <w:tcPr>
            <w:tcW w:w="622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1,528,348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1,638,112</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Outside partners' capital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1,390,314</w:t>
            </w:r>
          </w:p>
        </w:tc>
      </w:tr>
      <w:tr>
        <w:trPr>
          <w:trHeight w:val="217"/>
        </w:trPr>
        <w:tc>
          <w:tcPr>
            <w:tcW w:w="6220" w:type="dxa"/>
            <w:vAlign w:val="bottom"/>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8,820,668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9,040,041</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unconsolidated joint ventures: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Arial" w:cs="Arial" w:eastAsia="Arial" w:hAnsi="Arial"/>
                <w:sz w:val="18"/>
                <w:szCs w:val="18"/>
                <w:color w:val="auto"/>
              </w:rPr>
              <w:t>Company's capital</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1,528,348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1,638,112</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Basis adjustment(2)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(448,149)</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1,103,195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1,189,963</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6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4"/>
        </w:trPr>
        <w:tc>
          <w:tcPr>
            <w:tcW w:w="6220" w:type="dxa"/>
            <w:vAlign w:val="bottom"/>
          </w:tcPr>
          <w:p>
            <w:pPr>
              <w:ind w:left="120"/>
              <w:spacing w:after="0"/>
              <w:rPr>
                <w:sz w:val="20"/>
                <w:szCs w:val="20"/>
                <w:color w:val="auto"/>
              </w:rPr>
            </w:pPr>
            <w:r>
              <w:rPr>
                <w:rFonts w:ascii="Arial" w:cs="Arial" w:eastAsia="Arial" w:hAnsi="Arial"/>
                <w:sz w:val="18"/>
                <w:szCs w:val="18"/>
                <w:color w:val="auto"/>
              </w:rPr>
              <w:t>Assets—Investments in unconsolidated joint ventures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1,224,288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1,317,571</w:t>
            </w:r>
          </w:p>
        </w:tc>
      </w:tr>
      <w:tr>
        <w:trPr>
          <w:trHeight w:val="224"/>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Liabilities—Distributions in excess of investments in unconsolidated joint ventures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(121,093)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(127,608)</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1,103,195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1,189,963</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6" w:lineRule="exact"/>
        <w:rPr>
          <w:sz w:val="20"/>
          <w:szCs w:val="20"/>
          <w:color w:val="auto"/>
        </w:rPr>
      </w:pPr>
    </w:p>
    <w:p>
      <w:pPr>
        <w:ind w:left="560" w:right="180" w:hanging="555"/>
        <w:spacing w:after="0" w:line="262" w:lineRule="auto"/>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These amounts include the assets of $2,690,651 and $2,789,568 of Pacific Premier Retail LLC (the "PPR Portfolio") as of December 31, 2022 and 2021, respectively, and liabilities of $1,611,661 and $1,661,110 of the PPR Portfolio as of December 31, 2022 and 2021, respectively.</w:t>
      </w:r>
    </w:p>
    <w:p>
      <w:pPr>
        <w:spacing w:after="0" w:line="217" w:lineRule="exact"/>
        <w:rPr>
          <w:rFonts w:ascii="Arial" w:cs="Arial" w:eastAsia="Arial" w:hAnsi="Arial"/>
          <w:sz w:val="16"/>
          <w:szCs w:val="16"/>
          <w:color w:val="auto"/>
        </w:rPr>
      </w:pPr>
    </w:p>
    <w:p>
      <w:pPr>
        <w:ind w:left="560" w:hanging="555"/>
        <w:spacing w:after="0" w:line="260" w:lineRule="auto"/>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$9,371, $10,276 and $13,168 for the years ended December 31, 2022, 2021 and 2020, respectively.</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right"/>
        <w:ind w:right="17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3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1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PPR Portfolio</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89"/>
              </w:rPr>
              <w:t>Joint</w:t>
            </w:r>
          </w:p>
        </w:tc>
        <w:tc>
          <w:tcPr>
            <w:tcW w:w="220" w:type="dxa"/>
            <w:vAlign w:val="bottom"/>
          </w:tcPr>
          <w:p>
            <w:pPr>
              <w:spacing w:after="0"/>
              <w:rPr>
                <w:sz w:val="11"/>
                <w:szCs w:val="11"/>
                <w:color w:val="auto"/>
              </w:rPr>
            </w:pPr>
          </w:p>
        </w:tc>
        <w:tc>
          <w:tcPr>
            <w:tcW w:w="80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Ventures</w:t>
            </w: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Year Ended December 31, 2022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Leasing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668,523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852,143</w:t>
            </w: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19,967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20,706</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revenues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688,490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872,849</w:t>
            </w:r>
          </w:p>
        </w:tc>
        <w:tc>
          <w:tcPr>
            <w:tcW w:w="0" w:type="dxa"/>
            <w:vAlign w:val="bottom"/>
          </w:tcPr>
          <w:p>
            <w:pPr>
              <w:spacing w:after="0"/>
              <w:rPr>
                <w:sz w:val="1"/>
                <w:szCs w:val="1"/>
                <w:color w:val="auto"/>
              </w:rPr>
            </w:pPr>
          </w:p>
        </w:tc>
      </w:tr>
      <w:tr>
        <w:trPr>
          <w:trHeight w:val="167"/>
        </w:trPr>
        <w:tc>
          <w:tcPr>
            <w:tcW w:w="4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274,117</w:t>
            </w:r>
          </w:p>
        </w:tc>
        <w:tc>
          <w:tcPr>
            <w:tcW w:w="0" w:type="dxa"/>
            <w:vAlign w:val="bottom"/>
          </w:tcPr>
          <w:p>
            <w:pPr>
              <w:spacing w:after="0"/>
              <w:rPr>
                <w:sz w:val="1"/>
                <w:szCs w:val="1"/>
                <w:color w:val="auto"/>
              </w:rPr>
            </w:pPr>
          </w:p>
        </w:tc>
      </w:tr>
      <w:tr>
        <w:trPr>
          <w:trHeight w:val="188"/>
        </w:trPr>
        <w:tc>
          <w:tcPr>
            <w:tcW w:w="4320" w:type="dxa"/>
            <w:vAlign w:val="bottom"/>
          </w:tcPr>
          <w:p>
            <w:pPr>
              <w:ind w:left="140"/>
              <w:spacing w:after="0"/>
              <w:rPr>
                <w:sz w:val="20"/>
                <w:szCs w:val="20"/>
                <w:color w:val="auto"/>
              </w:rPr>
            </w:pPr>
            <w:r>
              <w:rPr>
                <w:rFonts w:ascii="Arial" w:cs="Arial" w:eastAsia="Arial" w:hAnsi="Arial"/>
                <w:sz w:val="14"/>
                <w:szCs w:val="14"/>
                <w:color w:val="auto"/>
              </w:rPr>
              <w:t>Leasing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6,564</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148,443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214,400</w:t>
            </w:r>
          </w:p>
        </w:tc>
        <w:tc>
          <w:tcPr>
            <w:tcW w:w="0" w:type="dxa"/>
            <w:vAlign w:val="bottom"/>
          </w:tcPr>
          <w:p>
            <w:pPr>
              <w:spacing w:after="0"/>
              <w:rPr>
                <w:sz w:val="1"/>
                <w:szCs w:val="1"/>
                <w:color w:val="auto"/>
              </w:rPr>
            </w:pPr>
          </w:p>
        </w:tc>
      </w:tr>
      <w:tr>
        <w:trPr>
          <w:trHeight w:val="191"/>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258,008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353,998</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205,535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643,544</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849,079</w:t>
            </w:r>
          </w:p>
        </w:tc>
        <w:tc>
          <w:tcPr>
            <w:tcW w:w="0" w:type="dxa"/>
            <w:vAlign w:val="bottom"/>
          </w:tcPr>
          <w:p>
            <w:pPr>
              <w:spacing w:after="0"/>
              <w:rPr>
                <w:sz w:val="1"/>
                <w:szCs w:val="1"/>
                <w:color w:val="auto"/>
              </w:rPr>
            </w:pPr>
          </w:p>
        </w:tc>
      </w:tr>
      <w:tr>
        <w:trPr>
          <w:trHeight w:val="184"/>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on sale of assets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(28,968)</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(28,968)</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tcPr>
          <w:p>
            <w:pPr>
              <w:ind w:left="20"/>
              <w:spacing w:after="0"/>
              <w:rPr>
                <w:sz w:val="20"/>
                <w:szCs w:val="20"/>
                <w:color w:val="auto"/>
              </w:rPr>
            </w:pPr>
            <w:r>
              <w:rPr>
                <w:rFonts w:ascii="Arial" w:cs="Arial" w:eastAsia="Arial" w:hAnsi="Arial"/>
                <w:sz w:val="14"/>
                <w:szCs w:val="14"/>
                <w:color w:val="auto"/>
              </w:rPr>
              <w:t>Company's equity in net loss</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20"/>
              <w:spacing w:after="0"/>
              <w:rPr>
                <w:sz w:val="20"/>
                <w:szCs w:val="20"/>
                <w:color w:val="auto"/>
              </w:rPr>
            </w:pPr>
            <w:r>
              <w:rPr>
                <w:rFonts w:ascii="Arial" w:cs="Arial" w:eastAsia="Arial" w:hAnsi="Arial"/>
                <w:sz w:val="14"/>
                <w:szCs w:val="14"/>
                <w:i w:val="1"/>
                <w:iCs w:val="1"/>
                <w:color w:val="auto"/>
              </w:rPr>
              <w:t>Year Ended December 31,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140"/>
              <w:spacing w:after="0"/>
              <w:rPr>
                <w:sz w:val="20"/>
                <w:szCs w:val="20"/>
                <w:color w:val="auto"/>
              </w:rPr>
            </w:pPr>
            <w:r>
              <w:rPr>
                <w:rFonts w:ascii="Arial" w:cs="Arial" w:eastAsia="Arial" w:hAnsi="Arial"/>
                <w:sz w:val="14"/>
                <w:szCs w:val="14"/>
                <w:color w:val="auto"/>
              </w:rPr>
              <w:t>Leasing revenue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168,842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631,139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799,981</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57,083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57,145</w:t>
            </w:r>
          </w:p>
        </w:tc>
        <w:tc>
          <w:tcPr>
            <w:tcW w:w="0" w:type="dxa"/>
            <w:vAlign w:val="bottom"/>
          </w:tcPr>
          <w:p>
            <w:pPr>
              <w:spacing w:after="0"/>
              <w:rPr>
                <w:sz w:val="1"/>
                <w:szCs w:val="1"/>
                <w:color w:val="auto"/>
              </w:rPr>
            </w:pPr>
          </w:p>
        </w:tc>
      </w:tr>
      <w:tr>
        <w:trPr>
          <w:trHeight w:val="184"/>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168,904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688,222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857,126</w:t>
            </w:r>
          </w:p>
        </w:tc>
        <w:tc>
          <w:tcPr>
            <w:tcW w:w="0" w:type="dxa"/>
            <w:vAlign w:val="bottom"/>
          </w:tcPr>
          <w:p>
            <w:pPr>
              <w:spacing w:after="0"/>
              <w:rPr>
                <w:sz w:val="1"/>
                <w:szCs w:val="1"/>
                <w:color w:val="auto"/>
              </w:rPr>
            </w:pPr>
          </w:p>
        </w:tc>
      </w:tr>
      <w:tr>
        <w:trPr>
          <w:trHeight w:val="17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40,298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246,692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286,990</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Leasing expense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5,678</w:t>
            </w:r>
          </w:p>
        </w:tc>
        <w:tc>
          <w:tcPr>
            <w:tcW w:w="0" w:type="dxa"/>
            <w:vAlign w:val="bottom"/>
          </w:tcPr>
          <w:p>
            <w:pPr>
              <w:spacing w:after="0"/>
              <w:rPr>
                <w:sz w:val="1"/>
                <w:szCs w:val="1"/>
                <w:color w:val="auto"/>
              </w:rPr>
            </w:pPr>
          </w:p>
        </w:tc>
      </w:tr>
      <w:tr>
        <w:trPr>
          <w:trHeight w:val="188"/>
        </w:trPr>
        <w:tc>
          <w:tcPr>
            <w:tcW w:w="432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63,072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147,545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210,617</w:t>
            </w:r>
          </w:p>
        </w:tc>
        <w:tc>
          <w:tcPr>
            <w:tcW w:w="0" w:type="dxa"/>
            <w:vAlign w:val="bottom"/>
          </w:tcPr>
          <w:p>
            <w:pPr>
              <w:spacing w:after="0"/>
              <w:rPr>
                <w:sz w:val="1"/>
                <w:szCs w:val="1"/>
                <w:color w:val="auto"/>
              </w:rPr>
            </w:pPr>
          </w:p>
        </w:tc>
      </w:tr>
      <w:tr>
        <w:trPr>
          <w:trHeight w:val="207"/>
        </w:trPr>
        <w:tc>
          <w:tcPr>
            <w:tcW w:w="4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97,494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253,561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351,055</w:t>
            </w:r>
          </w:p>
        </w:tc>
        <w:tc>
          <w:tcPr>
            <w:tcW w:w="0" w:type="dxa"/>
            <w:vAlign w:val="bottom"/>
          </w:tcPr>
          <w:p>
            <w:pPr>
              <w:spacing w:after="0"/>
              <w:rPr>
                <w:sz w:val="1"/>
                <w:szCs w:val="1"/>
                <w:color w:val="auto"/>
              </w:rPr>
            </w:pPr>
          </w:p>
        </w:tc>
      </w:tr>
      <w:tr>
        <w:trPr>
          <w:trHeight w:val="184"/>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202,150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652,190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854,340</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sale of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(9,178)</w:t>
            </w:r>
          </w:p>
        </w:tc>
        <w:tc>
          <w:tcPr>
            <w:tcW w:w="0" w:type="dxa"/>
            <w:vAlign w:val="bottom"/>
          </w:tcPr>
          <w:p>
            <w:pPr>
              <w:spacing w:after="0"/>
              <w:rPr>
                <w:sz w:val="1"/>
                <w:szCs w:val="1"/>
                <w:color w:val="auto"/>
              </w:rPr>
            </w:pPr>
          </w:p>
        </w:tc>
      </w:tr>
      <w:tr>
        <w:trPr>
          <w:trHeight w:val="191"/>
        </w:trPr>
        <w:tc>
          <w:tcPr>
            <w:tcW w:w="432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(33,246)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26,854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(6,392)</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Company's equity in net (loss) income</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72"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PPR Portfolio</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9"/>
              </w:rPr>
              <w:t>Joint</w:t>
            </w:r>
          </w:p>
        </w:tc>
        <w:tc>
          <w:tcPr>
            <w:tcW w:w="240" w:type="dxa"/>
            <w:vAlign w:val="bottom"/>
          </w:tcPr>
          <w:p>
            <w:pPr>
              <w:spacing w:after="0"/>
              <w:rPr>
                <w:sz w:val="12"/>
                <w:szCs w:val="12"/>
                <w:color w:val="auto"/>
              </w:rPr>
            </w:pPr>
          </w:p>
        </w:tc>
        <w:tc>
          <w:tcPr>
            <w:tcW w:w="8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Ventures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Year Ended December 31, 2020</w:t>
            </w: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Leasing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171,505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633,357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804,862</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19,053</w:t>
            </w: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172,119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651,796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823,915</w:t>
            </w:r>
          </w:p>
        </w:tc>
        <w:tc>
          <w:tcPr>
            <w:tcW w:w="0" w:type="dxa"/>
            <w:vAlign w:val="bottom"/>
          </w:tcPr>
          <w:p>
            <w:pPr>
              <w:spacing w:after="0"/>
              <w:rPr>
                <w:sz w:val="1"/>
                <w:szCs w:val="1"/>
                <w:color w:val="auto"/>
              </w:rPr>
            </w:pPr>
          </w:p>
        </w:tc>
      </w:tr>
      <w:tr>
        <w:trPr>
          <w:trHeight w:val="168"/>
        </w:trPr>
        <w:tc>
          <w:tcPr>
            <w:tcW w:w="40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277,157</w:t>
            </w:r>
          </w:p>
        </w:tc>
        <w:tc>
          <w:tcPr>
            <w:tcW w:w="0" w:type="dxa"/>
            <w:vAlign w:val="bottom"/>
          </w:tcPr>
          <w:p>
            <w:pPr>
              <w:spacing w:after="0"/>
              <w:rPr>
                <w:sz w:val="1"/>
                <w:szCs w:val="1"/>
                <w:color w:val="auto"/>
              </w:rPr>
            </w:pPr>
          </w:p>
        </w:tc>
      </w:tr>
      <w:tr>
        <w:trPr>
          <w:trHeight w:val="188"/>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Leasing expense</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5,498</w:t>
            </w:r>
          </w:p>
        </w:tc>
        <w:tc>
          <w:tcPr>
            <w:tcW w:w="0" w:type="dxa"/>
            <w:vAlign w:val="bottom"/>
          </w:tcPr>
          <w:p>
            <w:pPr>
              <w:spacing w:after="0"/>
              <w:rPr>
                <w:sz w:val="1"/>
                <w:szCs w:val="1"/>
                <w:color w:val="auto"/>
              </w:rPr>
            </w:pPr>
          </w:p>
        </w:tc>
      </w:tr>
      <w:tr>
        <w:trPr>
          <w:trHeight w:val="207"/>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151,857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216,317</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102,788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285,948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388,736</w:t>
            </w:r>
          </w:p>
        </w:tc>
        <w:tc>
          <w:tcPr>
            <w:tcW w:w="0" w:type="dxa"/>
            <w:vAlign w:val="bottom"/>
          </w:tcPr>
          <w:p>
            <w:pPr>
              <w:spacing w:after="0"/>
              <w:rPr>
                <w:sz w:val="1"/>
                <w:szCs w:val="1"/>
                <w:color w:val="auto"/>
              </w:rPr>
            </w:pPr>
          </w:p>
        </w:tc>
      </w:tr>
      <w:tr>
        <w:trPr>
          <w:trHeight w:val="198"/>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205,591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682,117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887,708</w:t>
            </w:r>
          </w:p>
        </w:tc>
        <w:tc>
          <w:tcPr>
            <w:tcW w:w="0" w:type="dxa"/>
            <w:vAlign w:val="bottom"/>
          </w:tcPr>
          <w:p>
            <w:pPr>
              <w:spacing w:after="0"/>
              <w:rPr>
                <w:sz w:val="1"/>
                <w:szCs w:val="1"/>
                <w:color w:val="auto"/>
              </w:rPr>
            </w:pPr>
          </w:p>
        </w:tc>
      </w:tr>
      <w:tr>
        <w:trPr>
          <w:trHeight w:val="184"/>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(Loss) gain on sale of assets</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(33,592)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(30,164)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(63,756)</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40" w:type="dxa"/>
            <w:vAlign w:val="bottom"/>
            <w:gridSpan w:val="2"/>
          </w:tcPr>
          <w:p>
            <w:pPr>
              <w:ind w:left="20"/>
              <w:spacing w:after="0"/>
              <w:rPr>
                <w:sz w:val="20"/>
                <w:szCs w:val="20"/>
                <w:color w:val="auto"/>
              </w:rPr>
            </w:pPr>
            <w:r>
              <w:rPr>
                <w:rFonts w:ascii="Arial" w:cs="Arial" w:eastAsia="Arial" w:hAnsi="Arial"/>
                <w:sz w:val="14"/>
                <w:szCs w:val="14"/>
                <w:color w:val="auto"/>
              </w:rPr>
              <w:t>Company's equity in 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(10,371)</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(16,667)</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(27,038)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55" w:lineRule="exact"/>
        <w:rPr>
          <w:sz w:val="20"/>
          <w:szCs w:val="20"/>
          <w:color w:val="auto"/>
        </w:rPr>
      </w:pPr>
    </w:p>
    <w:p>
      <w:pPr>
        <w:ind w:right="20" w:firstLine="435"/>
        <w:spacing w:after="0" w:line="316" w:lineRule="auto"/>
        <w:rPr>
          <w:sz w:val="20"/>
          <w:szCs w:val="20"/>
          <w:color w:val="auto"/>
        </w:rPr>
      </w:pPr>
      <w:r>
        <w:rPr>
          <w:rFonts w:ascii="Arial" w:cs="Arial" w:eastAsia="Arial" w:hAnsi="Arial"/>
          <w:sz w:val="15"/>
          <w:szCs w:val="15"/>
          <w:color w:val="auto"/>
        </w:rPr>
        <w:t>The Company uses interest rate cap agreements to manage the interest rate risk on certain floating rate debt. The Company recorded other comprehensive income related to the marking-to-market of derivative instruments of $656, $8,184 and $843 during the years ended December 31, 2022, 2021 and 2020, respectively. $632 of the $656 in other comprehensive income at December 31, 2022 is the Company's pro rata share of hedged derivative instruments from certain unconsolidated joint ventures. The fair value of the Company's hedged derivatives was $0 and $6 at December 31, 2022 and 2021, respectively.</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derivatives were outstanding at December 31, 2022 and 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3"/>
          </w:tcPr>
          <w:p>
            <w:pPr>
              <w:jc w:val="right"/>
              <w:ind w:right="8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0"/>
                <w:szCs w:val="10"/>
                <w:color w:val="auto"/>
              </w:rPr>
            </w:pPr>
          </w:p>
        </w:tc>
        <w:tc>
          <w:tcPr>
            <w:tcW w:w="13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Designation</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9"/>
              </w:rPr>
              <w:t>Notional Amount</w:t>
            </w:r>
          </w:p>
        </w:tc>
        <w:tc>
          <w:tcPr>
            <w:tcW w:w="100" w:type="dxa"/>
            <w:vAlign w:val="bottom"/>
            <w:vMerge w:val="restart"/>
          </w:tcPr>
          <w:p>
            <w:pPr>
              <w:spacing w:after="0"/>
              <w:rPr>
                <w:sz w:val="10"/>
                <w:szCs w:val="10"/>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Product</w:t>
            </w:r>
          </w:p>
        </w:tc>
        <w:tc>
          <w:tcPr>
            <w:tcW w:w="120" w:type="dxa"/>
            <w:vAlign w:val="bottom"/>
            <w:vMerge w:val="restart"/>
          </w:tcPr>
          <w:p>
            <w:pPr>
              <w:spacing w:after="0"/>
              <w:rPr>
                <w:sz w:val="10"/>
                <w:szCs w:val="10"/>
                <w:color w:val="auto"/>
              </w:rPr>
            </w:pPr>
          </w:p>
        </w:tc>
        <w:tc>
          <w:tcPr>
            <w:tcW w:w="108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LIBOR Rate</w:t>
            </w:r>
          </w:p>
        </w:tc>
        <w:tc>
          <w:tcPr>
            <w:tcW w:w="120" w:type="dxa"/>
            <w:vAlign w:val="bottom"/>
            <w:vMerge w:val="restart"/>
          </w:tcPr>
          <w:p>
            <w:pPr>
              <w:spacing w:after="0"/>
              <w:rPr>
                <w:sz w:val="10"/>
                <w:szCs w:val="10"/>
                <w:color w:val="auto"/>
              </w:rPr>
            </w:pPr>
          </w:p>
        </w:tc>
        <w:tc>
          <w:tcPr>
            <w:tcW w:w="98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right"/>
              <w:ind w:right="185"/>
              <w:spacing w:after="0" w:line="125"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0"/>
                <w:szCs w:val="10"/>
                <w:color w:val="auto"/>
              </w:rPr>
            </w:pPr>
          </w:p>
        </w:tc>
        <w:tc>
          <w:tcPr>
            <w:tcW w:w="1080" w:type="dxa"/>
            <w:vAlign w:val="bottom"/>
          </w:tcPr>
          <w:p>
            <w:pPr>
              <w:jc w:val="right"/>
              <w:ind w:right="124"/>
              <w:spacing w:after="0" w:line="12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Hedged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423"/>
              <w:spacing w:after="0"/>
              <w:rPr>
                <w:sz w:val="20"/>
                <w:szCs w:val="20"/>
                <w:color w:val="auto"/>
              </w:rPr>
            </w:pPr>
            <w:r>
              <w:rPr>
                <w:rFonts w:ascii="Arial" w:cs="Arial" w:eastAsia="Arial" w:hAnsi="Arial"/>
                <w:sz w:val="16"/>
                <w:szCs w:val="16"/>
                <w:color w:val="auto"/>
                <w:w w:val="89"/>
              </w:rPr>
              <w:t>300,000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Santa Monica Place</w:t>
            </w:r>
          </w:p>
        </w:tc>
        <w:tc>
          <w:tcPr>
            <w:tcW w:w="1500" w:type="dxa"/>
            <w:vAlign w:val="bottom"/>
            <w:gridSpan w:val="2"/>
          </w:tcPr>
          <w:p>
            <w:pPr>
              <w:ind w:left="20"/>
              <w:spacing w:after="0"/>
              <w:rPr>
                <w:sz w:val="20"/>
                <w:szCs w:val="20"/>
                <w:color w:val="auto"/>
              </w:rPr>
            </w:pPr>
            <w:r>
              <w:rPr>
                <w:rFonts w:ascii="Arial" w:cs="Arial" w:eastAsia="Arial" w:hAnsi="Arial"/>
                <w:sz w:val="16"/>
                <w:szCs w:val="16"/>
                <w:color w:val="auto"/>
              </w:rPr>
              <w:t>Non-Hedged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423"/>
              <w:spacing w:after="0"/>
              <w:rPr>
                <w:sz w:val="20"/>
                <w:szCs w:val="20"/>
                <w:color w:val="auto"/>
              </w:rPr>
            </w:pPr>
            <w:r>
              <w:rPr>
                <w:rFonts w:ascii="Arial" w:cs="Arial" w:eastAsia="Arial" w:hAnsi="Arial"/>
                <w:sz w:val="16"/>
                <w:szCs w:val="16"/>
                <w:color w:val="auto"/>
                <w:w w:val="89"/>
              </w:rPr>
              <w:t>300,000</w:t>
            </w: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Cap</w:t>
            </w:r>
          </w:p>
        </w:tc>
        <w:tc>
          <w:tcPr>
            <w:tcW w:w="1080" w:type="dxa"/>
            <w:vAlign w:val="bottom"/>
          </w:tcPr>
          <w:p>
            <w:pPr>
              <w:jc w:val="right"/>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12/9/2023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2,576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 Macerich Partnership, L.P.</w:t>
            </w: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Non-Hedged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403"/>
              <w:spacing w:after="0"/>
              <w:rPr>
                <w:sz w:val="20"/>
                <w:szCs w:val="20"/>
                <w:color w:val="auto"/>
              </w:rPr>
            </w:pPr>
            <w:r>
              <w:rPr>
                <w:rFonts w:ascii="Arial" w:cs="Arial" w:eastAsia="Arial" w:hAnsi="Arial"/>
                <w:sz w:val="16"/>
                <w:szCs w:val="16"/>
                <w:color w:val="auto"/>
                <w:w w:val="90"/>
              </w:rPr>
              <w:t>(300,000)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Sold Cap</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(2,567)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right="140" w:firstLine="435"/>
        <w:spacing w:after="0" w:line="287" w:lineRule="auto"/>
        <w:rPr>
          <w:sz w:val="20"/>
          <w:szCs w:val="20"/>
          <w:color w:val="auto"/>
        </w:rPr>
      </w:pPr>
      <w:r>
        <w:rPr>
          <w:rFonts w:ascii="Arial" w:cs="Arial" w:eastAsia="Arial" w:hAnsi="Arial"/>
          <w:sz w:val="16"/>
          <w:szCs w:val="16"/>
          <w:color w:val="auto"/>
        </w:rPr>
        <w:t>The above derivatives were valued with an aggregate fair value (Level 2 measurement) and were included in other assets (other accrued liabilities). The fair value of the Company's interest rate derivatives were determined using discounted cash flow analysis on the expected cash flows of the derivatives.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86" w:lineRule="exact"/>
        <w:rPr>
          <w:sz w:val="20"/>
          <w:szCs w:val="20"/>
          <w:color w:val="auto"/>
        </w:rPr>
      </w:pPr>
    </w:p>
    <w:p>
      <w:pPr>
        <w:ind w:right="340" w:firstLine="435"/>
        <w:spacing w:after="0" w:line="250"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falls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has determined that the credit valuation adjustments are not significant to the overall valuation of its interest rate caps. As a result, the Company determined that its interest rate cap valuations in its entirety is classified in Level 2 of the fair value hierarchy.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net at December 31, 2022 and 2021 consists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1,441,858</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6,378,736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6,306,764</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685,242</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Equipment and furnishings(1)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191,266</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222,420</w:t>
            </w:r>
          </w:p>
        </w:tc>
      </w:tr>
      <w:tr>
        <w:trPr>
          <w:trHeight w:val="217"/>
        </w:trPr>
        <w:tc>
          <w:tcPr>
            <w:tcW w:w="6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8,920,580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8,847,550</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(2,792,790)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(2,563,344)</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6,127,790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6,284,206</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60" w:right="760" w:hanging="555"/>
        <w:spacing w:after="0" w:line="262" w:lineRule="auto"/>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Equipment and furnishings and accumulated depreciation include the cost and accumulated amortization of ROU assets in connection with finance leases at December 31, 2022 and 2021 (See Note 8—Leases).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expense for the years ended December 31, 2022, 2021 and 2020 was $271,494, $282,158 and $287,925, respectively.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gain (loss) on sale or write down of assets, net for the years ended December 31, 2022, 2021 and 2020 consist of the following:</w:t>
      </w:r>
    </w:p>
    <w:p>
      <w:pPr>
        <w:spacing w:after="0" w:line="178" w:lineRule="exact"/>
        <w:rPr>
          <w:sz w:val="20"/>
          <w:szCs w:val="20"/>
          <w:color w:val="auto"/>
        </w:rPr>
      </w:pPr>
    </w:p>
    <w:tbl>
      <w:tblPr>
        <w:tblLayout w:type="fixed"/>
        <w:tblInd w:w="124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sales(1)</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700" w:type="dxa"/>
            <w:vAlign w:val="bottom"/>
          </w:tcPr>
          <w:p>
            <w:pPr>
              <w:spacing w:after="0"/>
              <w:rPr>
                <w:sz w:val="20"/>
                <w:szCs w:val="20"/>
                <w:color w:val="auto"/>
              </w:rPr>
            </w:pPr>
            <w:r>
              <w:rPr>
                <w:rFonts w:ascii="Arial" w:cs="Arial" w:eastAsia="Arial" w:hAnsi="Arial"/>
                <w:sz w:val="18"/>
                <w:szCs w:val="18"/>
                <w:color w:val="auto"/>
              </w:rPr>
              <w:t>Write-down of assets(2)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(76,705)</w:t>
            </w:r>
          </w:p>
        </w:tc>
      </w:tr>
      <w:tr>
        <w:trPr>
          <w:trHeight w:val="224"/>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Land sales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r>
      <w:tr>
        <w:trPr>
          <w:trHeight w:val="217"/>
        </w:trPr>
        <w:tc>
          <w:tcPr>
            <w:tcW w:w="47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(68,112)</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6" w:lineRule="exact"/>
        <w:rPr>
          <w:sz w:val="20"/>
          <w:szCs w:val="20"/>
          <w:color w:val="auto"/>
        </w:rPr>
      </w:pPr>
    </w:p>
    <w:p>
      <w:pPr>
        <w:ind w:left="560" w:hanging="555"/>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gains related to the sale of La Encantada and Paradise Valley Mall (See Note 16-Dispositions).</w:t>
      </w:r>
    </w:p>
    <w:p>
      <w:pPr>
        <w:spacing w:after="0" w:line="237" w:lineRule="exact"/>
        <w:rPr>
          <w:rFonts w:ascii="Arial" w:cs="Arial" w:eastAsia="Arial" w:hAnsi="Arial"/>
          <w:sz w:val="16"/>
          <w:szCs w:val="16"/>
          <w:color w:val="auto"/>
        </w:rPr>
      </w:pPr>
    </w:p>
    <w:p>
      <w:pPr>
        <w:ind w:left="560" w:hanging="555"/>
        <w:spacing w:after="0" w:line="271" w:lineRule="auto"/>
        <w:tabs>
          <w:tab w:leader="none" w:pos="5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Includes impairment loss of $5,471 relating to the Company's investment in MS Portfolio LLC (See Note 4—Investments in Unconsolidated Joint Ventures) and impairment loss of $5,140 on Towne Mall during the year ended December 31, 2022. Includes a loss of $28,276 in 2021 in connection with the assignment of the Company's partnership interest in The Shops at North Bridge (See Note 4—Investments in Unconsolidated Joint Ventures) and impairment loss of $27,281 on Estrella Falls during the year ended December 31, 2021 and impairment losses of $30,063 on Wilton Mall and $6,640 on Paradise Valley Mall during the year ended December 31, 2020. The impairment losses were due to the reduction of the estimated holding periods of the properties. The remaining amounts for the years ended December 31, 2022, 2021 and 2020 mainly pertain to the write off of development costs.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72" w:right="39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firstLine="435"/>
        <w:spacing w:after="0" w:line="262"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impairment charges recorded for the years ended December 31, 2022, 2021 and 2020 as described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Quoted Prices in Active</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1"/>
              </w:rPr>
              <w:t>Significant Other</w:t>
            </w:r>
          </w:p>
        </w:tc>
        <w:tc>
          <w:tcPr>
            <w:tcW w:w="120" w:type="dxa"/>
            <w:vAlign w:val="bottom"/>
          </w:tcPr>
          <w:p>
            <w:pPr>
              <w:spacing w:after="0"/>
              <w:rPr>
                <w:sz w:val="16"/>
                <w:szCs w:val="16"/>
                <w:color w:val="auto"/>
              </w:rPr>
            </w:pPr>
          </w:p>
        </w:tc>
        <w:tc>
          <w:tcPr>
            <w:tcW w:w="160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87"/>
              </w:rPr>
              <w:t>Significant</w:t>
            </w:r>
          </w:p>
        </w:tc>
        <w:tc>
          <w:tcPr>
            <w:tcW w:w="0" w:type="dxa"/>
            <w:vAlign w:val="bottom"/>
          </w:tcPr>
          <w:p>
            <w:pPr>
              <w:spacing w:after="0"/>
              <w:rPr>
                <w:sz w:val="1"/>
                <w:szCs w:val="1"/>
                <w:color w:val="auto"/>
              </w:rPr>
            </w:pPr>
          </w:p>
        </w:tc>
      </w:tr>
      <w:tr>
        <w:trPr>
          <w:trHeight w:val="158"/>
        </w:trPr>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Markets for Identical</w:t>
            </w:r>
          </w:p>
        </w:tc>
        <w:tc>
          <w:tcPr>
            <w:tcW w:w="1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7"/>
              </w:rPr>
              <w:t>Years ended December</w:t>
            </w:r>
          </w:p>
        </w:tc>
        <w:tc>
          <w:tcPr>
            <w:tcW w:w="200" w:type="dxa"/>
            <w:vAlign w:val="bottom"/>
          </w:tcPr>
          <w:p>
            <w:pPr>
              <w:spacing w:after="0"/>
              <w:rPr>
                <w:sz w:val="17"/>
                <w:szCs w:val="17"/>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 Fair Value</w:t>
            </w:r>
          </w:p>
        </w:tc>
        <w:tc>
          <w:tcPr>
            <w:tcW w:w="12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79"/>
              </w:rPr>
              <w:t>Assets</w:t>
            </w:r>
          </w:p>
        </w:tc>
        <w:tc>
          <w:tcPr>
            <w:tcW w:w="16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Observable Inputs</w:t>
            </w:r>
          </w:p>
        </w:tc>
        <w:tc>
          <w:tcPr>
            <w:tcW w:w="120" w:type="dxa"/>
            <w:vAlign w:val="bottom"/>
          </w:tcPr>
          <w:p>
            <w:pPr>
              <w:spacing w:after="0"/>
              <w:rPr>
                <w:sz w:val="17"/>
                <w:szCs w:val="17"/>
                <w:color w:val="auto"/>
              </w:rPr>
            </w:pPr>
          </w:p>
        </w:tc>
        <w:tc>
          <w:tcPr>
            <w:tcW w:w="1600" w:type="dxa"/>
            <w:vAlign w:val="bottom"/>
          </w:tcPr>
          <w:p>
            <w:pPr>
              <w:jc w:val="center"/>
              <w:ind w:right="37"/>
              <w:spacing w:after="0"/>
              <w:rPr>
                <w:sz w:val="20"/>
                <w:szCs w:val="20"/>
                <w:color w:val="auto"/>
              </w:rPr>
            </w:pPr>
            <w:r>
              <w:rPr>
                <w:rFonts w:ascii="Arial" w:cs="Arial" w:eastAsia="Arial" w:hAnsi="Arial"/>
                <w:sz w:val="16"/>
                <w:szCs w:val="16"/>
                <w:b w:val="1"/>
                <w:bCs w:val="1"/>
                <w:color w:val="auto"/>
                <w:w w:val="88"/>
              </w:rPr>
              <w:t>Unobservable Inputs</w:t>
            </w:r>
          </w:p>
        </w:tc>
        <w:tc>
          <w:tcPr>
            <w:tcW w:w="0" w:type="dxa"/>
            <w:vAlign w:val="bottom"/>
          </w:tcPr>
          <w:p>
            <w:pPr>
              <w:spacing w:after="0"/>
              <w:rPr>
                <w:sz w:val="1"/>
                <w:szCs w:val="1"/>
                <w:color w:val="auto"/>
              </w:rPr>
            </w:pPr>
          </w:p>
        </w:tc>
      </w:tr>
      <w:tr>
        <w:trPr>
          <w:trHeight w:val="45"/>
        </w:trPr>
        <w:tc>
          <w:tcPr>
            <w:tcW w:w="17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89"/>
              </w:rPr>
              <w:t>(Level 1)</w:t>
            </w:r>
          </w:p>
        </w:tc>
        <w:tc>
          <w:tcPr>
            <w:tcW w:w="16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vMerge w:val="restart"/>
          </w:tcPr>
          <w:p>
            <w:pPr>
              <w:jc w:val="center"/>
              <w:ind w:right="57"/>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8"/>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Measurement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24"/>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4,720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4,720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firstLine="435"/>
        <w:spacing w:after="0" w:line="300" w:lineRule="auto"/>
        <w:rPr>
          <w:sz w:val="20"/>
          <w:szCs w:val="20"/>
          <w:color w:val="auto"/>
        </w:rPr>
      </w:pPr>
      <w:r>
        <w:rPr>
          <w:rFonts w:ascii="Arial" w:cs="Arial" w:eastAsia="Arial" w:hAnsi="Arial"/>
          <w:sz w:val="16"/>
          <w:szCs w:val="16"/>
          <w:color w:val="auto"/>
        </w:rPr>
        <w:t>The fair value relating to the 2020 and 2021 impairments were based on sales contracts and are classified within Level 2 of the fair value hierarchy. The fair value (Level 3 measurement) related to the 2022 impairment was based upon an income approach, using an estimated terminal capitalization rate, discount rate, and in-place contractual rent and other income. The fair value is sensitive to these significant unobservable inputs.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155" w:lineRule="exact"/>
        <w:rPr>
          <w:sz w:val="20"/>
          <w:szCs w:val="20"/>
          <w:color w:val="auto"/>
        </w:rPr>
      </w:pPr>
    </w:p>
    <w:p>
      <w:pPr>
        <w:ind w:right="40" w:firstLine="435"/>
        <w:spacing w:after="0" w:line="300" w:lineRule="auto"/>
        <w:rPr>
          <w:sz w:val="20"/>
          <w:szCs w:val="20"/>
          <w:color w:val="auto"/>
        </w:rPr>
      </w:pPr>
      <w:r>
        <w:rPr>
          <w:rFonts w:ascii="Arial" w:cs="Arial" w:eastAsia="Arial" w:hAnsi="Arial"/>
          <w:sz w:val="16"/>
          <w:szCs w:val="16"/>
          <w:color w:val="auto"/>
        </w:rPr>
        <w:t>Included in tenant and other receivables, net is an allowance for doubtful accounts of $10,741 and $14,917 at December 31, 2022 and 2021, respectively. Also included in tenant and other receivables, net are accrued percentage rents of $18,010 and $19,907 at December 31, 2022 and 2021, respectively, and a deferred rent receivable due to straight-line rent adjustments of $110,155 and $110,969 at December 31, 2022 and 2021,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Lessor Leases:</w:t>
      </w:r>
    </w:p>
    <w:p>
      <w:pPr>
        <w:spacing w:after="0" w:line="149" w:lineRule="exact"/>
        <w:rPr>
          <w:sz w:val="20"/>
          <w:szCs w:val="20"/>
          <w:color w:val="auto"/>
        </w:rPr>
      </w:pPr>
    </w:p>
    <w:p>
      <w:pPr>
        <w:ind w:firstLine="435"/>
        <w:spacing w:after="0" w:line="282" w:lineRule="auto"/>
        <w:rPr>
          <w:sz w:val="20"/>
          <w:szCs w:val="20"/>
          <w:color w:val="auto"/>
        </w:rPr>
      </w:pPr>
      <w:r>
        <w:rPr>
          <w:rFonts w:ascii="Arial" w:cs="Arial" w:eastAsia="Arial" w:hAnsi="Arial"/>
          <w:sz w:val="16"/>
          <w:szCs w:val="16"/>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 revenues on a straight-line basis over the term of the related leases. For leasing revenues in which collectability of substantially all of the rents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components of leasing revenue for the years ended December 31, 2022, 2021 and 2020:</w:t>
      </w:r>
    </w:p>
    <w:p>
      <w:pPr>
        <w:spacing w:after="0" w:line="200" w:lineRule="exact"/>
        <w:rPr>
          <w:sz w:val="20"/>
          <w:szCs w:val="20"/>
          <w:color w:val="auto"/>
        </w:rPr>
      </w:pPr>
    </w:p>
    <w:p>
      <w:pPr>
        <w:spacing w:after="0" w:line="347" w:lineRule="exact"/>
        <w:rPr>
          <w:sz w:val="20"/>
          <w:szCs w:val="20"/>
          <w:color w:val="auto"/>
        </w:rPr>
      </w:pPr>
    </w:p>
    <w:tbl>
      <w:tblPr>
        <w:tblLayout w:type="fixed"/>
        <w:tblInd w:w="18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 - fixed payments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592,858</w:t>
            </w:r>
          </w:p>
        </w:tc>
      </w:tr>
      <w:tr>
        <w:trPr>
          <w:trHeight w:val="224"/>
        </w:trPr>
        <w:tc>
          <w:tcPr>
            <w:tcW w:w="4700" w:type="dxa"/>
            <w:vAlign w:val="bottom"/>
          </w:tcPr>
          <w:p>
            <w:pPr>
              <w:ind w:left="20"/>
              <w:spacing w:after="0"/>
              <w:rPr>
                <w:sz w:val="20"/>
                <w:szCs w:val="20"/>
                <w:color w:val="auto"/>
              </w:rPr>
            </w:pPr>
            <w:r>
              <w:rPr>
                <w:rFonts w:ascii="Arial" w:cs="Arial" w:eastAsia="Arial" w:hAnsi="Arial"/>
                <w:sz w:val="18"/>
                <w:szCs w:val="18"/>
                <w:color w:val="auto"/>
              </w:rPr>
              <w:t>Leasing revenue - variable payments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Arial" w:cs="Arial" w:eastAsia="Arial" w:hAnsi="Arial"/>
                <w:sz w:val="18"/>
                <w:szCs w:val="18"/>
                <w:color w:val="auto"/>
                <w:w w:val="95"/>
              </w:rPr>
              <w:t>191,715</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of (provision for) doubtful accounts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9"/>
              </w:rPr>
              <w:t>(44,250)</w:t>
            </w:r>
          </w:p>
        </w:tc>
      </w:tr>
      <w:tr>
        <w:trPr>
          <w:trHeight w:val="217"/>
        </w:trPr>
        <w:tc>
          <w:tcPr>
            <w:tcW w:w="47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787,547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5"/>
              </w:rPr>
              <w:t>740,323</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60" w:type="dxa"/>
            <w:vAlign w:val="bottom"/>
          </w:tcPr>
          <w:p>
            <w:pPr>
              <w:ind w:left="440"/>
              <w:spacing w:after="0"/>
              <w:rPr>
                <w:sz w:val="20"/>
                <w:szCs w:val="20"/>
                <w:color w:val="auto"/>
              </w:rPr>
            </w:pPr>
            <w:r>
              <w:rPr>
                <w:rFonts w:ascii="Arial" w:cs="Arial" w:eastAsia="Arial" w:hAnsi="Arial"/>
                <w:sz w:val="18"/>
                <w:szCs w:val="18"/>
                <w:color w:val="auto"/>
              </w:rPr>
              <w:t>The following table summarizes the future rental payments to the Company:</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7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416,775</w:t>
            </w:r>
          </w:p>
        </w:tc>
      </w:tr>
      <w:tr>
        <w:trPr>
          <w:trHeight w:val="224"/>
        </w:trPr>
        <w:tc>
          <w:tcPr>
            <w:tcW w:w="726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352,926</w:t>
            </w: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282,439</w:t>
            </w:r>
          </w:p>
        </w:tc>
      </w:tr>
      <w:tr>
        <w:trPr>
          <w:trHeight w:val="224"/>
        </w:trPr>
        <w:tc>
          <w:tcPr>
            <w:tcW w:w="7260" w:type="dxa"/>
            <w:vAlign w:val="bottom"/>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228,421</w:t>
            </w:r>
          </w:p>
        </w:tc>
      </w:tr>
      <w:tr>
        <w:trPr>
          <w:trHeight w:val="224"/>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172,400</w:t>
            </w:r>
          </w:p>
        </w:tc>
      </w:tr>
      <w:tr>
        <w:trPr>
          <w:trHeight w:val="224"/>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537,759</w:t>
            </w:r>
          </w:p>
        </w:tc>
      </w:tr>
      <w:tr>
        <w:trPr>
          <w:trHeight w:val="242"/>
        </w:trPr>
        <w:tc>
          <w:tcPr>
            <w:tcW w:w="7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1,990,720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Lessee Leases:</w:t>
      </w:r>
    </w:p>
    <w:p>
      <w:pPr>
        <w:spacing w:after="0" w:line="149" w:lineRule="exact"/>
        <w:rPr>
          <w:sz w:val="20"/>
          <w:szCs w:val="20"/>
          <w:color w:val="auto"/>
        </w:rPr>
      </w:pPr>
    </w:p>
    <w:p>
      <w:pPr>
        <w:jc w:val="both"/>
        <w:ind w:firstLine="435"/>
        <w:spacing w:after="0" w:line="300" w:lineRule="auto"/>
        <w:rPr>
          <w:sz w:val="20"/>
          <w:szCs w:val="20"/>
          <w:color w:val="auto"/>
        </w:rPr>
      </w:pPr>
      <w:r>
        <w:rPr>
          <w:rFonts w:ascii="Arial" w:cs="Arial" w:eastAsia="Arial" w:hAnsi="Arial"/>
          <w:sz w:val="16"/>
          <w:szCs w:val="16"/>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 costs for the years ended December 31, 2022, 2021 and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4"/>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15,332</w:t>
            </w: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24"/>
        </w:trPr>
        <w:tc>
          <w:tcPr>
            <w:tcW w:w="5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Interest on lease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r>
      <w:tr>
        <w:trPr>
          <w:trHeight w:val="242"/>
        </w:trPr>
        <w:tc>
          <w:tcPr>
            <w:tcW w:w="5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future rental payments required under the leases as of December 31,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w:t>
            </w:r>
          </w:p>
        </w:tc>
        <w:tc>
          <w:tcPr>
            <w:tcW w:w="24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Operating</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191"/>
        </w:trPr>
        <w:tc>
          <w:tcPr>
            <w:tcW w:w="4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12,255</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undiscounted rental payments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168,621</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82,306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right="420" w:firstLine="435"/>
        <w:spacing w:after="0" w:line="253" w:lineRule="auto"/>
        <w:rPr>
          <w:sz w:val="20"/>
          <w:szCs w:val="20"/>
          <w:color w:val="auto"/>
        </w:rPr>
      </w:pPr>
      <w:r>
        <w:rPr>
          <w:rFonts w:ascii="Arial" w:cs="Arial" w:eastAsia="Arial" w:hAnsi="Arial"/>
          <w:sz w:val="18"/>
          <w:szCs w:val="18"/>
          <w:color w:val="auto"/>
        </w:rPr>
        <w:t>The Company's weighted average remaining lease term of its operating and finance leases at December 31, 2022 was 32.3 years and 1.7 years, respectively. The Company's weighted average incremental borrowing rate of its operating and finance leases at December 31, 2022 was 7.4% and 3.7%,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72" w:right="39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assets, net at December 31, 2022 and 2021 consist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134,887</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In-place lease values(1)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62,826</w:t>
            </w:r>
          </w:p>
        </w:tc>
      </w:tr>
      <w:tr>
        <w:trPr>
          <w:trHeight w:val="224"/>
        </w:trPr>
        <w:tc>
          <w:tcPr>
            <w:tcW w:w="6220" w:type="dxa"/>
            <w:vAlign w:val="bottom"/>
          </w:tcPr>
          <w:p>
            <w:pPr>
              <w:ind w:left="140"/>
              <w:spacing w:after="0"/>
              <w:rPr>
                <w:sz w:val="20"/>
                <w:szCs w:val="20"/>
                <w:color w:val="auto"/>
              </w:rPr>
            </w:pPr>
            <w:r>
              <w:rPr>
                <w:rFonts w:ascii="Arial" w:cs="Arial" w:eastAsia="Arial" w:hAnsi="Arial"/>
                <w:sz w:val="18"/>
                <w:szCs w:val="18"/>
                <w:color w:val="auto"/>
              </w:rPr>
              <w:t>Leasing commissions and legal costs(1)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16,710</w:t>
            </w:r>
          </w:p>
        </w:tc>
      </w:tr>
      <w:tr>
        <w:trPr>
          <w:trHeight w:val="224"/>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Above-market leases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72,289</w:t>
            </w: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23,406</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68,807</w:t>
            </w:r>
          </w:p>
        </w:tc>
      </w:tr>
      <w:tr>
        <w:trPr>
          <w:trHeight w:val="224"/>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46,319</w:t>
            </w:r>
          </w:p>
        </w:tc>
      </w:tr>
      <w:tr>
        <w:trPr>
          <w:trHeight w:val="217"/>
        </w:trPr>
        <w:tc>
          <w:tcPr>
            <w:tcW w:w="6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425,244</w:t>
            </w:r>
          </w:p>
        </w:tc>
      </w:tr>
      <w:tr>
        <w:trPr>
          <w:trHeight w:val="224"/>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(170,336)</w:t>
            </w:r>
          </w:p>
        </w:tc>
      </w:tr>
      <w:tr>
        <w:trPr>
          <w:trHeight w:val="242"/>
        </w:trPr>
        <w:tc>
          <w:tcPr>
            <w:tcW w:w="6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254,908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54" w:lineRule="exact"/>
        <w:rPr>
          <w:sz w:val="20"/>
          <w:szCs w:val="20"/>
          <w:color w:val="auto"/>
        </w:rPr>
      </w:pPr>
    </w:p>
    <w:p>
      <w:pPr>
        <w:ind w:left="1180" w:hanging="542"/>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amortization of these intangible assets for the next five years and thereafter is as follows:</w:t>
      </w:r>
    </w:p>
    <w:p>
      <w:pPr>
        <w:spacing w:after="0" w:line="33" w:lineRule="exact"/>
        <w:rPr>
          <w:sz w:val="20"/>
          <w:szCs w:val="20"/>
          <w:color w:val="auto"/>
        </w:rPr>
      </w:pPr>
    </w:p>
    <w:tbl>
      <w:tblPr>
        <w:tblLayout w:type="fixed"/>
        <w:tblInd w:w="1200" w:type="dxa"/>
        <w:tblCellMar>
          <w:top w:w="0" w:type="dxa"/>
          <w:left w:w="0" w:type="dxa"/>
          <w:bottom w:w="0" w:type="dxa"/>
          <w:right w:w="0" w:type="dxa"/>
        </w:tblCellMar>
      </w:tblPr>
      <w:tr>
        <w:trPr>
          <w:trHeight w:val="183"/>
        </w:trPr>
        <w:tc>
          <w:tcPr>
            <w:tcW w:w="692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r>
      <w:tr>
        <w:trPr>
          <w:trHeight w:val="224"/>
        </w:trPr>
        <w:tc>
          <w:tcPr>
            <w:tcW w:w="692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5,003</w:t>
            </w:r>
          </w:p>
        </w:tc>
      </w:tr>
      <w:tr>
        <w:trPr>
          <w:trHeight w:val="224"/>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r>
      <w:tr>
        <w:trPr>
          <w:trHeight w:val="224"/>
        </w:trPr>
        <w:tc>
          <w:tcPr>
            <w:tcW w:w="6920" w:type="dxa"/>
            <w:vAlign w:val="bottom"/>
          </w:tcPr>
          <w:p>
            <w:pPr>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4,151</w:t>
            </w:r>
          </w:p>
        </w:tc>
      </w:tr>
      <w:tr>
        <w:trPr>
          <w:trHeight w:val="224"/>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r>
      <w:tr>
        <w:trPr>
          <w:trHeight w:val="224"/>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w:t>
            </w:r>
          </w:p>
        </w:tc>
      </w:tr>
      <w:tr>
        <w:trPr>
          <w:trHeight w:val="242"/>
        </w:trPr>
        <w:tc>
          <w:tcPr>
            <w:tcW w:w="6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36,898</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1180" w:hanging="542"/>
        <w:spacing w:after="0"/>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Accumulated amortization includes $44,362 and $43,978 relating to in-place lease values, leasing commissions and legal costs at</w:t>
      </w:r>
    </w:p>
    <w:p>
      <w:pPr>
        <w:spacing w:after="0" w:line="38" w:lineRule="exact"/>
        <w:rPr>
          <w:rFonts w:ascii="Arial" w:cs="Arial" w:eastAsia="Arial" w:hAnsi="Arial"/>
          <w:sz w:val="16"/>
          <w:szCs w:val="16"/>
          <w:color w:val="auto"/>
        </w:rPr>
      </w:pPr>
    </w:p>
    <w:p>
      <w:pPr>
        <w:ind w:left="1200"/>
        <w:spacing w:after="0" w:line="248" w:lineRule="auto"/>
        <w:rPr>
          <w:rFonts w:ascii="Arial" w:cs="Arial" w:eastAsia="Arial" w:hAnsi="Arial"/>
          <w:sz w:val="16"/>
          <w:szCs w:val="16"/>
          <w:color w:val="auto"/>
        </w:rPr>
      </w:pPr>
      <w:r>
        <w:rPr>
          <w:rFonts w:ascii="Arial" w:cs="Arial" w:eastAsia="Arial" w:hAnsi="Arial"/>
          <w:sz w:val="18"/>
          <w:szCs w:val="18"/>
          <w:color w:val="auto"/>
        </w:rPr>
        <w:t>December 31, 2022 and 2021, respectively. Amortization expense for in-place lease values, leasing commissions and legal costs was $6,734, $11,233 and $9,412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272" w:right="4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4"/>
        </w:trPr>
        <w:tc>
          <w:tcPr>
            <w:tcW w:w="6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Original allocated value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395"/>
              <w:spacing w:after="0"/>
              <w:rPr>
                <w:sz w:val="20"/>
                <w:szCs w:val="20"/>
                <w:color w:val="auto"/>
              </w:rPr>
            </w:pPr>
            <w:r>
              <w:rPr>
                <w:rFonts w:ascii="Arial" w:cs="Arial" w:eastAsia="Arial" w:hAnsi="Arial"/>
                <w:sz w:val="18"/>
                <w:szCs w:val="18"/>
                <w:color w:val="auto"/>
                <w:w w:val="87"/>
              </w:rPr>
              <w:t>71,304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415"/>
              <w:spacing w:after="0"/>
              <w:rPr>
                <w:sz w:val="20"/>
                <w:szCs w:val="20"/>
                <w:color w:val="auto"/>
              </w:rPr>
            </w:pPr>
            <w:r>
              <w:rPr>
                <w:rFonts w:ascii="Arial" w:cs="Arial" w:eastAsia="Arial" w:hAnsi="Arial"/>
                <w:sz w:val="18"/>
                <w:szCs w:val="18"/>
                <w:color w:val="auto"/>
                <w:w w:val="87"/>
              </w:rPr>
              <w:t>72,289</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89"/>
              </w:rPr>
              <w:t>(35,156)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9"/>
              </w:rPr>
              <w:t>(32,484)</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395"/>
              <w:spacing w:after="0"/>
              <w:rPr>
                <w:sz w:val="20"/>
                <w:szCs w:val="20"/>
                <w:color w:val="auto"/>
              </w:rPr>
            </w:pPr>
            <w:r>
              <w:rPr>
                <w:rFonts w:ascii="Arial" w:cs="Arial" w:eastAsia="Arial" w:hAnsi="Arial"/>
                <w:sz w:val="18"/>
                <w:szCs w:val="18"/>
                <w:color w:val="auto"/>
                <w:w w:val="87"/>
              </w:rPr>
              <w:t>36,148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87"/>
              </w:rPr>
              <w:t>39,805</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Original allocated value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395"/>
              <w:spacing w:after="0"/>
              <w:rPr>
                <w:sz w:val="20"/>
                <w:szCs w:val="20"/>
                <w:color w:val="auto"/>
              </w:rPr>
            </w:pPr>
            <w:r>
              <w:rPr>
                <w:rFonts w:ascii="Arial" w:cs="Arial" w:eastAsia="Arial" w:hAnsi="Arial"/>
                <w:sz w:val="18"/>
                <w:szCs w:val="18"/>
                <w:color w:val="auto"/>
                <w:w w:val="87"/>
              </w:rPr>
              <w:t>97,026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415"/>
              <w:spacing w:after="0"/>
              <w:rPr>
                <w:sz w:val="20"/>
                <w:szCs w:val="20"/>
                <w:color w:val="auto"/>
              </w:rPr>
            </w:pPr>
            <w:r>
              <w:rPr>
                <w:rFonts w:ascii="Arial" w:cs="Arial" w:eastAsia="Arial" w:hAnsi="Arial"/>
                <w:sz w:val="18"/>
                <w:szCs w:val="18"/>
                <w:color w:val="auto"/>
                <w:w w:val="87"/>
              </w:rPr>
              <w:t>99,332</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89"/>
              </w:rPr>
              <w:t>(40,797)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9"/>
              </w:rPr>
              <w:t>(37,122)</w:t>
            </w:r>
          </w:p>
        </w:tc>
      </w:tr>
      <w:tr>
        <w:trPr>
          <w:trHeight w:val="217"/>
        </w:trPr>
        <w:tc>
          <w:tcPr>
            <w:tcW w:w="62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395"/>
              <w:spacing w:after="0"/>
              <w:rPr>
                <w:sz w:val="20"/>
                <w:szCs w:val="20"/>
                <w:color w:val="auto"/>
              </w:rPr>
            </w:pPr>
            <w:r>
              <w:rPr>
                <w:rFonts w:ascii="Arial" w:cs="Arial" w:eastAsia="Arial" w:hAnsi="Arial"/>
                <w:sz w:val="18"/>
                <w:szCs w:val="18"/>
                <w:color w:val="auto"/>
                <w:w w:val="87"/>
              </w:rPr>
              <w:t>56,229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87"/>
              </w:rPr>
              <w:t>62,210</w:t>
            </w: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240" w:lineRule="exact"/>
        <w:rPr>
          <w:sz w:val="20"/>
          <w:szCs w:val="20"/>
          <w:color w:val="auto"/>
        </w:rPr>
      </w:pPr>
    </w:p>
    <w:p>
      <w:pPr>
        <w:ind w:left="1180" w:hanging="542"/>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Below-market leases are included in other accrued liabilities.</w:t>
      </w:r>
    </w:p>
    <w:p>
      <w:pPr>
        <w:spacing w:after="0" w:line="386" w:lineRule="exact"/>
        <w:rPr>
          <w:sz w:val="20"/>
          <w:szCs w:val="20"/>
          <w:color w:val="auto"/>
        </w:rPr>
      </w:pPr>
    </w:p>
    <w:p>
      <w:pPr>
        <w:ind w:firstLine="435"/>
        <w:spacing w:after="0" w:line="261" w:lineRule="auto"/>
        <w:rPr>
          <w:sz w:val="20"/>
          <w:szCs w:val="20"/>
          <w:color w:val="auto"/>
        </w:rPr>
      </w:pPr>
      <w:r>
        <w:rPr>
          <w:rFonts w:ascii="Arial" w:cs="Arial" w:eastAsia="Arial" w:hAnsi="Arial"/>
          <w:sz w:val="18"/>
          <w:szCs w:val="18"/>
          <w:color w:val="auto"/>
        </w:rPr>
        <w:t>The allocated values of above and below-market leases will be amortized into minimum rents on a straight-line basis over the individual remaining lease terms. The amortization of these values for the next five years and thereafter is as follows:</w:t>
      </w:r>
    </w:p>
    <w:tbl>
      <w:tblPr>
        <w:tblLayout w:type="fixed"/>
        <w:tblInd w:w="0" w:type="dxa"/>
        <w:tblCellMar>
          <w:top w:w="0" w:type="dxa"/>
          <w:left w:w="0" w:type="dxa"/>
          <w:bottom w:w="0" w:type="dxa"/>
          <w:right w:w="0" w:type="dxa"/>
        </w:tblCellMar>
      </w:tblPr>
      <w:tr>
        <w:trPr>
          <w:trHeight w:val="146"/>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2"/>
                <w:szCs w:val="12"/>
                <w:color w:val="auto"/>
              </w:rPr>
            </w:pPr>
          </w:p>
        </w:tc>
        <w:tc>
          <w:tcPr>
            <w:tcW w:w="1260" w:type="dxa"/>
            <w:vAlign w:val="bottom"/>
            <w:gridSpan w:val="2"/>
          </w:tcPr>
          <w:p>
            <w:pPr>
              <w:jc w:val="center"/>
              <w:ind w:right="420"/>
              <w:spacing w:after="0" w:line="146" w:lineRule="exact"/>
              <w:rPr>
                <w:sz w:val="20"/>
                <w:szCs w:val="20"/>
                <w:color w:val="auto"/>
              </w:rPr>
            </w:pPr>
            <w:r>
              <w:rPr>
                <w:rFonts w:ascii="Arial" w:cs="Arial" w:eastAsia="Arial" w:hAnsi="Arial"/>
                <w:sz w:val="14"/>
                <w:szCs w:val="14"/>
                <w:b w:val="1"/>
                <w:bCs w:val="1"/>
                <w:color w:val="auto"/>
                <w:w w:val="93"/>
              </w:rPr>
              <w:t>Above</w:t>
            </w:r>
          </w:p>
        </w:tc>
        <w:tc>
          <w:tcPr>
            <w:tcW w:w="300" w:type="dxa"/>
            <w:vAlign w:val="bottom"/>
          </w:tcPr>
          <w:p>
            <w:pPr>
              <w:spacing w:after="0"/>
              <w:rPr>
                <w:sz w:val="12"/>
                <w:szCs w:val="12"/>
                <w:color w:val="auto"/>
              </w:rPr>
            </w:pPr>
          </w:p>
        </w:tc>
        <w:tc>
          <w:tcPr>
            <w:tcW w:w="1140" w:type="dxa"/>
            <w:vAlign w:val="bottom"/>
          </w:tcPr>
          <w:p>
            <w:pPr>
              <w:jc w:val="right"/>
              <w:ind w:right="456"/>
              <w:spacing w:after="0" w:line="146" w:lineRule="exact"/>
              <w:rPr>
                <w:sz w:val="20"/>
                <w:szCs w:val="20"/>
                <w:color w:val="auto"/>
              </w:rPr>
            </w:pPr>
            <w:r>
              <w:rPr>
                <w:rFonts w:ascii="Arial" w:cs="Arial" w:eastAsia="Arial" w:hAnsi="Arial"/>
                <w:sz w:val="14"/>
                <w:szCs w:val="14"/>
                <w:b w:val="1"/>
                <w:bCs w:val="1"/>
                <w:color w:val="auto"/>
              </w:rPr>
              <w:t>Below</w:t>
            </w:r>
          </w:p>
        </w:tc>
        <w:tc>
          <w:tcPr>
            <w:tcW w:w="0" w:type="dxa"/>
            <w:vAlign w:val="bottom"/>
          </w:tcPr>
          <w:p>
            <w:pPr>
              <w:spacing w:after="0"/>
              <w:rPr>
                <w:sz w:val="1"/>
                <w:szCs w:val="1"/>
                <w:color w:val="auto"/>
              </w:rPr>
            </w:pPr>
          </w:p>
        </w:tc>
      </w:tr>
      <w:tr>
        <w:trPr>
          <w:trHeight w:val="188"/>
        </w:trPr>
        <w:tc>
          <w:tcPr>
            <w:tcW w:w="6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Market</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222"/>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24"/>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42"/>
        </w:trPr>
        <w:tc>
          <w:tcPr>
            <w:tcW w:w="6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72" w:right="41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Mortgage Notes Payable: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Mortgage notes payable at December 31, 2022 and 2021 consist of the following: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w w:val="93"/>
              </w:rPr>
              <w:t>Carrying Amounts of Mortgage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6"/>
                <w:szCs w:val="16"/>
                <w:b w:val="1"/>
                <w:bCs w:val="1"/>
                <w:color w:val="auto"/>
              </w:rPr>
              <w:t>Notes(1)</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Effective</w:t>
            </w: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Monthly</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 Pledged as Collateral</w:t>
            </w:r>
          </w:p>
        </w:tc>
        <w:tc>
          <w:tcPr>
            <w:tcW w:w="1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2"/>
                <w:szCs w:val="12"/>
                <w:color w:val="auto"/>
              </w:rPr>
            </w:pPr>
          </w:p>
        </w:tc>
        <w:tc>
          <w:tcPr>
            <w:tcW w:w="1380" w:type="dxa"/>
            <w:vAlign w:val="bottom"/>
            <w:gridSpan w:val="3"/>
          </w:tcPr>
          <w:p>
            <w:pPr>
              <w:jc w:val="center"/>
              <w:ind w:right="260"/>
              <w:spacing w:after="0" w:line="138" w:lineRule="exact"/>
              <w:rPr>
                <w:sz w:val="20"/>
                <w:szCs w:val="20"/>
                <w:color w:val="auto"/>
              </w:rPr>
            </w:pPr>
            <w:r>
              <w:rPr>
                <w:rFonts w:ascii="Arial" w:cs="Arial" w:eastAsia="Arial" w:hAnsi="Arial"/>
                <w:sz w:val="16"/>
                <w:szCs w:val="16"/>
                <w:b w:val="1"/>
                <w:bCs w:val="1"/>
                <w:color w:val="auto"/>
                <w:w w:val="89"/>
              </w:rPr>
              <w:t>Interest</w:t>
            </w:r>
          </w:p>
        </w:tc>
        <w:tc>
          <w:tcPr>
            <w:tcW w:w="1020" w:type="dxa"/>
            <w:vAlign w:val="bottom"/>
            <w:gridSpan w:val="2"/>
          </w:tcPr>
          <w:p>
            <w:pPr>
              <w:jc w:val="center"/>
              <w:ind w:right="260"/>
              <w:spacing w:after="0" w:line="138" w:lineRule="exact"/>
              <w:rPr>
                <w:sz w:val="20"/>
                <w:szCs w:val="20"/>
                <w:color w:val="auto"/>
              </w:rPr>
            </w:pPr>
            <w:r>
              <w:rPr>
                <w:rFonts w:ascii="Arial" w:cs="Arial" w:eastAsia="Arial" w:hAnsi="Arial"/>
                <w:sz w:val="16"/>
                <w:szCs w:val="16"/>
                <w:b w:val="1"/>
                <w:bCs w:val="1"/>
                <w:color w:val="auto"/>
                <w:w w:val="89"/>
              </w:rPr>
              <w:t>Debt</w:t>
            </w:r>
          </w:p>
        </w:tc>
        <w:tc>
          <w:tcPr>
            <w:tcW w:w="1080" w:type="dxa"/>
            <w:vAlign w:val="bottom"/>
          </w:tcPr>
          <w:p>
            <w:pPr>
              <w:jc w:val="right"/>
              <w:ind w:right="153"/>
              <w:spacing w:after="0" w:line="138" w:lineRule="exact"/>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208"/>
        </w:trPr>
        <w:tc>
          <w:tcPr>
            <w:tcW w:w="35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Rate(2)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8"/>
              </w:rPr>
              <w:t>Service(3)</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Date(4)</w:t>
            </w:r>
          </w:p>
        </w:tc>
        <w:tc>
          <w:tcPr>
            <w:tcW w:w="0" w:type="dxa"/>
            <w:vAlign w:val="bottom"/>
          </w:tcPr>
          <w:p>
            <w:pPr>
              <w:spacing w:after="0"/>
              <w:rPr>
                <w:sz w:val="1"/>
                <w:szCs w:val="1"/>
                <w:color w:val="auto"/>
              </w:rPr>
            </w:pPr>
          </w:p>
        </w:tc>
      </w:tr>
      <w:tr>
        <w:trPr>
          <w:trHeight w:val="22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Chandler Fashion Center(5)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255,736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255,548</w:t>
            </w:r>
          </w:p>
        </w:tc>
        <w:tc>
          <w:tcPr>
            <w:tcW w:w="150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w w:val="99"/>
              </w:rPr>
              <w:t>4.18 %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Danbury Fair Mall(6)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148,207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168,037</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6.05 %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Fashion District Philadelphia(7)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7.62 %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Fashion Outlets of Chicago</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299,354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299,274</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4.61 %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Fashion Outlets of Niagara Falls USA</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95,329</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6.45 %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Freehold Raceway Mall(5)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398,878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398,711</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3.94 %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Fresno Fashion Fair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324,255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324,056</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3.67 %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Green Acres Commons(8)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125,256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124,875</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7.14 %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Acres Mall(9)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237,372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246,061</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3.94 %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Kings Plaza Shopping Center</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536,442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535,928</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3.71 %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Oaks, The(10)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176,721</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5.49 %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Pacific View(11)</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70,855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111,481</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5.45 %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Queens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3.49 %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Santa Monica Place(12)</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296,521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299,314</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6.19 %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SanTan Village Regional Center</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219,414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219,323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4.34 %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4"/>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Towne Mall(13)</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19,320</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89"/>
              </w:rPr>
              <w:t>4.48 %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4"/>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Victor Valley, Mall of</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114,850</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9"/>
              </w:rPr>
              <w:t>4.00 %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Vintage Faire Mall</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233,637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240,124</w:t>
            </w:r>
          </w:p>
        </w:tc>
        <w:tc>
          <w:tcPr>
            <w:tcW w:w="124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w w:val="89"/>
              </w:rPr>
              <w:t>3.55 %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2"/>
        </w:trPr>
        <w:tc>
          <w:tcPr>
            <w:tcW w:w="35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4,240,596</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4,423,554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800" w:right="20" w:hanging="399"/>
        <w:spacing w:after="0" w:line="322" w:lineRule="auto"/>
        <w:tabs>
          <w:tab w:leader="none" w:pos="792"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mortgage notes payable balances also include unamortized deferred finance costs that are amortized into interest expense over the remaining term of the related debt in a manner that approximates the effective interest method. Unamortized deferred finance costs were $13,830 and $11,946 at December 31, 2022 and 2021, respectively.</w:t>
      </w:r>
    </w:p>
    <w:p>
      <w:pPr>
        <w:spacing w:after="0" w:line="73" w:lineRule="exact"/>
        <w:rPr>
          <w:rFonts w:ascii="Arial" w:cs="Arial" w:eastAsia="Arial" w:hAnsi="Arial"/>
          <w:sz w:val="13"/>
          <w:szCs w:val="13"/>
          <w:color w:val="auto"/>
        </w:rPr>
      </w:pPr>
    </w:p>
    <w:p>
      <w:pPr>
        <w:ind w:left="780" w:hanging="379"/>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pacing w:after="0" w:line="155" w:lineRule="exact"/>
        <w:rPr>
          <w:rFonts w:ascii="Arial" w:cs="Arial" w:eastAsia="Arial" w:hAnsi="Arial"/>
          <w:sz w:val="14"/>
          <w:szCs w:val="14"/>
          <w:color w:val="auto"/>
        </w:rPr>
      </w:pPr>
    </w:p>
    <w:p>
      <w:pPr>
        <w:ind w:left="780" w:hanging="379"/>
        <w:spacing w:after="0"/>
        <w:tabs>
          <w:tab w:leader="none" w:pos="7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142" w:lineRule="exact"/>
        <w:rPr>
          <w:rFonts w:ascii="Arial" w:cs="Arial" w:eastAsia="Arial" w:hAnsi="Arial"/>
          <w:sz w:val="14"/>
          <w:szCs w:val="14"/>
          <w:color w:val="auto"/>
        </w:rPr>
      </w:pPr>
    </w:p>
    <w:p>
      <w:pPr>
        <w:ind w:left="800" w:right="180" w:hanging="399"/>
        <w:spacing w:after="0" w:line="282" w:lineRule="auto"/>
        <w:tabs>
          <w:tab w:leader="none" w:pos="7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5" w:lineRule="exact"/>
        <w:rPr>
          <w:rFonts w:ascii="Arial" w:cs="Arial" w:eastAsia="Arial" w:hAnsi="Arial"/>
          <w:sz w:val="14"/>
          <w:szCs w:val="14"/>
          <w:color w:val="auto"/>
        </w:rPr>
      </w:pPr>
    </w:p>
    <w:p>
      <w:pPr>
        <w:ind w:left="780" w:hanging="379"/>
        <w:spacing w:after="0"/>
        <w:tabs>
          <w:tab w:leader="none" w:pos="7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12—Financing Arrangement).</w:t>
      </w:r>
    </w:p>
    <w:p>
      <w:pPr>
        <w:spacing w:after="0" w:line="166" w:lineRule="exact"/>
        <w:rPr>
          <w:rFonts w:ascii="Arial" w:cs="Arial" w:eastAsia="Arial" w:hAnsi="Arial"/>
          <w:sz w:val="13"/>
          <w:szCs w:val="13"/>
          <w:color w:val="auto"/>
        </w:rPr>
      </w:pPr>
    </w:p>
    <w:p>
      <w:pPr>
        <w:ind w:left="800" w:hanging="399"/>
        <w:spacing w:after="0" w:line="257" w:lineRule="auto"/>
        <w:tabs>
          <w:tab w:leader="none" w:pos="7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September 15, 2020, the Company closed on a loan extension agreement for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$10,000 of the outstanding loan balance at closing. On July 1, 2022, the Company further extended the loan maturity to July 1, 2023. The interest rate remained unchanged at 5.5%, and the Company repaid $10,000 of the outstanding loan balance at closing.</w:t>
      </w:r>
    </w:p>
    <w:p>
      <w:pPr>
        <w:spacing w:after="0" w:line="112" w:lineRule="exact"/>
        <w:rPr>
          <w:rFonts w:ascii="Arial" w:cs="Arial" w:eastAsia="Arial" w:hAnsi="Arial"/>
          <w:sz w:val="14"/>
          <w:szCs w:val="14"/>
          <w:color w:val="auto"/>
        </w:rPr>
      </w:pPr>
    </w:p>
    <w:p>
      <w:pPr>
        <w:jc w:val="both"/>
        <w:ind w:left="800" w:right="220" w:hanging="399"/>
        <w:spacing w:after="0" w:line="369" w:lineRule="auto"/>
        <w:tabs>
          <w:tab w:leader="none" w:pos="792" w:val="left"/>
        </w:tabs>
        <w:numPr>
          <w:ilvl w:val="0"/>
          <w:numId w:val="40"/>
        </w:numPr>
        <w:rPr>
          <w:rFonts w:ascii="Arial" w:cs="Arial" w:eastAsia="Arial" w:hAnsi="Arial"/>
          <w:sz w:val="12"/>
          <w:szCs w:val="12"/>
          <w:color w:val="auto"/>
        </w:rPr>
      </w:pPr>
      <w:r>
        <w:rPr>
          <w:rFonts w:ascii="Arial" w:cs="Arial" w:eastAsia="Arial" w:hAnsi="Arial"/>
          <w:sz w:val="12"/>
          <w:szCs w:val="12"/>
          <w:color w:val="auto"/>
        </w:rPr>
        <w:t>On August 26, 2022 and November 28, 2022, the Company repaid $83,058 and $7,117, respectively, of the outstanding loan balance to satisfy certain loan conditions. On January 20, 2023, the Company repaid $26,107 of the outstanding loan balance and exercised its one-year extension option of the loan to January 22, 2024. The interest rate is SOFR plus 3.60%.</w:t>
      </w:r>
    </w:p>
    <w:p>
      <w:pPr>
        <w:spacing w:after="0" w:line="63" w:lineRule="exact"/>
        <w:rPr>
          <w:rFonts w:ascii="Arial" w:cs="Arial" w:eastAsia="Arial" w:hAnsi="Arial"/>
          <w:sz w:val="12"/>
          <w:szCs w:val="12"/>
          <w:color w:val="auto"/>
        </w:rPr>
      </w:pPr>
    </w:p>
    <w:p>
      <w:pPr>
        <w:ind w:left="800" w:right="220" w:hanging="399"/>
        <w:spacing w:after="0" w:line="258" w:lineRule="auto"/>
        <w:tabs>
          <w:tab w:leader="none" w:pos="792"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March 25, 2021, the Company closed on a two-year extension of the loan to March 29, 2023. The interest rate is LIBOR plus 2.75% and the Company repaid $4,680 of the outstanding loan balance at closing. On January 3, 2023, the Company closed on a five-year $370,000 combined refinance of Green Acres Mall and Green Acres Commons. The new interest only loan bears a fixed interest rate of 5.90% and matures on January 6, 2028.</w:t>
      </w:r>
    </w:p>
    <w:p>
      <w:pPr>
        <w:sectPr>
          <w:pgSz w:w="11900" w:h="16838" w:orient="portrait"/>
          <w:cols w:equalWidth="0" w:num="1">
            <w:col w:w="11240"/>
          </w:cols>
          <w:pgMar w:left="320" w:top="2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ind w:left="260" w:hanging="255"/>
        <w:spacing w:after="0"/>
        <w:tabs>
          <w:tab w:leader="none" w:pos="2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2" w:lineRule="exact"/>
        <w:rPr>
          <w:rFonts w:ascii="Arial" w:cs="Arial" w:eastAsia="Arial" w:hAnsi="Arial"/>
          <w:sz w:val="18"/>
          <w:szCs w:val="18"/>
          <w:b w:val="1"/>
          <w:bCs w:val="1"/>
          <w:color w:val="auto"/>
        </w:rPr>
      </w:pPr>
    </w:p>
    <w:p>
      <w:pPr>
        <w:ind w:left="800" w:right="40" w:hanging="399"/>
        <w:spacing w:after="0" w:line="333" w:lineRule="auto"/>
        <w:tabs>
          <w:tab w:leader="none" w:pos="792" w:val="left"/>
        </w:tabs>
        <w:numPr>
          <w:ilvl w:val="1"/>
          <w:numId w:val="41"/>
        </w:numPr>
        <w:rPr>
          <w:rFonts w:ascii="Arial" w:cs="Arial" w:eastAsia="Arial" w:hAnsi="Arial"/>
          <w:sz w:val="12"/>
          <w:szCs w:val="12"/>
          <w:color w:val="auto"/>
        </w:rPr>
      </w:pPr>
      <w:r>
        <w:rPr>
          <w:rFonts w:ascii="Arial" w:cs="Arial" w:eastAsia="Arial" w:hAnsi="Arial"/>
          <w:sz w:val="12"/>
          <w:szCs w:val="12"/>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 On January 3, 2023, the Company closed on a five-year $370,000 combined refinance of Green Acres Mall and Green Acres Commons. The new interest only loan bears a fixed interest rate of 5.90% and matures on January 6, 2028.</w:t>
      </w:r>
    </w:p>
    <w:p>
      <w:pPr>
        <w:spacing w:after="0" w:line="71" w:lineRule="exact"/>
        <w:rPr>
          <w:rFonts w:ascii="Arial" w:cs="Arial" w:eastAsia="Arial" w:hAnsi="Arial"/>
          <w:sz w:val="12"/>
          <w:szCs w:val="12"/>
          <w:color w:val="auto"/>
        </w:rPr>
      </w:pPr>
    </w:p>
    <w:p>
      <w:pPr>
        <w:ind w:left="800" w:right="320" w:hanging="399"/>
        <w:spacing w:after="0" w:line="282" w:lineRule="auto"/>
        <w:tabs>
          <w:tab w:leader="none" w:pos="797" w:val="left"/>
        </w:tabs>
        <w:numPr>
          <w:ilvl w:val="1"/>
          <w:numId w:val="41"/>
        </w:numPr>
        <w:rPr>
          <w:rFonts w:ascii="Arial" w:cs="Arial" w:eastAsia="Arial" w:hAnsi="Arial"/>
          <w:sz w:val="14"/>
          <w:szCs w:val="14"/>
          <w:color w:val="auto"/>
        </w:rPr>
      </w:pPr>
      <w:r>
        <w:rPr>
          <w:rFonts w:ascii="Arial" w:cs="Arial" w:eastAsia="Arial" w:hAnsi="Arial"/>
          <w:sz w:val="14"/>
          <w:szCs w:val="14"/>
          <w:color w:val="auto"/>
        </w:rPr>
        <w:t>On May 6, 2022, the Company closed on a two-year extension of the loan to June 5, 2024 at a new fixed interest rate of 5.25%. The Company repaid $5,000 of the outstanding loan balance at closing.</w:t>
      </w:r>
    </w:p>
    <w:p>
      <w:pPr>
        <w:spacing w:after="0" w:line="109" w:lineRule="exact"/>
        <w:rPr>
          <w:rFonts w:ascii="Arial" w:cs="Arial" w:eastAsia="Arial" w:hAnsi="Arial"/>
          <w:sz w:val="14"/>
          <w:szCs w:val="14"/>
          <w:color w:val="auto"/>
        </w:rPr>
      </w:pPr>
    </w:p>
    <w:p>
      <w:pPr>
        <w:ind w:left="780" w:hanging="379"/>
        <w:spacing w:after="0"/>
        <w:tabs>
          <w:tab w:leader="none" w:pos="780" w:val="left"/>
        </w:tabs>
        <w:numPr>
          <w:ilvl w:val="1"/>
          <w:numId w:val="41"/>
        </w:numPr>
        <w:rPr>
          <w:rFonts w:ascii="Arial" w:cs="Arial" w:eastAsia="Arial" w:hAnsi="Arial"/>
          <w:sz w:val="14"/>
          <w:szCs w:val="14"/>
          <w:color w:val="auto"/>
        </w:rPr>
      </w:pPr>
      <w:r>
        <w:rPr>
          <w:rFonts w:ascii="Arial" w:cs="Arial" w:eastAsia="Arial" w:hAnsi="Arial"/>
          <w:sz w:val="14"/>
          <w:szCs w:val="14"/>
          <w:color w:val="auto"/>
        </w:rPr>
        <w:t>On April 29, 2022, the Company closed on a new $72,000 loan with a fixed rate of 5.29% that matures on May 6, 2032.</w:t>
      </w:r>
    </w:p>
    <w:p>
      <w:pPr>
        <w:spacing w:after="0" w:line="142" w:lineRule="exact"/>
        <w:rPr>
          <w:rFonts w:ascii="Arial" w:cs="Arial" w:eastAsia="Arial" w:hAnsi="Arial"/>
          <w:sz w:val="14"/>
          <w:szCs w:val="14"/>
          <w:color w:val="auto"/>
        </w:rPr>
      </w:pPr>
    </w:p>
    <w:p>
      <w:pPr>
        <w:ind w:left="800" w:hanging="399"/>
        <w:spacing w:after="0" w:line="268" w:lineRule="auto"/>
        <w:tabs>
          <w:tab w:leader="none" w:pos="797" w:val="left"/>
        </w:tabs>
        <w:numPr>
          <w:ilvl w:val="1"/>
          <w:numId w:val="41"/>
        </w:numPr>
        <w:rPr>
          <w:rFonts w:ascii="Arial" w:cs="Arial" w:eastAsia="Arial" w:hAnsi="Arial"/>
          <w:sz w:val="14"/>
          <w:szCs w:val="14"/>
          <w:color w:val="auto"/>
        </w:rPr>
      </w:pPr>
      <w:r>
        <w:rPr>
          <w:rFonts w:ascii="Arial" w:cs="Arial" w:eastAsia="Arial" w:hAnsi="Arial"/>
          <w:sz w:val="14"/>
          <w:szCs w:val="14"/>
          <w:color w:val="auto"/>
        </w:rPr>
        <w:t>On December 9, 2022, the Company closed on a three-year extension of the loan to December 9, 2025, including extension options. The interest rate remained unchanged at LIBOR plus 1.48%, to be converted to SOFR plus 1.59%. The loan is covered by an interest rate cap agreement that effectively prevents LIBOR from exceeding 4.0% during the period ending December 9, 2023.</w:t>
      </w:r>
    </w:p>
    <w:p>
      <w:pPr>
        <w:spacing w:after="0" w:line="106" w:lineRule="exact"/>
        <w:rPr>
          <w:rFonts w:ascii="Arial" w:cs="Arial" w:eastAsia="Arial" w:hAnsi="Arial"/>
          <w:sz w:val="14"/>
          <w:szCs w:val="14"/>
          <w:color w:val="auto"/>
        </w:rPr>
      </w:pPr>
    </w:p>
    <w:p>
      <w:pPr>
        <w:ind w:left="800" w:hanging="399"/>
        <w:spacing w:after="0"/>
        <w:tabs>
          <w:tab w:leader="none" w:pos="8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The Company did not repay the loan on its maturity date, and has begun the process of transferring control of this asset to a loan receiver.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136" w:lineRule="exact"/>
        <w:rPr>
          <w:sz w:val="20"/>
          <w:szCs w:val="20"/>
          <w:color w:val="auto"/>
        </w:rPr>
      </w:pPr>
    </w:p>
    <w:p>
      <w:pPr>
        <w:ind w:right="160" w:firstLine="435"/>
        <w:spacing w:after="0" w:line="262" w:lineRule="auto"/>
        <w:rPr>
          <w:sz w:val="20"/>
          <w:szCs w:val="20"/>
          <w:color w:val="auto"/>
        </w:rPr>
      </w:pPr>
      <w:r>
        <w:rPr>
          <w:rFonts w:ascii="Arial" w:cs="Arial" w:eastAsia="Arial" w:hAnsi="Arial"/>
          <w:sz w:val="18"/>
          <w:szCs w:val="18"/>
          <w:color w:val="auto"/>
        </w:rPr>
        <w:t>As of December 31, 2022, all of the Company's mortgage notes payable are secured by the properties on which they are placed and are non-recourse to the Company.</w:t>
      </w:r>
    </w:p>
    <w:p>
      <w:pPr>
        <w:spacing w:after="0" w:line="115"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The Company expects all loan maturities during the next twelve months will be refinanced, restructured, extended and/or paid off from the Company's line of credit or with cash on hand, with the exception of Towne Mall as noted above.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Total interest expense capitalized during the years ended December 31, 2022, 2021 and 2020 was $10,471, $9,504 and $5,247, respectively.</w:t>
      </w:r>
    </w:p>
    <w:p>
      <w:pPr>
        <w:spacing w:after="0" w:line="159" w:lineRule="exact"/>
        <w:rPr>
          <w:sz w:val="20"/>
          <w:szCs w:val="20"/>
          <w:color w:val="auto"/>
        </w:rPr>
      </w:pPr>
    </w:p>
    <w:p>
      <w:pPr>
        <w:ind w:right="260" w:firstLine="435"/>
        <w:spacing w:after="0" w:line="300" w:lineRule="auto"/>
        <w:rPr>
          <w:sz w:val="20"/>
          <w:szCs w:val="20"/>
          <w:color w:val="auto"/>
        </w:rPr>
      </w:pPr>
      <w:r>
        <w:rPr>
          <w:rFonts w:ascii="Arial" w:cs="Arial" w:eastAsia="Arial" w:hAnsi="Arial"/>
          <w:sz w:val="16"/>
          <w:szCs w:val="16"/>
          <w:color w:val="auto"/>
        </w:rPr>
        <w:t>The estimated fair value (Level 2 measurement) of mortgage notes payable at December 31, 2022 and 2021 was $3,894,588 and $4,261,429, respectively, based on current interest rates for comparable loans. Fair value was determined using a present value model and an interest rate that included a credit value adjustment based on the estimated value of the property that serves as collateral for the underlying debt.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tcPr>
          <w:p>
            <w:pPr>
              <w:ind w:left="440"/>
              <w:spacing w:after="0"/>
              <w:rPr>
                <w:sz w:val="20"/>
                <w:szCs w:val="20"/>
                <w:color w:val="auto"/>
              </w:rPr>
            </w:pPr>
            <w:r>
              <w:rPr>
                <w:rFonts w:ascii="Arial" w:cs="Arial" w:eastAsia="Arial" w:hAnsi="Arial"/>
                <w:sz w:val="18"/>
                <w:szCs w:val="18"/>
                <w:color w:val="auto"/>
              </w:rPr>
              <w:t>The future maturities of mortgage notes payable are as follows: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1"/>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676,512</w:t>
            </w:r>
          </w:p>
        </w:tc>
      </w:tr>
      <w:tr>
        <w:trPr>
          <w:trHeight w:val="207"/>
        </w:trPr>
        <w:tc>
          <w:tcPr>
            <w:tcW w:w="7780" w:type="dxa"/>
            <w:vAlign w:val="bottom"/>
          </w:tcPr>
          <w:p>
            <w:pPr>
              <w:ind w:left="20"/>
              <w:spacing w:after="0"/>
              <w:rPr>
                <w:sz w:val="20"/>
                <w:szCs w:val="20"/>
                <w:color w:val="auto"/>
              </w:rPr>
            </w:pPr>
            <w:r>
              <w:rPr>
                <w:rFonts w:ascii="Arial" w:cs="Arial" w:eastAsia="Arial" w:hAnsi="Arial"/>
                <w:sz w:val="16"/>
                <w:szCs w:val="16"/>
                <w:color w:val="auto"/>
              </w:rPr>
              <w:t>2024</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601,311</w:t>
            </w:r>
          </w:p>
        </w:tc>
      </w:tr>
      <w:tr>
        <w:trPr>
          <w:trHeight w:val="214"/>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908,383</w:t>
            </w:r>
          </w:p>
        </w:tc>
      </w:tr>
      <w:tr>
        <w:trPr>
          <w:trHeight w:val="207"/>
        </w:trPr>
        <w:tc>
          <w:tcPr>
            <w:tcW w:w="7780" w:type="dxa"/>
            <w:vAlign w:val="bottom"/>
          </w:tcPr>
          <w:p>
            <w:pPr>
              <w:ind w:left="20"/>
              <w:spacing w:after="0"/>
              <w:rPr>
                <w:sz w:val="20"/>
                <w:szCs w:val="20"/>
                <w:color w:val="auto"/>
              </w:rPr>
            </w:pPr>
            <w:r>
              <w:rPr>
                <w:rFonts w:ascii="Arial" w:cs="Arial" w:eastAsia="Arial" w:hAnsi="Arial"/>
                <w:sz w:val="16"/>
                <w:szCs w:val="16"/>
                <w:color w:val="auto"/>
              </w:rPr>
              <w:t>2026</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538,780</w:t>
            </w:r>
          </w:p>
        </w:tc>
      </w:tr>
      <w:tr>
        <w:trPr>
          <w:trHeight w:val="214"/>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r>
      <w:tr>
        <w:trPr>
          <w:trHeight w:val="20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1,527,758</w:t>
            </w:r>
          </w:p>
        </w:tc>
      </w:tr>
      <w:tr>
        <w:trPr>
          <w:trHeight w:val="207"/>
        </w:trPr>
        <w:tc>
          <w:tcPr>
            <w:tcW w:w="7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4,254,426</w:t>
            </w:r>
          </w:p>
        </w:tc>
      </w:tr>
      <w:tr>
        <w:trPr>
          <w:trHeight w:val="20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finance cost, net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(13,830)</w:t>
            </w:r>
          </w:p>
        </w:tc>
      </w:tr>
      <w:tr>
        <w:trPr>
          <w:trHeight w:val="229"/>
        </w:trPr>
        <w:tc>
          <w:tcPr>
            <w:tcW w:w="77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4,240,596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future maturities reflected above reflect the extension options that the Company believes will be exercised.</w:t>
      </w:r>
    </w:p>
    <w:p>
      <w:pPr>
        <w:sectPr>
          <w:pgSz w:w="11900" w:h="16838" w:orient="portrait"/>
          <w:cols w:equalWidth="0" w:num="1">
            <w:col w:w="11220"/>
          </w:cols>
          <w:pgMar w:left="320" w:top="2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and other notes payable at December 31, 2022 and 2021 consist of the following:</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Line of Credit: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April 14, 2021, the Company terminated its existing credit facility and entered into a new credit agreement, which provides for an aggregate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$700,000 credit facility, including a $525,000 revolving loan facility that matures on April 14, 2023, with a one-year extension option, and a $175,000 term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loan facility that matures on April 14, 2024. The revolving loan facility can be expanded up to $800,000, subject to receipt of lender commitments and other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conditions. Concurrently with entering into the new credit agreement, the Company drew the $175,000 term loan facility in its entirety and drew $320,000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amount available under the revolving loan facility. Simultaneously with entering into the new credit agreement, the Company repaid $985,000 of debt,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which included terminating and repaying all amounts outstanding under its prior revolving line of credit facility. All obligations under the credit facility 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guaranteed unconditionally by the Company and are secured in the form of mortgages on certain wholly-owned assets and pledges of equity interests held 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certain of the Company’s subsidiaries. The credit facility bears interest at LIBOR plus a spread of 2.25% to 3.25% depending on the Company’s overall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leverage level. As of December 31, 2022 and 2021, the borrowing rate was LIBOR plus 2.25%. As of December 31, 2022 and 2021, borrowings under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revolving loan facility were $171,000 and $119,000, respectively, less unamortized deferred finance costs of $7,883 and $14,189, respectively, at a total interest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rate of 8.08% and 3.86%, respectively. As of December 31, 2022, the Company's availability under the revolving loan facility for additional borrowings was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$353,787. On September 20, 2021, the Company paid off the remaining balance outstanding on the term loan facility with proceeds from the sale of Tucson La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Encantada (See Note 16—Dispositions). The estimated fair value (Level 2 measurement) of borrowings under the credit facility at December 31, 2022 was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$170,898 for the revolving loan facility based on a present value model using a credit interest rate spread offered to the Company for comparable debt.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and 2021, the Company was in compliance with all applicable financial loan covenants.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w:t>
      </w:r>
    </w:p>
    <w:p>
      <w:pPr>
        <w:spacing w:after="0" w:line="155" w:lineRule="exact"/>
        <w:rPr>
          <w:sz w:val="20"/>
          <w:szCs w:val="20"/>
          <w:color w:val="auto"/>
        </w:rPr>
      </w:pPr>
    </w:p>
    <w:p>
      <w:pPr>
        <w:ind w:right="20" w:firstLine="435"/>
        <w:spacing w:after="0" w:line="248" w:lineRule="auto"/>
        <w:rPr>
          <w:sz w:val="20"/>
          <w:szCs w:val="20"/>
          <w:color w:val="auto"/>
        </w:rPr>
      </w:pPr>
      <w:r>
        <w:rPr>
          <w:rFonts w:ascii="Arial" w:cs="Arial" w:eastAsia="Arial" w:hAnsi="Arial"/>
          <w:sz w:val="18"/>
          <w:szCs w:val="18"/>
          <w:color w:val="auto"/>
        </w:rPr>
        <w:t>On September 30, 2009, the Company formed a joint venture, whereby a third party acquired a 49.9% interest in Chandler Fashion Center, a 1,320,000 square foot regional town center in Chandler, Arizona, and Freehold Raceway Mall, a 1,549,000 square foot regional town center in Freehold, New Jersey, referred to herein as Chandler Freehold. As a result of the Company having certain rights under the agreement to repurchase the assets of Chandler Freehold, the transaction did not qualify for sale treatment. The Company, however, is not obligated to repurchase the assets. The Company accounts for its investment in Chandler Freehold as a financing arrangement.</w:t>
      </w:r>
    </w:p>
    <w:p>
      <w:pPr>
        <w:spacing w:after="0" w:line="116" w:lineRule="exact"/>
        <w:rPr>
          <w:sz w:val="20"/>
          <w:szCs w:val="20"/>
          <w:color w:val="auto"/>
        </w:rPr>
      </w:pPr>
    </w:p>
    <w:p>
      <w:pPr>
        <w:ind w:right="120" w:firstLine="435"/>
        <w:spacing w:after="0" w:line="253" w:lineRule="auto"/>
        <w:rPr>
          <w:sz w:val="20"/>
          <w:szCs w:val="20"/>
          <w:color w:val="auto"/>
        </w:rPr>
      </w:pPr>
      <w:r>
        <w:rPr>
          <w:rFonts w:ascii="Arial" w:cs="Arial" w:eastAsia="Arial" w:hAnsi="Arial"/>
          <w:sz w:val="18"/>
          <w:szCs w:val="18"/>
          <w:color w:val="auto"/>
        </w:rPr>
        <w:t>The Company recognizes interest expense on (i) the changes in fair value of the financing arrangement obligation, (ii) any payments to the joint venture partner equal to their pro rata share of net income (loss) and (iii) any payments to the joint venture partner less than or in excess of their pro rata share of net income.</w:t>
      </w:r>
    </w:p>
    <w:p>
      <w:pPr>
        <w:spacing w:after="0" w:line="123" w:lineRule="exact"/>
        <w:rPr>
          <w:sz w:val="20"/>
          <w:szCs w:val="20"/>
          <w:color w:val="auto"/>
        </w:rPr>
      </w:pPr>
    </w:p>
    <w:p>
      <w:pPr>
        <w:ind w:right="840" w:firstLine="435"/>
        <w:spacing w:after="0" w:line="262" w:lineRule="auto"/>
        <w:rPr>
          <w:sz w:val="20"/>
          <w:szCs w:val="20"/>
          <w:color w:val="auto"/>
        </w:rPr>
      </w:pPr>
      <w:r>
        <w:rPr>
          <w:rFonts w:ascii="Arial" w:cs="Arial" w:eastAsia="Arial" w:hAnsi="Arial"/>
          <w:sz w:val="18"/>
          <w:szCs w:val="18"/>
          <w:color w:val="auto"/>
        </w:rPr>
        <w:t>During the years ended December 31, 2022, 2021 and 2020 the Company incurred interest expense (income) in connection with the financing arrangement as follows:</w:t>
      </w:r>
    </w:p>
    <w:p>
      <w:pPr>
        <w:spacing w:after="0" w:line="144" w:lineRule="exact"/>
        <w:rPr>
          <w:sz w:val="20"/>
          <w:szCs w:val="20"/>
          <w:color w:val="auto"/>
        </w:rPr>
      </w:pPr>
    </w:p>
    <w:tbl>
      <w:tblPr>
        <w:tblLayout w:type="fixed"/>
        <w:tblInd w:w="100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4"/>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of the partner's share of net income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4"/>
        </w:trPr>
        <w:tc>
          <w:tcPr>
            <w:tcW w:w="5500" w:type="dxa"/>
            <w:vAlign w:val="bottom"/>
          </w:tcPr>
          <w:p>
            <w:pPr>
              <w:ind w:left="20"/>
              <w:spacing w:after="0"/>
              <w:rPr>
                <w:sz w:val="20"/>
                <w:szCs w:val="20"/>
                <w:color w:val="auto"/>
              </w:rPr>
            </w:pPr>
            <w:r>
              <w:rPr>
                <w:rFonts w:ascii="Arial" w:cs="Arial" w:eastAsia="Arial" w:hAnsi="Arial"/>
                <w:sz w:val="18"/>
                <w:szCs w:val="18"/>
                <w:color w:val="auto"/>
              </w:rPr>
              <w:t>Distributions in excess of the partner's share of net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3,097</w:t>
            </w: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fair value of financing arrangement obligation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(139,522)</w:t>
            </w:r>
          </w:p>
        </w:tc>
      </w:tr>
      <w:tr>
        <w:trPr>
          <w:trHeight w:val="217"/>
        </w:trPr>
        <w:tc>
          <w:tcPr>
            <w:tcW w:w="55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(135,281)</w:t>
            </w: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firstLine="435"/>
        <w:spacing w:after="0" w:line="287" w:lineRule="auto"/>
        <w:rPr>
          <w:sz w:val="20"/>
          <w:szCs w:val="20"/>
          <w:color w:val="auto"/>
        </w:rPr>
      </w:pPr>
      <w:r>
        <w:rPr>
          <w:rFonts w:ascii="Arial" w:cs="Arial" w:eastAsia="Arial" w:hAnsi="Arial"/>
          <w:sz w:val="16"/>
          <w:szCs w:val="16"/>
          <w:color w:val="auto"/>
        </w:rPr>
        <w:t>The fair value (Level 3 measurement) of the financing arrangement obligation at December 31, 2022 and 2021 was based upon a terminal capitalization rate of approximately 6.3% and 5.8%, respectively, a discount rate of approximately 7.8% and 7.3%, respectively, and market rents per square foot ranging from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expense (income)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155" w:lineRule="exact"/>
        <w:rPr>
          <w:sz w:val="20"/>
          <w:szCs w:val="20"/>
          <w:color w:val="auto"/>
        </w:rPr>
      </w:pPr>
    </w:p>
    <w:p>
      <w:pPr>
        <w:ind w:right="100" w:firstLine="435"/>
        <w:spacing w:after="0" w:line="281" w:lineRule="auto"/>
        <w:rPr>
          <w:sz w:val="20"/>
          <w:szCs w:val="20"/>
          <w:color w:val="auto"/>
        </w:rPr>
      </w:pPr>
      <w:r>
        <w:rPr>
          <w:rFonts w:ascii="Arial" w:cs="Arial" w:eastAsia="Arial" w:hAnsi="Arial"/>
          <w:sz w:val="16"/>
          <w:szCs w:val="16"/>
          <w:color w:val="auto"/>
        </w:rPr>
        <w:t>The Company allocates net income of the Operating Partnership based on the weighted-average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periodically to reflect its ownership interest in the Company. The Company had a 96% ownership interest in the Operating Partnership as of December 31, 2022 and 2021. The remaining 4% limited partnership interest as of December 31, 2022 and 2021 was owned by certain of the Company's executive officers and directors, certain of their affiliates, and other third party investors in the form of OP Units. The OP Units may be redeemed for shares of registered or unregistered stock or cash, at the Company's option. The redemption value for each OP Unit as of any balance sheet date is the amount equal to the average of the closing price per share of the Company's common stock, par value $0.01 per share, as reported on the New York Stock Exchange for the ten trading days ending on the respective balance sheet date. Accordingly, as of December 31, 2022 and 2021, the aggregate redemption value of the then-outstanding OP Units not owned by the Company was $103,023 and $147,259, respectively.</w:t>
      </w:r>
    </w:p>
    <w:p>
      <w:pPr>
        <w:spacing w:after="0" w:line="103" w:lineRule="exact"/>
        <w:rPr>
          <w:sz w:val="20"/>
          <w:szCs w:val="20"/>
          <w:color w:val="auto"/>
        </w:rPr>
      </w:pPr>
    </w:p>
    <w:p>
      <w:pPr>
        <w:ind w:right="140" w:firstLine="435"/>
        <w:spacing w:after="0" w:line="253" w:lineRule="auto"/>
        <w:rPr>
          <w:sz w:val="20"/>
          <w:szCs w:val="20"/>
          <w:color w:val="auto"/>
        </w:rPr>
      </w:pPr>
      <w:r>
        <w:rPr>
          <w:rFonts w:ascii="Arial" w:cs="Arial" w:eastAsia="Arial" w:hAnsi="Arial"/>
          <w:sz w:val="18"/>
          <w:szCs w:val="18"/>
          <w:color w:val="auto"/>
        </w:rPr>
        <w:t>The Company issued common and cumulative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09" w:lineRule="exact"/>
        <w:rPr>
          <w:sz w:val="20"/>
          <w:szCs w:val="20"/>
          <w:color w:val="auto"/>
        </w:rPr>
      </w:pPr>
    </w:p>
    <w:p>
      <w:pPr>
        <w:ind w:right="60" w:firstLine="435"/>
        <w:spacing w:after="0" w:line="262"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Dividend:</w:t>
      </w:r>
    </w:p>
    <w:p>
      <w:pPr>
        <w:spacing w:after="0" w:line="136"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On June 3, 2020, the Company issued 7,759,280 common shares to its common stockholders in connection with the quarterly dividend of $0.50 per share of common stock declared on March 16, 2020. The dividend consisted of a combination of cash and shares of the Company's common stock. The cash component of the dividend (not including cash paid in lieu of fractional shares) was 20% in the aggregate, or $0.10 per share, with the balance paid in shares of the Company's common stock.</w:t>
      </w:r>
    </w:p>
    <w:p>
      <w:pPr>
        <w:spacing w:after="0" w:line="126" w:lineRule="exact"/>
        <w:rPr>
          <w:sz w:val="20"/>
          <w:szCs w:val="20"/>
          <w:color w:val="auto"/>
        </w:rPr>
      </w:pPr>
    </w:p>
    <w:p>
      <w:pPr>
        <w:ind w:right="180" w:firstLine="435"/>
        <w:spacing w:after="0" w:line="287" w:lineRule="auto"/>
        <w:rPr>
          <w:sz w:val="20"/>
          <w:szCs w:val="20"/>
          <w:color w:val="auto"/>
        </w:rPr>
      </w:pPr>
      <w:r>
        <w:rPr>
          <w:rFonts w:ascii="Arial" w:cs="Arial" w:eastAsia="Arial" w:hAnsi="Arial"/>
          <w:sz w:val="16"/>
          <w:szCs w:val="16"/>
          <w:color w:val="auto"/>
        </w:rPr>
        <w:t>In accordance with the provisions of Internal Revenue Service Revenue Procedure 2017-45, stockholders were asked to make an election to receive the dividend all in cash or all in shares. To the extent that more than 20% of cash was elected in the aggregate, the cash portion was prorated. Stockholders who elected to receive the dividend in cash received a cash payment of at least $0.10 per share. Stockholders who did not make an election received 20% in cash and 80% in shares of common stock. The number of shares issued as a result of the dividend was calculated based on the volume weighted average trading price of the Company's common stock on the New York Stock Exchange on May 20, May 21 and May 22, 2020 of $7.2956.</w:t>
      </w:r>
    </w:p>
    <w:p>
      <w:pPr>
        <w:spacing w:after="0" w:line="99" w:lineRule="exact"/>
        <w:rPr>
          <w:sz w:val="20"/>
          <w:szCs w:val="20"/>
          <w:color w:val="auto"/>
        </w:rPr>
      </w:pPr>
    </w:p>
    <w:p>
      <w:pPr>
        <w:jc w:val="both"/>
        <w:ind w:firstLine="435"/>
        <w:spacing w:after="0" w:line="253" w:lineRule="auto"/>
        <w:rPr>
          <w:sz w:val="20"/>
          <w:szCs w:val="20"/>
          <w:color w:val="auto"/>
        </w:rPr>
      </w:pPr>
      <w:r>
        <w:rPr>
          <w:rFonts w:ascii="Arial" w:cs="Arial" w:eastAsia="Arial" w:hAnsi="Arial"/>
          <w:sz w:val="18"/>
          <w:szCs w:val="18"/>
          <w:color w:val="auto"/>
        </w:rPr>
        <w:t>The Company accounted for the stock portion of its distribution as a stock issuance as opposed to a stock dividend. Accordingly, the impact of the shares issued is reflected in the Company's earnings per share calculation on a prospective basis. The issuance of the stock dividend resulted in a reduction of $0.05 on both basic and diluted earnings per share for the year ended December 31, 2020.</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Offerings:</w:t>
      </w:r>
    </w:p>
    <w:p>
      <w:pPr>
        <w:spacing w:after="0" w:line="149" w:lineRule="exact"/>
        <w:rPr>
          <w:sz w:val="20"/>
          <w:szCs w:val="20"/>
          <w:color w:val="auto"/>
        </w:rPr>
      </w:pPr>
    </w:p>
    <w:p>
      <w:pPr>
        <w:ind w:right="200" w:firstLine="435"/>
        <w:spacing w:after="0" w:line="248" w:lineRule="auto"/>
        <w:rPr>
          <w:sz w:val="20"/>
          <w:szCs w:val="20"/>
          <w:color w:val="auto"/>
        </w:rPr>
      </w:pPr>
      <w:r>
        <w:rPr>
          <w:rFonts w:ascii="Arial" w:cs="Arial" w:eastAsia="Arial" w:hAnsi="Arial"/>
          <w:sz w:val="18"/>
          <w:szCs w:val="18"/>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w:t>
      </w:r>
    </w:p>
    <w:p>
      <w:pPr>
        <w:spacing w:after="0" w:line="129" w:lineRule="exact"/>
        <w:rPr>
          <w:sz w:val="20"/>
          <w:szCs w:val="20"/>
          <w:color w:val="auto"/>
        </w:rPr>
      </w:pPr>
    </w:p>
    <w:p>
      <w:pPr>
        <w:ind w:right="180" w:firstLine="435"/>
        <w:spacing w:after="0" w:line="262" w:lineRule="auto"/>
        <w:rPr>
          <w:sz w:val="20"/>
          <w:szCs w:val="20"/>
          <w:color w:val="auto"/>
        </w:rPr>
      </w:pPr>
      <w:r>
        <w:rPr>
          <w:rFonts w:ascii="Arial" w:cs="Arial" w:eastAsia="Arial" w:hAnsi="Arial"/>
          <w:sz w:val="18"/>
          <w:szCs w:val="18"/>
          <w:color w:val="auto"/>
        </w:rPr>
        <w:t>During the twelve months ended December 31, 2021, the Company issued 62,049,131 shares of common stock under the ATM Programs for aggregate gross proceeds of $848,301 and net proceeds of $830,241 after commissions and other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15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transaction costs. The proceeds from the sales under the ATM Programs were used to pay down the Company’s line of credit (See Note 11 – Bank and Other Notes Payable). As of December 31, 2022, $151,699 remained available to be sold under the March 2021 ATM Program. The February 2021 ATM Program was fully utilized as of June 30, 2021 and is no longer active. Actual future sales will depend upon a variety of factors including, but not limited to, market conditions, the trading price of the Company’s common stock and the Company’s capital needs. The Company has no obligation to sell the remaining shares available for sale under the ATM Programs.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Buyback Program:</w:t>
      </w:r>
    </w:p>
    <w:p>
      <w:pPr>
        <w:spacing w:after="0" w:line="136" w:lineRule="exact"/>
        <w:rPr>
          <w:sz w:val="20"/>
          <w:szCs w:val="20"/>
          <w:color w:val="auto"/>
        </w:rPr>
      </w:pPr>
    </w:p>
    <w:p>
      <w:pPr>
        <w:ind w:right="100" w:firstLine="435"/>
        <w:spacing w:after="0" w:line="291" w:lineRule="auto"/>
        <w:rPr>
          <w:sz w:val="20"/>
          <w:szCs w:val="20"/>
          <w:color w:val="auto"/>
        </w:rPr>
      </w:pPr>
      <w:r>
        <w:rPr>
          <w:rFonts w:ascii="Arial" w:cs="Arial" w:eastAsia="Arial" w:hAnsi="Arial"/>
          <w:sz w:val="16"/>
          <w:szCs w:val="16"/>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accelerated share repurchase transactions, or other methods of acquiring shares, from time to time as permitted by securities laws and other legal requirements. The program is referred to herein as the "Stock Buyback Program".</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repurchases under the Stock Buyback Program during the years ended December 31, 2022, 2021 and 2020.</w:t>
      </w:r>
    </w:p>
    <w:p>
      <w:pPr>
        <w:spacing w:after="0" w:line="143" w:lineRule="exact"/>
        <w:rPr>
          <w:sz w:val="20"/>
          <w:szCs w:val="20"/>
          <w:color w:val="auto"/>
        </w:rPr>
      </w:pPr>
    </w:p>
    <w:p>
      <w:pPr>
        <w:ind w:left="440" w:right="7500" w:hanging="435"/>
        <w:spacing w:after="0" w:line="459" w:lineRule="auto"/>
        <w:tabs>
          <w:tab w:leader="none" w:pos="269"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Consolidated Joint Venture and Acquisitions: </w:t>
      </w:r>
      <w:r>
        <w:rPr>
          <w:rFonts w:ascii="Arial" w:cs="Arial" w:eastAsia="Arial" w:hAnsi="Arial"/>
          <w:sz w:val="16"/>
          <w:szCs w:val="16"/>
          <w:i w:val="1"/>
          <w:iCs w:val="1"/>
          <w:color w:val="auto"/>
        </w:rPr>
        <w:t>Fashion District Philadelphia:</w:t>
      </w:r>
    </w:p>
    <w:p>
      <w:pPr>
        <w:ind w:right="80" w:firstLine="435"/>
        <w:spacing w:after="0" w:line="281" w:lineRule="auto"/>
        <w:rPr>
          <w:sz w:val="20"/>
          <w:szCs w:val="20"/>
          <w:color w:val="auto"/>
        </w:rPr>
      </w:pPr>
      <w:r>
        <w:rPr>
          <w:rFonts w:ascii="Arial" w:cs="Arial" w:eastAsia="Arial" w:hAnsi="Arial"/>
          <w:sz w:val="16"/>
          <w:szCs w:val="16"/>
          <w:color w:val="auto"/>
        </w:rPr>
        <w:t>Effective December 10, 2020, the Company made the Partnership Loan to the Company’s previously unconsolidated joint venture in Fashion District Philadelphia, pursuant to the joint venture’s amended and restated partnership agreement, to fund a $100,000 repayment to reduce the mortgage notes payable on Fashion District Philadelphia from $301,000 to $201,000. The Partnership Loan plus 15% accrued interest must be repaid prior to the resumption of 50/50 cash distributions to the Company and its joint venture partner. Prior to the restructuring, the Company had accounted for its investment in Fashion District Philadelphia under the equity method of accounting due to substantive participation rights held by the Company’s joint venture partner. Pursuant to the amended and restated partnership agreement, the substantive participation rights of the Company’s joint venture partner were terminated and as a result, the joint venture is treated as a VIE. The Company became the primary beneficiary of the VIE and commenced consolidating Fashion District Philadelphia in its consolidated financial statements effective December 10, 2020. Prior to December 10, 2020, the Company’s share of the joint venture’s net (loss) income was included in its consolidated statements of operations in equity in (loss) income of unconsolidated joint ventures.</w:t>
      </w:r>
    </w:p>
    <w:p>
      <w:pPr>
        <w:spacing w:after="0" w:line="103" w:lineRule="exact"/>
        <w:rPr>
          <w:sz w:val="20"/>
          <w:szCs w:val="20"/>
          <w:color w:val="auto"/>
        </w:rPr>
      </w:pPr>
    </w:p>
    <w:p>
      <w:pPr>
        <w:ind w:firstLine="435"/>
        <w:spacing w:after="0" w:line="304" w:lineRule="auto"/>
        <w:rPr>
          <w:sz w:val="20"/>
          <w:szCs w:val="20"/>
          <w:color w:val="auto"/>
        </w:rPr>
      </w:pPr>
      <w:r>
        <w:rPr>
          <w:rFonts w:ascii="Arial" w:cs="Arial" w:eastAsia="Arial" w:hAnsi="Arial"/>
          <w:sz w:val="15"/>
          <w:szCs w:val="15"/>
          <w:color w:val="auto"/>
        </w:rPr>
        <w:t>The consolidation of the joint venture required the Company to recognize the joint venture’s identifiable assets and liabilities at fair value in the Company’s consolidated financial statements, along with the fair value of the non-controlling interest. The fair value of the joint venture’s assets and liabilities upon initial consolidation were measured using estimates of expected future cash flows and other valuation techniques. The fair value of the joint venture property was determined by using income and market or sales comparison valuation approaches which included, but are not limited to estimates of rental rates, comparable sales, revenue and expense growth rates, capitalization rates and discount rates. The allocation of fair value to assets was estimated by the market or sales comparison, cost and income approaches. Assumed debt was recorded at fair value based upon the present value of the expected future payments and current interest rates. Other acquired assets, including cash, and assumed liabilities were recorded at cost due to the short-term nature of the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72" w:right="39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Consolidated Joint Venture and Acquisitions: (Continued)</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summary of the allocation of the fair value of Fashion District Philadelphia upon its consolidation on December 10, 2020:</w:t>
      </w:r>
    </w:p>
    <w:p>
      <w:pPr>
        <w:spacing w:after="0" w:line="210"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331,514</w:t>
            </w: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Deferred charges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25,272</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receivables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w:t>
            </w:r>
          </w:p>
        </w:tc>
      </w:tr>
      <w:tr>
        <w:trPr>
          <w:trHeight w:val="224"/>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30,582</w:t>
            </w:r>
          </w:p>
        </w:tc>
      </w:tr>
      <w:tr>
        <w:trPr>
          <w:trHeight w:val="217"/>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401,655</w:t>
            </w:r>
          </w:p>
        </w:tc>
      </w:tr>
      <w:tr>
        <w:trPr>
          <w:trHeight w:val="217"/>
        </w:trPr>
        <w:tc>
          <w:tcPr>
            <w:tcW w:w="7780" w:type="dxa"/>
            <w:vAlign w:val="bottom"/>
          </w:tcPr>
          <w:p>
            <w:pPr>
              <w:ind w:left="20"/>
              <w:spacing w:after="0"/>
              <w:rPr>
                <w:sz w:val="20"/>
                <w:szCs w:val="20"/>
                <w:color w:val="auto"/>
              </w:rPr>
            </w:pPr>
            <w:r>
              <w:rPr>
                <w:rFonts w:ascii="Arial" w:cs="Arial" w:eastAsia="Arial" w:hAnsi="Arial"/>
                <w:sz w:val="18"/>
                <w:szCs w:val="18"/>
                <w:color w:val="auto"/>
              </w:rPr>
              <w:t>Mortgage note payable</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201,000</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loan(1)</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6,673</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liabilities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55,717</w:t>
            </w:r>
          </w:p>
        </w:tc>
      </w:tr>
      <w:tr>
        <w:trPr>
          <w:trHeight w:val="217"/>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363,393</w:t>
            </w:r>
          </w:p>
        </w:tc>
      </w:tr>
      <w:tr>
        <w:trPr>
          <w:trHeight w:val="217"/>
        </w:trPr>
        <w:tc>
          <w:tcPr>
            <w:tcW w:w="7780" w:type="dxa"/>
            <w:vAlign w:val="bottom"/>
          </w:tcPr>
          <w:p>
            <w:pPr>
              <w:ind w:left="140"/>
              <w:spacing w:after="0"/>
              <w:rPr>
                <w:sz w:val="20"/>
                <w:szCs w:val="20"/>
                <w:color w:val="auto"/>
              </w:rPr>
            </w:pPr>
            <w:r>
              <w:rPr>
                <w:rFonts w:ascii="Arial" w:cs="Arial" w:eastAsia="Arial" w:hAnsi="Arial"/>
                <w:sz w:val="18"/>
                <w:szCs w:val="18"/>
                <w:color w:val="auto"/>
              </w:rPr>
              <w:t>Fair value of acquired net assets (at 100% ownership)</w:t>
            </w: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38,262</w:t>
            </w: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780" w:hanging="379"/>
        <w:spacing w:after="0"/>
        <w:tabs>
          <w:tab w:leader="none" w:pos="7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Partnership Loan is eliminated in the Company's consolidated financial statements.</w:t>
      </w:r>
    </w:p>
    <w:p>
      <w:pPr>
        <w:spacing w:after="0" w:line="148" w:lineRule="exact"/>
        <w:rPr>
          <w:sz w:val="20"/>
          <w:szCs w:val="20"/>
          <w:color w:val="auto"/>
        </w:rPr>
      </w:pPr>
    </w:p>
    <w:p>
      <w:pPr>
        <w:ind w:firstLine="435"/>
        <w:spacing w:after="0" w:line="300" w:lineRule="auto"/>
        <w:rPr>
          <w:sz w:val="20"/>
          <w:szCs w:val="20"/>
          <w:color w:val="auto"/>
        </w:rPr>
      </w:pPr>
      <w:r>
        <w:rPr>
          <w:rFonts w:ascii="Arial" w:cs="Arial" w:eastAsia="Arial" w:hAnsi="Arial"/>
          <w:sz w:val="16"/>
          <w:szCs w:val="16"/>
          <w:color w:val="auto"/>
        </w:rPr>
        <w:t>The Company recognized a remeasurement loss to adjust the carrying value of its existing investment in the joint venture to its estimated fair value in the Company’s consolidated financial statements. The remeasurement loss was determined by taking the difference between the fair value of assets less its liabilities and the sum of the carrying value of the Company’s existing investment in the joint venture and the fair value of the noncontrolling interest.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recognized the following remeasurement loss on the Fashion District Philadelphia restructuring:</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acquired net assets (at 100% ownership)</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38,262</w:t>
            </w: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Fair value of the noncontrolling interest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(19,131)</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value of existing investment in the joint venture</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(182,429)</w:t>
            </w:r>
          </w:p>
        </w:tc>
      </w:tr>
      <w:tr>
        <w:trPr>
          <w:trHeight w:val="217"/>
        </w:trPr>
        <w:tc>
          <w:tcPr>
            <w:tcW w:w="7780" w:type="dxa"/>
            <w:vAlign w:val="bottom"/>
          </w:tcPr>
          <w:p>
            <w:pPr>
              <w:ind w:left="140"/>
              <w:spacing w:after="0"/>
              <w:rPr>
                <w:sz w:val="20"/>
                <w:szCs w:val="20"/>
                <w:color w:val="auto"/>
              </w:rPr>
            </w:pPr>
            <w:r>
              <w:rPr>
                <w:rFonts w:ascii="Arial" w:cs="Arial" w:eastAsia="Arial" w:hAnsi="Arial"/>
                <w:sz w:val="18"/>
                <w:szCs w:val="18"/>
                <w:color w:val="auto"/>
              </w:rPr>
              <w:t>Loss on remeasurement of asset</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(163,298)</w:t>
            </w:r>
          </w:p>
        </w:tc>
      </w:tr>
      <w:tr>
        <w:trPr>
          <w:trHeight w:val="20"/>
        </w:trPr>
        <w:tc>
          <w:tcPr>
            <w:tcW w:w="7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Sears South Plains:</w:t>
      </w:r>
    </w:p>
    <w:p>
      <w:pPr>
        <w:spacing w:after="0" w:line="136" w:lineRule="exact"/>
        <w:rPr>
          <w:sz w:val="20"/>
          <w:szCs w:val="20"/>
          <w:color w:val="auto"/>
        </w:rPr>
      </w:pPr>
    </w:p>
    <w:p>
      <w:pPr>
        <w:ind w:right="80" w:firstLine="435"/>
        <w:spacing w:after="0" w:line="287" w:lineRule="auto"/>
        <w:rPr>
          <w:sz w:val="20"/>
          <w:szCs w:val="20"/>
          <w:color w:val="auto"/>
        </w:rPr>
      </w:pPr>
      <w:r>
        <w:rPr>
          <w:rFonts w:ascii="Arial" w:cs="Arial" w:eastAsia="Arial" w:hAnsi="Arial"/>
          <w:sz w:val="16"/>
          <w:szCs w:val="16"/>
          <w:color w:val="auto"/>
        </w:rPr>
        <w:t>On December 31, 2020, the Company and its joint venture partner in MS Portfolio LLC entered into a distribution agreement. The joint venture owned nine properties, including the former Sears parcels at the South Plains Mall and the Arrowhead Towne Center. The joint venture distributed the former Sears parcel at South Plains Mall to the Company and the former Sears parcel at Arrowhead Towne Center to the joint venture partner. The joint venture partners agreed that the distributed properties were of equal value. The Company now owns 100% of the former Sears parcel at South Plains Mall. Effective December 31, 2020, the Company consolidates its 100% interest in the Sears parcel at South Plains Mall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Consolidated Joint Venture and Acquisitions: (Continued)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allocation of the fair value of Sears South Plains upon its consolidation on December 31,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r>
      <w:tr>
        <w:trPr>
          <w:trHeight w:val="224"/>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 and improvements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11,130</w:t>
            </w:r>
          </w:p>
        </w:tc>
      </w:tr>
      <w:tr>
        <w:trPr>
          <w:trHeight w:val="242"/>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acquired net assets (at 100% ownership)</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Sears Deptford Mall and Vintage Faire Mall:</w:t>
      </w:r>
    </w:p>
    <w:p>
      <w:pPr>
        <w:spacing w:after="0" w:line="149" w:lineRule="exact"/>
        <w:rPr>
          <w:sz w:val="20"/>
          <w:szCs w:val="20"/>
          <w:color w:val="auto"/>
        </w:rPr>
      </w:pPr>
    </w:p>
    <w:p>
      <w:pPr>
        <w:jc w:val="both"/>
        <w:ind w:firstLine="435"/>
        <w:spacing w:after="0" w:line="300" w:lineRule="auto"/>
        <w:rPr>
          <w:sz w:val="20"/>
          <w:szCs w:val="20"/>
          <w:color w:val="auto"/>
        </w:rPr>
      </w:pPr>
      <w:r>
        <w:rPr>
          <w:rFonts w:ascii="Arial" w:cs="Arial" w:eastAsia="Arial" w:hAnsi="Arial"/>
          <w:sz w:val="16"/>
          <w:szCs w:val="16"/>
          <w:color w:val="auto"/>
        </w:rPr>
        <w:t>On August 2, 2022, the Company acquired the remaining 50% ownership interest in two former Sears parcels (Deptford Mall and Vintage Faire Mall) in the MS Portfolio LLC joint venture that it did not previously own for a total purchase price of $24,544. Effective as of August 2, 2022, the Company now owns and has consolidated its 100% interest in these two former Sears parcels in its consolidated financial statements.</w:t>
      </w:r>
    </w:p>
    <w:p>
      <w:pPr>
        <w:spacing w:after="0" w:line="74" w:lineRule="exact"/>
        <w:rPr>
          <w:sz w:val="20"/>
          <w:szCs w:val="20"/>
          <w:color w:val="auto"/>
        </w:rPr>
      </w:pPr>
    </w:p>
    <w:p>
      <w:pPr>
        <w:ind w:right="860" w:firstLine="435"/>
        <w:spacing w:after="0" w:line="262" w:lineRule="auto"/>
        <w:rPr>
          <w:sz w:val="20"/>
          <w:szCs w:val="20"/>
          <w:color w:val="auto"/>
        </w:rPr>
      </w:pPr>
      <w:r>
        <w:rPr>
          <w:rFonts w:ascii="Arial" w:cs="Arial" w:eastAsia="Arial" w:hAnsi="Arial"/>
          <w:sz w:val="18"/>
          <w:szCs w:val="18"/>
          <w:color w:val="auto"/>
        </w:rPr>
        <w:t>The following is a summary of the allocation of the fair value of the former Sears parcels at Deptford Mall and Vintage Faire Mall upon their consolidation on August 2,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32,934</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r>
      <w:tr>
        <w:trPr>
          <w:trHeight w:val="224"/>
        </w:trPr>
        <w:tc>
          <w:tcPr>
            <w:tcW w:w="7780" w:type="dxa"/>
            <w:vAlign w:val="bottom"/>
          </w:tcPr>
          <w:p>
            <w:pPr>
              <w:ind w:left="20"/>
              <w:spacing w:after="0"/>
              <w:rPr>
                <w:sz w:val="20"/>
                <w:szCs w:val="20"/>
                <w:color w:val="auto"/>
              </w:rPr>
            </w:pPr>
            <w:r>
              <w:rPr>
                <w:rFonts w:ascii="Arial" w:cs="Arial" w:eastAsia="Arial" w:hAnsi="Arial"/>
                <w:sz w:val="18"/>
                <w:szCs w:val="18"/>
                <w:color w:val="auto"/>
              </w:rPr>
              <w:t>Other assets (above-market leases)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17"/>
        </w:trPr>
        <w:tc>
          <w:tcPr>
            <w:tcW w:w="7780" w:type="dxa"/>
            <w:vAlign w:val="bottom"/>
          </w:tcPr>
          <w:p>
            <w:pPr>
              <w:ind w:left="20"/>
              <w:spacing w:after="0"/>
              <w:rPr>
                <w:sz w:val="20"/>
                <w:szCs w:val="20"/>
                <w:color w:val="auto"/>
              </w:rPr>
            </w:pPr>
            <w:r>
              <w:rPr>
                <w:rFonts w:ascii="Arial" w:cs="Arial" w:eastAsia="Arial" w:hAnsi="Arial"/>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48,098</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Dispositions:</w:t>
      </w:r>
    </w:p>
    <w:p>
      <w:pPr>
        <w:spacing w:after="0" w:line="155" w:lineRule="exact"/>
        <w:rPr>
          <w:sz w:val="20"/>
          <w:szCs w:val="20"/>
          <w:color w:val="auto"/>
        </w:rPr>
      </w:pPr>
    </w:p>
    <w:p>
      <w:pPr>
        <w:ind w:right="40" w:firstLine="632"/>
        <w:spacing w:after="0" w:line="250" w:lineRule="auto"/>
        <w:rPr>
          <w:sz w:val="20"/>
          <w:szCs w:val="20"/>
          <w:color w:val="auto"/>
        </w:rPr>
      </w:pPr>
      <w:r>
        <w:rPr>
          <w:rFonts w:ascii="Arial" w:cs="Arial" w:eastAsia="Arial" w:hAnsi="Arial"/>
          <w:sz w:val="18"/>
          <w:szCs w:val="18"/>
          <w:color w:val="auto"/>
        </w:rPr>
        <w:t>On March 29, 2021, the Company sold Paradise Valley Mall in Phoenix, Arizona to a newly formed joint venture for $100,000 resulting in a gain on sale of assets and land of $5,563. Concurrent with the sale, the Company elected to reinvest into the new joint venture at a 5% ownership interest (see Note 4 – Investments in Unconsolidated Joint Ventures). The Company used the proceeds from the sale to pay down its line of credit and for other general corporate purposes.</w:t>
      </w:r>
    </w:p>
    <w:p>
      <w:pPr>
        <w:spacing w:after="0" w:line="126" w:lineRule="exact"/>
        <w:rPr>
          <w:sz w:val="20"/>
          <w:szCs w:val="20"/>
          <w:color w:val="auto"/>
        </w:rPr>
      </w:pPr>
    </w:p>
    <w:p>
      <w:pPr>
        <w:ind w:right="60" w:firstLine="435"/>
        <w:spacing w:after="0" w:line="262" w:lineRule="auto"/>
        <w:rPr>
          <w:sz w:val="20"/>
          <w:szCs w:val="20"/>
          <w:color w:val="auto"/>
        </w:rPr>
      </w:pPr>
      <w:r>
        <w:rPr>
          <w:rFonts w:ascii="Arial" w:cs="Arial" w:eastAsia="Arial" w:hAnsi="Arial"/>
          <w:sz w:val="18"/>
          <w:szCs w:val="18"/>
          <w:color w:val="auto"/>
        </w:rPr>
        <w:t>On September 17, 2021, the Company sold Tucson La Encantada in Tucson, Arizona for $165,250, resulting in a gain on sale of assets of approximately $117,242. The Company used the net cash proceeds of $100,142 to pay down debt.</w:t>
      </w:r>
    </w:p>
    <w:p>
      <w:pPr>
        <w:spacing w:after="0" w:line="101" w:lineRule="exact"/>
        <w:rPr>
          <w:sz w:val="20"/>
          <w:szCs w:val="20"/>
          <w:color w:val="auto"/>
        </w:rPr>
      </w:pPr>
    </w:p>
    <w:p>
      <w:pPr>
        <w:ind w:right="60" w:firstLine="435"/>
        <w:spacing w:after="0" w:line="253" w:lineRule="auto"/>
        <w:rPr>
          <w:sz w:val="20"/>
          <w:szCs w:val="20"/>
          <w:color w:val="auto"/>
        </w:rPr>
      </w:pPr>
      <w:r>
        <w:rPr>
          <w:rFonts w:ascii="Arial" w:cs="Arial" w:eastAsia="Arial" w:hAnsi="Arial"/>
          <w:sz w:val="18"/>
          <w:szCs w:val="18"/>
          <w:color w:val="auto"/>
        </w:rPr>
        <w:t>For the twelve months ended December 31, 2022, 2021 and 2020, the Company sold various land parcels in separate transactions, resulting in gains on sale of land of $22,357, $29,427 and $8,593, respectively. The Company used its share of the proceeds from these sales to pay down debt and for other general corporate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55" w:lineRule="exact"/>
        <w:rPr>
          <w:sz w:val="20"/>
          <w:szCs w:val="20"/>
          <w:color w:val="auto"/>
        </w:rPr>
      </w:pPr>
    </w:p>
    <w:p>
      <w:pPr>
        <w:ind w:right="320" w:firstLine="435"/>
        <w:spacing w:after="0" w:line="325" w:lineRule="auto"/>
        <w:rPr>
          <w:sz w:val="20"/>
          <w:szCs w:val="20"/>
          <w:color w:val="auto"/>
        </w:rPr>
      </w:pPr>
      <w:r>
        <w:rPr>
          <w:rFonts w:ascii="Arial" w:cs="Arial" w:eastAsia="Arial" w:hAnsi="Arial"/>
          <w:sz w:val="16"/>
          <w:szCs w:val="16"/>
          <w:color w:val="auto"/>
        </w:rPr>
        <w:t>As of December 31, 2022, the Company was contingently liable for $40,931 in letters of credit guaranteeing performance by the Company of certain obligations relating to the Centers. The Company does not believe that these letters of credit will result in a liability to the Company.</w:t>
      </w:r>
    </w:p>
    <w:p>
      <w:pPr>
        <w:spacing w:after="0" w:line="55" w:lineRule="exact"/>
        <w:rPr>
          <w:sz w:val="20"/>
          <w:szCs w:val="20"/>
          <w:color w:val="auto"/>
        </w:rPr>
      </w:pPr>
    </w:p>
    <w:p>
      <w:pPr>
        <w:ind w:right="100" w:firstLine="435"/>
        <w:spacing w:after="0" w:line="300" w:lineRule="auto"/>
        <w:rPr>
          <w:sz w:val="20"/>
          <w:szCs w:val="20"/>
          <w:color w:val="auto"/>
        </w:rPr>
      </w:pPr>
      <w:r>
        <w:rPr>
          <w:rFonts w:ascii="Arial" w:cs="Arial" w:eastAsia="Arial" w:hAnsi="Arial"/>
          <w:sz w:val="16"/>
          <w:szCs w:val="16"/>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December 31, 2022, the Company had $3,164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55" w:lineRule="exact"/>
        <w:rPr>
          <w:sz w:val="20"/>
          <w:szCs w:val="20"/>
          <w:color w:val="auto"/>
        </w:rPr>
      </w:pPr>
    </w:p>
    <w:p>
      <w:pPr>
        <w:ind w:right="40" w:firstLine="435"/>
        <w:spacing w:after="0" w:line="287" w:lineRule="auto"/>
        <w:rPr>
          <w:sz w:val="20"/>
          <w:szCs w:val="20"/>
          <w:color w:val="auto"/>
        </w:rPr>
      </w:pPr>
      <w:r>
        <w:rPr>
          <w:rFonts w:ascii="Arial" w:cs="Arial" w:eastAsia="Arial" w:hAnsi="Arial"/>
          <w:sz w:val="16"/>
          <w:szCs w:val="16"/>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 The following are fees charged to unconsolidated joint ventures for the years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18,208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r>
      <w:tr>
        <w:trPr>
          <w:trHeight w:val="22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and leasing fees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w:t>
            </w:r>
          </w:p>
        </w:tc>
      </w:tr>
      <w:tr>
        <w:trPr>
          <w:trHeight w:val="242"/>
        </w:trPr>
        <w:tc>
          <w:tcPr>
            <w:tcW w:w="4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26,236</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23,830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right="160" w:firstLine="435"/>
        <w:spacing w:after="0" w:line="262" w:lineRule="auto"/>
        <w:rPr>
          <w:sz w:val="20"/>
          <w:szCs w:val="20"/>
          <w:color w:val="auto"/>
        </w:rPr>
      </w:pPr>
      <w:r>
        <w:rPr>
          <w:rFonts w:ascii="Arial" w:cs="Arial" w:eastAsia="Arial" w:hAnsi="Arial"/>
          <w:sz w:val="18"/>
          <w:szCs w:val="18"/>
          <w:color w:val="auto"/>
        </w:rPr>
        <w:t>Interest expense (income) from related party transactions also includes $34,735, $(3,718) and $(135,281) for the years ended December 31, 2022, 2021 and 2020, respectively, in connection with the Financing Arrangement (See Note 12—Financing Arrangement).</w:t>
      </w:r>
    </w:p>
    <w:p>
      <w:pPr>
        <w:spacing w:after="0" w:line="115" w:lineRule="exact"/>
        <w:rPr>
          <w:sz w:val="20"/>
          <w:szCs w:val="20"/>
          <w:color w:val="auto"/>
        </w:rPr>
      </w:pPr>
    </w:p>
    <w:p>
      <w:pPr>
        <w:ind w:right="740" w:firstLine="435"/>
        <w:spacing w:after="0" w:line="262" w:lineRule="auto"/>
        <w:rPr>
          <w:sz w:val="20"/>
          <w:szCs w:val="20"/>
          <w:color w:val="auto"/>
        </w:rPr>
      </w:pPr>
      <w:r>
        <w:rPr>
          <w:rFonts w:ascii="Arial" w:cs="Arial" w:eastAsia="Arial" w:hAnsi="Arial"/>
          <w:sz w:val="18"/>
          <w:szCs w:val="18"/>
          <w:color w:val="auto"/>
        </w:rPr>
        <w:t>Due from (to) affiliates includes $3,299 and $(327) of unreimbursed (prepaid) costs and fees due from (to) unconsolidated joint ventures under management agreements at December 31, 2022 and 2021,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w:t>
      </w:r>
    </w:p>
    <w:p>
      <w:pPr>
        <w:spacing w:after="0" w:line="155" w:lineRule="exact"/>
        <w:rPr>
          <w:sz w:val="20"/>
          <w:szCs w:val="20"/>
          <w:color w:val="auto"/>
        </w:rPr>
      </w:pPr>
    </w:p>
    <w:p>
      <w:pPr>
        <w:ind w:right="200" w:firstLine="435"/>
        <w:spacing w:after="0" w:line="262" w:lineRule="auto"/>
        <w:rPr>
          <w:sz w:val="20"/>
          <w:szCs w:val="20"/>
          <w:color w:val="auto"/>
        </w:rPr>
      </w:pPr>
      <w:r>
        <w:rPr>
          <w:rFonts w:ascii="Arial" w:cs="Arial" w:eastAsia="Arial" w:hAnsi="Arial"/>
          <w:sz w:val="18"/>
          <w:szCs w:val="18"/>
          <w:color w:val="auto"/>
        </w:rPr>
        <w:t>The Company has established share and unit-based compensation plans for the purpose of attracting and retaining executive officers, directors and key employees.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2003 Equity Incentive Plan:</w:t>
      </w:r>
    </w:p>
    <w:p>
      <w:pPr>
        <w:spacing w:after="0" w:line="142" w:lineRule="exact"/>
        <w:rPr>
          <w:sz w:val="20"/>
          <w:szCs w:val="20"/>
          <w:color w:val="auto"/>
        </w:rPr>
      </w:pPr>
    </w:p>
    <w:p>
      <w:pPr>
        <w:ind w:right="20" w:firstLine="435"/>
        <w:spacing w:after="0" w:line="304" w:lineRule="auto"/>
        <w:rPr>
          <w:sz w:val="20"/>
          <w:szCs w:val="20"/>
          <w:color w:val="auto"/>
        </w:rPr>
      </w:pPr>
      <w:r>
        <w:rPr>
          <w:rFonts w:ascii="Arial" w:cs="Arial" w:eastAsia="Arial" w:hAnsi="Arial"/>
          <w:sz w:val="15"/>
          <w:szCs w:val="15"/>
          <w:color w:val="auto"/>
        </w:rPr>
        <w:t>The 2003 Equity Incentive Plan ("2003 Plan") authorizes the grant of stock awards, stock options, stock appreciation rights, stock units, stock bonuses, performance-based awards, dividend equivalent rights and OP Units or other convertible or exchangeable units. As of December 31, 2022, stock awards, stock units, LTIP Units (as defined below), stock appreciation rights ("SARs") and stock options have been granted under the 2003 Plan. All stock options or other rights to acquire common stock granted under the 2003 Plan have a term of 10 years or less. These awards were generally granted based on the performance of the Company and the employees. None of the awards have performance requirements other than a service condition of continued employment unless otherwise provided. All awards are subject to restrictions determined by the Company's compensation committee. The aggregate number of shares of common stock that may be issued under the 2003 Plan is 20,912,331 shares. As of December 31, 2022, there were 4,150,526 shares available for issuance under the 2003 Plan.</w:t>
      </w:r>
    </w:p>
    <w:p>
      <w:pPr>
        <w:spacing w:after="0" w:line="32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Units:</w:t>
      </w:r>
    </w:p>
    <w:p>
      <w:pPr>
        <w:spacing w:after="0" w:line="149" w:lineRule="exact"/>
        <w:rPr>
          <w:sz w:val="20"/>
          <w:szCs w:val="20"/>
          <w:color w:val="auto"/>
        </w:rPr>
      </w:pPr>
    </w:p>
    <w:p>
      <w:pPr>
        <w:jc w:val="both"/>
        <w:ind w:right="20" w:firstLine="435"/>
        <w:spacing w:after="0" w:line="253" w:lineRule="auto"/>
        <w:rPr>
          <w:sz w:val="20"/>
          <w:szCs w:val="20"/>
          <w:color w:val="auto"/>
        </w:rPr>
      </w:pPr>
      <w:r>
        <w:rPr>
          <w:rFonts w:ascii="Arial" w:cs="Arial" w:eastAsia="Arial" w:hAnsi="Arial"/>
          <w:sz w:val="18"/>
          <w:szCs w:val="18"/>
          <w:color w:val="auto"/>
        </w:rPr>
        <w:t>The stock units represent the right to receive upon vesting one share of the Company's common stock for one stock unit. The value of the stock units was determined by the market price of the Company's common stock on the date of the grant. The following table summarizes the activity of non-vested stock units during the years ended December 31, 2022, 2021 and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4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4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40"/>
              <w:spacing w:after="0" w:line="125"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20"/>
              <w:spacing w:after="0" w:line="125"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6"/>
        </w:trPr>
        <w:tc>
          <w:tcPr>
            <w:tcW w:w="2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6"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6"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130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Grant Date</w:t>
            </w:r>
          </w:p>
        </w:tc>
        <w:tc>
          <w:tcPr>
            <w:tcW w:w="128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4"/>
              </w:rPr>
              <w:t>Grant Date</w:t>
            </w:r>
          </w:p>
        </w:tc>
        <w:tc>
          <w:tcPr>
            <w:tcW w:w="130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209,146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169,112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295,054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266,505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309,845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right="7880" w:hanging="435"/>
        <w:spacing w:after="0" w:line="499" w:lineRule="auto"/>
        <w:tabs>
          <w:tab w:leader="none" w:pos="269"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 and Unit-based Plans: (Continued) </w:t>
      </w:r>
      <w:r>
        <w:rPr>
          <w:rFonts w:ascii="Arial" w:cs="Arial" w:eastAsia="Arial" w:hAnsi="Arial"/>
          <w:sz w:val="15"/>
          <w:szCs w:val="15"/>
          <w:i w:val="1"/>
          <w:iCs w:val="1"/>
          <w:color w:val="auto"/>
        </w:rPr>
        <w:t>Long-Term Incentive Plan Units:</w:t>
      </w:r>
    </w:p>
    <w:p>
      <w:pPr>
        <w:ind w:right="40" w:firstLine="435"/>
        <w:spacing w:after="0" w:line="287" w:lineRule="auto"/>
        <w:rPr>
          <w:sz w:val="20"/>
          <w:szCs w:val="20"/>
          <w:color w:val="auto"/>
        </w:rPr>
      </w:pPr>
      <w:r>
        <w:rPr>
          <w:rFonts w:ascii="Arial" w:cs="Arial" w:eastAsia="Arial" w:hAnsi="Arial"/>
          <w:sz w:val="16"/>
          <w:szCs w:val="16"/>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86" w:lineRule="exact"/>
        <w:rPr>
          <w:sz w:val="20"/>
          <w:szCs w:val="20"/>
          <w:color w:val="auto"/>
        </w:rPr>
      </w:pPr>
    </w:p>
    <w:p>
      <w:pPr>
        <w:ind w:right="120" w:firstLine="435"/>
        <w:spacing w:after="0" w:line="300" w:lineRule="auto"/>
        <w:rPr>
          <w:sz w:val="20"/>
          <w:szCs w:val="20"/>
          <w:color w:val="auto"/>
        </w:rPr>
      </w:pPr>
      <w:r>
        <w:rPr>
          <w:rFonts w:ascii="Arial" w:cs="Arial" w:eastAsia="Arial" w:hAnsi="Arial"/>
          <w:sz w:val="16"/>
          <w:szCs w:val="16"/>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87" w:lineRule="exact"/>
        <w:rPr>
          <w:sz w:val="20"/>
          <w:szCs w:val="20"/>
          <w:color w:val="auto"/>
        </w:rPr>
      </w:pPr>
    </w:p>
    <w:p>
      <w:pPr>
        <w:ind w:firstLine="435"/>
        <w:spacing w:after="0" w:line="283" w:lineRule="auto"/>
        <w:rPr>
          <w:sz w:val="20"/>
          <w:szCs w:val="20"/>
          <w:color w:val="auto"/>
        </w:rPr>
      </w:pPr>
      <w:r>
        <w:rPr>
          <w:rFonts w:ascii="Arial" w:cs="Arial" w:eastAsia="Arial" w:hAnsi="Arial"/>
          <w:sz w:val="16"/>
          <w:szCs w:val="16"/>
          <w:color w:val="auto"/>
        </w:rPr>
        <w:t>The fair value of the service-based LTI Units was determined by the market price of the Company's common stock on the date of the grant. The fair value of the market-indexed LTI Units and performance-based LTI Units are estimated on the date of grant using a Monte Carlo Simulation model. The stock price of the Company, along with the stock prices of the group of peer REITs (for market-indexed awards), is assumed to follow the Multivariate Geometric Brownian Motion Process. Multivariate Geometric Brownian Motion is a common assumption when modeling in financial markets, as it allows the modeled quantity (in this case, the stock price) to vary randomly from its current value and take any value greater than zero. The volatilities of the returns on the share price of the Company and the peer group REITs were estimated based on a look-back period. The expected growth rate of the stock prices over the "derived service period" is determined with consideration of the risk free rate as of the grant date.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granted the following LTI units during the years ended December 31, 2022, 2021 and 2020: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Grant Date</w:t>
            </w:r>
          </w:p>
        </w:tc>
        <w:tc>
          <w:tcPr>
            <w:tcW w:w="160" w:type="dxa"/>
            <w:vAlign w:val="bottom"/>
            <w:vMerge w:val="restart"/>
          </w:tcPr>
          <w:p>
            <w:pPr>
              <w:spacing w:after="0"/>
              <w:rPr>
                <w:sz w:val="16"/>
                <w:szCs w:val="16"/>
                <w:color w:val="auto"/>
              </w:rPr>
            </w:pPr>
          </w:p>
        </w:tc>
        <w:tc>
          <w:tcPr>
            <w:tcW w:w="122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6"/>
                <w:szCs w:val="16"/>
                <w:color w:val="auto"/>
              </w:rPr>
            </w:pPr>
          </w:p>
        </w:tc>
        <w:tc>
          <w:tcPr>
            <w:tcW w:w="18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Type</w:t>
            </w:r>
          </w:p>
        </w:tc>
        <w:tc>
          <w:tcPr>
            <w:tcW w:w="160" w:type="dxa"/>
            <w:vAlign w:val="bottom"/>
            <w:vMerge w:val="restart"/>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Fair Value per LTI</w:t>
            </w:r>
          </w:p>
        </w:tc>
        <w:tc>
          <w:tcPr>
            <w:tcW w:w="130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Vest Date</w:t>
            </w:r>
          </w:p>
        </w:tc>
        <w:tc>
          <w:tcPr>
            <w:tcW w:w="0" w:type="dxa"/>
            <w:vAlign w:val="bottom"/>
          </w:tcPr>
          <w:p>
            <w:pPr>
              <w:spacing w:after="0"/>
              <w:rPr>
                <w:sz w:val="1"/>
                <w:szCs w:val="1"/>
                <w:color w:val="auto"/>
              </w:rPr>
            </w:pPr>
          </w:p>
        </w:tc>
      </w:tr>
      <w:tr>
        <w:trPr>
          <w:trHeight w:val="208"/>
        </w:trPr>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Unit</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154,158</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12/31/2022</w:t>
            </w:r>
          </w:p>
        </w:tc>
        <w:tc>
          <w:tcPr>
            <w:tcW w:w="0" w:type="dxa"/>
            <w:vAlign w:val="bottom"/>
          </w:tcPr>
          <w:p>
            <w:pPr>
              <w:spacing w:after="0"/>
              <w:rPr>
                <w:sz w:val="1"/>
                <w:szCs w:val="1"/>
                <w:color w:val="auto"/>
              </w:rPr>
            </w:pPr>
          </w:p>
        </w:tc>
      </w:tr>
      <w:tr>
        <w:trPr>
          <w:trHeight w:val="224"/>
        </w:trPr>
        <w:tc>
          <w:tcPr>
            <w:tcW w:w="1260" w:type="dxa"/>
            <w:vAlign w:val="bottom"/>
          </w:tcPr>
          <w:p>
            <w:pPr>
              <w:jc w:val="right"/>
              <w:spacing w:after="0"/>
              <w:rPr>
                <w:sz w:val="20"/>
                <w:szCs w:val="20"/>
                <w:color w:val="auto"/>
              </w:rPr>
            </w:pPr>
            <w:r>
              <w:rPr>
                <w:rFonts w:ascii="Arial" w:cs="Arial" w:eastAsia="Arial" w:hAnsi="Arial"/>
                <w:sz w:val="18"/>
                <w:szCs w:val="18"/>
                <w:color w:val="auto"/>
              </w:rPr>
              <w:t>1/1/2020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321,940</w:t>
            </w:r>
          </w:p>
        </w:tc>
        <w:tc>
          <w:tcPr>
            <w:tcW w:w="160" w:type="dxa"/>
            <w:vAlign w:val="bottom"/>
          </w:tcPr>
          <w:p>
            <w:pPr>
              <w:spacing w:after="0"/>
              <w:rPr>
                <w:sz w:val="19"/>
                <w:szCs w:val="19"/>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Market-indexed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12/31/2022</w:t>
            </w: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3/1/2020</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39,176</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2/28/2023</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3/1/2020</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37,592</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Market-indexed</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21.28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2/28/2023</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552,866</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576,378</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12/31/2023</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1/1/2021</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1,005,073</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Performance-based</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12/31/2023</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1,581,451</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376,153</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12/31/2024</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1/1/2022</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716,545</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Performance-based</w:t>
            </w:r>
          </w:p>
        </w:tc>
        <w:tc>
          <w:tcPr>
            <w:tcW w:w="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12/31/2024</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1,092,698</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155" w:lineRule="exact"/>
        <w:rPr>
          <w:sz w:val="20"/>
          <w:szCs w:val="20"/>
          <w:color w:val="auto"/>
        </w:rPr>
      </w:pPr>
    </w:p>
    <w:p>
      <w:pPr>
        <w:ind w:right="380" w:firstLine="435"/>
        <w:spacing w:after="0" w:line="262" w:lineRule="auto"/>
        <w:rPr>
          <w:sz w:val="20"/>
          <w:szCs w:val="20"/>
          <w:color w:val="auto"/>
        </w:rPr>
      </w:pPr>
      <w:r>
        <w:rPr>
          <w:rFonts w:ascii="Arial" w:cs="Arial" w:eastAsia="Arial" w:hAnsi="Arial"/>
          <w:sz w:val="18"/>
          <w:szCs w:val="18"/>
          <w:color w:val="auto"/>
        </w:rPr>
        <w:t>The fair value of the market-indexed LTI Units and performance-based LTI Units (Level 3) were estimated on the date of grant using a Monte Carlo Simulation model that based on the following assumptions:</w:t>
      </w:r>
    </w:p>
    <w:p>
      <w:pPr>
        <w:spacing w:after="0" w:line="118"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Risk Free Interest</w:t>
            </w:r>
          </w:p>
        </w:tc>
        <w:tc>
          <w:tcPr>
            <w:tcW w:w="1440" w:type="dxa"/>
            <w:vAlign w:val="bottom"/>
          </w:tcPr>
          <w:p>
            <w:pPr>
              <w:jc w:val="right"/>
              <w:ind w:right="292"/>
              <w:spacing w:after="0"/>
              <w:rPr>
                <w:sz w:val="20"/>
                <w:szCs w:val="20"/>
                <w:color w:val="auto"/>
              </w:rPr>
            </w:pPr>
            <w:r>
              <w:rPr>
                <w:rFonts w:ascii="Arial" w:cs="Arial" w:eastAsia="Arial" w:hAnsi="Arial"/>
                <w:sz w:val="18"/>
                <w:szCs w:val="18"/>
                <w:b w:val="1"/>
                <w:bCs w:val="1"/>
                <w:color w:val="auto"/>
              </w:rPr>
              <w:t>Expected</w:t>
            </w:r>
          </w:p>
        </w:tc>
      </w:tr>
      <w:tr>
        <w:trPr>
          <w:trHeight w:val="237"/>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Grant Date</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Rate</w:t>
            </w:r>
          </w:p>
        </w:tc>
        <w:tc>
          <w:tcPr>
            <w:tcW w:w="1440" w:type="dxa"/>
            <w:vAlign w:val="bottom"/>
          </w:tcPr>
          <w:p>
            <w:pPr>
              <w:jc w:val="right"/>
              <w:ind w:right="292"/>
              <w:spacing w:after="0"/>
              <w:rPr>
                <w:sz w:val="20"/>
                <w:szCs w:val="20"/>
                <w:color w:val="auto"/>
              </w:rPr>
            </w:pPr>
            <w:r>
              <w:rPr>
                <w:rFonts w:ascii="Arial" w:cs="Arial" w:eastAsia="Arial" w:hAnsi="Arial"/>
                <w:sz w:val="18"/>
                <w:szCs w:val="18"/>
                <w:b w:val="1"/>
                <w:bCs w:val="1"/>
                <w:color w:val="auto"/>
              </w:rPr>
              <w:t>Volatility</w:t>
            </w:r>
          </w:p>
        </w:tc>
      </w:tr>
      <w:tr>
        <w:trPr>
          <w:trHeight w:val="217"/>
        </w:trPr>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1/1/2020</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26.08 %</w:t>
            </w:r>
          </w:p>
        </w:tc>
      </w:tr>
      <w:tr>
        <w:trPr>
          <w:trHeight w:val="224"/>
        </w:trPr>
        <w:tc>
          <w:tcPr>
            <w:tcW w:w="1280" w:type="dxa"/>
            <w:vAlign w:val="bottom"/>
          </w:tcPr>
          <w:p>
            <w:pPr>
              <w:jc w:val="right"/>
              <w:spacing w:after="0"/>
              <w:rPr>
                <w:sz w:val="20"/>
                <w:szCs w:val="20"/>
                <w:color w:val="auto"/>
              </w:rPr>
            </w:pPr>
            <w:r>
              <w:rPr>
                <w:rFonts w:ascii="Arial" w:cs="Arial" w:eastAsia="Arial" w:hAnsi="Arial"/>
                <w:sz w:val="18"/>
                <w:szCs w:val="18"/>
                <w:color w:val="auto"/>
              </w:rPr>
              <w:t>3/1/2020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0.85 %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28.34 %</w:t>
            </w:r>
          </w:p>
        </w:tc>
      </w:tr>
      <w:tr>
        <w:trPr>
          <w:trHeight w:val="224"/>
        </w:trPr>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1/1/2021</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62.82 %</w:t>
            </w:r>
          </w:p>
        </w:tc>
      </w:tr>
      <w:tr>
        <w:trPr>
          <w:trHeight w:val="223"/>
        </w:trPr>
        <w:tc>
          <w:tcPr>
            <w:tcW w:w="1280" w:type="dxa"/>
            <w:vAlign w:val="bottom"/>
          </w:tcPr>
          <w:p>
            <w:pPr>
              <w:jc w:val="right"/>
              <w:spacing w:after="0"/>
              <w:rPr>
                <w:sz w:val="20"/>
                <w:szCs w:val="20"/>
                <w:color w:val="auto"/>
              </w:rPr>
            </w:pPr>
            <w:r>
              <w:rPr>
                <w:rFonts w:ascii="Arial" w:cs="Arial" w:eastAsia="Arial" w:hAnsi="Arial"/>
                <w:sz w:val="18"/>
                <w:szCs w:val="18"/>
                <w:color w:val="auto"/>
              </w:rPr>
              <w:t>1/1/2022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0.97 %</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70.83 %</w:t>
            </w: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non-vested LTI Units during the years ended December 31, 2022, 2021 and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4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2940" w:type="dxa"/>
            <w:vAlign w:val="bottom"/>
          </w:tcPr>
          <w:p>
            <w:pPr>
              <w:spacing w:after="0"/>
              <w:rPr>
                <w:sz w:val="11"/>
                <w:szCs w:val="11"/>
                <w:color w:val="auto"/>
              </w:rPr>
            </w:pPr>
          </w:p>
        </w:tc>
        <w:tc>
          <w:tcPr>
            <w:tcW w:w="130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6" w:lineRule="exact"/>
              <w:rPr>
                <w:sz w:val="20"/>
                <w:szCs w:val="20"/>
                <w:color w:val="auto"/>
              </w:rPr>
            </w:pPr>
            <w:r>
              <w:rPr>
                <w:rFonts w:ascii="Arial" w:cs="Arial" w:eastAsia="Arial" w:hAnsi="Arial"/>
                <w:sz w:val="14"/>
                <w:szCs w:val="14"/>
                <w:b w:val="1"/>
                <w:bCs w:val="1"/>
                <w:color w:val="auto"/>
                <w:w w:val="94"/>
              </w:rPr>
              <w:t>Grant Date</w:t>
            </w:r>
          </w:p>
        </w:tc>
        <w:tc>
          <w:tcPr>
            <w:tcW w:w="128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4"/>
              </w:rPr>
              <w:t>Grant Date</w:t>
            </w:r>
          </w:p>
        </w:tc>
        <w:tc>
          <w:tcPr>
            <w:tcW w:w="13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40"/>
              <w:spacing w:after="0" w:line="136"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1,837,691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784,052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left="497"/>
              <w:spacing w:after="0"/>
              <w:rPr>
                <w:sz w:val="20"/>
                <w:szCs w:val="20"/>
                <w:color w:val="auto"/>
              </w:rPr>
            </w:pPr>
            <w:r>
              <w:rPr>
                <w:rFonts w:ascii="Arial" w:cs="Arial" w:eastAsia="Arial" w:hAnsi="Arial"/>
                <w:sz w:val="18"/>
                <w:szCs w:val="18"/>
                <w:color w:val="auto"/>
                <w:w w:val="86"/>
              </w:rPr>
              <w:t>616,219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1,092,698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1,581,451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1300" w:type="dxa"/>
            <w:vAlign w:val="bottom"/>
          </w:tcPr>
          <w:p>
            <w:pPr>
              <w:jc w:val="center"/>
              <w:ind w:left="497"/>
              <w:spacing w:after="0"/>
              <w:rPr>
                <w:sz w:val="20"/>
                <w:szCs w:val="20"/>
                <w:color w:val="auto"/>
              </w:rPr>
            </w:pPr>
            <w:r>
              <w:rPr>
                <w:rFonts w:ascii="Arial" w:cs="Arial" w:eastAsia="Arial" w:hAnsi="Arial"/>
                <w:sz w:val="18"/>
                <w:szCs w:val="18"/>
                <w:color w:val="auto"/>
                <w:w w:val="86"/>
              </w:rPr>
              <w:t>552,866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90"/>
              </w:rPr>
              <w:t>(102,884)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24"/>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0"/>
              </w:rPr>
              <w:t>(282,149)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42"/>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2,215,167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1,837,691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center"/>
              <w:ind w:left="497"/>
              <w:spacing w:after="0"/>
              <w:rPr>
                <w:sz w:val="20"/>
                <w:szCs w:val="20"/>
                <w:color w:val="auto"/>
              </w:rPr>
            </w:pPr>
            <w:r>
              <w:rPr>
                <w:rFonts w:ascii="Arial" w:cs="Arial" w:eastAsia="Arial" w:hAnsi="Arial"/>
                <w:sz w:val="18"/>
                <w:szCs w:val="18"/>
                <w:color w:val="auto"/>
                <w:w w:val="86"/>
              </w:rPr>
              <w:t>784,052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Options: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stock options for the years ended December 31, 2022, 2021 and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40" w:type="dxa"/>
            <w:vAlign w:val="bottom"/>
          </w:tcPr>
          <w:p>
            <w:pPr>
              <w:spacing w:after="0"/>
              <w:rPr>
                <w:sz w:val="15"/>
                <w:szCs w:val="15"/>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81"/>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41"/>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61"/>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61"/>
              <w:spacing w:after="0" w:line="141"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2940" w:type="dxa"/>
            <w:vAlign w:val="bottom"/>
          </w:tcPr>
          <w:p>
            <w:pPr>
              <w:spacing w:after="0"/>
              <w:rPr>
                <w:sz w:val="11"/>
                <w:szCs w:val="11"/>
                <w:color w:val="auto"/>
              </w:rPr>
            </w:pPr>
          </w:p>
        </w:tc>
        <w:tc>
          <w:tcPr>
            <w:tcW w:w="130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86"/>
              </w:rPr>
              <w:t>Exercise</w:t>
            </w:r>
          </w:p>
        </w:tc>
        <w:tc>
          <w:tcPr>
            <w:tcW w:w="128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36"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right="161"/>
              <w:spacing w:after="0" w:line="136"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3"/>
        </w:trPr>
        <w:tc>
          <w:tcPr>
            <w:tcW w:w="29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61"/>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4"/>
        </w:trPr>
        <w:tc>
          <w:tcPr>
            <w:tcW w:w="29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Arial" w:cs="Arial" w:eastAsia="Arial" w:hAnsi="Arial"/>
                <w:sz w:val="18"/>
                <w:szCs w:val="18"/>
                <w:color w:val="auto"/>
              </w:rPr>
              <w:t>Granted(1)</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40" w:type="dxa"/>
            <w:vAlign w:val="bottom"/>
          </w:tcPr>
          <w:p>
            <w:pPr>
              <w:ind w:left="140"/>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ind w:left="800" w:hanging="399"/>
        <w:spacing w:after="0" w:line="282" w:lineRule="auto"/>
        <w:tabs>
          <w:tab w:leader="none" w:pos="792" w:val="left"/>
        </w:tabs>
        <w:numPr>
          <w:ilvl w:val="0"/>
          <w:numId w:val="45"/>
        </w:numPr>
        <w:rPr>
          <w:rFonts w:ascii="Arial" w:cs="Arial" w:eastAsia="Arial" w:hAnsi="Arial"/>
          <w:sz w:val="14"/>
          <w:szCs w:val="14"/>
          <w:color w:val="auto"/>
        </w:rPr>
      </w:pPr>
      <w:r>
        <w:rPr>
          <w:rFonts w:ascii="Arial" w:cs="Arial" w:eastAsia="Arial" w:hAnsi="Arial"/>
          <w:sz w:val="14"/>
          <w:szCs w:val="14"/>
          <w:color w:val="auto"/>
        </w:rPr>
        <w:t>Pursuant to the terms of the Company's equity plan, the exercise price and number of options were adjusted so that the stock dividend paid on June 3, 2020 had no negative impact on the outstanding stock options (See Note 14–Stockholders' Equity).</w:t>
      </w:r>
    </w:p>
    <w:p>
      <w:pPr>
        <w:sectPr>
          <w:pgSz w:w="11900" w:h="16838" w:orient="portrait"/>
          <w:cols w:equalWidth="0" w:num="1">
            <w:col w:w="11220"/>
          </w:cols>
          <w:pgMar w:left="320" w:top="2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79375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right="7880" w:hanging="435"/>
        <w:spacing w:after="0" w:line="499" w:lineRule="auto"/>
        <w:tabs>
          <w:tab w:leader="none" w:pos="269"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Share and Unit-based Plans: (Continued) Directors' Phantom Stock Plan:</w:t>
      </w:r>
    </w:p>
    <w:p>
      <w:pPr>
        <w:ind w:firstLine="435"/>
        <w:spacing w:after="0" w:line="280" w:lineRule="auto"/>
        <w:rPr>
          <w:sz w:val="20"/>
          <w:szCs w:val="20"/>
          <w:color w:val="auto"/>
        </w:rPr>
      </w:pPr>
      <w:r>
        <w:rPr>
          <w:rFonts w:ascii="Arial" w:cs="Arial" w:eastAsia="Arial" w:hAnsi="Arial"/>
          <w:sz w:val="16"/>
          <w:szCs w:val="16"/>
          <w:color w:val="auto"/>
        </w:rPr>
        <w:t>The Directors' Phantom Stock Plan offers non-employee members of the board of directors ("Directors") the opportunity to defer their cash compensation and to receive that compensation in common stock rather than in cash after termination of service or a predetermined period. Compensation generally includes the annual retainers payable by the Company to the Directors. Deferred amounts are generally credited as units of phantom stock at the beginning of each three-year deferral period by dividing the present value of the deferred compensation by the average fair market value of the Company's common stock at the date of award. Compensation expense related to the phantom stock awards was determined by the amortization of the value of the stock units on a straight-line basis over the applicable service period. The stock units (including dividend equivalents) vest as the Directors' services (to which the fees relate) are rendered. Vested phantom stock units are ultimately paid out in common stock on a one-unit for one-share basis. To the extent elected by a Director, stock units receive dividend equivalents in the form of additional stock units based on the dividend amount paid on the common stock. The aggregate number of phantom stock units that may be granted under the Directors' Phantom Stock Plan is 500,000. As of December 31, 2022, there were 31,088 stock units available for grant under the Directors' Phantom Stock Plan.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activity of the non-vested phantom stock units for the years ended December 31, 2022, 2021 and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94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141"/>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1"/>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1"/>
              <w:spacing w:after="0" w:line="12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6"/>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1"/>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1"/>
        </w:trPr>
        <w:tc>
          <w:tcPr>
            <w:tcW w:w="2940" w:type="dxa"/>
            <w:vAlign w:val="bottom"/>
          </w:tcPr>
          <w:p>
            <w:pPr>
              <w:spacing w:after="0"/>
              <w:rPr>
                <w:sz w:val="12"/>
                <w:szCs w:val="12"/>
                <w:color w:val="auto"/>
              </w:rPr>
            </w:pPr>
          </w:p>
        </w:tc>
        <w:tc>
          <w:tcPr>
            <w:tcW w:w="13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4"/>
              </w:rPr>
              <w:t>Grant Date</w:t>
            </w:r>
          </w:p>
        </w:tc>
        <w:tc>
          <w:tcPr>
            <w:tcW w:w="12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4"/>
              </w:rPr>
              <w:t>Grant Date</w:t>
            </w:r>
          </w:p>
        </w:tc>
        <w:tc>
          <w:tcPr>
            <w:tcW w:w="13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1"/>
              <w:spacing w:after="0" w:line="141"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1"/>
        </w:trPr>
        <w:tc>
          <w:tcPr>
            <w:tcW w:w="29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24"/>
        </w:trPr>
        <w:tc>
          <w:tcPr>
            <w:tcW w:w="2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61,420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4"/>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7"/>
        </w:trPr>
        <w:tc>
          <w:tcPr>
            <w:tcW w:w="294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Employee Stock Purchase Plan ("ESPP"):</w:t>
      </w:r>
    </w:p>
    <w:p>
      <w:pPr>
        <w:spacing w:after="0" w:line="155" w:lineRule="exact"/>
        <w:rPr>
          <w:sz w:val="20"/>
          <w:szCs w:val="20"/>
          <w:color w:val="auto"/>
        </w:rPr>
      </w:pPr>
    </w:p>
    <w:p>
      <w:pPr>
        <w:ind w:right="140" w:firstLine="435"/>
        <w:spacing w:after="0" w:line="250" w:lineRule="auto"/>
        <w:rPr>
          <w:sz w:val="20"/>
          <w:szCs w:val="20"/>
          <w:color w:val="auto"/>
        </w:rPr>
      </w:pPr>
      <w:r>
        <w:rPr>
          <w:rFonts w:ascii="Arial" w:cs="Arial" w:eastAsia="Arial" w:hAnsi="Arial"/>
          <w:sz w:val="18"/>
          <w:szCs w:val="18"/>
          <w:color w:val="auto"/>
        </w:rPr>
        <w:t>The ESPP authorizes eligible employees to purchase the Company's common stock through voluntary payroll deductions made during periodic offering periods. Under the ESPP, common stock is purchased at a 15% discount from the lesser of the fair value of common stock at the beginning and end of the offering period. A maximum of 1,291,117 shares of common stock is available for purchase under the ESPP. The number of shares available for future purchase under the plan at December 31, 2022 was 309,639.</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Compensation: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summarizes the compensation cost under the share and unit-based plans for the years ended December 31, 2022, 2021 and 2019:</w:t>
      </w:r>
    </w:p>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units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r>
      <w:tr>
        <w:trPr>
          <w:trHeight w:val="224"/>
        </w:trPr>
        <w:tc>
          <w:tcPr>
            <w:tcW w:w="4700" w:type="dxa"/>
            <w:vAlign w:val="bottom"/>
          </w:tcPr>
          <w:p>
            <w:pPr>
              <w:ind w:left="20"/>
              <w:spacing w:after="0"/>
              <w:rPr>
                <w:sz w:val="20"/>
                <w:szCs w:val="20"/>
                <w:color w:val="auto"/>
              </w:rPr>
            </w:pPr>
            <w:r>
              <w:rPr>
                <w:rFonts w:ascii="Arial" w:cs="Arial" w:eastAsia="Arial" w:hAnsi="Arial"/>
                <w:sz w:val="18"/>
                <w:szCs w:val="18"/>
                <w:color w:val="auto"/>
              </w:rPr>
              <w:t>LTI units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18,611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14,448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13,339</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Phantom stock units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17"/>
        </w:trPr>
        <w:tc>
          <w:tcPr>
            <w:tcW w:w="470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22,119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17,998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18,066</w:t>
            </w:r>
          </w:p>
        </w:tc>
      </w:tr>
      <w:tr>
        <w:trPr>
          <w:trHeight w:val="20"/>
        </w:trPr>
        <w:tc>
          <w:tcPr>
            <w:tcW w:w="4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155"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Company capitalized share and unit-based compensation costs of $4,481, $3,725 and $4,223 for the years ended December 31, 2022, 2021 and 2020, respectively.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the stock units that vested during the years ended December 31, 2022, 2021 and 2020 was $2,349, $3,408 and $1,376,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Unrecognized compensation costs of share and unit-based plans at December 31, 2022 consisted of $3,798 from LTI Units and $1,231 from stock units.</w:t>
      </w:r>
    </w:p>
    <w:p>
      <w:pPr>
        <w:spacing w:after="0" w:line="141" w:lineRule="exact"/>
        <w:rPr>
          <w:sz w:val="20"/>
          <w:szCs w:val="20"/>
          <w:color w:val="auto"/>
        </w:rPr>
      </w:pPr>
    </w:p>
    <w:p>
      <w:pPr>
        <w:ind w:left="440" w:right="9140" w:hanging="435"/>
        <w:spacing w:after="0" w:line="415" w:lineRule="auto"/>
        <w:tabs>
          <w:tab w:leader="none" w:pos="269"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i w:val="1"/>
          <w:iCs w:val="1"/>
          <w:color w:val="auto"/>
        </w:rPr>
        <w:t>401(k) Plan:</w:t>
      </w:r>
    </w:p>
    <w:p>
      <w:pPr>
        <w:spacing w:after="0" w:line="2" w:lineRule="exact"/>
        <w:rPr>
          <w:sz w:val="20"/>
          <w:szCs w:val="20"/>
          <w:color w:val="auto"/>
        </w:rPr>
      </w:pPr>
    </w:p>
    <w:p>
      <w:pPr>
        <w:ind w:right="100" w:firstLine="435"/>
        <w:spacing w:after="0" w:line="283" w:lineRule="auto"/>
        <w:rPr>
          <w:sz w:val="20"/>
          <w:szCs w:val="20"/>
          <w:color w:val="auto"/>
        </w:rPr>
      </w:pPr>
      <w:r>
        <w:rPr>
          <w:rFonts w:ascii="Arial" w:cs="Arial" w:eastAsia="Arial" w:hAnsi="Arial"/>
          <w:sz w:val="16"/>
          <w:szCs w:val="16"/>
          <w:color w:val="auto"/>
        </w:rPr>
        <w:t>The Company has a defined contribution retirement plan that covers its eligible employees (the "Plan"). The Plan is a defined contribution retirement plan covering eligible employees of the Macerich Property Management Company, LLC and participating affiliates. This Plan includes The Macerich Company Common Stock Fund as a new investment alternative under the Plan with 650,000 shares of common stock reserved for issuance under the Plan. In accordance with the Plan, the Company makes matching contributions equal to 100 percent of the first three percent of compensation deferred by a participant and 50 percent of the next two percent of compensation deferred by a participant. During the years ended December 31, 2022, 2021 and 2020, these matching contributions made by the Company were $3,206, $3,144 and $3,455, respectively. Contributions and matching contributions to the Plan by the plan sponsor and/or participating affiliates are recognized as an expense of the Company in the period that they are made.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Deferred Compensation Plans:</w:t>
      </w:r>
    </w:p>
    <w:p>
      <w:pPr>
        <w:spacing w:after="0" w:line="149" w:lineRule="exact"/>
        <w:rPr>
          <w:sz w:val="20"/>
          <w:szCs w:val="20"/>
          <w:color w:val="auto"/>
        </w:rPr>
      </w:pPr>
    </w:p>
    <w:p>
      <w:pPr>
        <w:ind w:right="120" w:firstLine="435"/>
        <w:spacing w:after="0" w:line="287" w:lineRule="auto"/>
        <w:rPr>
          <w:sz w:val="20"/>
          <w:szCs w:val="20"/>
          <w:color w:val="auto"/>
        </w:rPr>
      </w:pPr>
      <w:r>
        <w:rPr>
          <w:rFonts w:ascii="Arial" w:cs="Arial" w:eastAsia="Arial" w:hAnsi="Arial"/>
          <w:sz w:val="16"/>
          <w:szCs w:val="16"/>
          <w:color w:val="auto"/>
        </w:rPr>
        <w:t>The Company has established deferred compensation plans under which executives and key employees of the Company may elect to defer receiving a portion of their cash compensation otherwise payable in one calendar year until a later year. The Company may, as determined by the Board of Directors in its sole discretion prior to the beginning of the plan year, credit a participant's account with a matching amount equal to a percentage of the participant's deferral. The Company contributed $429, $325 and $695 to the plans during the years ended December 31, 2022, 2021 and 2020, respectively. Contributions are recognized as compensation in the periods they are made.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155" w:lineRule="exact"/>
        <w:rPr>
          <w:sz w:val="20"/>
          <w:szCs w:val="20"/>
          <w:color w:val="auto"/>
        </w:rPr>
      </w:pPr>
    </w:p>
    <w:p>
      <w:pPr>
        <w:ind w:right="20" w:firstLine="435"/>
        <w:spacing w:after="0" w:line="253" w:lineRule="auto"/>
        <w:rPr>
          <w:sz w:val="20"/>
          <w:szCs w:val="20"/>
          <w:color w:val="auto"/>
        </w:rPr>
      </w:pPr>
      <w:r>
        <w:rPr>
          <w:rFonts w:ascii="Arial" w:cs="Arial" w:eastAsia="Arial" w:hAnsi="Arial"/>
          <w:sz w:val="18"/>
          <w:szCs w:val="18"/>
          <w:color w:val="auto"/>
        </w:rPr>
        <w:t>For income tax purposes, distributions paid to common stockholders consist of ordinary income, capital gains, unrecaptured Section 1250 gain and return of capital or a combination thereof. The following table details the components of the distributions, on a per share basis, for the years ended December 31, 2022, 2021 and 2020: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2022(1)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2021(2)</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2020(2)</w:t>
            </w:r>
          </w:p>
        </w:tc>
        <w:tc>
          <w:tcPr>
            <w:tcW w:w="760" w:type="dxa"/>
            <w:vAlign w:val="bottom"/>
          </w:tcPr>
          <w:p>
            <w:pPr>
              <w:spacing w:after="0"/>
              <w:rPr>
                <w:sz w:val="15"/>
                <w:szCs w:val="15"/>
                <w:color w:val="auto"/>
              </w:rPr>
            </w:pPr>
          </w:p>
        </w:tc>
      </w:tr>
      <w:tr>
        <w:trPr>
          <w:trHeight w:val="24"/>
        </w:trPr>
        <w:tc>
          <w:tcPr>
            <w:tcW w:w="3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4"/>
        </w:trPr>
        <w:tc>
          <w:tcPr>
            <w:tcW w:w="3040" w:type="dxa"/>
            <w:vAlign w:val="bottom"/>
          </w:tcPr>
          <w:p>
            <w:pPr>
              <w:ind w:left="20"/>
              <w:spacing w:after="0"/>
              <w:rPr>
                <w:sz w:val="20"/>
                <w:szCs w:val="20"/>
                <w:color w:val="auto"/>
              </w:rPr>
            </w:pPr>
            <w:r>
              <w:rPr>
                <w:rFonts w:ascii="Arial" w:cs="Arial" w:eastAsia="Arial" w:hAnsi="Arial"/>
                <w:sz w:val="18"/>
                <w:szCs w:val="18"/>
                <w:color w:val="auto"/>
              </w:rPr>
              <w:t>Capital gains</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4"/>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93.5 %</w:t>
            </w:r>
          </w:p>
        </w:tc>
      </w:tr>
      <w:tr>
        <w:trPr>
          <w:trHeight w:val="217"/>
        </w:trPr>
        <w:tc>
          <w:tcPr>
            <w:tcW w:w="304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56" w:lineRule="exact"/>
        <w:rPr>
          <w:sz w:val="20"/>
          <w:szCs w:val="20"/>
          <w:color w:val="auto"/>
        </w:rPr>
      </w:pPr>
    </w:p>
    <w:p>
      <w:pPr>
        <w:ind w:left="560" w:right="20" w:hanging="555"/>
        <w:spacing w:after="0" w:line="251" w:lineRule="auto"/>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54.5% of the 2022 ordinary income is treated as "qualified REIT dividends" for purposes of Section 199A of the Code and 45.5% of the 2022 ordinary income is treated as "qualified dividend income" for purposes of Section 1(h)(11) of the Code.</w:t>
      </w:r>
    </w:p>
    <w:p>
      <w:pPr>
        <w:ind w:left="560" w:hanging="555"/>
        <w:spacing w:after="0"/>
        <w:tabs>
          <w:tab w:leader="none" w:pos="5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2021 and 2020 ordinary income is treated as "qualified REIT dividends" for purposes of Section 199A of the Code.</w:t>
      </w:r>
    </w:p>
    <w:p>
      <w:pPr>
        <w:spacing w:after="0" w:line="377" w:lineRule="exact"/>
        <w:rPr>
          <w:sz w:val="20"/>
          <w:szCs w:val="20"/>
          <w:color w:val="auto"/>
        </w:rPr>
      </w:pPr>
    </w:p>
    <w:p>
      <w:pPr>
        <w:ind w:right="80" w:firstLine="435"/>
        <w:spacing w:after="0" w:line="325" w:lineRule="auto"/>
        <w:rPr>
          <w:sz w:val="20"/>
          <w:szCs w:val="20"/>
          <w:color w:val="auto"/>
        </w:rPr>
      </w:pPr>
      <w:r>
        <w:rPr>
          <w:rFonts w:ascii="Arial" w:cs="Arial" w:eastAsia="Arial" w:hAnsi="Arial"/>
          <w:sz w:val="16"/>
          <w:szCs w:val="16"/>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of the TRSs for the years ended December 31, 2022, 2021 and 2020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960" w:type="dxa"/>
            <w:vAlign w:val="bottom"/>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4"/>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96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income tax provision of the TRSs for the years ended December 31, 2022, 2021 and 2020 are reconciled to the amount computed by applying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Corporate tax rate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4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loss (income) for TRSs</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w w:val="97"/>
              </w:rPr>
              <w:t>Tax at statutory rate on earnings from continuing operations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7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100"/>
              <w:spacing w:after="0"/>
              <w:rPr>
                <w:sz w:val="20"/>
                <w:szCs w:val="20"/>
                <w:color w:val="auto"/>
              </w:rPr>
            </w:pPr>
            <w:r>
              <w:rPr>
                <w:rFonts w:ascii="Arial" w:cs="Arial" w:eastAsia="Arial" w:hAnsi="Arial"/>
                <w:sz w:val="18"/>
                <w:szCs w:val="18"/>
                <w:color w:val="auto"/>
              </w:rPr>
              <w:t>before income taxes</w:t>
            </w: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(4,873)</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tax effects of temporary differences and carryforwards of the TRSs included in the net deferred tax assets at December 31, 2022 and 2021 are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1680" w:type="dxa"/>
            <w:vAlign w:val="bottom"/>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13,362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6220" w:type="dxa"/>
            <w:vAlign w:val="bottom"/>
          </w:tcPr>
          <w:p>
            <w:pPr>
              <w:ind w:left="20"/>
              <w:spacing w:after="0" w:line="172" w:lineRule="exact"/>
              <w:rPr>
                <w:sz w:val="20"/>
                <w:szCs w:val="20"/>
                <w:color w:val="auto"/>
              </w:rPr>
            </w:pPr>
            <w:r>
              <w:rPr>
                <w:rFonts w:ascii="Arial" w:cs="Arial" w:eastAsia="Arial" w:hAnsi="Arial"/>
                <w:sz w:val="18"/>
                <w:szCs w:val="18"/>
                <w:color w:val="auto"/>
                <w:w w:val="92"/>
              </w:rPr>
              <w:t>Property, primarily differences in depreciation and amortization, the tax basis of land</w:t>
            </w: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assets and treatment of certain other costs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4"/>
        </w:trPr>
        <w:tc>
          <w:tcPr>
            <w:tcW w:w="16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7"/>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summarized as follows:</w:t>
            </w:r>
            <w:r>
              <w:rPr>
                <w:rFonts w:ascii="Arial" w:cs="Arial" w:eastAsia="Arial" w:hAnsi="Arial"/>
                <w:sz w:val="35"/>
                <w:szCs w:val="35"/>
                <w:color w:val="auto"/>
                <w:vertAlign w:val="superscript"/>
              </w:rPr>
              <w:t>Net deferred tax assets</w:t>
            </w: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23,114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23,406</w:t>
            </w:r>
          </w:p>
        </w:tc>
        <w:tc>
          <w:tcPr>
            <w:tcW w:w="0" w:type="dxa"/>
            <w:vAlign w:val="bottom"/>
          </w:tcPr>
          <w:p>
            <w:pPr>
              <w:spacing w:after="0"/>
              <w:rPr>
                <w:sz w:val="1"/>
                <w:szCs w:val="1"/>
                <w:color w:val="auto"/>
              </w:rPr>
            </w:pPr>
          </w:p>
        </w:tc>
      </w:tr>
      <w:tr>
        <w:trPr>
          <w:trHeight w:val="20"/>
        </w:trPr>
        <w:tc>
          <w:tcPr>
            <w:tcW w:w="7900" w:type="dxa"/>
            <w:vAlign w:val="bottom"/>
            <w:gridSpan w:val="2"/>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90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ind w:right="20" w:firstLine="435"/>
        <w:spacing w:after="0" w:line="250" w:lineRule="auto"/>
        <w:rPr>
          <w:sz w:val="20"/>
          <w:szCs w:val="20"/>
          <w:color w:val="auto"/>
        </w:rPr>
      </w:pPr>
      <w:r>
        <w:rPr>
          <w:rFonts w:ascii="Arial" w:cs="Arial" w:eastAsia="Arial" w:hAnsi="Arial"/>
          <w:sz w:val="18"/>
          <w:szCs w:val="18"/>
          <w:color w:val="auto"/>
        </w:rPr>
        <w:t>The net operating loss ("NOL") carryforwards for NOLs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years ended December 31, 2022, 2021 and 2020 there were no unrecognized tax benefits.</w:t>
      </w:r>
    </w:p>
    <w:p>
      <w:pPr>
        <w:spacing w:after="0" w:line="136" w:lineRule="exact"/>
        <w:rPr>
          <w:sz w:val="20"/>
          <w:szCs w:val="20"/>
          <w:color w:val="auto"/>
        </w:rPr>
      </w:pPr>
    </w:p>
    <w:p>
      <w:pPr>
        <w:ind w:right="40" w:firstLine="435"/>
        <w:spacing w:after="0" w:line="291" w:lineRule="auto"/>
        <w:rPr>
          <w:sz w:val="20"/>
          <w:szCs w:val="20"/>
          <w:color w:val="auto"/>
        </w:rPr>
      </w:pPr>
      <w:r>
        <w:rPr>
          <w:rFonts w:ascii="Arial" w:cs="Arial" w:eastAsia="Arial" w:hAnsi="Arial"/>
          <w:sz w:val="16"/>
          <w:szCs w:val="16"/>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December 31, 2022, the Company had no valuation allowance recorded.</w:t>
      </w:r>
    </w:p>
    <w:p>
      <w:pPr>
        <w:spacing w:after="0" w:line="96"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The tax years 2019 through 2021 remain open to examination by the taxing jurisdictions to which the Company is subject. The Company does not expect that the total amount of unrecognized tax benefit will materially change within the next 12 months.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142" w:lineRule="exact"/>
        <w:rPr>
          <w:sz w:val="20"/>
          <w:szCs w:val="20"/>
          <w:color w:val="auto"/>
        </w:rPr>
      </w:pPr>
    </w:p>
    <w:p>
      <w:pPr>
        <w:ind w:right="320" w:firstLine="435"/>
        <w:spacing w:after="0" w:line="262" w:lineRule="auto"/>
        <w:rPr>
          <w:sz w:val="20"/>
          <w:szCs w:val="20"/>
          <w:color w:val="auto"/>
        </w:rPr>
      </w:pPr>
      <w:r>
        <w:rPr>
          <w:rFonts w:ascii="Arial" w:cs="Arial" w:eastAsia="Arial" w:hAnsi="Arial"/>
          <w:sz w:val="18"/>
          <w:szCs w:val="18"/>
          <w:color w:val="auto"/>
        </w:rPr>
        <w:t>On January 27, 2023, the Company announced a dividend/distribution of $0.17 per share for common stockholders and OP Unit holders of record on February 17, 2023. All dividends/distributions will be paid 100% in cash on March 3, 2023.</w:t>
      </w:r>
    </w:p>
    <w:p>
      <w:pPr>
        <w:sectPr>
          <w:pgSz w:w="11900" w:h="16838" w:orient="portrait"/>
          <w:cols w:equalWidth="0" w:num="1">
            <w:col w:w="11220"/>
          </w:cols>
          <w:pgMar w:left="320" w:top="2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86360</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72" w:right="35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2"/>
                <w:szCs w:val="12"/>
                <w:b w:val="1"/>
                <w:bCs w:val="1"/>
                <w:color w:val="auto"/>
              </w:rPr>
              <w:t>Initial Cost to Company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spacing w:after="0"/>
              <w:rPr>
                <w:sz w:val="20"/>
                <w:szCs w:val="20"/>
                <w:color w:val="auto"/>
              </w:rPr>
            </w:pPr>
            <w:r>
              <w:rPr>
                <w:rFonts w:ascii="Arial" w:cs="Arial" w:eastAsia="Arial" w:hAnsi="Arial"/>
                <w:sz w:val="12"/>
                <w:szCs w:val="12"/>
                <w:b w:val="1"/>
                <w:bCs w:val="1"/>
                <w:color w:val="auto"/>
                <w:w w:val="95"/>
              </w:rPr>
              <w:t>Gross Amount at Which Carried at Close of Period</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3"/>
              </w:rPr>
              <w:t>Equipment</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4"/>
              </w:rPr>
              <w:t>Cost Capitalized</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3"/>
              </w:rPr>
              <w:t>Equipment</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1"/>
              </w:rPr>
              <w:t>Total Cost</w:t>
            </w: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3"/>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3"/>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3"/>
              </w:rPr>
              <w:t>Construction</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800" w:type="dxa"/>
            <w:vAlign w:val="bottom"/>
          </w:tcPr>
          <w:p>
            <w:pPr>
              <w:jc w:val="center"/>
              <w:ind w:right="19"/>
              <w:spacing w:after="0" w:line="119" w:lineRule="exact"/>
              <w:rPr>
                <w:sz w:val="20"/>
                <w:szCs w:val="20"/>
                <w:color w:val="auto"/>
              </w:rPr>
            </w:pPr>
            <w:r>
              <w:rPr>
                <w:rFonts w:ascii="Arial" w:cs="Arial" w:eastAsia="Arial" w:hAnsi="Arial"/>
                <w:sz w:val="12"/>
                <w:szCs w:val="12"/>
                <w:b w:val="1"/>
                <w:bCs w:val="1"/>
                <w:color w:val="auto"/>
                <w:w w:val="93"/>
              </w:rPr>
              <w:t>Net of</w:t>
            </w: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2"/>
                <w:szCs w:val="12"/>
                <w:b w:val="1"/>
                <w:bCs w:val="1"/>
                <w:color w:val="auto"/>
                <w:w w:val="93"/>
              </w:rPr>
              <w:t>and</w:t>
            </w: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Arial" w:cs="Arial" w:eastAsia="Arial" w:hAnsi="Arial"/>
                <w:sz w:val="12"/>
                <w:szCs w:val="12"/>
                <w:b w:val="1"/>
                <w:bCs w:val="1"/>
                <w:color w:val="auto"/>
                <w:w w:val="88"/>
              </w:rPr>
              <w:t>Subsequent to</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2"/>
                <w:szCs w:val="12"/>
                <w:b w:val="1"/>
                <w:bCs w:val="1"/>
                <w:color w:val="auto"/>
                <w:w w:val="93"/>
              </w:rPr>
              <w:t>and</w:t>
            </w:r>
          </w:p>
        </w:tc>
        <w:tc>
          <w:tcPr>
            <w:tcW w:w="86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w w:val="92"/>
              </w:rPr>
              <w:t>Accumulated</w:t>
            </w:r>
          </w:p>
        </w:tc>
        <w:tc>
          <w:tcPr>
            <w:tcW w:w="0" w:type="dxa"/>
            <w:vAlign w:val="bottom"/>
          </w:tcPr>
          <w:p>
            <w:pPr>
              <w:spacing w:after="0"/>
              <w:rPr>
                <w:sz w:val="1"/>
                <w:szCs w:val="1"/>
                <w:color w:val="auto"/>
              </w:rPr>
            </w:pPr>
          </w:p>
        </w:tc>
      </w:tr>
      <w:tr>
        <w:trPr>
          <w:trHeight w:val="178"/>
        </w:trPr>
        <w:tc>
          <w:tcPr>
            <w:tcW w:w="1600" w:type="dxa"/>
            <w:vAlign w:val="bottom"/>
          </w:tcPr>
          <w:p>
            <w:pPr>
              <w:ind w:left="20"/>
              <w:spacing w:after="0"/>
              <w:rPr>
                <w:sz w:val="20"/>
                <w:szCs w:val="20"/>
                <w:color w:val="auto"/>
              </w:rPr>
            </w:pPr>
            <w:r>
              <w:rPr>
                <w:rFonts w:ascii="Arial" w:cs="Arial" w:eastAsia="Arial" w:hAnsi="Arial"/>
                <w:sz w:val="12"/>
                <w:szCs w:val="12"/>
                <w:b w:val="1"/>
                <w:bCs w:val="1"/>
                <w:color w:val="auto"/>
              </w:rPr>
              <w:t>Shopping Centers/Entities</w:t>
            </w:r>
          </w:p>
        </w:tc>
        <w:tc>
          <w:tcPr>
            <w:tcW w:w="1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Land</w:t>
            </w:r>
          </w:p>
        </w:tc>
        <w:tc>
          <w:tcPr>
            <w:tcW w:w="9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2"/>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Furnishings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Acquisition</w:t>
            </w:r>
          </w:p>
        </w:tc>
        <w:tc>
          <w:tcPr>
            <w:tcW w:w="14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Land</w:t>
            </w:r>
          </w:p>
        </w:tc>
        <w:tc>
          <w:tcPr>
            <w:tcW w:w="8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Furnishings</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 Progress</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Depreciation</w:t>
            </w:r>
          </w:p>
        </w:tc>
        <w:tc>
          <w:tcPr>
            <w:tcW w:w="8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Arial" w:cs="Arial" w:eastAsia="Arial" w:hAnsi="Arial"/>
                <w:sz w:val="12"/>
                <w:szCs w:val="12"/>
                <w:b w:val="1"/>
                <w:bCs w:val="1"/>
                <w:color w:val="auto"/>
                <w:w w:val="93"/>
              </w:rPr>
              <w:t>Depreciation</w:t>
            </w:r>
          </w:p>
        </w:tc>
        <w:tc>
          <w:tcPr>
            <w:tcW w:w="0" w:type="dxa"/>
            <w:vAlign w:val="bottom"/>
          </w:tcPr>
          <w:p>
            <w:pPr>
              <w:spacing w:after="0"/>
              <w:rPr>
                <w:sz w:val="1"/>
                <w:szCs w:val="1"/>
                <w:color w:val="auto"/>
              </w:rPr>
            </w:pPr>
          </w:p>
        </w:tc>
      </w:tr>
      <w:tr>
        <w:trPr>
          <w:trHeight w:val="171"/>
        </w:trPr>
        <w:tc>
          <w:tcPr>
            <w:tcW w:w="1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Chandler Fashion Center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24,188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223,143</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32,307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24,188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249,735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279,638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140,539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139,099</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Danbury Fair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130,367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316,951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120,495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141,479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396,490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9,646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20,198</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567,813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184,221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383,592</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Desert Sky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18,064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33,871</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Eastland Mall</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22,050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151,605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13,338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20,810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163,829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186,993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55,194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131,799</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Fashion District Philadelphia</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38,402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293,112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298,762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1,622</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340,627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321,632</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Fashion Outlets of Chicago</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276,033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40,575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231,438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4,020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276,033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87,543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188,490</w:t>
            </w: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Fashion Outlets of Niagara</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Falls USA</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18,581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210,139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104,515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307,094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333,235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116,977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216,258</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The Marketplace at Flagstaff</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46,088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46,088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46,088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30,685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15,403</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Freehold Raceway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164,986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362,841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167,371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464,683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8,034</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649,236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245,568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403,668</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Fresno Fashion Fair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17,966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72,194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58,644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17,966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127,365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148,804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75,369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73,435</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Green Acres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321,034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213,915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177,378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461,106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41,908</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691,589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174,438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517,151</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Inland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8,321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83,550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37,241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10,291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118,201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195</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129,112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40,656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88,456</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Kings Plaza Shopping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209,041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485,548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284,756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207,206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718,630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10,296</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999,345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209,687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789,658</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La Cumbre Plaza</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18,122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21,492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19,672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13,856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45,244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59,286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28,277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31,009</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Macerich Management Co.</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31,823</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MACWH, LP</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25,771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25,012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25,012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11,895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13,117</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NorthPark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74,661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6,939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94,558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59,813</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Oaks, The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32,300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117,156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273,067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56,387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362,056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3,538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542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422,523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208,779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213,744</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Pacific View</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138,249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146,193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155,642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65,817</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Prasada</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6,615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19,521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22,969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2,952</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26,136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3,566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22,570</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Queens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251,474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1,039,922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67,757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256,786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1,091,345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5,103</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1,359,153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244,124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1,115,029</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Santa Monica Place</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105,600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324,899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42,513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317,725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89,873</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456,899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137,034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319,865</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SanTan Adjacent Land</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11,087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26,902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10,161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40,368</w:t>
            </w:r>
          </w:p>
        </w:tc>
        <w:tc>
          <w:tcPr>
            <w:tcW w:w="0" w:type="dxa"/>
            <w:vAlign w:val="bottom"/>
          </w:tcPr>
          <w:p>
            <w:pPr>
              <w:spacing w:after="0"/>
              <w:rPr>
                <w:sz w:val="1"/>
                <w:szCs w:val="1"/>
                <w:color w:val="auto"/>
              </w:rPr>
            </w:pPr>
          </w:p>
        </w:tc>
      </w:tr>
      <w:tr>
        <w:trPr>
          <w:trHeight w:val="119"/>
        </w:trPr>
        <w:tc>
          <w:tcPr>
            <w:tcW w:w="1600" w:type="dxa"/>
            <w:vAlign w:val="bottom"/>
          </w:tcPr>
          <w:p>
            <w:pPr>
              <w:ind w:left="20"/>
              <w:spacing w:after="0" w:line="119" w:lineRule="exact"/>
              <w:rPr>
                <w:sz w:val="20"/>
                <w:szCs w:val="20"/>
                <w:color w:val="auto"/>
              </w:rPr>
            </w:pPr>
            <w:r>
              <w:rPr>
                <w:rFonts w:ascii="Arial" w:cs="Arial" w:eastAsia="Arial" w:hAnsi="Arial"/>
                <w:sz w:val="12"/>
                <w:szCs w:val="12"/>
                <w:color w:val="auto"/>
              </w:rPr>
              <w:t>SanTan Village Regional</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600" w:type="dxa"/>
            <w:vAlign w:val="bottom"/>
          </w:tcPr>
          <w:p>
            <w:pPr>
              <w:ind w:left="20"/>
              <w:spacing w:after="0"/>
              <w:rPr>
                <w:sz w:val="20"/>
                <w:szCs w:val="20"/>
                <w:color w:val="auto"/>
              </w:rPr>
            </w:pPr>
            <w:r>
              <w:rPr>
                <w:rFonts w:ascii="Arial" w:cs="Arial" w:eastAsia="Arial" w:hAnsi="Arial"/>
                <w:sz w:val="12"/>
                <w:szCs w:val="12"/>
                <w:color w:val="auto"/>
              </w:rPr>
              <w:t>Center</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224,123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5,921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224,114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231,950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123,986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107,964</w:t>
            </w: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SouthPark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38,215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16,760</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Southridge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6,764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6,849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11,520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13,613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7,786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5,827</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Stonewood Center</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302,527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315,718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321,440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78,880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242,560</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rPr>
              <w:t>Superstition Springs Center</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10,928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112,718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12,650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10,928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124,059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136,296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36,441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99,855</w:t>
            </w: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Superstition Springs Power</w:t>
            </w: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Center</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3,531</w:t>
            </w:r>
          </w:p>
        </w:tc>
        <w:tc>
          <w:tcPr>
            <w:tcW w:w="0" w:type="dxa"/>
            <w:vAlign w:val="bottom"/>
          </w:tcPr>
          <w:p>
            <w:pPr>
              <w:spacing w:after="0"/>
              <w:rPr>
                <w:sz w:val="1"/>
                <w:szCs w:val="1"/>
                <w:color w:val="auto"/>
              </w:rPr>
            </w:pPr>
          </w:p>
        </w:tc>
      </w:tr>
      <w:tr>
        <w:trPr>
          <w:trHeight w:val="163"/>
        </w:trPr>
        <w:tc>
          <w:tcPr>
            <w:tcW w:w="1600" w:type="dxa"/>
            <w:vAlign w:val="bottom"/>
          </w:tcPr>
          <w:p>
            <w:pPr>
              <w:ind w:left="20"/>
              <w:spacing w:after="0"/>
              <w:rPr>
                <w:sz w:val="20"/>
                <w:szCs w:val="20"/>
                <w:color w:val="auto"/>
              </w:rPr>
            </w:pPr>
            <w:r>
              <w:rPr>
                <w:rFonts w:ascii="Arial" w:cs="Arial" w:eastAsia="Arial" w:hAnsi="Arial"/>
                <w:sz w:val="12"/>
                <w:szCs w:val="12"/>
                <w:color w:val="auto"/>
                <w:w w:val="94"/>
              </w:rPr>
              <w:t>The Macerich Partnership, L.P.</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6,529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7,365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9,063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6,875</w:t>
            </w:r>
          </w:p>
        </w:tc>
        <w:tc>
          <w:tcPr>
            <w:tcW w:w="0" w:type="dxa"/>
            <w:vAlign w:val="bottom"/>
          </w:tcPr>
          <w:p>
            <w:pPr>
              <w:spacing w:after="0"/>
              <w:rPr>
                <w:sz w:val="1"/>
                <w:szCs w:val="1"/>
                <w:color w:val="auto"/>
              </w:rPr>
            </w:pPr>
          </w:p>
        </w:tc>
      </w:tr>
      <w:tr>
        <w:trPr>
          <w:trHeight w:val="179"/>
        </w:trPr>
        <w:tc>
          <w:tcPr>
            <w:tcW w:w="1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Towne Mall</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17,967</w:t>
            </w:r>
          </w:p>
        </w:tc>
        <w:tc>
          <w:tcPr>
            <w:tcW w:w="0" w:type="dxa"/>
            <w:vAlign w:val="bottom"/>
          </w:tcPr>
          <w:p>
            <w:pPr>
              <w:spacing w:after="0"/>
              <w:rPr>
                <w:sz w:val="1"/>
                <w:szCs w:val="1"/>
                <w:color w:val="auto"/>
              </w:rPr>
            </w:pPr>
          </w:p>
        </w:tc>
      </w:tr>
      <w:tr>
        <w:trPr>
          <w:trHeight w:val="156"/>
        </w:trPr>
        <w:tc>
          <w:tcPr>
            <w:tcW w:w="1600" w:type="dxa"/>
            <w:vAlign w:val="bottom"/>
          </w:tcPr>
          <w:p>
            <w:pPr>
              <w:ind w:left="20"/>
              <w:spacing w:after="0"/>
              <w:rPr>
                <w:sz w:val="20"/>
                <w:szCs w:val="20"/>
                <w:color w:val="auto"/>
              </w:rPr>
            </w:pPr>
            <w:r>
              <w:rPr>
                <w:rFonts w:ascii="Arial" w:cs="Arial" w:eastAsia="Arial" w:hAnsi="Arial"/>
                <w:sz w:val="12"/>
                <w:szCs w:val="12"/>
                <w:color w:val="auto"/>
              </w:rPr>
              <w:t>Valley Mall</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16,045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26,098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11,926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13,805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39,989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54,069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18,387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35,682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10730" cy="142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0730" cy="1422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616585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80" w:type="dxa"/>
            <w:vAlign w:val="bottom"/>
          </w:tcPr>
          <w:p>
            <w:pPr>
              <w:spacing w:after="0"/>
              <w:rPr>
                <w:sz w:val="14"/>
                <w:szCs w:val="14"/>
                <w:color w:val="auto"/>
              </w:rPr>
            </w:pPr>
          </w:p>
        </w:tc>
        <w:tc>
          <w:tcPr>
            <w:tcW w:w="2460" w:type="dxa"/>
            <w:vAlign w:val="bottom"/>
            <w:tcBorders>
              <w:bottom w:val="single" w:sz="8" w:color="auto"/>
            </w:tcBorders>
            <w:gridSpan w:val="7"/>
          </w:tcPr>
          <w:p>
            <w:pPr>
              <w:jc w:val="right"/>
              <w:ind w:right="519"/>
              <w:spacing w:after="0"/>
              <w:rPr>
                <w:sz w:val="20"/>
                <w:szCs w:val="20"/>
                <w:color w:val="auto"/>
              </w:rPr>
            </w:pPr>
            <w:r>
              <w:rPr>
                <w:rFonts w:ascii="Arial" w:cs="Arial" w:eastAsia="Arial" w:hAnsi="Arial"/>
                <w:sz w:val="12"/>
                <w:szCs w:val="12"/>
                <w:b w:val="1"/>
                <w:bCs w:val="1"/>
                <w:color w:val="auto"/>
              </w:rPr>
              <w:t>Initial Cost to Company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9"/>
          </w:tcPr>
          <w:p>
            <w:pPr>
              <w:spacing w:after="0"/>
              <w:rPr>
                <w:sz w:val="20"/>
                <w:szCs w:val="20"/>
                <w:color w:val="auto"/>
              </w:rPr>
            </w:pPr>
            <w:r>
              <w:rPr>
                <w:rFonts w:ascii="Arial" w:cs="Arial" w:eastAsia="Arial" w:hAnsi="Arial"/>
                <w:sz w:val="12"/>
                <w:szCs w:val="12"/>
                <w:b w:val="1"/>
                <w:bCs w:val="1"/>
                <w:color w:val="auto"/>
                <w:w w:val="96"/>
              </w:rPr>
              <w:t>Gross Amount at Which Carried at Close of Period</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3"/>
              </w:rPr>
              <w:t>Equipment</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4"/>
              </w:rPr>
              <w:t>Cost Capitalized</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6"/>
              </w:rPr>
              <w:t>Equipment</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center"/>
              <w:ind w:right="19"/>
              <w:spacing w:after="0" w:line="106" w:lineRule="exact"/>
              <w:rPr>
                <w:sz w:val="20"/>
                <w:szCs w:val="20"/>
                <w:color w:val="auto"/>
              </w:rPr>
            </w:pPr>
            <w:r>
              <w:rPr>
                <w:rFonts w:ascii="Arial" w:cs="Arial" w:eastAsia="Arial" w:hAnsi="Arial"/>
                <w:sz w:val="12"/>
                <w:szCs w:val="12"/>
                <w:b w:val="1"/>
                <w:bCs w:val="1"/>
                <w:color w:val="auto"/>
                <w:w w:val="91"/>
              </w:rPr>
              <w:t>Total Cost</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3"/>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3"/>
              </w:rPr>
              <w:t>Building and</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3"/>
              </w:rPr>
              <w:t>Construction</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780" w:type="dxa"/>
            <w:vAlign w:val="bottom"/>
          </w:tcPr>
          <w:p>
            <w:pPr>
              <w:jc w:val="center"/>
              <w:ind w:right="39"/>
              <w:spacing w:after="0" w:line="119" w:lineRule="exact"/>
              <w:rPr>
                <w:sz w:val="20"/>
                <w:szCs w:val="20"/>
                <w:color w:val="auto"/>
              </w:rPr>
            </w:pPr>
            <w:r>
              <w:rPr>
                <w:rFonts w:ascii="Arial" w:cs="Arial" w:eastAsia="Arial" w:hAnsi="Arial"/>
                <w:sz w:val="12"/>
                <w:szCs w:val="12"/>
                <w:b w:val="1"/>
                <w:bCs w:val="1"/>
                <w:color w:val="auto"/>
                <w:w w:val="93"/>
              </w:rPr>
              <w:t>Net of</w:t>
            </w: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2"/>
                <w:szCs w:val="12"/>
                <w:b w:val="1"/>
                <w:bCs w:val="1"/>
                <w:color w:val="auto"/>
                <w:w w:val="93"/>
              </w:rPr>
              <w:t>and</w:t>
            </w:r>
          </w:p>
        </w:tc>
        <w:tc>
          <w:tcPr>
            <w:tcW w:w="100" w:type="dxa"/>
            <w:vAlign w:val="bottom"/>
          </w:tcPr>
          <w:p>
            <w:pPr>
              <w:spacing w:after="0"/>
              <w:rPr>
                <w:sz w:val="10"/>
                <w:szCs w:val="10"/>
                <w:color w:val="auto"/>
              </w:rPr>
            </w:pPr>
          </w:p>
        </w:tc>
        <w:tc>
          <w:tcPr>
            <w:tcW w:w="900" w:type="dxa"/>
            <w:vAlign w:val="bottom"/>
            <w:gridSpan w:val="2"/>
          </w:tcPr>
          <w:p>
            <w:pPr>
              <w:jc w:val="center"/>
              <w:ind w:right="160"/>
              <w:spacing w:after="0" w:line="119" w:lineRule="exact"/>
              <w:rPr>
                <w:sz w:val="20"/>
                <w:szCs w:val="20"/>
                <w:color w:val="auto"/>
              </w:rPr>
            </w:pPr>
            <w:r>
              <w:rPr>
                <w:rFonts w:ascii="Arial" w:cs="Arial" w:eastAsia="Arial" w:hAnsi="Arial"/>
                <w:sz w:val="12"/>
                <w:szCs w:val="12"/>
                <w:b w:val="1"/>
                <w:bCs w:val="1"/>
                <w:color w:val="auto"/>
                <w:w w:val="88"/>
              </w:rPr>
              <w:t>Subsequent to</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2"/>
                <w:szCs w:val="12"/>
                <w:b w:val="1"/>
                <w:bCs w:val="1"/>
                <w:color w:val="auto"/>
                <w:w w:val="93"/>
              </w:rPr>
              <w:t>and</w:t>
            </w:r>
          </w:p>
        </w:tc>
        <w:tc>
          <w:tcPr>
            <w:tcW w:w="8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19"/>
              <w:spacing w:after="0" w:line="119" w:lineRule="exact"/>
              <w:rPr>
                <w:sz w:val="20"/>
                <w:szCs w:val="20"/>
                <w:color w:val="auto"/>
              </w:rPr>
            </w:pPr>
            <w:r>
              <w:rPr>
                <w:rFonts w:ascii="Arial" w:cs="Arial" w:eastAsia="Arial" w:hAnsi="Arial"/>
                <w:sz w:val="12"/>
                <w:szCs w:val="12"/>
                <w:b w:val="1"/>
                <w:bCs w:val="1"/>
                <w:color w:val="auto"/>
                <w:w w:val="92"/>
              </w:rPr>
              <w:t>Accumulated</w:t>
            </w:r>
          </w:p>
        </w:tc>
        <w:tc>
          <w:tcPr>
            <w:tcW w:w="0" w:type="dxa"/>
            <w:vAlign w:val="bottom"/>
          </w:tcPr>
          <w:p>
            <w:pPr>
              <w:spacing w:after="0"/>
              <w:rPr>
                <w:sz w:val="1"/>
                <w:szCs w:val="1"/>
                <w:color w:val="auto"/>
              </w:rPr>
            </w:pPr>
          </w:p>
        </w:tc>
      </w:tr>
      <w:tr>
        <w:trPr>
          <w:trHeight w:val="178"/>
        </w:trPr>
        <w:tc>
          <w:tcPr>
            <w:tcW w:w="1580" w:type="dxa"/>
            <w:vAlign w:val="bottom"/>
          </w:tcPr>
          <w:p>
            <w:pPr>
              <w:ind w:left="20"/>
              <w:spacing w:after="0"/>
              <w:rPr>
                <w:sz w:val="20"/>
                <w:szCs w:val="20"/>
                <w:color w:val="auto"/>
              </w:rPr>
            </w:pPr>
            <w:r>
              <w:rPr>
                <w:rFonts w:ascii="Arial" w:cs="Arial" w:eastAsia="Arial" w:hAnsi="Arial"/>
                <w:sz w:val="12"/>
                <w:szCs w:val="12"/>
                <w:b w:val="1"/>
                <w:bCs w:val="1"/>
                <w:color w:val="auto"/>
              </w:rPr>
              <w:t>Shopping Centers/Entities</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Land</w:t>
            </w:r>
          </w:p>
        </w:tc>
        <w:tc>
          <w:tcPr>
            <w:tcW w:w="90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2"/>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Furnishings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Acquisition</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Land</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Improvements</w:t>
            </w:r>
          </w:p>
        </w:tc>
        <w:tc>
          <w:tcPr>
            <w:tcW w:w="8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3"/>
              </w:rPr>
              <w:t>Furnishings</w:t>
            </w:r>
          </w:p>
        </w:tc>
        <w:tc>
          <w:tcPr>
            <w:tcW w:w="8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in Progress</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Depreciation</w:t>
            </w:r>
          </w:p>
        </w:tc>
        <w:tc>
          <w:tcPr>
            <w:tcW w:w="80" w:type="dxa"/>
            <w:vAlign w:val="bottom"/>
          </w:tcPr>
          <w:p>
            <w:pPr>
              <w:spacing w:after="0"/>
              <w:rPr>
                <w:sz w:val="15"/>
                <w:szCs w:val="15"/>
                <w:color w:val="auto"/>
              </w:rPr>
            </w:pPr>
          </w:p>
        </w:tc>
        <w:tc>
          <w:tcPr>
            <w:tcW w:w="780" w:type="dxa"/>
            <w:vAlign w:val="bottom"/>
          </w:tcPr>
          <w:p>
            <w:pPr>
              <w:jc w:val="center"/>
              <w:ind w:right="19"/>
              <w:spacing w:after="0"/>
              <w:rPr>
                <w:sz w:val="20"/>
                <w:szCs w:val="20"/>
                <w:color w:val="auto"/>
              </w:rPr>
            </w:pPr>
            <w:r>
              <w:rPr>
                <w:rFonts w:ascii="Arial" w:cs="Arial" w:eastAsia="Arial" w:hAnsi="Arial"/>
                <w:sz w:val="12"/>
                <w:szCs w:val="12"/>
                <w:b w:val="1"/>
                <w:bCs w:val="1"/>
                <w:color w:val="auto"/>
                <w:w w:val="90"/>
              </w:rPr>
              <w:t>Depreciation</w:t>
            </w:r>
          </w:p>
        </w:tc>
        <w:tc>
          <w:tcPr>
            <w:tcW w:w="0" w:type="dxa"/>
            <w:vAlign w:val="bottom"/>
          </w:tcPr>
          <w:p>
            <w:pPr>
              <w:spacing w:after="0"/>
              <w:rPr>
                <w:sz w:val="1"/>
                <w:szCs w:val="1"/>
                <w:color w:val="auto"/>
              </w:rPr>
            </w:pPr>
          </w:p>
        </w:tc>
      </w:tr>
      <w:tr>
        <w:trPr>
          <w:trHeight w:val="163"/>
        </w:trPr>
        <w:tc>
          <w:tcPr>
            <w:tcW w:w="158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Valley River Center</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24,854</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147,715</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37,305</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24,854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182,851</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2,085</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84</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209,874</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85,686</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124,188</w:t>
            </w:r>
          </w:p>
        </w:tc>
        <w:tc>
          <w:tcPr>
            <w:tcW w:w="0" w:type="dxa"/>
            <w:vAlign w:val="bottom"/>
          </w:tcPr>
          <w:p>
            <w:pPr>
              <w:spacing w:after="0"/>
              <w:rPr>
                <w:sz w:val="1"/>
                <w:szCs w:val="1"/>
                <w:color w:val="auto"/>
              </w:rPr>
            </w:pPr>
          </w:p>
        </w:tc>
      </w:tr>
      <w:tr>
        <w:trPr>
          <w:trHeight w:val="17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Victor Valley, Mall of</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56,692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77,614</w:t>
            </w:r>
          </w:p>
        </w:tc>
        <w:tc>
          <w:tcPr>
            <w:tcW w:w="0" w:type="dxa"/>
            <w:vAlign w:val="bottom"/>
          </w:tcPr>
          <w:p>
            <w:pPr>
              <w:spacing w:after="0"/>
              <w:rPr>
                <w:sz w:val="1"/>
                <w:szCs w:val="1"/>
                <w:color w:val="auto"/>
              </w:rPr>
            </w:pPr>
          </w:p>
        </w:tc>
      </w:tr>
      <w:tr>
        <w:trPr>
          <w:trHeight w:val="163"/>
        </w:trPr>
        <w:tc>
          <w:tcPr>
            <w:tcW w:w="1580" w:type="dxa"/>
            <w:vAlign w:val="bottom"/>
          </w:tcPr>
          <w:p>
            <w:pPr>
              <w:ind w:left="20"/>
              <w:spacing w:after="0"/>
              <w:rPr>
                <w:sz w:val="20"/>
                <w:szCs w:val="20"/>
                <w:color w:val="auto"/>
              </w:rPr>
            </w:pPr>
            <w:r>
              <w:rPr>
                <w:rFonts w:ascii="Arial" w:cs="Arial" w:eastAsia="Arial" w:hAnsi="Arial"/>
                <w:sz w:val="12"/>
                <w:szCs w:val="12"/>
                <w:color w:val="auto"/>
              </w:rPr>
              <w:t>Vintage Faire Mall</w:t>
            </w:r>
          </w:p>
        </w:tc>
        <w:tc>
          <w:tcPr>
            <w:tcW w:w="680" w:type="dxa"/>
            <w:vAlign w:val="bottom"/>
          </w:tcPr>
          <w:p>
            <w:pPr>
              <w:jc w:val="right"/>
              <w:spacing w:after="0"/>
              <w:rPr>
                <w:sz w:val="20"/>
                <w:szCs w:val="20"/>
                <w:color w:val="auto"/>
              </w:rPr>
            </w:pPr>
            <w:r>
              <w:rPr>
                <w:rFonts w:ascii="Arial" w:cs="Arial" w:eastAsia="Arial" w:hAnsi="Arial"/>
                <w:sz w:val="12"/>
                <w:szCs w:val="12"/>
                <w:color w:val="auto"/>
              </w:rPr>
              <w:t>14,902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60,532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63,196</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17,647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119,356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138,630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84,152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54,478</w:t>
            </w:r>
          </w:p>
        </w:tc>
        <w:tc>
          <w:tcPr>
            <w:tcW w:w="0" w:type="dxa"/>
            <w:vAlign w:val="bottom"/>
          </w:tcPr>
          <w:p>
            <w:pPr>
              <w:spacing w:after="0"/>
              <w:rPr>
                <w:sz w:val="1"/>
                <w:szCs w:val="1"/>
                <w:color w:val="auto"/>
              </w:rPr>
            </w:pPr>
          </w:p>
        </w:tc>
      </w:tr>
      <w:tr>
        <w:trPr>
          <w:trHeight w:val="179"/>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Wilton Mall</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67,855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(3,001)</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71,938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84,597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34,813</w:t>
            </w:r>
          </w:p>
        </w:tc>
        <w:tc>
          <w:tcPr>
            <w:tcW w:w="0" w:type="dxa"/>
            <w:vAlign w:val="bottom"/>
          </w:tcPr>
          <w:p>
            <w:pPr>
              <w:spacing w:after="0"/>
              <w:rPr>
                <w:sz w:val="1"/>
                <w:szCs w:val="1"/>
                <w:color w:val="auto"/>
              </w:rPr>
            </w:pPr>
          </w:p>
        </w:tc>
      </w:tr>
      <w:tr>
        <w:trPr>
          <w:trHeight w:val="163"/>
        </w:trPr>
        <w:tc>
          <w:tcPr>
            <w:tcW w:w="1580" w:type="dxa"/>
            <w:vAlign w:val="bottom"/>
          </w:tcPr>
          <w:p>
            <w:pPr>
              <w:ind w:left="20"/>
              <w:spacing w:after="0"/>
              <w:rPr>
                <w:sz w:val="20"/>
                <w:szCs w:val="20"/>
                <w:color w:val="auto"/>
              </w:rPr>
            </w:pPr>
            <w:r>
              <w:rPr>
                <w:rFonts w:ascii="Arial" w:cs="Arial" w:eastAsia="Arial" w:hAnsi="Arial"/>
                <w:sz w:val="12"/>
                <w:szCs w:val="12"/>
                <w:color w:val="auto"/>
              </w:rPr>
              <w:t>Other freestanding stores</w:t>
            </w:r>
          </w:p>
        </w:tc>
        <w:tc>
          <w:tcPr>
            <w:tcW w:w="680" w:type="dxa"/>
            <w:vAlign w:val="bottom"/>
          </w:tcPr>
          <w:p>
            <w:pPr>
              <w:jc w:val="right"/>
              <w:spacing w:after="0"/>
              <w:rPr>
                <w:sz w:val="20"/>
                <w:szCs w:val="20"/>
                <w:color w:val="auto"/>
              </w:rPr>
            </w:pPr>
            <w:r>
              <w:rPr>
                <w:rFonts w:ascii="Arial" w:cs="Arial" w:eastAsia="Arial" w:hAnsi="Arial"/>
                <w:sz w:val="12"/>
                <w:szCs w:val="12"/>
                <w:color w:val="auto"/>
              </w:rPr>
              <w:t>21,062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75,849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(13,722)</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50,431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21,648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83,189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8,671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74,518</w:t>
            </w: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Other land and development</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properties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(27,029)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9,491</w:t>
            </w:r>
          </w:p>
        </w:tc>
        <w:tc>
          <w:tcPr>
            <w:tcW w:w="0" w:type="dxa"/>
            <w:vAlign w:val="bottom"/>
          </w:tcPr>
          <w:p>
            <w:pPr>
              <w:spacing w:after="0"/>
              <w:rPr>
                <w:sz w:val="1"/>
                <w:szCs w:val="1"/>
                <w:color w:val="auto"/>
              </w:rPr>
            </w:pPr>
          </w:p>
        </w:tc>
      </w:tr>
      <w:tr>
        <w:trPr>
          <w:trHeight w:val="164"/>
        </w:trPr>
        <w:tc>
          <w:tcPr>
            <w:tcW w:w="15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4"/>
              </w:rPr>
              <w:t>$ 1,377,835</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4,906,012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46,574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2,590,159</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4"/>
              </w:rPr>
              <w:t>$ 1,425,211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7,089,743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186,767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218,859</w:t>
            </w:r>
          </w:p>
        </w:tc>
        <w:tc>
          <w:tcPr>
            <w:tcW w:w="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1"/>
              </w:rPr>
              <w:t>$ 8,920,580</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2,792,790</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6,127,790</w:t>
            </w:r>
          </w:p>
        </w:tc>
        <w:tc>
          <w:tcPr>
            <w:tcW w:w="0" w:type="dxa"/>
            <w:vAlign w:val="bottom"/>
          </w:tcPr>
          <w:p>
            <w:pPr>
              <w:spacing w:after="0"/>
              <w:rPr>
                <w:sz w:val="1"/>
                <w:szCs w:val="1"/>
                <w:color w:val="auto"/>
              </w:rPr>
            </w:pPr>
          </w:p>
        </w:tc>
      </w:tr>
      <w:tr>
        <w:trPr>
          <w:trHeight w:val="26"/>
        </w:trPr>
        <w:tc>
          <w:tcPr>
            <w:tcW w:w="1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658495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72"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MACERICH COMPANY</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III—Real Estate and Accumulated Depreciation (Continued)</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2022</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435"/>
        <w:spacing w:after="0" w:line="262" w:lineRule="auto"/>
        <w:rPr>
          <w:sz w:val="20"/>
          <w:szCs w:val="20"/>
          <w:color w:val="auto"/>
        </w:rPr>
      </w:pPr>
      <w:r>
        <w:rPr>
          <w:rFonts w:ascii="Arial" w:cs="Arial" w:eastAsia="Arial" w:hAnsi="Arial"/>
          <w:sz w:val="18"/>
          <w:szCs w:val="18"/>
          <w:color w:val="auto"/>
        </w:rPr>
        <w:t>Depreciation of the Company's investment in buildings and improvements reflected in the consolidated statements of operations are calculated over the estimated useful lives of the asset as follows:</w:t>
      </w:r>
    </w:p>
    <w:p>
      <w:pPr>
        <w:spacing w:after="0" w:line="153" w:lineRule="exact"/>
        <w:rPr>
          <w:sz w:val="20"/>
          <w:szCs w:val="20"/>
          <w:color w:val="auto"/>
        </w:rPr>
      </w:pPr>
    </w:p>
    <w:tbl>
      <w:tblPr>
        <w:tblLayout w:type="fixed"/>
        <w:tblInd w:w="1060" w:type="dxa"/>
        <w:tblCellMar>
          <w:top w:w="0" w:type="dxa"/>
          <w:left w:w="0" w:type="dxa"/>
          <w:bottom w:w="0" w:type="dxa"/>
          <w:right w:w="0" w:type="dxa"/>
        </w:tblCellMar>
      </w:tblP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- 40 years</w:t>
            </w:r>
          </w:p>
        </w:tc>
      </w:tr>
      <w:tr>
        <w:trPr>
          <w:trHeight w:val="224"/>
        </w:trPr>
        <w:tc>
          <w:tcPr>
            <w:tcW w:w="488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2960" w:type="dxa"/>
            <w:vAlign w:val="bottom"/>
          </w:tcPr>
          <w:p>
            <w:pPr>
              <w:jc w:val="right"/>
              <w:spacing w:after="0"/>
              <w:rPr>
                <w:sz w:val="20"/>
                <w:szCs w:val="20"/>
                <w:color w:val="auto"/>
              </w:rPr>
            </w:pPr>
            <w:r>
              <w:rPr>
                <w:rFonts w:ascii="Arial" w:cs="Arial" w:eastAsia="Arial" w:hAnsi="Arial"/>
                <w:sz w:val="18"/>
                <w:szCs w:val="18"/>
                <w:color w:val="auto"/>
              </w:rPr>
              <w:t>5</w:t>
            </w:r>
          </w:p>
        </w:tc>
        <w:tc>
          <w:tcPr>
            <w:tcW w:w="1300" w:type="dxa"/>
            <w:vAlign w:val="bottom"/>
          </w:tcPr>
          <w:p>
            <w:pPr>
              <w:ind w:left="20"/>
              <w:spacing w:after="0"/>
              <w:rPr>
                <w:sz w:val="20"/>
                <w:szCs w:val="20"/>
                <w:color w:val="auto"/>
              </w:rPr>
            </w:pPr>
            <w:r>
              <w:rPr>
                <w:rFonts w:ascii="Arial" w:cs="Arial" w:eastAsia="Arial" w:hAnsi="Arial"/>
                <w:sz w:val="18"/>
                <w:szCs w:val="18"/>
                <w:color w:val="auto"/>
              </w:rPr>
              <w:t>- 7 years</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furnishings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bl>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total real estate assets for the three years ended December 31, 2022 are as follows:</w:t>
      </w:r>
    </w:p>
    <w:p>
      <w:pPr>
        <w:spacing w:after="0" w:line="178"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beginning of year</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9,256,712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8,993,049</w:t>
            </w:r>
          </w:p>
        </w:tc>
      </w:tr>
      <w:tr>
        <w:trPr>
          <w:trHeight w:val="224"/>
        </w:trPr>
        <w:tc>
          <w:tcPr>
            <w:tcW w:w="46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419,369</w:t>
            </w: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(155,706)</w:t>
            </w:r>
          </w:p>
        </w:tc>
      </w:tr>
      <w:tr>
        <w:trPr>
          <w:trHeight w:val="217"/>
        </w:trPr>
        <w:tc>
          <w:tcPr>
            <w:tcW w:w="4640" w:type="dxa"/>
            <w:vAlign w:val="bottom"/>
          </w:tcPr>
          <w:p>
            <w:pPr>
              <w:ind w:left="20"/>
              <w:spacing w:after="0"/>
              <w:rPr>
                <w:sz w:val="20"/>
                <w:szCs w:val="20"/>
                <w:color w:val="auto"/>
              </w:rPr>
            </w:pPr>
            <w:r>
              <w:rPr>
                <w:rFonts w:ascii="Arial" w:cs="Arial" w:eastAsia="Arial" w:hAnsi="Arial"/>
                <w:sz w:val="18"/>
                <w:szCs w:val="18"/>
                <w:color w:val="auto"/>
              </w:rPr>
              <w:t>Balances, end of year</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8,920,580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8,847,550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9,256,712</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cost of the property included in the table above for federal income tax purposes was $8,952,349 (unaudited) at December 31, 2022.</w:t>
      </w:r>
    </w:p>
    <w:p>
      <w:pPr>
        <w:spacing w:after="0" w:line="200" w:lineRule="exact"/>
        <w:rPr>
          <w:sz w:val="20"/>
          <w:szCs w:val="20"/>
          <w:color w:val="auto"/>
        </w:rPr>
      </w:pPr>
    </w:p>
    <w:p>
      <w:pPr>
        <w:spacing w:after="0" w:line="3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accumulated depreciation for the three years ended December 31, 2022 are as follows:</w:t>
      </w:r>
    </w:p>
    <w:p>
      <w:pPr>
        <w:spacing w:after="0" w:line="165"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4"/>
        </w:trPr>
        <w:tc>
          <w:tcPr>
            <w:tcW w:w="4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beginning of year</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2,563,344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2,562,133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2,349,536</w:t>
            </w:r>
          </w:p>
        </w:tc>
      </w:tr>
      <w:tr>
        <w:trPr>
          <w:trHeight w:val="224"/>
        </w:trPr>
        <w:tc>
          <w:tcPr>
            <w:tcW w:w="46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287,925</w:t>
            </w:r>
          </w:p>
        </w:tc>
      </w:tr>
      <w:tr>
        <w:trPr>
          <w:trHeight w:val="22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Dispositions and retirements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(75,328)</w:t>
            </w:r>
          </w:p>
        </w:tc>
      </w:tr>
      <w:tr>
        <w:trPr>
          <w:trHeight w:val="217"/>
        </w:trPr>
        <w:tc>
          <w:tcPr>
            <w:tcW w:w="4640" w:type="dxa"/>
            <w:vAlign w:val="bottom"/>
          </w:tcPr>
          <w:p>
            <w:pPr>
              <w:ind w:left="20"/>
              <w:spacing w:after="0"/>
              <w:rPr>
                <w:sz w:val="20"/>
                <w:szCs w:val="20"/>
                <w:color w:val="auto"/>
              </w:rPr>
            </w:pPr>
            <w:r>
              <w:rPr>
                <w:rFonts w:ascii="Arial" w:cs="Arial" w:eastAsia="Arial" w:hAnsi="Arial"/>
                <w:sz w:val="18"/>
                <w:szCs w:val="18"/>
                <w:color w:val="auto"/>
              </w:rPr>
              <w:t>Balances, end of year</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2,792,790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2,563,344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2,562,133</w:t>
            </w: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272" w:right="5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80" w:type="dxa"/>
            <w:vAlign w:val="bottom"/>
            <w:gridSpan w:val="22"/>
          </w:tcPr>
          <w:p>
            <w:pPr>
              <w:ind w:left="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59"/>
        </w:trPr>
        <w:tc>
          <w:tcPr>
            <w:tcW w:w="1380" w:type="dxa"/>
            <w:vAlign w:val="bottom"/>
            <w:gridSpan w:val="7"/>
          </w:tcPr>
          <w:p>
            <w:pPr>
              <w:jc w:val="center"/>
              <w:ind w:right="380"/>
              <w:spacing w:after="0" w:line="159" w:lineRule="exact"/>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60" w:type="dxa"/>
            <w:vAlign w:val="bottom"/>
            <w:gridSpan w:val="21"/>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6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tcBorders>
              <w:top w:val="single" w:sz="8" w:color="auto"/>
            </w:tcBorders>
            <w:gridSpan w:val="6"/>
          </w:tcPr>
          <w:p>
            <w:pPr>
              <w:jc w:val="right"/>
              <w:ind w:right="20"/>
              <w:spacing w:after="0" w:line="184" w:lineRule="exact"/>
              <w:rPr>
                <w:rFonts w:ascii="Arial" w:cs="Arial" w:eastAsia="Arial" w:hAnsi="Arial"/>
                <w:sz w:val="18"/>
                <w:szCs w:val="18"/>
                <w:color w:val="0000FF"/>
              </w:rPr>
            </w:pPr>
            <w:hyperlink r:id="rId120">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3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20" w:type="dxa"/>
            <w:vAlign w:val="bottom"/>
            <w:tcBorders>
              <w:top w:val="single" w:sz="8" w:color="auto"/>
            </w:tcBorders>
            <w:gridSpan w:val="28"/>
          </w:tcPr>
          <w:p>
            <w:pPr>
              <w:spacing w:after="0" w:line="184"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Master Agreement, dated November 14, 2014, by and among Pacific Premier Retail LLC, MACPT LLC, Macerich PPR GP LLC, Queens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20">
              <w:r>
                <w:rPr>
                  <w:rFonts w:ascii="Arial" w:cs="Arial" w:eastAsia="Arial" w:hAnsi="Arial"/>
                  <w:sz w:val="16"/>
                  <w:szCs w:val="16"/>
                  <w:color w:val="0000FF"/>
                </w:rPr>
                <w:t>JV LP, Macerich Queens JV LP, Queens JV GP LLC, 1700480 Ontario Inc. and the Company (incorporated by reference as an exhibit to</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w w:val="99"/>
              </w:rPr>
            </w:pPr>
            <w:hyperlink r:id="rId120">
              <w:r>
                <w:rPr>
                  <w:rFonts w:ascii="Arial" w:cs="Arial" w:eastAsia="Arial" w:hAnsi="Arial"/>
                  <w:sz w:val="16"/>
                  <w:szCs w:val="16"/>
                  <w:color w:val="0000FF"/>
                  <w:w w:val="99"/>
                </w:rPr>
                <w:t>the Company’s Current Report on Form 8-K, event date November 14, 2014).</w:t>
              </w:r>
            </w:hyperlink>
          </w:p>
        </w:tc>
        <w:tc>
          <w:tcPr>
            <w:tcW w:w="412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980" w:type="dxa"/>
            <w:vAlign w:val="bottom"/>
            <w:gridSpan w:val="5"/>
          </w:tcPr>
          <w:p>
            <w:pPr>
              <w:jc w:val="right"/>
              <w:ind w:right="6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5"/>
              </w:rPr>
              <w:t>Articles of Amendment and Restatement of the Company (incorporated by reference as an exhibit to the Company's Registration</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89"/>
              </w:rPr>
              <w:t>Statement on Form S-11, as amended (No. 33-68964)) (Filed in paper - hyperlink is not required pursuant to Rule 105 of Regulation S-T).</w:t>
            </w:r>
          </w:p>
        </w:tc>
        <w:tc>
          <w:tcPr>
            <w:tcW w:w="0" w:type="dxa"/>
            <w:vAlign w:val="bottom"/>
          </w:tcPr>
          <w:p>
            <w:pPr>
              <w:spacing w:after="0"/>
              <w:rPr>
                <w:sz w:val="1"/>
                <w:szCs w:val="1"/>
                <w:color w:val="auto"/>
              </w:rPr>
            </w:pPr>
          </w:p>
        </w:tc>
      </w:tr>
      <w:tr>
        <w:trPr>
          <w:trHeight w:val="436"/>
        </w:trPr>
        <w:tc>
          <w:tcPr>
            <w:tcW w:w="980" w:type="dxa"/>
            <w:vAlign w:val="bottom"/>
            <w:gridSpan w:val="5"/>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w w:val="91"/>
              </w:rPr>
              <w:t>Articles Supplementary of the Company (incorporated by reference as an exhibit to the Company's Current Report on Form 8-K, event</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auto"/>
              </w:rPr>
              <w:t>date May 30, 1995) (Filed in paper - hyperlink is not required pursuant to Rule 105 of Regulation S-T).</w:t>
            </w:r>
          </w:p>
        </w:tc>
        <w:tc>
          <w:tcPr>
            <w:tcW w:w="0" w:type="dxa"/>
            <w:vAlign w:val="bottom"/>
          </w:tcPr>
          <w:p>
            <w:pPr>
              <w:spacing w:after="0"/>
              <w:rPr>
                <w:sz w:val="1"/>
                <w:szCs w:val="1"/>
                <w:color w:val="auto"/>
              </w:rPr>
            </w:pPr>
          </w:p>
        </w:tc>
      </w:tr>
      <w:tr>
        <w:trPr>
          <w:trHeight w:val="449"/>
        </w:trPr>
        <w:tc>
          <w:tcPr>
            <w:tcW w:w="980" w:type="dxa"/>
            <w:vAlign w:val="bottom"/>
            <w:gridSpan w:val="5"/>
          </w:tcPr>
          <w:p>
            <w:pPr>
              <w:jc w:val="right"/>
              <w:spacing w:after="0"/>
              <w:rPr>
                <w:rFonts w:ascii="Arial" w:cs="Arial" w:eastAsia="Arial" w:hAnsi="Arial"/>
                <w:sz w:val="18"/>
                <w:szCs w:val="18"/>
                <w:color w:val="0000FF"/>
              </w:rPr>
            </w:pPr>
            <w:hyperlink r:id="rId121">
              <w:r>
                <w:rPr>
                  <w:rFonts w:ascii="Arial" w:cs="Arial" w:eastAsia="Arial" w:hAnsi="Arial"/>
                  <w:sz w:val="18"/>
                  <w:szCs w:val="18"/>
                  <w:color w:val="0000FF"/>
                </w:rPr>
                <w:t>3.</w:t>
              </w:r>
              <w:r>
                <w:rPr>
                  <w:rFonts w:ascii="Arial" w:cs="Arial" w:eastAsia="Arial" w:hAnsi="Arial"/>
                  <w:sz w:val="18"/>
                  <w:szCs w:val="18"/>
                  <w:u w:val="single" w:color="auto"/>
                  <w:color w:val="0000FF"/>
                </w:rPr>
                <w:t>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1"/>
              </w:rPr>
            </w:pPr>
            <w:hyperlink r:id="rId121">
              <w:r>
                <w:rPr>
                  <w:rFonts w:ascii="Arial" w:cs="Arial" w:eastAsia="Arial" w:hAnsi="Arial"/>
                  <w:sz w:val="18"/>
                  <w:szCs w:val="18"/>
                  <w:color w:val="0000FF"/>
                  <w:w w:val="91"/>
                </w:rPr>
                <w:t>Articles Supplementary of the Company (with respect to the first paragraph) (incorporated by reference as an exhibit to the Company's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21">
              <w:r>
                <w:rPr>
                  <w:rFonts w:ascii="Arial" w:cs="Arial" w:eastAsia="Arial" w:hAnsi="Arial"/>
                  <w:sz w:val="16"/>
                  <w:szCs w:val="16"/>
                  <w:color w:val="0000FF"/>
                </w:rPr>
                <w:t>1998 Form 10-K).</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2">
              <w:r>
                <w:rPr>
                  <w:rFonts w:ascii="Arial" w:cs="Arial" w:eastAsia="Arial" w:hAnsi="Arial"/>
                  <w:sz w:val="18"/>
                  <w:szCs w:val="18"/>
                  <w:color w:val="0000FF"/>
                </w:rPr>
                <w:t>3.</w:t>
              </w:r>
              <w:r>
                <w:rPr>
                  <w:rFonts w:ascii="Arial" w:cs="Arial" w:eastAsia="Arial" w:hAnsi="Arial"/>
                  <w:sz w:val="18"/>
                  <w:szCs w:val="18"/>
                  <w:u w:val="single" w:color="auto"/>
                  <w:color w:val="0000FF"/>
                </w:rPr>
                <w:t>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Articles Supplementary of the Company (Series D Preferred Stock) (incorporated by reference as an exhibit to the Company's Current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w w:val="99"/>
              </w:rPr>
            </w:pPr>
            <w:hyperlink r:id="rId122">
              <w:r>
                <w:rPr>
                  <w:rFonts w:ascii="Arial" w:cs="Arial" w:eastAsia="Arial" w:hAnsi="Arial"/>
                  <w:sz w:val="16"/>
                  <w:szCs w:val="16"/>
                  <w:color w:val="0000FF"/>
                  <w:w w:val="99"/>
                </w:rPr>
                <w:t>Report on Form 8-K, event date July 26, 2002).</w:t>
              </w:r>
            </w:hyperlink>
          </w:p>
        </w:tc>
        <w:tc>
          <w:tcPr>
            <w:tcW w:w="60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3">
              <w:r>
                <w:rPr>
                  <w:rFonts w:ascii="Arial" w:cs="Arial" w:eastAsia="Arial" w:hAnsi="Arial"/>
                  <w:sz w:val="18"/>
                  <w:szCs w:val="18"/>
                  <w:color w:val="0000FF"/>
                </w:rPr>
                <w:t>3.</w:t>
              </w:r>
              <w:r>
                <w:rPr>
                  <w:rFonts w:ascii="Arial" w:cs="Arial" w:eastAsia="Arial" w:hAnsi="Arial"/>
                  <w:sz w:val="18"/>
                  <w:szCs w:val="18"/>
                  <w:u w:val="single" w:color="auto"/>
                  <w:color w:val="0000FF"/>
                </w:rPr>
                <w:t>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88"/>
              </w:rPr>
            </w:pPr>
            <w:hyperlink r:id="rId123">
              <w:r>
                <w:rPr>
                  <w:rFonts w:ascii="Arial" w:cs="Arial" w:eastAsia="Arial" w:hAnsi="Arial"/>
                  <w:sz w:val="18"/>
                  <w:szCs w:val="18"/>
                  <w:color w:val="0000FF"/>
                  <w:w w:val="88"/>
                </w:rPr>
                <w:t>Articles Supplementary of the Company (incorporated by reference as an exhibit to the Company's Registration Statement on Form S-3, as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8"/>
              </w:rPr>
            </w:pPr>
            <w:hyperlink r:id="rId123">
              <w:r>
                <w:rPr>
                  <w:rFonts w:ascii="Arial" w:cs="Arial" w:eastAsia="Arial" w:hAnsi="Arial"/>
                  <w:sz w:val="16"/>
                  <w:szCs w:val="16"/>
                  <w:color w:val="0000FF"/>
                  <w:w w:val="98"/>
                </w:rPr>
                <w:t>amended (No. 333-88718)).</w:t>
              </w:r>
            </w:hyperlink>
          </w:p>
        </w:tc>
        <w:tc>
          <w:tcPr>
            <w:tcW w:w="78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4">
              <w:r>
                <w:rPr>
                  <w:rFonts w:ascii="Arial" w:cs="Arial" w:eastAsia="Arial" w:hAnsi="Arial"/>
                  <w:sz w:val="18"/>
                  <w:szCs w:val="18"/>
                  <w:color w:val="0000FF"/>
                </w:rPr>
                <w:t>3.</w:t>
              </w:r>
              <w:r>
                <w:rPr>
                  <w:rFonts w:ascii="Arial" w:cs="Arial" w:eastAsia="Arial" w:hAnsi="Arial"/>
                  <w:sz w:val="18"/>
                  <w:szCs w:val="18"/>
                  <w:u w:val="single" w:color="auto"/>
                  <w:color w:val="0000FF"/>
                </w:rPr>
                <w:t>1.5</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4"/>
              </w:rPr>
            </w:pPr>
            <w:hyperlink r:id="rId124">
              <w:r>
                <w:rPr>
                  <w:rFonts w:ascii="Arial" w:cs="Arial" w:eastAsia="Arial" w:hAnsi="Arial"/>
                  <w:sz w:val="18"/>
                  <w:szCs w:val="18"/>
                  <w:color w:val="0000FF"/>
                  <w:w w:val="94"/>
                </w:rPr>
                <w:t>Articles of Amendment of the Company (declassification of Board) (incorporated by reference as an exhibit to the Company's 2008</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24">
              <w:r>
                <w:rPr>
                  <w:rFonts w:ascii="Arial" w:cs="Arial" w:eastAsia="Arial" w:hAnsi="Arial"/>
                  <w:sz w:val="16"/>
                  <w:szCs w:val="16"/>
                  <w:color w:val="0000FF"/>
                </w:rPr>
                <w:t>Form 10-K).</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5">
              <w:r>
                <w:rPr>
                  <w:rFonts w:ascii="Arial" w:cs="Arial" w:eastAsia="Arial" w:hAnsi="Arial"/>
                  <w:sz w:val="18"/>
                  <w:szCs w:val="18"/>
                  <w:color w:val="0000FF"/>
                </w:rPr>
                <w:t>3.</w:t>
              </w:r>
              <w:r>
                <w:rPr>
                  <w:rFonts w:ascii="Arial" w:cs="Arial" w:eastAsia="Arial" w:hAnsi="Arial"/>
                  <w:sz w:val="18"/>
                  <w:szCs w:val="18"/>
                  <w:u w:val="single" w:color="auto"/>
                  <w:color w:val="0000FF"/>
                </w:rPr>
                <w:t>1.6</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1"/>
              </w:rPr>
            </w:pPr>
            <w:hyperlink r:id="rId125">
              <w:r>
                <w:rPr>
                  <w:rFonts w:ascii="Arial" w:cs="Arial" w:eastAsia="Arial" w:hAnsi="Arial"/>
                  <w:sz w:val="18"/>
                  <w:szCs w:val="18"/>
                  <w:color w:val="0000FF"/>
                  <w:w w:val="91"/>
                </w:rPr>
                <w:t>Articles Supplementary of the Company (incorporated by reference as an exhibit to the Company's Current Report on Form 8-K, event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25">
              <w:r>
                <w:rPr>
                  <w:rFonts w:ascii="Arial" w:cs="Arial" w:eastAsia="Arial" w:hAnsi="Arial"/>
                  <w:sz w:val="16"/>
                  <w:szCs w:val="16"/>
                  <w:color w:val="0000FF"/>
                </w:rPr>
                <w:t>date February 5, 2009).</w:t>
              </w:r>
            </w:hyperlink>
          </w:p>
        </w:tc>
        <w:tc>
          <w:tcPr>
            <w:tcW w:w="1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6">
              <w:r>
                <w:rPr>
                  <w:rFonts w:ascii="Arial" w:cs="Arial" w:eastAsia="Arial" w:hAnsi="Arial"/>
                  <w:sz w:val="18"/>
                  <w:szCs w:val="18"/>
                  <w:color w:val="0000FF"/>
                </w:rPr>
                <w:t>3.</w:t>
              </w:r>
              <w:r>
                <w:rPr>
                  <w:rFonts w:ascii="Arial" w:cs="Arial" w:eastAsia="Arial" w:hAnsi="Arial"/>
                  <w:sz w:val="18"/>
                  <w:szCs w:val="18"/>
                  <w:u w:val="single" w:color="auto"/>
                  <w:color w:val="0000FF"/>
                </w:rPr>
                <w:t>1.7</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88"/>
              </w:rPr>
            </w:pPr>
            <w:hyperlink r:id="rId126">
              <w:r>
                <w:rPr>
                  <w:rFonts w:ascii="Arial" w:cs="Arial" w:eastAsia="Arial" w:hAnsi="Arial"/>
                  <w:sz w:val="18"/>
                  <w:szCs w:val="18"/>
                  <w:color w:val="0000FF"/>
                  <w:w w:val="88"/>
                </w:rPr>
                <w:t>Articles of Amendment of the Company (increased authorized shares) (incorporated by reference as an exhibit to the Company's Quarterly</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26">
              <w:r>
                <w:rPr>
                  <w:rFonts w:ascii="Arial" w:cs="Arial" w:eastAsia="Arial" w:hAnsi="Arial"/>
                  <w:sz w:val="16"/>
                  <w:szCs w:val="16"/>
                  <w:color w:val="0000FF"/>
                </w:rPr>
                <w:t>Report on Form 10-Q for the quarter ended June 30, 2009).</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7">
              <w:r>
                <w:rPr>
                  <w:rFonts w:ascii="Arial" w:cs="Arial" w:eastAsia="Arial" w:hAnsi="Arial"/>
                  <w:sz w:val="18"/>
                  <w:szCs w:val="18"/>
                  <w:color w:val="0000FF"/>
                </w:rPr>
                <w:t>3.</w:t>
              </w:r>
              <w:r>
                <w:rPr>
                  <w:rFonts w:ascii="Arial" w:cs="Arial" w:eastAsia="Arial" w:hAnsi="Arial"/>
                  <w:sz w:val="18"/>
                  <w:szCs w:val="18"/>
                  <w:u w:val="single" w:color="auto"/>
                  <w:color w:val="0000FF"/>
                </w:rPr>
                <w:t>1.8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89"/>
              </w:rPr>
            </w:pPr>
            <w:hyperlink r:id="rId127">
              <w:r>
                <w:rPr>
                  <w:rFonts w:ascii="Arial" w:cs="Arial" w:eastAsia="Arial" w:hAnsi="Arial"/>
                  <w:sz w:val="18"/>
                  <w:szCs w:val="18"/>
                  <w:color w:val="0000FF"/>
                  <w:w w:val="89"/>
                </w:rPr>
                <w:t>Articles of Amendment of the Company (to eliminate the supermajority vote requirement to amend the charter and to clarify a reference in</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14"/>
          </w:tcPr>
          <w:p>
            <w:pPr>
              <w:spacing w:after="0" w:line="152" w:lineRule="exact"/>
              <w:rPr>
                <w:rFonts w:ascii="Arial" w:cs="Arial" w:eastAsia="Arial" w:hAnsi="Arial"/>
                <w:sz w:val="16"/>
                <w:szCs w:val="16"/>
                <w:color w:val="0000FF"/>
              </w:rPr>
            </w:pPr>
            <w:hyperlink r:id="rId127">
              <w:r>
                <w:rPr>
                  <w:rFonts w:ascii="Arial" w:cs="Arial" w:eastAsia="Arial" w:hAnsi="Arial"/>
                  <w:sz w:val="16"/>
                  <w:szCs w:val="16"/>
                  <w:color w:val="0000FF"/>
                </w:rPr>
                <w:t>Article NINTH) (incorporated by reference as an exhibit to the Company’s Current Report on Form 8-K, event date May 30, 2014).</w:t>
              </w:r>
            </w:hyperlink>
          </w:p>
        </w:tc>
        <w:tc>
          <w:tcPr>
            <w:tcW w:w="50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8">
              <w:r>
                <w:rPr>
                  <w:rFonts w:ascii="Arial" w:cs="Arial" w:eastAsia="Arial" w:hAnsi="Arial"/>
                  <w:sz w:val="18"/>
                  <w:szCs w:val="18"/>
                  <w:color w:val="0000FF"/>
                </w:rPr>
                <w:t>3.</w:t>
              </w:r>
              <w:r>
                <w:rPr>
                  <w:rFonts w:ascii="Arial" w:cs="Arial" w:eastAsia="Arial" w:hAnsi="Arial"/>
                  <w:sz w:val="18"/>
                  <w:szCs w:val="18"/>
                  <w:u w:val="single" w:color="auto"/>
                  <w:color w:val="0000FF"/>
                </w:rPr>
                <w:t>1.9</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0"/>
              </w:rPr>
            </w:pPr>
            <w:hyperlink r:id="rId128">
              <w:r>
                <w:rPr>
                  <w:rFonts w:ascii="Arial" w:cs="Arial" w:eastAsia="Arial" w:hAnsi="Arial"/>
                  <w:sz w:val="18"/>
                  <w:szCs w:val="18"/>
                  <w:color w:val="0000FF"/>
                  <w:w w:val="90"/>
                </w:rPr>
                <w:t>Articles Supplementary (election to be subject to Section 3-803 of the Maryland General Corporation Law) (incorporated by reference as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0"/>
          </w:tcPr>
          <w:p>
            <w:pPr>
              <w:spacing w:after="0" w:line="152" w:lineRule="exact"/>
              <w:rPr>
                <w:rFonts w:ascii="Arial" w:cs="Arial" w:eastAsia="Arial" w:hAnsi="Arial"/>
                <w:sz w:val="16"/>
                <w:szCs w:val="16"/>
                <w:color w:val="0000FF"/>
                <w:w w:val="99"/>
              </w:rPr>
            </w:pPr>
            <w:hyperlink r:id="rId128">
              <w:r>
                <w:rPr>
                  <w:rFonts w:ascii="Arial" w:cs="Arial" w:eastAsia="Arial" w:hAnsi="Arial"/>
                  <w:sz w:val="16"/>
                  <w:szCs w:val="16"/>
                  <w:color w:val="0000FF"/>
                  <w:w w:val="99"/>
                </w:rPr>
                <w:t>an exhibit to the Company's Current Report on Form 8-K, event date March 17, 2015).</w:t>
              </w:r>
            </w:hyperlink>
          </w:p>
        </w:tc>
        <w:tc>
          <w:tcPr>
            <w:tcW w:w="3540" w:type="dxa"/>
            <w:vAlign w:val="bottom"/>
            <w:tcBorders>
              <w:top w:val="single" w:sz="8" w:color="0000FF"/>
            </w:tcBorders>
            <w:gridSpan w:val="12"/>
          </w:tcPr>
          <w:p>
            <w:pPr>
              <w:spacing w:after="0"/>
              <w:rPr>
                <w:sz w:val="13"/>
                <w:szCs w:val="13"/>
                <w:color w:val="auto"/>
              </w:rPr>
            </w:pPr>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29">
              <w:r>
                <w:rPr>
                  <w:rFonts w:ascii="Arial" w:cs="Arial" w:eastAsia="Arial" w:hAnsi="Arial"/>
                  <w:sz w:val="18"/>
                  <w:szCs w:val="18"/>
                  <w:color w:val="0000FF"/>
                </w:rPr>
                <w:t>3.</w:t>
              </w:r>
              <w:r>
                <w:rPr>
                  <w:rFonts w:ascii="Arial" w:cs="Arial" w:eastAsia="Arial" w:hAnsi="Arial"/>
                  <w:sz w:val="18"/>
                  <w:szCs w:val="18"/>
                  <w:u w:val="single" w:color="auto"/>
                  <w:color w:val="0000FF"/>
                </w:rPr>
                <w:t>1.10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88"/>
              </w:rPr>
            </w:pPr>
            <w:hyperlink r:id="rId129">
              <w:r>
                <w:rPr>
                  <w:rFonts w:ascii="Arial" w:cs="Arial" w:eastAsia="Arial" w:hAnsi="Arial"/>
                  <w:sz w:val="18"/>
                  <w:szCs w:val="18"/>
                  <w:color w:val="0000FF"/>
                  <w:w w:val="88"/>
                </w:rPr>
                <w:t>Articles Supplementary (designation of Series E Preferred Stock) (incorporated by reference as an exhibit to the Company's Current Report</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7"/>
          </w:tcPr>
          <w:p>
            <w:pPr>
              <w:spacing w:after="0" w:line="152" w:lineRule="exact"/>
              <w:rPr>
                <w:rFonts w:ascii="Arial" w:cs="Arial" w:eastAsia="Arial" w:hAnsi="Arial"/>
                <w:sz w:val="16"/>
                <w:szCs w:val="16"/>
                <w:color w:val="0000FF"/>
              </w:rPr>
            </w:pPr>
            <w:hyperlink r:id="rId129">
              <w:r>
                <w:rPr>
                  <w:rFonts w:ascii="Arial" w:cs="Arial" w:eastAsia="Arial" w:hAnsi="Arial"/>
                  <w:sz w:val="16"/>
                  <w:szCs w:val="16"/>
                  <w:color w:val="0000FF"/>
                </w:rPr>
                <w:t>on Form 8-K, event date March 18, 2015).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30">
              <w:r>
                <w:rPr>
                  <w:rFonts w:ascii="Arial" w:cs="Arial" w:eastAsia="Arial" w:hAnsi="Arial"/>
                  <w:sz w:val="18"/>
                  <w:szCs w:val="18"/>
                  <w:color w:val="0000FF"/>
                </w:rPr>
                <w:t>3.</w:t>
              </w:r>
              <w:r>
                <w:rPr>
                  <w:rFonts w:ascii="Arial" w:cs="Arial" w:eastAsia="Arial" w:hAnsi="Arial"/>
                  <w:sz w:val="18"/>
                  <w:szCs w:val="18"/>
                  <w:u w:val="single" w:color="auto"/>
                  <w:color w:val="0000FF"/>
                </w:rPr>
                <w:t>1.11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2"/>
              </w:rPr>
            </w:pPr>
            <w:hyperlink r:id="rId130">
              <w:r>
                <w:rPr>
                  <w:rFonts w:ascii="Arial" w:cs="Arial" w:eastAsia="Arial" w:hAnsi="Arial"/>
                  <w:sz w:val="18"/>
                  <w:szCs w:val="18"/>
                  <w:color w:val="0000FF"/>
                  <w:w w:val="92"/>
                </w:rPr>
                <w:t>Articles Supplementary (reclassification of Series E Preferred Stock to preferred stock) (incorporated by reference as an exhibit to the</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30">
              <w:r>
                <w:rPr>
                  <w:rFonts w:ascii="Arial" w:cs="Arial" w:eastAsia="Arial" w:hAnsi="Arial"/>
                  <w:sz w:val="16"/>
                  <w:szCs w:val="16"/>
                  <w:color w:val="0000FF"/>
                </w:rPr>
                <w:t>Company's Current Report on Form 8-K, event date May 7, 2015).</w:t>
              </w:r>
            </w:hyperlink>
          </w:p>
        </w:tc>
        <w:tc>
          <w:tcPr>
            <w:tcW w:w="40" w:type="dxa"/>
            <w:vAlign w:val="bottom"/>
            <w:gridSpan w:val="2"/>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8"/>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31">
              <w:r>
                <w:rPr>
                  <w:rFonts w:ascii="Arial" w:cs="Arial" w:eastAsia="Arial" w:hAnsi="Arial"/>
                  <w:sz w:val="18"/>
                  <w:szCs w:val="18"/>
                  <w:color w:val="0000FF"/>
                </w:rPr>
                <w:t>3.</w:t>
              </w:r>
              <w:r>
                <w:rPr>
                  <w:rFonts w:ascii="Arial" w:cs="Arial" w:eastAsia="Arial" w:hAnsi="Arial"/>
                  <w:sz w:val="18"/>
                  <w:szCs w:val="18"/>
                  <w:u w:val="single" w:color="auto"/>
                  <w:color w:val="0000FF"/>
                </w:rPr>
                <w:t>1.12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Articles Supplementary (repeal of election to be subject to Section 3-803 of the Maryland General Corporation Law (incorporated by</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31">
              <w:r>
                <w:rPr>
                  <w:rFonts w:ascii="Arial" w:cs="Arial" w:eastAsia="Arial" w:hAnsi="Arial"/>
                  <w:sz w:val="16"/>
                  <w:szCs w:val="16"/>
                  <w:color w:val="0000FF"/>
                </w:rPr>
                <w:t>reference as an exhibit to the Company's Current Report on Form 8-K, event date May 28, 2015).</w:t>
              </w:r>
            </w:hyperlink>
          </w:p>
        </w:tc>
        <w:tc>
          <w:tcPr>
            <w:tcW w:w="80" w:type="dxa"/>
            <w:vAlign w:val="bottom"/>
            <w:gridSpan w:val="3"/>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gridSpan w:val="11"/>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32">
              <w:r>
                <w:rPr>
                  <w:rFonts w:ascii="Arial" w:cs="Arial" w:eastAsia="Arial" w:hAnsi="Arial"/>
                  <w:sz w:val="18"/>
                  <w:szCs w:val="18"/>
                  <w:color w:val="0000FF"/>
                </w:rPr>
                <w:t>3.</w:t>
              </w:r>
              <w:r>
                <w:rPr>
                  <w:rFonts w:ascii="Arial" w:cs="Arial" w:eastAsia="Arial" w:hAnsi="Arial"/>
                  <w:sz w:val="18"/>
                  <w:szCs w:val="18"/>
                  <w:u w:val="single" w:color="auto"/>
                  <w:color w:val="0000FF"/>
                </w:rPr>
                <w:t>1.13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8"/>
          </w:tcPr>
          <w:p>
            <w:pPr>
              <w:spacing w:after="0"/>
              <w:rPr>
                <w:rFonts w:ascii="Arial" w:cs="Arial" w:eastAsia="Arial" w:hAnsi="Arial"/>
                <w:sz w:val="18"/>
                <w:szCs w:val="18"/>
                <w:color w:val="0000FF"/>
                <w:w w:val="94"/>
              </w:rPr>
            </w:pPr>
            <w:hyperlink r:id="rId132">
              <w:r>
                <w:rPr>
                  <w:rFonts w:ascii="Arial" w:cs="Arial" w:eastAsia="Arial" w:hAnsi="Arial"/>
                  <w:sz w:val="18"/>
                  <w:szCs w:val="18"/>
                  <w:color w:val="0000FF"/>
                  <w:w w:val="94"/>
                </w:rPr>
                <w:t>Articles Supplementary (opting out of provisions of Subtitle 8 of Title 3 of the Maryland General Corporate Law (MUTA Provisions))</w:t>
              </w:r>
            </w:hyperlink>
          </w:p>
        </w:tc>
        <w:tc>
          <w:tcPr>
            <w:tcW w:w="0" w:type="dxa"/>
            <w:vAlign w:val="bottom"/>
          </w:tcPr>
          <w:p>
            <w:pPr>
              <w:spacing w:after="0"/>
              <w:rPr>
                <w:sz w:val="1"/>
                <w:szCs w:val="1"/>
                <w:color w:val="auto"/>
              </w:rPr>
            </w:pPr>
          </w:p>
        </w:tc>
      </w:tr>
      <w:tr>
        <w:trPr>
          <w:trHeight w:val="151"/>
        </w:trPr>
        <w:tc>
          <w:tcPr>
            <w:tcW w:w="5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12"/>
          </w:tcPr>
          <w:p>
            <w:pPr>
              <w:spacing w:after="0" w:line="152" w:lineRule="exact"/>
              <w:rPr>
                <w:rFonts w:ascii="Arial" w:cs="Arial" w:eastAsia="Arial" w:hAnsi="Arial"/>
                <w:sz w:val="16"/>
                <w:szCs w:val="16"/>
                <w:color w:val="0000FF"/>
                <w:w w:val="99"/>
              </w:rPr>
            </w:pPr>
            <w:hyperlink r:id="rId132">
              <w:r>
                <w:rPr>
                  <w:rFonts w:ascii="Arial" w:cs="Arial" w:eastAsia="Arial" w:hAnsi="Arial"/>
                  <w:sz w:val="16"/>
                  <w:szCs w:val="16"/>
                  <w:color w:val="0000FF"/>
                  <w:w w:val="99"/>
                </w:rPr>
                <w:t>(incorporated by reference as an exhibit to the Company’s Current Report on Form 8-K, event date April 24, 2019).</w:t>
              </w:r>
            </w:hyperlink>
          </w:p>
        </w:tc>
        <w:tc>
          <w:tcPr>
            <w:tcW w:w="1320" w:type="dxa"/>
            <w:vAlign w:val="bottom"/>
            <w:tcBorders>
              <w:top w:val="single" w:sz="8" w:color="0000FF"/>
            </w:tcBorders>
            <w:gridSpan w:val="6"/>
          </w:tcPr>
          <w:p>
            <w:pPr>
              <w:spacing w:after="0"/>
              <w:rPr>
                <w:sz w:val="13"/>
                <w:szCs w:val="13"/>
                <w:color w:val="auto"/>
              </w:rPr>
            </w:pPr>
          </w:p>
        </w:tc>
        <w:tc>
          <w:tcPr>
            <w:tcW w:w="3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64770</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17"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3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20" w:type="dxa"/>
            <w:vAlign w:val="bottom"/>
            <w:gridSpan w:val="20"/>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38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20" w:type="dxa"/>
            <w:vAlign w:val="bottom"/>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gridSpan w:val="5"/>
          </w:tcPr>
          <w:p>
            <w:pPr>
              <w:jc w:val="right"/>
              <w:spacing w:after="0" w:line="184" w:lineRule="exact"/>
              <w:rPr>
                <w:rFonts w:ascii="Arial" w:cs="Arial" w:eastAsia="Arial" w:hAnsi="Arial"/>
                <w:sz w:val="18"/>
                <w:szCs w:val="18"/>
                <w:color w:val="0000FF"/>
              </w:rPr>
            </w:pPr>
            <w:hyperlink r:id="rId134">
              <w:r>
                <w:rPr>
                  <w:rFonts w:ascii="Arial" w:cs="Arial" w:eastAsia="Arial" w:hAnsi="Arial"/>
                  <w:sz w:val="18"/>
                  <w:szCs w:val="18"/>
                  <w:color w:val="0000FF"/>
                </w:rPr>
                <w:t>3.</w:t>
              </w:r>
              <w:r>
                <w:rPr>
                  <w:rFonts w:ascii="Arial" w:cs="Arial" w:eastAsia="Arial" w:hAnsi="Arial"/>
                  <w:sz w:val="18"/>
                  <w:szCs w:val="18"/>
                  <w:u w:val="single" w:color="auto"/>
                  <w:color w:val="0000FF"/>
                </w:rPr>
                <w:t>1.14</w:t>
              </w:r>
            </w:hyperlink>
          </w:p>
        </w:tc>
        <w:tc>
          <w:tcPr>
            <w:tcW w:w="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0" w:type="dxa"/>
            <w:vAlign w:val="bottom"/>
            <w:tcBorders>
              <w:top w:val="single" w:sz="8" w:color="auto"/>
            </w:tcBorders>
            <w:gridSpan w:val="26"/>
          </w:tcPr>
          <w:p>
            <w:pPr>
              <w:spacing w:after="0" w:line="184" w:lineRule="exact"/>
              <w:rPr>
                <w:rFonts w:ascii="Arial" w:cs="Arial" w:eastAsia="Arial" w:hAnsi="Arial"/>
                <w:sz w:val="18"/>
                <w:szCs w:val="18"/>
                <w:color w:val="0000FF"/>
                <w:w w:val="89"/>
              </w:rPr>
            </w:pPr>
            <w:hyperlink r:id="rId134">
              <w:r>
                <w:rPr>
                  <w:rFonts w:ascii="Arial" w:cs="Arial" w:eastAsia="Arial" w:hAnsi="Arial"/>
                  <w:sz w:val="18"/>
                  <w:szCs w:val="18"/>
                  <w:color w:val="0000FF"/>
                  <w:w w:val="89"/>
                </w:rPr>
                <w:t>Articles of Amendment of the Company (increased authorized shares) (incorporated by reference as an exhibit to the Company’s Current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Report on Form 8-K, event date May 28, 2021).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35">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0"/>
              </w:rPr>
            </w:pPr>
            <w:hyperlink r:id="rId135">
              <w:r>
                <w:rPr>
                  <w:rFonts w:ascii="Arial" w:cs="Arial" w:eastAsia="Arial" w:hAnsi="Arial"/>
                  <w:sz w:val="18"/>
                  <w:szCs w:val="18"/>
                  <w:color w:val="0000FF"/>
                  <w:w w:val="90"/>
                </w:rPr>
                <w:t>Amended and Restated Bylaws of the Company (incorporated by reference as an exhibit to the Company's Current Report on Form 8-K,</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35">
              <w:r>
                <w:rPr>
                  <w:rFonts w:ascii="Arial" w:cs="Arial" w:eastAsia="Arial" w:hAnsi="Arial"/>
                  <w:sz w:val="16"/>
                  <w:szCs w:val="16"/>
                  <w:color w:val="0000FF"/>
                </w:rPr>
                <w:t>event date January 26, 2023).</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60" w:type="dxa"/>
            <w:vAlign w:val="bottom"/>
            <w:gridSpan w:val="4"/>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sz w:val="20"/>
                <w:szCs w:val="20"/>
                <w:color w:val="auto"/>
              </w:rPr>
            </w:pPr>
            <w:r>
              <w:rPr>
                <w:rFonts w:ascii="Arial" w:cs="Arial" w:eastAsia="Arial" w:hAnsi="Arial"/>
                <w:sz w:val="18"/>
                <w:szCs w:val="18"/>
                <w:color w:val="0000FF"/>
              </w:rPr>
              <w:t>Description of the Company's Securities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760" w:type="dxa"/>
            <w:vAlign w:val="bottom"/>
            <w:gridSpan w:val="4"/>
          </w:tcPr>
          <w:p>
            <w:pPr>
              <w:spacing w:after="0"/>
              <w:rPr>
                <w:sz w:val="24"/>
                <w:szCs w:val="24"/>
                <w:color w:val="auto"/>
              </w:rPr>
            </w:pPr>
          </w:p>
        </w:tc>
        <w:tc>
          <w:tcPr>
            <w:tcW w:w="220" w:type="dxa"/>
            <w:vAlign w:val="bottom"/>
          </w:tcPr>
          <w:p>
            <w:pPr>
              <w:jc w:val="right"/>
              <w:spacing w:after="0"/>
              <w:rPr>
                <w:rFonts w:ascii="Arial" w:cs="Arial" w:eastAsia="Arial" w:hAnsi="Arial"/>
                <w:sz w:val="18"/>
                <w:szCs w:val="18"/>
                <w:color w:val="0000FF"/>
                <w:w w:val="79"/>
              </w:rPr>
            </w:pPr>
            <w:hyperlink r:id="rId136">
              <w:r>
                <w:rPr>
                  <w:rFonts w:ascii="Arial" w:cs="Arial" w:eastAsia="Arial" w:hAnsi="Arial"/>
                  <w:sz w:val="18"/>
                  <w:szCs w:val="18"/>
                  <w:color w:val="0000FF"/>
                  <w:w w:val="79"/>
                </w:rPr>
                <w:t>4.</w:t>
              </w:r>
            </w:hyperlink>
            <w:r>
              <w:rPr>
                <w:rFonts w:ascii="Arial" w:cs="Arial" w:eastAsia="Arial" w:hAnsi="Arial"/>
                <w:sz w:val="18"/>
                <w:szCs w:val="18"/>
                <w:u w:val="single" w:color="auto"/>
                <w:color w:val="0000FF"/>
                <w:w w:val="79"/>
              </w:rPr>
              <w:t>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0"/>
              </w:rPr>
            </w:pPr>
            <w:hyperlink r:id="rId136">
              <w:r>
                <w:rPr>
                  <w:rFonts w:ascii="Arial" w:cs="Arial" w:eastAsia="Arial" w:hAnsi="Arial"/>
                  <w:sz w:val="18"/>
                  <w:szCs w:val="18"/>
                  <w:color w:val="0000FF"/>
                  <w:w w:val="90"/>
                </w:rPr>
                <w:t>Form of Common Stock Certificate (incorporated by reference as an exhibit to the Company's Current Report on Form 8-K, as amended,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event date November 10, 1998).</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37">
              <w:r>
                <w:rPr>
                  <w:rFonts w:ascii="Arial" w:cs="Arial" w:eastAsia="Arial" w:hAnsi="Arial"/>
                  <w:sz w:val="18"/>
                  <w:szCs w:val="18"/>
                  <w:color w:val="0000FF"/>
                </w:rPr>
                <w:t>4.</w:t>
              </w:r>
            </w:hyperlink>
            <w:r>
              <w:rPr>
                <w:rFonts w:ascii="Arial" w:cs="Arial" w:eastAsia="Arial" w:hAnsi="Arial"/>
                <w:sz w:val="18"/>
                <w:szCs w:val="18"/>
                <w:u w:val="single" w:color="auto"/>
                <w:color w:val="0000FF"/>
              </w:rPr>
              <w:t>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Form of Preferred Stock Certificate (Series D Preferred Stock) (incorporated by reference as an exhibit to the Company's Registration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37">
              <w:r>
                <w:rPr>
                  <w:rFonts w:ascii="Arial" w:cs="Arial" w:eastAsia="Arial" w:hAnsi="Arial"/>
                  <w:sz w:val="16"/>
                  <w:szCs w:val="16"/>
                  <w:color w:val="0000FF"/>
                </w:rPr>
                <w:t>Statement on Form S-3 (No. 333-107063)).</w:t>
              </w:r>
            </w:hyperlink>
          </w:p>
        </w:tc>
        <w:tc>
          <w:tcPr>
            <w:tcW w:w="1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4"/>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38">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4"/>
              </w:rPr>
            </w:pPr>
            <w:hyperlink r:id="rId138">
              <w:r>
                <w:rPr>
                  <w:rFonts w:ascii="Arial" w:cs="Arial" w:eastAsia="Arial" w:hAnsi="Arial"/>
                  <w:sz w:val="18"/>
                  <w:szCs w:val="18"/>
                  <w:color w:val="0000FF"/>
                  <w:w w:val="94"/>
                </w:rPr>
                <w:t>Amended and Restated Limited Partnership Agreement for the Operating Partnership dated as of March 16, 1994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w w:val="99"/>
              </w:rPr>
            </w:pPr>
            <w:hyperlink r:id="rId138">
              <w:r>
                <w:rPr>
                  <w:rFonts w:ascii="Arial" w:cs="Arial" w:eastAsia="Arial" w:hAnsi="Arial"/>
                  <w:sz w:val="16"/>
                  <w:szCs w:val="16"/>
                  <w:color w:val="0000FF"/>
                  <w:w w:val="99"/>
                </w:rPr>
                <w:t>reference as an exhibit to the Company's 1996 Form 10-K).</w:t>
              </w:r>
            </w:hyperlink>
          </w:p>
        </w:tc>
        <w:tc>
          <w:tcPr>
            <w:tcW w:w="498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39">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88"/>
              </w:rPr>
            </w:pPr>
            <w:hyperlink r:id="rId139">
              <w:r>
                <w:rPr>
                  <w:rFonts w:ascii="Arial" w:cs="Arial" w:eastAsia="Arial" w:hAnsi="Arial"/>
                  <w:sz w:val="18"/>
                  <w:szCs w:val="18"/>
                  <w:color w:val="0000FF"/>
                  <w:w w:val="88"/>
                </w:rPr>
                <w:t>Amendment to Amended and Restated Limited Partnership Agreement for the Operating Partnership dated June 27, 1997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reference as an exhibit to the Company's Current Report on Form 8-K, event date June 20, 1997).</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6"/>
              </w:rPr>
            </w:pPr>
            <w:hyperlink r:id="rId140">
              <w:r>
                <w:rPr>
                  <w:rFonts w:ascii="Arial" w:cs="Arial" w:eastAsia="Arial" w:hAnsi="Arial"/>
                  <w:sz w:val="18"/>
                  <w:szCs w:val="18"/>
                  <w:color w:val="0000FF"/>
                  <w:w w:val="96"/>
                </w:rPr>
                <w:t>Amendment to Amended and Restated Limited Partnership Agreement for the Operating Partnership dated November 16,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(incorporated by reference as an exhibit to the Company's 1997 Form 10-K).</w:t>
              </w:r>
            </w:hyperlink>
          </w:p>
        </w:tc>
        <w:tc>
          <w:tcPr>
            <w:tcW w:w="3560" w:type="dxa"/>
            <w:vAlign w:val="bottom"/>
            <w:tcBorders>
              <w:top w:val="single" w:sz="8" w:color="0000FF"/>
            </w:tcBorders>
            <w:gridSpan w:val="5"/>
          </w:tcPr>
          <w:p>
            <w:pPr>
              <w:spacing w:after="0"/>
              <w:rPr>
                <w:sz w:val="13"/>
                <w:szCs w:val="13"/>
                <w:color w:val="auto"/>
              </w:rPr>
            </w:pPr>
          </w:p>
        </w:tc>
        <w:tc>
          <w:tcPr>
            <w:tcW w:w="2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2"/>
              </w:rPr>
            </w:pPr>
            <w:hyperlink r:id="rId140">
              <w:r>
                <w:rPr>
                  <w:rFonts w:ascii="Arial" w:cs="Arial" w:eastAsia="Arial" w:hAnsi="Arial"/>
                  <w:sz w:val="18"/>
                  <w:szCs w:val="18"/>
                  <w:color w:val="0000FF"/>
                  <w:w w:val="92"/>
                </w:rPr>
                <w:t>Fourth Amendment to Amended and Restated Limited Partnership Agreement for the Operating Partnership dated February 25,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(incorporated by reference as an exhibit to the Company's 1997 Form 10-K).</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Fifth Amendment to Amended and Restated Limited Partnership Agreement for the Operating Partnership dated February 26,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40">
              <w:r>
                <w:rPr>
                  <w:rFonts w:ascii="Arial" w:cs="Arial" w:eastAsia="Arial" w:hAnsi="Arial"/>
                  <w:sz w:val="16"/>
                  <w:szCs w:val="16"/>
                  <w:color w:val="0000FF"/>
                  <w:w w:val="99"/>
                </w:rPr>
                <w:t>(incorporated by reference as an exhibit to the Company's 1997 Form 10-K).</w:t>
              </w:r>
            </w:hyperlink>
          </w:p>
        </w:tc>
        <w:tc>
          <w:tcPr>
            <w:tcW w:w="3840" w:type="dxa"/>
            <w:vAlign w:val="bottom"/>
            <w:tcBorders>
              <w:top w:val="single" w:sz="8" w:color="0000FF"/>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Sixth Amendment to Amended and Restated Limited Partnership Agreement for the Operating Partnership dated June 17,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21">
              <w:r>
                <w:rPr>
                  <w:rFonts w:ascii="Arial" w:cs="Arial" w:eastAsia="Arial" w:hAnsi="Arial"/>
                  <w:sz w:val="16"/>
                  <w:szCs w:val="16"/>
                  <w:color w:val="0000FF"/>
                  <w:w w:val="99"/>
                </w:rPr>
                <w:t>(incorporated by reference as an exhibit to the Company's 1998 Form 10-K).</w:t>
              </w:r>
            </w:hyperlink>
          </w:p>
        </w:tc>
        <w:tc>
          <w:tcPr>
            <w:tcW w:w="3540" w:type="dxa"/>
            <w:vAlign w:val="bottom"/>
            <w:tcBorders>
              <w:top w:val="single" w:sz="8" w:color="0000FF"/>
            </w:tcBorders>
            <w:gridSpan w:val="4"/>
          </w:tcPr>
          <w:p>
            <w:pPr>
              <w:spacing w:after="0"/>
              <w:rPr>
                <w:sz w:val="13"/>
                <w:szCs w:val="13"/>
                <w:color w:val="auto"/>
              </w:rPr>
            </w:pPr>
          </w:p>
        </w:tc>
        <w:tc>
          <w:tcPr>
            <w:tcW w:w="28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0"/>
              </w:rPr>
            </w:pPr>
            <w:hyperlink r:id="rId121">
              <w:r>
                <w:rPr>
                  <w:rFonts w:ascii="Arial" w:cs="Arial" w:eastAsia="Arial" w:hAnsi="Arial"/>
                  <w:sz w:val="18"/>
                  <w:szCs w:val="18"/>
                  <w:color w:val="0000FF"/>
                  <w:w w:val="90"/>
                </w:rPr>
                <w:t>Seventh Amendment to Amended and Restated Limited Partnership Agreement for the Operating Partnership dated December 23, 1998</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21">
              <w:r>
                <w:rPr>
                  <w:rFonts w:ascii="Arial" w:cs="Arial" w:eastAsia="Arial" w:hAnsi="Arial"/>
                  <w:sz w:val="16"/>
                  <w:szCs w:val="16"/>
                  <w:color w:val="0000FF"/>
                  <w:w w:val="99"/>
                </w:rPr>
                <w:t>(incorporated by reference as an exhibit to the Company's 1998 Form 10-K).</w:t>
              </w:r>
            </w:hyperlink>
          </w:p>
        </w:tc>
        <w:tc>
          <w:tcPr>
            <w:tcW w:w="4140" w:type="dxa"/>
            <w:vAlign w:val="bottom"/>
            <w:tcBorders>
              <w:top w:val="single" w:sz="8" w:color="0000FF"/>
            </w:tcBorders>
            <w:gridSpan w:val="12"/>
          </w:tcPr>
          <w:p>
            <w:pPr>
              <w:spacing w:after="0"/>
              <w:rPr>
                <w:sz w:val="13"/>
                <w:szCs w:val="13"/>
                <w:color w:val="auto"/>
              </w:rPr>
            </w:pPr>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Eighth Amendment to Amended and Restated Limited Partnership Agreement for the Operating Partnership dated November 9, 2000</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41">
              <w:r>
                <w:rPr>
                  <w:rFonts w:ascii="Arial" w:cs="Arial" w:eastAsia="Arial" w:hAnsi="Arial"/>
                  <w:sz w:val="16"/>
                  <w:szCs w:val="16"/>
                  <w:color w:val="0000FF"/>
                  <w:w w:val="99"/>
                </w:rPr>
                <w:t>(incorporated by reference as an exhibit to the Company's 2000 Form 10-K).</w:t>
              </w:r>
            </w:hyperlink>
          </w:p>
        </w:tc>
        <w:tc>
          <w:tcPr>
            <w:tcW w:w="3980" w:type="dxa"/>
            <w:vAlign w:val="bottom"/>
            <w:tcBorders>
              <w:top w:val="single" w:sz="8" w:color="0000FF"/>
            </w:tcBorders>
            <w:gridSpan w:val="10"/>
          </w:tcPr>
          <w:p>
            <w:pPr>
              <w:spacing w:after="0"/>
              <w:rPr>
                <w:sz w:val="13"/>
                <w:szCs w:val="13"/>
                <w:color w:val="auto"/>
              </w:rPr>
            </w:pPr>
          </w:p>
        </w:tc>
        <w:tc>
          <w:tcPr>
            <w:tcW w:w="34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6"/>
              </w:rPr>
            </w:pPr>
            <w:hyperlink r:id="rId142">
              <w:r>
                <w:rPr>
                  <w:rFonts w:ascii="Arial" w:cs="Arial" w:eastAsia="Arial" w:hAnsi="Arial"/>
                  <w:sz w:val="18"/>
                  <w:szCs w:val="18"/>
                  <w:color w:val="0000FF"/>
                  <w:w w:val="96"/>
                </w:rPr>
                <w:t>Ninth Amendment to Amended and Restated Limited Partnership Agreement for the Operating Partnership dated July 26, 2002</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(incorporated by reference as an exhibit to the Company's Current Report on Form 8-K, event date July 26, 2002).</w:t>
              </w:r>
            </w:hyperlink>
          </w:p>
        </w:tc>
        <w:tc>
          <w:tcPr>
            <w:tcW w:w="280" w:type="dxa"/>
            <w:vAlign w:val="bottom"/>
            <w:gridSpan w:val="3"/>
          </w:tcPr>
          <w:p>
            <w:pPr>
              <w:spacing w:after="0"/>
              <w:rPr>
                <w:sz w:val="13"/>
                <w:szCs w:val="13"/>
                <w:color w:val="auto"/>
              </w:rPr>
            </w:pPr>
          </w:p>
        </w:tc>
        <w:tc>
          <w:tcPr>
            <w:tcW w:w="500" w:type="dxa"/>
            <w:vAlign w:val="bottom"/>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0"/>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93"/>
              </w:rPr>
            </w:pPr>
            <w:hyperlink r:id="rId143">
              <w:r>
                <w:rPr>
                  <w:rFonts w:ascii="Arial" w:cs="Arial" w:eastAsia="Arial" w:hAnsi="Arial"/>
                  <w:sz w:val="18"/>
                  <w:szCs w:val="18"/>
                  <w:color w:val="0000FF"/>
                  <w:w w:val="93"/>
                </w:rPr>
                <w:t>Tenth Amendment to Amended and Restated Limited Partnership Agreement for the Operating Partnership dated October 26, 2006</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43">
              <w:r>
                <w:rPr>
                  <w:rFonts w:ascii="Arial" w:cs="Arial" w:eastAsia="Arial" w:hAnsi="Arial"/>
                  <w:sz w:val="16"/>
                  <w:szCs w:val="16"/>
                  <w:color w:val="0000FF"/>
                  <w:w w:val="99"/>
                </w:rPr>
                <w:t>(incorporated by reference as an exhibit to the Company's 2006 Form 10-K).</w:t>
              </w:r>
            </w:hyperlink>
          </w:p>
        </w:tc>
        <w:tc>
          <w:tcPr>
            <w:tcW w:w="3820" w:type="dxa"/>
            <w:vAlign w:val="bottom"/>
            <w:tcBorders>
              <w:top w:val="single" w:sz="8" w:color="0000FF"/>
            </w:tcBorders>
            <w:gridSpan w:val="7"/>
          </w:tcPr>
          <w:p>
            <w:pPr>
              <w:spacing w:after="0"/>
              <w:rPr>
                <w:sz w:val="13"/>
                <w:szCs w:val="13"/>
                <w:color w:val="auto"/>
              </w:rPr>
            </w:pPr>
          </w:p>
        </w:tc>
        <w:tc>
          <w:tcPr>
            <w:tcW w:w="500" w:type="dxa"/>
            <w:vAlign w:val="bottom"/>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1.10</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6"/>
          </w:tcPr>
          <w:p>
            <w:pPr>
              <w:spacing w:after="0"/>
              <w:rPr>
                <w:rFonts w:ascii="Arial" w:cs="Arial" w:eastAsia="Arial" w:hAnsi="Arial"/>
                <w:sz w:val="18"/>
                <w:szCs w:val="18"/>
                <w:color w:val="0000FF"/>
                <w:w w:val="88"/>
              </w:rPr>
            </w:pPr>
            <w:hyperlink r:id="rId144">
              <w:r>
                <w:rPr>
                  <w:rFonts w:ascii="Arial" w:cs="Arial" w:eastAsia="Arial" w:hAnsi="Arial"/>
                  <w:sz w:val="18"/>
                  <w:szCs w:val="18"/>
                  <w:color w:val="0000FF"/>
                  <w:w w:val="88"/>
                </w:rPr>
                <w:t>Eleventh Amendment to Amended and Restated Limited Partnership Agreement for the Operating Partnership dated as of March 16, 2007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44">
              <w:r>
                <w:rPr>
                  <w:rFonts w:ascii="Arial" w:cs="Arial" w:eastAsia="Arial" w:hAnsi="Arial"/>
                  <w:sz w:val="16"/>
                  <w:szCs w:val="16"/>
                  <w:color w:val="0000FF"/>
                </w:rPr>
                <w:t>(incorporated by reference as an exhibit to the Company's Current Report on Form 8-K, event date March 16, 2007).</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64770</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40" w:type="dxa"/>
            <w:vAlign w:val="bottom"/>
            <w:gridSpan w:val="23"/>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gridSpan w:val="4"/>
          </w:tcPr>
          <w:p>
            <w:pPr>
              <w:jc w:val="right"/>
              <w:spacing w:after="0" w:line="184" w:lineRule="exact"/>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1.11</w:t>
              </w:r>
            </w:hyperlink>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27"/>
          </w:tcPr>
          <w:p>
            <w:pPr>
              <w:spacing w:after="0" w:line="184" w:lineRule="exact"/>
              <w:rPr>
                <w:rFonts w:ascii="Arial" w:cs="Arial" w:eastAsia="Arial" w:hAnsi="Arial"/>
                <w:sz w:val="18"/>
                <w:szCs w:val="18"/>
                <w:color w:val="0000FF"/>
                <w:w w:val="89"/>
              </w:rPr>
            </w:pPr>
            <w:hyperlink r:id="rId146">
              <w:r>
                <w:rPr>
                  <w:rFonts w:ascii="Arial" w:cs="Arial" w:eastAsia="Arial" w:hAnsi="Arial"/>
                  <w:sz w:val="18"/>
                  <w:szCs w:val="18"/>
                  <w:color w:val="0000FF"/>
                  <w:w w:val="89"/>
                </w:rPr>
                <w:t>Twelfth Amendment to the Amended and Restated Limited Partnership Agreement of the Operating Partnership dated as of April 30, 2009</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(incorporated by reference as an exhibit to the Company's Quarterly Report on Form 10-Q for the quarter ended June 30,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980" w:type="dxa"/>
            <w:vAlign w:val="bottom"/>
            <w:gridSpan w:val="4"/>
          </w:tcPr>
          <w:p>
            <w:pPr>
              <w:jc w:val="right"/>
              <w:spacing w:after="0"/>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1.12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88"/>
              </w:rPr>
            </w:pPr>
            <w:hyperlink r:id="rId147">
              <w:r>
                <w:rPr>
                  <w:rFonts w:ascii="Arial" w:cs="Arial" w:eastAsia="Arial" w:hAnsi="Arial"/>
                  <w:sz w:val="18"/>
                  <w:szCs w:val="18"/>
                  <w:color w:val="0000FF"/>
                  <w:w w:val="88"/>
                </w:rPr>
                <w:t>Thirteenth Amendment to the Amended and Restated Limited Partnership Agreement of the Operating Partnership dated as of October 29,</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w w:val="99"/>
              </w:rPr>
            </w:pPr>
            <w:hyperlink r:id="rId147">
              <w:r>
                <w:rPr>
                  <w:rFonts w:ascii="Arial" w:cs="Arial" w:eastAsia="Arial" w:hAnsi="Arial"/>
                  <w:sz w:val="16"/>
                  <w:szCs w:val="16"/>
                  <w:color w:val="0000FF"/>
                  <w:w w:val="99"/>
                </w:rPr>
                <w:t>2009 (incorporated by reference as an exhibit to the Company's 2009 Form 10-K).</w:t>
              </w:r>
            </w:hyperlink>
          </w:p>
        </w:tc>
        <w:tc>
          <w:tcPr>
            <w:tcW w:w="396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1.13</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89"/>
              </w:rPr>
            </w:pPr>
            <w:hyperlink r:id="rId148">
              <w:r>
                <w:rPr>
                  <w:rFonts w:ascii="Arial" w:cs="Arial" w:eastAsia="Arial" w:hAnsi="Arial"/>
                  <w:sz w:val="18"/>
                  <w:szCs w:val="18"/>
                  <w:color w:val="0000FF"/>
                  <w:w w:val="89"/>
                </w:rPr>
                <w:t>Fourteenth Amendment to Amended and Restated Limited Partnership Agreement of the Operating Partnership dated as of April 14, 2021</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(incorporated by reference as an exhibit to the Company's 2021 Form 10-K).</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1.14</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90"/>
              </w:rPr>
            </w:pPr>
            <w:hyperlink r:id="rId149">
              <w:r>
                <w:rPr>
                  <w:rFonts w:ascii="Arial" w:cs="Arial" w:eastAsia="Arial" w:hAnsi="Arial"/>
                  <w:sz w:val="18"/>
                  <w:szCs w:val="18"/>
                  <w:color w:val="0000FF"/>
                  <w:w w:val="90"/>
                </w:rPr>
                <w:t>Form of Fifteenth Amendment to Amended and Restated Limited Partnership Agreement for the Operating Partnership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w w:val="99"/>
              </w:rPr>
            </w:pPr>
            <w:hyperlink r:id="rId149">
              <w:r>
                <w:rPr>
                  <w:rFonts w:ascii="Arial" w:cs="Arial" w:eastAsia="Arial" w:hAnsi="Arial"/>
                  <w:sz w:val="16"/>
                  <w:szCs w:val="16"/>
                  <w:color w:val="0000FF"/>
                  <w:w w:val="99"/>
                </w:rPr>
                <w:t>reference as an exhibit to the Company's Current Report on Form 8-K, event date April 25, 2005).</w:t>
              </w:r>
            </w:hyperlink>
          </w:p>
        </w:tc>
        <w:tc>
          <w:tcPr>
            <w:tcW w:w="268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88"/>
              </w:rPr>
            </w:pPr>
            <w:hyperlink r:id="rId150">
              <w:r>
                <w:rPr>
                  <w:rFonts w:ascii="Arial" w:cs="Arial" w:eastAsia="Arial" w:hAnsi="Arial"/>
                  <w:sz w:val="18"/>
                  <w:szCs w:val="18"/>
                  <w:color w:val="0000FF"/>
                  <w:w w:val="88"/>
                </w:rPr>
                <w:t>Amended and Restated Deferred Compensation Plan for Executives (2003) (incorporated by reference as an exhibit to the Company's 2003</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Form 10-K).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Amendment Number 1 to Amended and Restated Deferred Compensation Plan for Executives (October 30, 2008)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9"/>
              </w:rPr>
            </w:pPr>
            <w:hyperlink r:id="rId151">
              <w:r>
                <w:rPr>
                  <w:rFonts w:ascii="Arial" w:cs="Arial" w:eastAsia="Arial" w:hAnsi="Arial"/>
                  <w:sz w:val="16"/>
                  <w:szCs w:val="16"/>
                  <w:color w:val="0000FF"/>
                  <w:w w:val="99"/>
                </w:rPr>
                <w:t>reference as an exhibit to the Company's 2008 Form 10-K).</w:t>
              </w:r>
            </w:hyperlink>
          </w:p>
        </w:tc>
        <w:tc>
          <w:tcPr>
            <w:tcW w:w="5020" w:type="dxa"/>
            <w:vAlign w:val="bottom"/>
            <w:tcBorders>
              <w:top w:val="single" w:sz="8" w:color="0000FF"/>
            </w:tcBorders>
            <w:gridSpan w:val="11"/>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88"/>
              </w:rPr>
            </w:pPr>
            <w:hyperlink r:id="rId152">
              <w:r>
                <w:rPr>
                  <w:rFonts w:ascii="Arial" w:cs="Arial" w:eastAsia="Arial" w:hAnsi="Arial"/>
                  <w:sz w:val="18"/>
                  <w:szCs w:val="18"/>
                  <w:color w:val="0000FF"/>
                  <w:w w:val="88"/>
                </w:rPr>
                <w:t>Amendment Number 2 to Amended and Restated Deferred Compensation Plan for Executives (May 1, 2011) (incorporated by reference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Amendment Number 3 to Amended and Restated Deferred Compensation Plan for Executives (September 27, 2012)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reference as an exhibit to the Company's Quarterly Report on Form 10-Q for the quarter ended September 30, 2012).</w:t>
              </w:r>
            </w:hyperlink>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Amended and Restated Deferred Compensation Plan for Senior Executives (2003) (incorporated by reference as an exhibit to the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Company's 2003 Form 10-K).</w:t>
              </w:r>
            </w:hyperlink>
          </w:p>
        </w:tc>
        <w:tc>
          <w:tcPr>
            <w:tcW w:w="3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89"/>
              </w:rPr>
            </w:pPr>
            <w:hyperlink r:id="rId155">
              <w:r>
                <w:rPr>
                  <w:rFonts w:ascii="Arial" w:cs="Arial" w:eastAsia="Arial" w:hAnsi="Arial"/>
                  <w:sz w:val="18"/>
                  <w:szCs w:val="18"/>
                  <w:color w:val="0000FF"/>
                  <w:w w:val="89"/>
                </w:rPr>
                <w:t>Amendment Number 1 to Amended and Restated Deferred Compensation Plan for Senior Executives (October 30, 2008)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9"/>
              </w:rPr>
            </w:pPr>
            <w:hyperlink r:id="rId155">
              <w:r>
                <w:rPr>
                  <w:rFonts w:ascii="Arial" w:cs="Arial" w:eastAsia="Arial" w:hAnsi="Arial"/>
                  <w:sz w:val="16"/>
                  <w:szCs w:val="16"/>
                  <w:color w:val="0000FF"/>
                  <w:w w:val="99"/>
                </w:rPr>
                <w:t>reference as an exhibit to the Company's 2008 Form 10-K).</w:t>
              </w:r>
            </w:hyperlink>
          </w:p>
        </w:tc>
        <w:tc>
          <w:tcPr>
            <w:tcW w:w="554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92"/>
              </w:rPr>
            </w:pPr>
            <w:hyperlink r:id="rId156">
              <w:r>
                <w:rPr>
                  <w:rFonts w:ascii="Arial" w:cs="Arial" w:eastAsia="Arial" w:hAnsi="Arial"/>
                  <w:sz w:val="18"/>
                  <w:szCs w:val="18"/>
                  <w:color w:val="0000FF"/>
                  <w:w w:val="92"/>
                </w:rPr>
                <w:t>Amendment Number 2 to Amended and Restated Deferred Compensation Plan for Senior Executives (May 1, 2011) (incorporated by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reference as an exhibit to the Company's Quarterly Report on Form 10-Q for the quarter ended June 30, 2011).</w:t>
              </w:r>
            </w:hyperlink>
          </w:p>
        </w:tc>
        <w:tc>
          <w:tcPr>
            <w:tcW w:w="40" w:type="dxa"/>
            <w:vAlign w:val="bottom"/>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89"/>
              </w:rPr>
            </w:pPr>
            <w:hyperlink r:id="rId157">
              <w:r>
                <w:rPr>
                  <w:rFonts w:ascii="Arial" w:cs="Arial" w:eastAsia="Arial" w:hAnsi="Arial"/>
                  <w:sz w:val="18"/>
                  <w:szCs w:val="18"/>
                  <w:color w:val="0000FF"/>
                  <w:w w:val="89"/>
                </w:rPr>
                <w:t>Amendment Number 3 to Amended and Restated Deferred Compensation Plan for Senior Executives (September 27, 2012) (incorporated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57">
              <w:r>
                <w:rPr>
                  <w:rFonts w:ascii="Arial" w:cs="Arial" w:eastAsia="Arial" w:hAnsi="Arial"/>
                  <w:sz w:val="16"/>
                  <w:szCs w:val="16"/>
                  <w:color w:val="0000FF"/>
                </w:rPr>
                <w:t>by reference as an exhibit to the Company's Quarterly Report on Form 10-Q for the quarter ended September 30, 2012).</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4</w:t>
            </w:r>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4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w w:val="92"/>
              </w:rPr>
              <w:t>Eligible Directors' Deferred Compensation/Phantom Stock Plan (as amended and restated as of January 1, 2023).</w:t>
            </w:r>
          </w:p>
        </w:tc>
        <w:tc>
          <w:tcPr>
            <w:tcW w:w="14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4860" w:type="dxa"/>
            <w:vAlign w:val="bottom"/>
            <w:gridSpan w:val="7"/>
            <w:shd w:val="clear" w:color="auto" w:fill="0000FF"/>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980" w:type="dxa"/>
            <w:vAlign w:val="bottom"/>
            <w:gridSpan w:val="4"/>
          </w:tcPr>
          <w:p>
            <w:pPr>
              <w:jc w:val="right"/>
              <w:spacing w:after="0"/>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0" w:type="dxa"/>
            <w:vAlign w:val="bottom"/>
          </w:tcPr>
          <w:p>
            <w:pPr>
              <w:spacing w:after="0"/>
              <w:rPr>
                <w:sz w:val="24"/>
                <w:szCs w:val="24"/>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gridSpan w:val="27"/>
          </w:tcPr>
          <w:p>
            <w:pPr>
              <w:spacing w:after="0"/>
              <w:rPr>
                <w:rFonts w:ascii="Arial" w:cs="Arial" w:eastAsia="Arial" w:hAnsi="Arial"/>
                <w:sz w:val="18"/>
                <w:szCs w:val="18"/>
                <w:color w:val="0000FF"/>
                <w:w w:val="91"/>
              </w:rPr>
            </w:pPr>
            <w:hyperlink r:id="rId158">
              <w:r>
                <w:rPr>
                  <w:rFonts w:ascii="Arial" w:cs="Arial" w:eastAsia="Arial" w:hAnsi="Arial"/>
                  <w:sz w:val="18"/>
                  <w:szCs w:val="18"/>
                  <w:color w:val="0000FF"/>
                  <w:w w:val="91"/>
                </w:rPr>
                <w:t>Amended and Restated 2013 Deferred Compensation Plan for Executives effective (January 1, 2016) (incorporated by reference as 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exhibit to the Company's 2015 Form 10-K).</w:t>
              </w:r>
            </w:hyperlink>
          </w:p>
        </w:tc>
        <w:tc>
          <w:tcPr>
            <w:tcW w:w="6340" w:type="dxa"/>
            <w:vAlign w:val="bottom"/>
            <w:tcBorders>
              <w:top w:val="single" w:sz="8" w:color="0000FF"/>
            </w:tcBorders>
            <w:gridSpan w:val="15"/>
          </w:tcPr>
          <w:p>
            <w:pPr>
              <w:spacing w:after="0"/>
              <w:rPr>
                <w:sz w:val="13"/>
                <w:szCs w:val="13"/>
                <w:color w:val="auto"/>
              </w:rPr>
            </w:pPr>
          </w:p>
        </w:tc>
        <w:tc>
          <w:tcPr>
            <w:tcW w:w="4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64770</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10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80" w:type="dxa"/>
            <w:vAlign w:val="bottom"/>
            <w:gridSpan w:val="16"/>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1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000" w:type="dxa"/>
            <w:vAlign w:val="bottom"/>
            <w:gridSpan w:val="6"/>
          </w:tcPr>
          <w:p>
            <w:pPr>
              <w:jc w:val="right"/>
              <w:ind w:right="20"/>
              <w:spacing w:after="0" w:line="184" w:lineRule="exact"/>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22"/>
          </w:tcPr>
          <w:p>
            <w:pPr>
              <w:spacing w:after="0" w:line="184" w:lineRule="exact"/>
              <w:rPr>
                <w:rFonts w:ascii="Arial" w:cs="Arial" w:eastAsia="Arial" w:hAnsi="Arial"/>
                <w:sz w:val="18"/>
                <w:szCs w:val="18"/>
                <w:color w:val="0000FF"/>
                <w:w w:val="88"/>
              </w:rPr>
            </w:pPr>
            <w:hyperlink r:id="rId160">
              <w:r>
                <w:rPr>
                  <w:rFonts w:ascii="Arial" w:cs="Arial" w:eastAsia="Arial" w:hAnsi="Arial"/>
                  <w:sz w:val="18"/>
                  <w:szCs w:val="18"/>
                  <w:color w:val="0000FF"/>
                  <w:w w:val="88"/>
                </w:rPr>
                <w:t>Deferred Compensation Plan Amended and Restated Trust Agreement between the Company and Wells Fargo Bank, National Association,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effective as of June 17, 2019 (incorporated by reference as an exhibit to the Company’s Quarterly Report on Form 10-Q for the quarter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ended June 30, 2019).</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Arial" w:cs="Arial" w:eastAsia="Arial" w:hAnsi="Arial"/>
                <w:sz w:val="18"/>
                <w:szCs w:val="18"/>
                <w:color w:val="auto"/>
                <w:w w:val="94"/>
              </w:rPr>
              <w:t>Registration Rights Agreement, dated as of March 16, 1994, among the Company and Mace Siegel, Dana K. Anderson, Arthur M.</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22"/>
          </w:tcPr>
          <w:p>
            <w:pPr>
              <w:spacing w:after="0" w:line="171" w:lineRule="exact"/>
              <w:rPr>
                <w:sz w:val="20"/>
                <w:szCs w:val="20"/>
                <w:color w:val="auto"/>
              </w:rPr>
            </w:pPr>
            <w:r>
              <w:rPr>
                <w:rFonts w:ascii="Arial" w:cs="Arial" w:eastAsia="Arial" w:hAnsi="Arial"/>
                <w:sz w:val="18"/>
                <w:szCs w:val="18"/>
                <w:color w:val="auto"/>
                <w:w w:val="89"/>
              </w:rPr>
              <w:t>Coppola and Edward C. Coppola (incorporated by reference as an exhibit to the Company's 1994 Form 10-K) (Filed in paper - hyperlink is</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2"/>
          </w:tcPr>
          <w:p>
            <w:pPr>
              <w:spacing w:after="0"/>
              <w:rPr>
                <w:sz w:val="20"/>
                <w:szCs w:val="20"/>
                <w:color w:val="auto"/>
              </w:rPr>
            </w:pPr>
            <w:r>
              <w:rPr>
                <w:rFonts w:ascii="Arial" w:cs="Arial" w:eastAsia="Arial" w:hAnsi="Arial"/>
                <w:sz w:val="18"/>
                <w:szCs w:val="18"/>
                <w:color w:val="auto"/>
              </w:rPr>
              <w:t>not required pursuant to Rule 105 of Regulation S-T).</w:t>
            </w:r>
          </w:p>
        </w:tc>
        <w:tc>
          <w:tcPr>
            <w:tcW w:w="0" w:type="dxa"/>
            <w:vAlign w:val="bottom"/>
          </w:tcPr>
          <w:p>
            <w:pPr>
              <w:spacing w:after="0"/>
              <w:rPr>
                <w:sz w:val="1"/>
                <w:szCs w:val="1"/>
                <w:color w:val="auto"/>
              </w:rPr>
            </w:pPr>
          </w:p>
        </w:tc>
      </w:tr>
      <w:tr>
        <w:trPr>
          <w:trHeight w:val="449"/>
        </w:trPr>
        <w:tc>
          <w:tcPr>
            <w:tcW w:w="1000" w:type="dxa"/>
            <w:vAlign w:val="bottom"/>
            <w:gridSpan w:val="6"/>
          </w:tcPr>
          <w:p>
            <w:pPr>
              <w:jc w:val="right"/>
              <w:ind w:right="20"/>
              <w:spacing w:after="0"/>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Registration Rights Agreement dated as of December 18, 2003 by the Operating Partnership, the Company and Taubman Realty Group</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Limited Partnership (Registration rights assigned by Taubman to three assignees) (incorporated by reference as an exhibit to the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8"/>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Company's 2003 Form 10-K).</w:t>
              </w:r>
            </w:hyperlink>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000" w:type="dxa"/>
            <w:vAlign w:val="bottom"/>
            <w:gridSpan w:val="6"/>
          </w:tcPr>
          <w:p>
            <w:pPr>
              <w:jc w:val="right"/>
              <w:ind w:right="2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sz w:val="20"/>
                <w:szCs w:val="20"/>
                <w:color w:val="auto"/>
              </w:rPr>
            </w:pPr>
            <w:r>
              <w:rPr>
                <w:rFonts w:ascii="Arial" w:cs="Arial" w:eastAsia="Arial" w:hAnsi="Arial"/>
                <w:sz w:val="18"/>
                <w:szCs w:val="18"/>
                <w:color w:val="auto"/>
                <w:w w:val="89"/>
              </w:rPr>
              <w:t>Incidental Registration Rights Agreement dated March 16, 1994 (incorporated by reference as an exhibit to the Company's 1994 Form 10-</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gridSpan w:val="22"/>
          </w:tcPr>
          <w:p>
            <w:pPr>
              <w:spacing w:after="0"/>
              <w:rPr>
                <w:sz w:val="20"/>
                <w:szCs w:val="20"/>
                <w:color w:val="auto"/>
              </w:rPr>
            </w:pPr>
            <w:r>
              <w:rPr>
                <w:rFonts w:ascii="Arial" w:cs="Arial" w:eastAsia="Arial" w:hAnsi="Arial"/>
                <w:sz w:val="18"/>
                <w:szCs w:val="18"/>
                <w:color w:val="auto"/>
              </w:rPr>
              <w:t>K) (Filed in paper - hyperlink is not required pursuant to Rule 105 of Regulation S-T).</w:t>
            </w:r>
          </w:p>
        </w:tc>
        <w:tc>
          <w:tcPr>
            <w:tcW w:w="0" w:type="dxa"/>
            <w:vAlign w:val="bottom"/>
          </w:tcPr>
          <w:p>
            <w:pPr>
              <w:spacing w:after="0"/>
              <w:rPr>
                <w:sz w:val="1"/>
                <w:szCs w:val="1"/>
                <w:color w:val="auto"/>
              </w:rPr>
            </w:pPr>
          </w:p>
        </w:tc>
      </w:tr>
      <w:tr>
        <w:trPr>
          <w:trHeight w:val="449"/>
        </w:trPr>
        <w:tc>
          <w:tcPr>
            <w:tcW w:w="1000" w:type="dxa"/>
            <w:vAlign w:val="bottom"/>
            <w:gridSpan w:val="6"/>
          </w:tcPr>
          <w:p>
            <w:pPr>
              <w:jc w:val="right"/>
              <w:ind w:right="20"/>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Incidental Registration Rights Agreement dated as of July 21, 1994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9"/>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Form 10-K).</w:t>
              </w:r>
            </w:hyperlink>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91"/>
              </w:rPr>
            </w:pPr>
            <w:hyperlink r:id="rId140">
              <w:r>
                <w:rPr>
                  <w:rFonts w:ascii="Arial" w:cs="Arial" w:eastAsia="Arial" w:hAnsi="Arial"/>
                  <w:sz w:val="18"/>
                  <w:szCs w:val="18"/>
                  <w:color w:val="0000FF"/>
                  <w:w w:val="91"/>
                </w:rPr>
                <w:t>Incidental Registration Rights Agreement dated as of August 15, 1995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Form 10-K).</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89"/>
              </w:rPr>
            </w:pPr>
            <w:hyperlink r:id="rId140">
              <w:r>
                <w:rPr>
                  <w:rFonts w:ascii="Arial" w:cs="Arial" w:eastAsia="Arial" w:hAnsi="Arial"/>
                  <w:sz w:val="18"/>
                  <w:szCs w:val="18"/>
                  <w:color w:val="0000FF"/>
                  <w:w w:val="89"/>
                </w:rPr>
                <w:t>Incidental Registration Rights Agreement dated as of December 21, 1995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93"/>
              </w:rPr>
            </w:pPr>
            <w:hyperlink r:id="rId140">
              <w:r>
                <w:rPr>
                  <w:rFonts w:ascii="Arial" w:cs="Arial" w:eastAsia="Arial" w:hAnsi="Arial"/>
                  <w:sz w:val="18"/>
                  <w:szCs w:val="18"/>
                  <w:color w:val="0000FF"/>
                  <w:w w:val="93"/>
                </w:rPr>
                <w:t>List of Omitted Incidental/Demand Registration Rights Agreements (incorporated by reference as an exhibit to the Company's 1997</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10"/>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Form 10-K).</w:t>
              </w:r>
            </w:hyperlink>
          </w:p>
        </w:tc>
        <w:tc>
          <w:tcPr>
            <w:tcW w:w="3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89"/>
              </w:rPr>
            </w:pPr>
            <w:hyperlink r:id="rId121">
              <w:r>
                <w:rPr>
                  <w:rFonts w:ascii="Arial" w:cs="Arial" w:eastAsia="Arial" w:hAnsi="Arial"/>
                  <w:sz w:val="18"/>
                  <w:szCs w:val="18"/>
                  <w:color w:val="0000FF"/>
                  <w:w w:val="89"/>
                </w:rPr>
                <w:t>Redemption, Registration Rights and Lock-Up Agreement dated as of July 24, 1998 between the Company and Harry S. Newman, Jr. and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rPr>
            </w:pPr>
            <w:hyperlink r:id="rId121">
              <w:r>
                <w:rPr>
                  <w:rFonts w:ascii="Arial" w:cs="Arial" w:eastAsia="Arial" w:hAnsi="Arial"/>
                  <w:sz w:val="16"/>
                  <w:szCs w:val="16"/>
                  <w:color w:val="0000FF"/>
                </w:rPr>
                <w:t>LeRoy H. Brettin (incorporated by reference as an exhibit to the Company's 1998 Form 10-K).</w:t>
              </w:r>
            </w:hyperlink>
          </w:p>
        </w:tc>
        <w:tc>
          <w:tcPr>
            <w:tcW w:w="30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3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88"/>
              </w:rPr>
            </w:pPr>
            <w:hyperlink r:id="rId162">
              <w:r>
                <w:rPr>
                  <w:rFonts w:ascii="Arial" w:cs="Arial" w:eastAsia="Arial" w:hAnsi="Arial"/>
                  <w:sz w:val="18"/>
                  <w:szCs w:val="18"/>
                  <w:color w:val="0000FF"/>
                  <w:w w:val="88"/>
                </w:rPr>
                <w:t>Form of Indemnification Agreement between the Company and its executive officers and directors (incorporated by reference as an exhibit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to the Company's 2008 Form 10-K).</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Form of Registration Rights Agreement with Series D Preferred Unit Holders (incorporated by reference as an exhibit to the Company's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w w:val="99"/>
              </w:rPr>
            </w:pPr>
            <w:hyperlink r:id="rId163">
              <w:r>
                <w:rPr>
                  <w:rFonts w:ascii="Arial" w:cs="Arial" w:eastAsia="Arial" w:hAnsi="Arial"/>
                  <w:sz w:val="16"/>
                  <w:szCs w:val="16"/>
                  <w:color w:val="0000FF"/>
                  <w:w w:val="99"/>
                </w:rPr>
                <w:t>Current Report on Form 8-K, event date July 26, 2002).</w:t>
              </w:r>
            </w:hyperlink>
          </w:p>
        </w:tc>
        <w:tc>
          <w:tcPr>
            <w:tcW w:w="56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5"/>
          </w:tcPr>
          <w:p>
            <w:pPr>
              <w:jc w:val="right"/>
              <w:spacing w:after="0"/>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16.1</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90"/>
              </w:rPr>
            </w:pPr>
            <w:hyperlink r:id="rId164">
              <w:r>
                <w:rPr>
                  <w:rFonts w:ascii="Arial" w:cs="Arial" w:eastAsia="Arial" w:hAnsi="Arial"/>
                  <w:sz w:val="18"/>
                  <w:szCs w:val="18"/>
                  <w:color w:val="0000FF"/>
                  <w:w w:val="90"/>
                </w:rPr>
                <w:t>List of Omitted Registration Rights Agreements (incorporated by reference as an exhibit to the Company's Current Report on Form 8-K,</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w w:val="97"/>
              </w:rPr>
            </w:pPr>
            <w:hyperlink r:id="rId164">
              <w:r>
                <w:rPr>
                  <w:rFonts w:ascii="Arial" w:cs="Arial" w:eastAsia="Arial" w:hAnsi="Arial"/>
                  <w:sz w:val="16"/>
                  <w:szCs w:val="16"/>
                  <w:color w:val="0000FF"/>
                  <w:w w:val="97"/>
                </w:rPr>
                <w:t>event date July 26, 2002).</w:t>
              </w:r>
            </w:hyperlink>
          </w:p>
        </w:tc>
        <w:tc>
          <w:tcPr>
            <w:tcW w:w="7760" w:type="dxa"/>
            <w:vAlign w:val="bottom"/>
            <w:tcBorders>
              <w:top w:val="single" w:sz="8" w:color="0000FF"/>
            </w:tcBorders>
            <w:gridSpan w:val="1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1000" w:type="dxa"/>
            <w:vAlign w:val="bottom"/>
            <w:gridSpan w:val="6"/>
          </w:tcPr>
          <w:p>
            <w:pPr>
              <w:jc w:val="right"/>
              <w:ind w:right="20"/>
              <w:spacing w:after="0"/>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2"/>
          </w:tcPr>
          <w:p>
            <w:pPr>
              <w:spacing w:after="0"/>
              <w:rPr>
                <w:rFonts w:ascii="Arial" w:cs="Arial" w:eastAsia="Arial" w:hAnsi="Arial"/>
                <w:sz w:val="18"/>
                <w:szCs w:val="18"/>
                <w:color w:val="0000FF"/>
                <w:w w:val="88"/>
              </w:rPr>
            </w:pPr>
            <w:hyperlink r:id="rId165">
              <w:r>
                <w:rPr>
                  <w:rFonts w:ascii="Arial" w:cs="Arial" w:eastAsia="Arial" w:hAnsi="Arial"/>
                  <w:sz w:val="18"/>
                  <w:szCs w:val="18"/>
                  <w:color w:val="0000FF"/>
                  <w:w w:val="88"/>
                </w:rPr>
                <w:t>Credit Agreement, dated as of April 14, 2021, by and among the Company, as a guarantor, the Partnership, as borrower, certain subsidiary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9"/>
          </w:tcPr>
          <w:p>
            <w:pPr>
              <w:spacing w:after="0" w:line="152" w:lineRule="exact"/>
              <w:rPr>
                <w:rFonts w:ascii="Arial" w:cs="Arial" w:eastAsia="Arial" w:hAnsi="Arial"/>
                <w:sz w:val="16"/>
                <w:szCs w:val="16"/>
                <w:color w:val="0000FF"/>
                <w:w w:val="99"/>
              </w:rPr>
            </w:pPr>
            <w:hyperlink r:id="rId165">
              <w:r>
                <w:rPr>
                  <w:rFonts w:ascii="Arial" w:cs="Arial" w:eastAsia="Arial" w:hAnsi="Arial"/>
                  <w:sz w:val="16"/>
                  <w:szCs w:val="16"/>
                  <w:color w:val="0000FF"/>
                  <w:w w:val="99"/>
                </w:rPr>
                <w:t>guarantors, Deutsche Bank AG New York Branch, as administrative agent and collateral agent, Deutsche Bank Securities Inc., JPMorgan</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6"/>
          </w:tcPr>
          <w:p>
            <w:pPr>
              <w:spacing w:after="0" w:line="152" w:lineRule="exact"/>
              <w:rPr>
                <w:rFonts w:ascii="Arial" w:cs="Arial" w:eastAsia="Arial" w:hAnsi="Arial"/>
                <w:sz w:val="16"/>
                <w:szCs w:val="16"/>
                <w:color w:val="0000FF"/>
                <w:w w:val="98"/>
              </w:rPr>
            </w:pPr>
            <w:hyperlink r:id="rId165">
              <w:r>
                <w:rPr>
                  <w:rFonts w:ascii="Arial" w:cs="Arial" w:eastAsia="Arial" w:hAnsi="Arial"/>
                  <w:sz w:val="16"/>
                  <w:szCs w:val="16"/>
                  <w:color w:val="0000FF"/>
                  <w:w w:val="98"/>
                </w:rPr>
                <w:t>Chase Bank, N.A. and Goldman Sachs Bank USA, as joint lead arrangers and joint bookrunning managers, Deutsche Bank Securities Inc.</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ind w:left="1400" w:right="100"/>
        <w:spacing w:after="0" w:line="257" w:lineRule="auto"/>
        <w:rPr>
          <w:rFonts w:ascii="Arial" w:cs="Arial" w:eastAsia="Arial" w:hAnsi="Arial"/>
          <w:sz w:val="16"/>
          <w:szCs w:val="16"/>
          <w:u w:val="single" w:color="auto"/>
          <w:color w:val="0000FF"/>
        </w:rPr>
      </w:pPr>
      <w:hyperlink r:id="rId165">
        <w:r>
          <w:rPr>
            <w:rFonts w:ascii="Arial" w:cs="Arial" w:eastAsia="Arial" w:hAnsi="Arial"/>
            <w:sz w:val="16"/>
            <w:szCs w:val="16"/>
            <w:u w:val="single" w:color="auto"/>
            <w:color w:val="0000FF"/>
          </w:rPr>
          <w:t>and JPMorgan Chase Bank, N.A. as co-syndication agents, Goldman Sachs Bank USA, as documentation agent, and various lenders party</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thereto (incorporated by reference as an exhibit to the Company's Current Report on Form 8-K, event date April 14,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64770</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3"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9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00" w:type="dxa"/>
            <w:vAlign w:val="bottom"/>
            <w:gridSpan w:val="22"/>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gridSpan w:val="4"/>
          </w:tcPr>
          <w:p>
            <w:pPr>
              <w:jc w:val="right"/>
              <w:spacing w:after="0" w:line="184" w:lineRule="exact"/>
              <w:rPr>
                <w:rFonts w:ascii="Arial" w:cs="Arial" w:eastAsia="Arial" w:hAnsi="Arial"/>
                <w:sz w:val="18"/>
                <w:szCs w:val="18"/>
                <w:color w:val="0000FF"/>
              </w:rPr>
            </w:pPr>
            <w:hyperlink r:id="rId167">
              <w:r>
                <w:rPr>
                  <w:rFonts w:ascii="Arial" w:cs="Arial" w:eastAsia="Arial" w:hAnsi="Arial"/>
                  <w:sz w:val="18"/>
                  <w:szCs w:val="18"/>
                  <w:color w:val="0000FF"/>
                </w:rPr>
                <w:t>10.</w:t>
              </w:r>
            </w:hyperlink>
            <w:r>
              <w:rPr>
                <w:rFonts w:ascii="Arial" w:cs="Arial" w:eastAsia="Arial" w:hAnsi="Arial"/>
                <w:sz w:val="18"/>
                <w:szCs w:val="18"/>
                <w:u w:val="single" w:color="auto"/>
                <w:color w:val="0000FF"/>
              </w:rPr>
              <w:t>17.1</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27"/>
          </w:tcPr>
          <w:p>
            <w:pPr>
              <w:spacing w:after="0" w:line="184" w:lineRule="exact"/>
              <w:rPr>
                <w:rFonts w:ascii="Arial" w:cs="Arial" w:eastAsia="Arial" w:hAnsi="Arial"/>
                <w:sz w:val="18"/>
                <w:szCs w:val="18"/>
                <w:color w:val="0000FF"/>
                <w:w w:val="88"/>
              </w:rPr>
            </w:pPr>
            <w:hyperlink r:id="rId167">
              <w:r>
                <w:rPr>
                  <w:rFonts w:ascii="Arial" w:cs="Arial" w:eastAsia="Arial" w:hAnsi="Arial"/>
                  <w:sz w:val="18"/>
                  <w:szCs w:val="18"/>
                  <w:color w:val="0000FF"/>
                  <w:w w:val="88"/>
                </w:rPr>
                <w:t>First Amendment to Credit Agreement, dated as of July 27, 2021, by and among the Company, as guarantor, the Partnership, as borrower,</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2"/>
          </w:tcPr>
          <w:p>
            <w:pPr>
              <w:spacing w:after="0" w:line="152" w:lineRule="exact"/>
              <w:rPr>
                <w:rFonts w:ascii="Arial" w:cs="Arial" w:eastAsia="Arial" w:hAnsi="Arial"/>
                <w:sz w:val="16"/>
                <w:szCs w:val="16"/>
                <w:color w:val="0000FF"/>
                <w:w w:val="98"/>
              </w:rPr>
            </w:pPr>
            <w:hyperlink r:id="rId167">
              <w:r>
                <w:rPr>
                  <w:rFonts w:ascii="Arial" w:cs="Arial" w:eastAsia="Arial" w:hAnsi="Arial"/>
                  <w:sz w:val="16"/>
                  <w:szCs w:val="16"/>
                  <w:color w:val="0000FF"/>
                  <w:w w:val="98"/>
                </w:rPr>
                <w:t>certain subsidiary guarantors, and Deutsche Bank AG New York Branch, as administrative agent for the lenders (incorporated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Borders>
              <w:bottom w:val="single" w:sz="8" w:color="0000FF"/>
            </w:tcBorders>
            <w:gridSpan w:val="12"/>
          </w:tcPr>
          <w:p>
            <w:pPr>
              <w:spacing w:after="0" w:line="152" w:lineRule="exact"/>
              <w:rPr>
                <w:rFonts w:ascii="Arial" w:cs="Arial" w:eastAsia="Arial" w:hAnsi="Arial"/>
                <w:sz w:val="16"/>
                <w:szCs w:val="16"/>
                <w:color w:val="0000FF"/>
                <w:w w:val="98"/>
              </w:rPr>
            </w:pPr>
            <w:hyperlink r:id="rId167">
              <w:r>
                <w:rPr>
                  <w:rFonts w:ascii="Arial" w:cs="Arial" w:eastAsia="Arial" w:hAnsi="Arial"/>
                  <w:sz w:val="16"/>
                  <w:szCs w:val="16"/>
                  <w:color w:val="0000FF"/>
                  <w:w w:val="98"/>
                </w:rPr>
                <w:t>as an exhibit to the Company's Quarterly Report on Form 10-Q for the quarter ended June 30, 2021).</w:t>
              </w:r>
            </w:hyperlink>
          </w:p>
        </w:tc>
        <w:tc>
          <w:tcPr>
            <w:tcW w:w="270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90"/>
              </w:rPr>
            </w:pPr>
            <w:hyperlink r:id="rId168">
              <w:r>
                <w:rPr>
                  <w:rFonts w:ascii="Arial" w:cs="Arial" w:eastAsia="Arial" w:hAnsi="Arial"/>
                  <w:sz w:val="18"/>
                  <w:szCs w:val="18"/>
                  <w:color w:val="0000FF"/>
                  <w:w w:val="90"/>
                </w:rPr>
                <w:t>Unconditional Guaranty, dated as of April 14, 2021, by the Company in favor of Deutsche Bank AG New York Branch, as administrative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68">
              <w:r>
                <w:rPr>
                  <w:rFonts w:ascii="Arial" w:cs="Arial" w:eastAsia="Arial" w:hAnsi="Arial"/>
                  <w:sz w:val="16"/>
                  <w:szCs w:val="16"/>
                  <w:color w:val="0000FF"/>
                </w:rPr>
                <w:t>agent (incorporated by reference as an exhibit to the Company’s Current Report on Form 8-K, event date April 14,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980" w:type="dxa"/>
            <w:vAlign w:val="bottom"/>
            <w:gridSpan w:val="4"/>
          </w:tcPr>
          <w:p>
            <w:pPr>
              <w:jc w:val="right"/>
              <w:spacing w:after="0"/>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91"/>
              </w:rPr>
            </w:pPr>
            <w:hyperlink r:id="rId169">
              <w:r>
                <w:rPr>
                  <w:rFonts w:ascii="Arial" w:cs="Arial" w:eastAsia="Arial" w:hAnsi="Arial"/>
                  <w:sz w:val="18"/>
                  <w:szCs w:val="18"/>
                  <w:color w:val="0000FF"/>
                  <w:w w:val="91"/>
                </w:rPr>
                <w:t>Tax Matters Agreement (Wilmorite) (incorporated by reference as an exhibit to the Company's Current Report on Form 8-K, event date</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rPr>
            </w:pPr>
            <w:hyperlink r:id="rId169">
              <w:r>
                <w:rPr>
                  <w:rFonts w:ascii="Arial" w:cs="Arial" w:eastAsia="Arial" w:hAnsi="Arial"/>
                  <w:sz w:val="16"/>
                  <w:szCs w:val="16"/>
                  <w:color w:val="0000FF"/>
                </w:rPr>
                <w:t>April 25, 2005).</w:t>
              </w:r>
            </w:hyperlink>
          </w:p>
        </w:tc>
        <w:tc>
          <w:tcPr>
            <w:tcW w:w="8360" w:type="dxa"/>
            <w:vAlign w:val="bottom"/>
            <w:tcBorders>
              <w:top w:val="single" w:sz="8" w:color="0000FF"/>
            </w:tcBorders>
            <w:gridSpan w:val="1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92"/>
              </w:rPr>
            </w:pPr>
            <w:hyperlink r:id="rId170">
              <w:r>
                <w:rPr>
                  <w:rFonts w:ascii="Arial" w:cs="Arial" w:eastAsia="Arial" w:hAnsi="Arial"/>
                  <w:sz w:val="18"/>
                  <w:szCs w:val="18"/>
                  <w:color w:val="0000FF"/>
                  <w:w w:val="92"/>
                </w:rPr>
                <w:t>2003 Equity Incentive Plan, as amended and restated as of May 26, 2016 (incorporated by reference as an exhibit to the Company's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Current Report on Form 8-K, event date May 26, 2016).</w:t>
              </w:r>
            </w:hyperlink>
          </w:p>
        </w:tc>
        <w:tc>
          <w:tcPr>
            <w:tcW w:w="18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980" w:type="dxa"/>
            <w:vAlign w:val="bottom"/>
            <w:gridSpan w:val="4"/>
          </w:tcPr>
          <w:p>
            <w:pPr>
              <w:jc w:val="right"/>
              <w:spacing w:after="0"/>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20.1</w:t>
              </w:r>
            </w:hyperlink>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92"/>
              </w:rPr>
            </w:pPr>
            <w:hyperlink r:id="rId171">
              <w:r>
                <w:rPr>
                  <w:rFonts w:ascii="Arial" w:cs="Arial" w:eastAsia="Arial" w:hAnsi="Arial"/>
                  <w:sz w:val="18"/>
                  <w:szCs w:val="18"/>
                  <w:color w:val="0000FF"/>
                  <w:w w:val="92"/>
                </w:rPr>
                <w:t>Amended and Restated Cash Bonus/Restricted Stock/Stock Unit and LTIP Unit Award Program under the 2003 Equity Incentive Plan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71">
              <w:r>
                <w:rPr>
                  <w:rFonts w:ascii="Arial" w:cs="Arial" w:eastAsia="Arial" w:hAnsi="Arial"/>
                  <w:sz w:val="16"/>
                  <w:szCs w:val="16"/>
                  <w:color w:val="0000FF"/>
                </w:rPr>
                <w:t>(incorporated by reference as an exhibit to the Company's 2010 Form 10-K).</w:t>
              </w:r>
            </w:hyperlink>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580" w:type="dxa"/>
            <w:vAlign w:val="bottom"/>
            <w:gridSpan w:val="2"/>
          </w:tcPr>
          <w:p>
            <w:pPr>
              <w:spacing w:after="0"/>
              <w:rPr>
                <w:sz w:val="24"/>
                <w:szCs w:val="24"/>
                <w:color w:val="auto"/>
              </w:rPr>
            </w:pPr>
          </w:p>
        </w:tc>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17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hyperlink>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60" w:type="dxa"/>
            <w:vAlign w:val="bottom"/>
            <w:tcBorders>
              <w:bottom w:val="single" w:sz="8" w:color="0000FF"/>
            </w:tcBorders>
            <w:gridSpan w:val="25"/>
          </w:tcPr>
          <w:p>
            <w:pPr>
              <w:spacing w:after="0"/>
              <w:rPr>
                <w:rFonts w:ascii="Arial" w:cs="Arial" w:eastAsia="Arial" w:hAnsi="Arial"/>
                <w:sz w:val="18"/>
                <w:szCs w:val="18"/>
                <w:color w:val="0000FF"/>
                <w:w w:val="87"/>
              </w:rPr>
            </w:pPr>
            <w:hyperlink r:id="rId172">
              <w:r>
                <w:rPr>
                  <w:rFonts w:ascii="Arial" w:cs="Arial" w:eastAsia="Arial" w:hAnsi="Arial"/>
                  <w:sz w:val="18"/>
                  <w:szCs w:val="18"/>
                  <w:color w:val="0000FF"/>
                  <w:w w:val="87"/>
                </w:rPr>
                <w:t>The Macerich Company Employee Stock Purchase Plan (as amended and restated effective June 1, 2021) (incorporated by reference as an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80" w:type="dxa"/>
            <w:vAlign w:val="bottom"/>
            <w:tcBorders>
              <w:bottom w:val="single" w:sz="8" w:color="0000FF"/>
            </w:tcBorders>
            <w:gridSpan w:val="8"/>
          </w:tcPr>
          <w:p>
            <w:pPr>
              <w:spacing w:after="0" w:line="177" w:lineRule="exact"/>
              <w:rPr>
                <w:rFonts w:ascii="Arial" w:cs="Arial" w:eastAsia="Arial" w:hAnsi="Arial"/>
                <w:sz w:val="18"/>
                <w:szCs w:val="18"/>
                <w:color w:val="0000FF"/>
                <w:w w:val="89"/>
              </w:rPr>
            </w:pPr>
            <w:hyperlink r:id="rId172">
              <w:r>
                <w:rPr>
                  <w:rFonts w:ascii="Arial" w:cs="Arial" w:eastAsia="Arial" w:hAnsi="Arial"/>
                  <w:sz w:val="18"/>
                  <w:szCs w:val="18"/>
                  <w:color w:val="0000FF"/>
                  <w:w w:val="89"/>
                </w:rPr>
                <w:t>exhibit to the Company’s Current Report on 8-K, event date May 28, 2021).</w:t>
              </w:r>
            </w:hyperlink>
          </w:p>
        </w:tc>
        <w:tc>
          <w:tcPr>
            <w:tcW w:w="442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481"/>
        </w:trPr>
        <w:tc>
          <w:tcPr>
            <w:tcW w:w="980" w:type="dxa"/>
            <w:vAlign w:val="bottom"/>
            <w:gridSpan w:val="4"/>
          </w:tcPr>
          <w:p>
            <w:pPr>
              <w:jc w:val="right"/>
              <w:spacing w:after="0"/>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89"/>
              </w:rPr>
            </w:pPr>
            <w:hyperlink r:id="rId173">
              <w:r>
                <w:rPr>
                  <w:rFonts w:ascii="Arial" w:cs="Arial" w:eastAsia="Arial" w:hAnsi="Arial"/>
                  <w:sz w:val="18"/>
                  <w:szCs w:val="18"/>
                  <w:color w:val="0000FF"/>
                  <w:w w:val="89"/>
                </w:rPr>
                <w:t>Change in Control Severance Pay Plan for Executive Vice Presidents (incorporated by reference as an exhibit to the Company’s Quarterly</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w w:val="99"/>
              </w:rPr>
            </w:pPr>
            <w:hyperlink r:id="rId173">
              <w:r>
                <w:rPr>
                  <w:rFonts w:ascii="Arial" w:cs="Arial" w:eastAsia="Arial" w:hAnsi="Arial"/>
                  <w:sz w:val="16"/>
                  <w:szCs w:val="16"/>
                  <w:color w:val="0000FF"/>
                  <w:w w:val="99"/>
                </w:rPr>
                <w:t>Report on Form 10-Q for the quarter ended March 31, 2019).</w:t>
              </w:r>
            </w:hyperlink>
          </w:p>
        </w:tc>
        <w:tc>
          <w:tcPr>
            <w:tcW w:w="544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89"/>
              </w:rPr>
            </w:pPr>
            <w:hyperlink r:id="rId174">
              <w:r>
                <w:rPr>
                  <w:rFonts w:ascii="Arial" w:cs="Arial" w:eastAsia="Arial" w:hAnsi="Arial"/>
                  <w:sz w:val="18"/>
                  <w:szCs w:val="18"/>
                  <w:color w:val="0000FF"/>
                  <w:w w:val="89"/>
                </w:rPr>
                <w:t>Change in Control Severance Pay Plan for Senior Executives (incorporated by reference as an exhibit to the Company's Quarterly Report</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4"/>
          </w:tcPr>
          <w:p>
            <w:pPr>
              <w:spacing w:after="0" w:line="152" w:lineRule="exact"/>
              <w:rPr>
                <w:rFonts w:ascii="Arial" w:cs="Arial" w:eastAsia="Arial" w:hAnsi="Arial"/>
                <w:sz w:val="16"/>
                <w:szCs w:val="16"/>
                <w:color w:val="0000FF"/>
                <w:w w:val="98"/>
              </w:rPr>
            </w:pPr>
            <w:hyperlink r:id="rId174">
              <w:r>
                <w:rPr>
                  <w:rFonts w:ascii="Arial" w:cs="Arial" w:eastAsia="Arial" w:hAnsi="Arial"/>
                  <w:sz w:val="16"/>
                  <w:szCs w:val="16"/>
                  <w:color w:val="0000FF"/>
                  <w:w w:val="98"/>
                </w:rPr>
                <w:t>on Form 10-Q for the quarter ended September 30, 2017).</w:t>
              </w:r>
            </w:hyperlink>
          </w:p>
        </w:tc>
        <w:tc>
          <w:tcPr>
            <w:tcW w:w="55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89"/>
              </w:rPr>
            </w:pPr>
            <w:hyperlink r:id="rId175">
              <w:r>
                <w:rPr>
                  <w:rFonts w:ascii="Arial" w:cs="Arial" w:eastAsia="Arial" w:hAnsi="Arial"/>
                  <w:sz w:val="18"/>
                  <w:szCs w:val="18"/>
                  <w:color w:val="0000FF"/>
                  <w:w w:val="89"/>
                </w:rPr>
                <w:t>Employment Agreement Renewal between the Company and Thomas E. O’Hern, effective June 8, 2021 (incorporated by reference as an</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w w:val="99"/>
              </w:rPr>
            </w:pPr>
            <w:hyperlink r:id="rId175">
              <w:r>
                <w:rPr>
                  <w:rFonts w:ascii="Arial" w:cs="Arial" w:eastAsia="Arial" w:hAnsi="Arial"/>
                  <w:sz w:val="16"/>
                  <w:szCs w:val="16"/>
                  <w:color w:val="0000FF"/>
                  <w:w w:val="99"/>
                </w:rPr>
                <w:t>exhibit to the Company’s Current Report on Form 8-K, event date June 11, 2021).</w:t>
              </w:r>
            </w:hyperlink>
          </w:p>
        </w:tc>
        <w:tc>
          <w:tcPr>
            <w:tcW w:w="386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980" w:type="dxa"/>
            <w:vAlign w:val="bottom"/>
            <w:gridSpan w:val="4"/>
          </w:tcPr>
          <w:p>
            <w:pPr>
              <w:jc w:val="right"/>
              <w:spacing w:after="0"/>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2005 Amended and Restated Agreement of Limited Partnership of MACWH, LP dated as of April 25, 2005 (incorporated by reference as</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76">
              <w:r>
                <w:rPr>
                  <w:rFonts w:ascii="Arial" w:cs="Arial" w:eastAsia="Arial" w:hAnsi="Arial"/>
                  <w:sz w:val="16"/>
                  <w:szCs w:val="16"/>
                  <w:color w:val="0000FF"/>
                </w:rPr>
                <w:t>an exhibit to the Company's Current Report on Form 8-K, event date April 25, 2005).</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rFonts w:ascii="Arial" w:cs="Arial" w:eastAsia="Arial" w:hAnsi="Arial"/>
                <w:sz w:val="18"/>
                <w:szCs w:val="18"/>
                <w:color w:val="0000FF"/>
                <w:w w:val="89"/>
              </w:rPr>
            </w:pPr>
            <w:hyperlink r:id="rId177">
              <w:r>
                <w:rPr>
                  <w:rFonts w:ascii="Arial" w:cs="Arial" w:eastAsia="Arial" w:hAnsi="Arial"/>
                  <w:sz w:val="18"/>
                  <w:szCs w:val="18"/>
                  <w:color w:val="0000FF"/>
                  <w:w w:val="89"/>
                </w:rPr>
                <w:t>Registration Rights Agreement dated as of April 25, 2005 among the Company and the persons names on Exhibit A thereto (incorporated</w:t>
              </w:r>
            </w:hyperlink>
          </w:p>
        </w:tc>
        <w:tc>
          <w:tcPr>
            <w:tcW w:w="0" w:type="dxa"/>
            <w:vAlign w:val="bottom"/>
          </w:tcPr>
          <w:p>
            <w:pPr>
              <w:spacing w:after="0"/>
              <w:rPr>
                <w:sz w:val="1"/>
                <w:szCs w:val="1"/>
                <w:color w:val="auto"/>
              </w:rPr>
            </w:pPr>
          </w:p>
        </w:tc>
      </w:tr>
      <w:tr>
        <w:trPr>
          <w:trHeight w:val="151"/>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3"/>
          </w:tcPr>
          <w:p>
            <w:pPr>
              <w:spacing w:after="0" w:line="152" w:lineRule="exact"/>
              <w:rPr>
                <w:rFonts w:ascii="Arial" w:cs="Arial" w:eastAsia="Arial" w:hAnsi="Arial"/>
                <w:sz w:val="16"/>
                <w:szCs w:val="16"/>
                <w:color w:val="0000FF"/>
                <w:w w:val="99"/>
              </w:rPr>
            </w:pPr>
            <w:hyperlink r:id="rId177">
              <w:r>
                <w:rPr>
                  <w:rFonts w:ascii="Arial" w:cs="Arial" w:eastAsia="Arial" w:hAnsi="Arial"/>
                  <w:sz w:val="16"/>
                  <w:szCs w:val="16"/>
                  <w:color w:val="0000FF"/>
                  <w:w w:val="99"/>
                </w:rPr>
                <w:t>by reference as an exhibit to the Company's Current Report on Form 8-K, event date April 25, 2005).</w:t>
              </w:r>
            </w:hyperlink>
          </w:p>
        </w:tc>
        <w:tc>
          <w:tcPr>
            <w:tcW w:w="2560" w:type="dxa"/>
            <w:vAlign w:val="bottom"/>
            <w:tcBorders>
              <w:top w:val="single" w:sz="8" w:color="0000FF"/>
            </w:tcBorders>
            <w:gridSpan w:val="8"/>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980" w:type="dxa"/>
            <w:vAlign w:val="bottom"/>
            <w:gridSpan w:val="4"/>
          </w:tcPr>
          <w:p>
            <w:pPr>
              <w:jc w:val="right"/>
              <w:spacing w:after="0"/>
              <w:rPr>
                <w:sz w:val="20"/>
                <w:szCs w:val="20"/>
                <w:color w:val="auto"/>
              </w:rPr>
            </w:pPr>
            <w:r>
              <w:rPr>
                <w:rFonts w:ascii="Arial" w:cs="Arial" w:eastAsia="Arial" w:hAnsi="Arial"/>
                <w:sz w:val="18"/>
                <w:szCs w:val="18"/>
                <w:color w:val="0000FF"/>
              </w:rPr>
              <w:t>21.</w:t>
            </w:r>
            <w:r>
              <w:rPr>
                <w:rFonts w:ascii="Arial" w:cs="Arial" w:eastAsia="Arial" w:hAnsi="Arial"/>
                <w:sz w:val="18"/>
                <w:szCs w:val="18"/>
                <w:u w:val="single" w:color="auto"/>
                <w:color w:val="0000FF"/>
              </w:rPr>
              <w:t>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sz w:val="20"/>
                <w:szCs w:val="20"/>
                <w:color w:val="auto"/>
              </w:rPr>
            </w:pPr>
            <w:r>
              <w:rPr>
                <w:rFonts w:ascii="Arial" w:cs="Arial" w:eastAsia="Arial" w:hAnsi="Arial"/>
                <w:sz w:val="18"/>
                <w:szCs w:val="18"/>
                <w:color w:val="0000FF"/>
              </w:rPr>
              <w:t>List of Subsidiaries</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7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980" w:type="dxa"/>
            <w:vAlign w:val="bottom"/>
            <w:gridSpan w:val="4"/>
          </w:tcPr>
          <w:p>
            <w:pPr>
              <w:jc w:val="right"/>
              <w:spacing w:after="0"/>
              <w:rPr>
                <w:sz w:val="20"/>
                <w:szCs w:val="20"/>
                <w:color w:val="auto"/>
              </w:rPr>
            </w:pPr>
            <w:r>
              <w:rPr>
                <w:rFonts w:ascii="Arial" w:cs="Arial" w:eastAsia="Arial" w:hAnsi="Arial"/>
                <w:sz w:val="18"/>
                <w:szCs w:val="18"/>
                <w:color w:val="0000FF"/>
              </w:rPr>
              <w:t>23.</w:t>
            </w:r>
            <w:r>
              <w:rPr>
                <w:rFonts w:ascii="Arial" w:cs="Arial" w:eastAsia="Arial" w:hAnsi="Arial"/>
                <w:sz w:val="18"/>
                <w:szCs w:val="18"/>
                <w:u w:val="single" w:color="auto"/>
                <w:color w:val="0000FF"/>
              </w:rPr>
              <w:t>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sz w:val="20"/>
                <w:szCs w:val="20"/>
                <w:color w:val="auto"/>
              </w:rPr>
            </w:pPr>
            <w:r>
              <w:rPr>
                <w:rFonts w:ascii="Arial" w:cs="Arial" w:eastAsia="Arial" w:hAnsi="Arial"/>
                <w:sz w:val="18"/>
                <w:szCs w:val="18"/>
                <w:color w:val="0000FF"/>
              </w:rPr>
              <w:t>Consent of Independent Registered Public Accounting Firm (KPMG LLP)</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7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980" w:type="dxa"/>
            <w:vAlign w:val="bottom"/>
            <w:gridSpan w:val="4"/>
          </w:tcPr>
          <w:p>
            <w:pPr>
              <w:jc w:val="right"/>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sz w:val="20"/>
                <w:szCs w:val="20"/>
                <w:color w:val="auto"/>
              </w:rPr>
            </w:pPr>
            <w:r>
              <w:rPr>
                <w:rFonts w:ascii="Arial" w:cs="Arial" w:eastAsia="Arial" w:hAnsi="Arial"/>
                <w:sz w:val="18"/>
                <w:szCs w:val="18"/>
                <w:color w:val="0000FF"/>
              </w:rPr>
              <w:t>Section 302 Certification of Thomas E. O'Hern, Chief Executive Officer and Director</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37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980" w:type="dxa"/>
            <w:vAlign w:val="bottom"/>
            <w:gridSpan w:val="4"/>
          </w:tcPr>
          <w:p>
            <w:pPr>
              <w:jc w:val="right"/>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sz w:val="20"/>
                <w:szCs w:val="20"/>
                <w:color w:val="auto"/>
              </w:rPr>
            </w:pPr>
            <w:r>
              <w:rPr>
                <w:rFonts w:ascii="Arial" w:cs="Arial" w:eastAsia="Arial" w:hAnsi="Arial"/>
                <w:sz w:val="18"/>
                <w:szCs w:val="18"/>
                <w:color w:val="0000FF"/>
              </w:rPr>
              <w:t>Section 302 Certification of Scott W. Kingsmore, Chief Financial Officer</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46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980" w:type="dxa"/>
            <w:vAlign w:val="bottom"/>
            <w:gridSpan w:val="4"/>
          </w:tcPr>
          <w:p>
            <w:pPr>
              <w:jc w:val="right"/>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0" w:type="dxa"/>
            <w:vAlign w:val="bottom"/>
            <w:gridSpan w:val="27"/>
          </w:tcPr>
          <w:p>
            <w:pPr>
              <w:spacing w:after="0"/>
              <w:rPr>
                <w:sz w:val="20"/>
                <w:szCs w:val="20"/>
                <w:color w:val="auto"/>
              </w:rPr>
            </w:pPr>
            <w:r>
              <w:rPr>
                <w:rFonts w:ascii="Arial" w:cs="Arial" w:eastAsia="Arial" w:hAnsi="Arial"/>
                <w:sz w:val="18"/>
                <w:szCs w:val="18"/>
                <w:color w:val="0000FF"/>
              </w:rPr>
              <w:t>Section 906 Certifications of Thomas E. O'Hern and Scott W. Kingsmore</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shd w:val="clear" w:color="auto" w:fill="0000FF"/>
          </w:tcPr>
          <w:p>
            <w:pPr>
              <w:spacing w:after="0" w:line="20" w:lineRule="exact"/>
              <w:rPr>
                <w:sz w:val="1"/>
                <w:szCs w:val="1"/>
                <w:color w:val="auto"/>
              </w:rPr>
            </w:pPr>
          </w:p>
        </w:tc>
        <w:tc>
          <w:tcPr>
            <w:tcW w:w="466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gridSpan w:val="4"/>
          </w:tcPr>
          <w:p>
            <w:pPr>
              <w:jc w:val="right"/>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64770</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032" w:right="359" w:bottom="1440" w:gutter="0" w:footer="0" w:header="0"/>
        </w:sectPr>
      </w:pPr>
    </w:p>
    <w:bookmarkStart w:id="109" w:name="page110"/>
    <w:bookmarkEnd w:id="109"/>
    <w:tbl>
      <w:tblPr>
        <w:tblLayout w:type="fixed"/>
        <w:tblInd w:w="15" w:type="dxa"/>
        <w:tblCellMar>
          <w:top w:w="0" w:type="dxa"/>
          <w:left w:w="0" w:type="dxa"/>
          <w:bottom w:w="0" w:type="dxa"/>
          <w:right w:w="0" w:type="dxa"/>
        </w:tblCellMar>
      </w:tblPr>
      <w:tr>
        <w:trPr>
          <w:trHeight w:val="161"/>
        </w:trPr>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98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6"/>
                <w:szCs w:val="16"/>
                <w:color w:val="auto"/>
              </w:rPr>
            </w:pPr>
          </w:p>
        </w:tc>
        <w:tc>
          <w:tcPr>
            <w:tcW w:w="9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101.CAL</w:t>
            </w:r>
          </w:p>
        </w:tc>
        <w:tc>
          <w:tcPr>
            <w:tcW w:w="982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74"/>
        </w:trPr>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101.LAB</w:t>
            </w:r>
          </w:p>
        </w:tc>
        <w:tc>
          <w:tcPr>
            <w:tcW w:w="982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74"/>
        </w:trPr>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101.PRE</w:t>
            </w:r>
          </w:p>
        </w:tc>
        <w:tc>
          <w:tcPr>
            <w:tcW w:w="982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74"/>
        </w:trPr>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101.DEF</w:t>
            </w:r>
          </w:p>
        </w:tc>
        <w:tc>
          <w:tcPr>
            <w:tcW w:w="982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 w:right="20" w:firstLine="739"/>
        <w:spacing w:after="0" w:line="515" w:lineRule="auto"/>
        <w:tabs>
          <w:tab w:leader="none" w:pos="1409"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 * Represents a management contract, or compensatory plan, contract or arrangement required to be filed pursuant to Regulation S-K.</w:t>
      </w:r>
    </w:p>
    <w:p>
      <w:pPr>
        <w:ind w:left="215" w:hanging="215"/>
        <w:spacing w:after="0"/>
        <w:tabs>
          <w:tab w:leader="none" w:pos="2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4"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15"/>
          </w:cols>
          <w:pgMar w:left="325" w:top="1032" w:right="3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24" w:lineRule="exact"/>
        <w:rPr>
          <w:sz w:val="20"/>
          <w:szCs w:val="20"/>
          <w:color w:val="auto"/>
        </w:rPr>
      </w:pPr>
    </w:p>
    <w:p>
      <w:pPr>
        <w:ind w:right="120" w:firstLine="435"/>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2023.</w:t>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THE MACERICH COMPANY</w:t>
      </w:r>
    </w:p>
    <w:p>
      <w:pPr>
        <w:spacing w:after="0" w:line="234" w:lineRule="exact"/>
        <w:rPr>
          <w:sz w:val="20"/>
          <w:szCs w:val="20"/>
          <w:color w:val="auto"/>
        </w:rPr>
      </w:pPr>
    </w:p>
    <w:tbl>
      <w:tblPr>
        <w:tblLayout w:type="fixed"/>
        <w:tblInd w:w="5140" w:type="dxa"/>
        <w:tblCellMar>
          <w:top w:w="0" w:type="dxa"/>
          <w:left w:w="0" w:type="dxa"/>
          <w:bottom w:w="0" w:type="dxa"/>
          <w:right w:w="0" w:type="dxa"/>
        </w:tblCellMar>
      </w:tblPr>
      <w:tr>
        <w:trPr>
          <w:trHeight w:val="262"/>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THOMAS E. O'HERN</w:t>
            </w:r>
          </w:p>
        </w:tc>
      </w:tr>
      <w:tr>
        <w:trPr>
          <w:trHeight w:val="217"/>
        </w:trPr>
        <w:tc>
          <w:tcPr>
            <w:tcW w:w="90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87"/>
              </w:rPr>
              <w:t>Thomas E. O'Hern</w:t>
            </w:r>
          </w:p>
        </w:tc>
      </w:tr>
      <w:tr>
        <w:trPr>
          <w:trHeight w:val="224"/>
        </w:trPr>
        <w:tc>
          <w:tcPr>
            <w:tcW w:w="90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64770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111" w:name="page112"/>
    <w:bookmarkEnd w:id="111"/>
    <w:p>
      <w:pPr>
        <w:ind w:right="80" w:firstLine="435"/>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1" w:lineRule="exact"/>
        <w:rPr>
          <w:sz w:val="20"/>
          <w:szCs w:val="20"/>
          <w:color w:val="auto"/>
        </w:rPr>
      </w:pPr>
    </w:p>
    <w:p>
      <w:pPr>
        <w:ind w:left="1740"/>
        <w:spacing w:after="0"/>
        <w:tabs>
          <w:tab w:leader="none" w:pos="6220" w:val="left"/>
          <w:tab w:leader="none" w:pos="99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Capacity</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0700"/>
          </w:cols>
          <w:pgMar w:left="320" w:top="1023" w:right="87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THOMAS E. O'HERN</w:t>
            </w:r>
          </w:p>
        </w:tc>
        <w:tc>
          <w:tcPr>
            <w:tcW w:w="2720" w:type="dxa"/>
            <w:vAlign w:val="bottom"/>
          </w:tcPr>
          <w:p>
            <w:pPr>
              <w:ind w:left="120"/>
              <w:spacing w:after="0"/>
              <w:rPr>
                <w:sz w:val="20"/>
                <w:szCs w:val="20"/>
                <w:color w:val="auto"/>
              </w:rPr>
            </w:pPr>
            <w:r>
              <w:rPr>
                <w:rFonts w:ascii="Arial" w:cs="Arial" w:eastAsia="Arial" w:hAnsi="Arial"/>
                <w:sz w:val="18"/>
                <w:szCs w:val="18"/>
                <w:color w:val="auto"/>
                <w:w w:val="90"/>
              </w:rPr>
              <w:t>Chief Executive Officer and Director</w:t>
            </w:r>
          </w:p>
        </w:tc>
      </w:tr>
      <w:tr>
        <w:trPr>
          <w:trHeight w:val="243"/>
        </w:trPr>
        <w:tc>
          <w:tcPr>
            <w:tcW w:w="4080" w:type="dxa"/>
            <w:vAlign w:val="bottom"/>
          </w:tcPr>
          <w:p>
            <w:pPr>
              <w:jc w:val="center"/>
              <w:spacing w:after="0"/>
              <w:rPr>
                <w:sz w:val="20"/>
                <w:szCs w:val="20"/>
                <w:color w:val="auto"/>
              </w:rPr>
            </w:pPr>
            <w:r>
              <w:rPr>
                <w:rFonts w:ascii="Arial" w:cs="Arial" w:eastAsia="Arial" w:hAnsi="Arial"/>
                <w:sz w:val="18"/>
                <w:szCs w:val="18"/>
                <w:color w:val="auto"/>
                <w:w w:val="88"/>
              </w:rPr>
              <w:t>Thomas E. O'Hern</w:t>
            </w:r>
          </w:p>
        </w:tc>
        <w:tc>
          <w:tcPr>
            <w:tcW w:w="272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C. COPPOLA</w:t>
            </w:r>
          </w:p>
        </w:tc>
        <w:tc>
          <w:tcPr>
            <w:tcW w:w="2720" w:type="dxa"/>
            <w:vAlign w:val="bottom"/>
          </w:tcPr>
          <w:p>
            <w:pPr>
              <w:spacing w:after="0"/>
              <w:rPr>
                <w:sz w:val="24"/>
                <w:szCs w:val="24"/>
                <w:color w:val="auto"/>
              </w:rPr>
            </w:pPr>
          </w:p>
        </w:tc>
      </w:tr>
      <w:tr>
        <w:trPr>
          <w:trHeight w:val="243"/>
        </w:trPr>
        <w:tc>
          <w:tcPr>
            <w:tcW w:w="4080" w:type="dxa"/>
            <w:vAlign w:val="bottom"/>
          </w:tcPr>
          <w:p>
            <w:pPr>
              <w:jc w:val="center"/>
              <w:spacing w:after="0"/>
              <w:rPr>
                <w:sz w:val="20"/>
                <w:szCs w:val="20"/>
                <w:color w:val="auto"/>
              </w:rPr>
            </w:pPr>
            <w:r>
              <w:rPr>
                <w:rFonts w:ascii="Arial" w:cs="Arial" w:eastAsia="Arial" w:hAnsi="Arial"/>
                <w:sz w:val="18"/>
                <w:szCs w:val="18"/>
                <w:color w:val="auto"/>
                <w:w w:val="89"/>
              </w:rPr>
              <w:t>Edward C. Coppola</w:t>
            </w:r>
          </w:p>
        </w:tc>
        <w:tc>
          <w:tcPr>
            <w:tcW w:w="2720" w:type="dxa"/>
            <w:vAlign w:val="bottom"/>
          </w:tcPr>
          <w:p>
            <w:pPr>
              <w:ind w:left="120"/>
              <w:spacing w:after="0"/>
              <w:rPr>
                <w:sz w:val="20"/>
                <w:szCs w:val="20"/>
                <w:color w:val="auto"/>
              </w:rPr>
            </w:pPr>
            <w:r>
              <w:rPr>
                <w:rFonts w:ascii="Arial" w:cs="Arial" w:eastAsia="Arial" w:hAnsi="Arial"/>
                <w:sz w:val="18"/>
                <w:szCs w:val="18"/>
                <w:color w:val="auto"/>
              </w:rPr>
              <w:t>President and Director</w:t>
            </w:r>
          </w:p>
        </w:tc>
      </w:tr>
      <w:tr>
        <w:trPr>
          <w:trHeight w:val="422"/>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PEGGY ALFORD</w:t>
            </w: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78" w:lineRule="exact"/>
        <w:rPr>
          <w:sz w:val="20"/>
          <w:szCs w:val="20"/>
          <w:color w:val="auto"/>
        </w:rPr>
      </w:pPr>
    </w:p>
    <w:p>
      <w:pPr>
        <w:sectPr>
          <w:pgSz w:w="11900" w:h="16838" w:orient="portrait"/>
          <w:cols w:equalWidth="0" w:num="2">
            <w:col w:w="8700" w:space="720"/>
            <w:col w:w="1280"/>
          </w:cols>
          <w:pgMar w:left="320" w:top="1023" w:right="879" w:bottom="1440" w:gutter="0" w:footer="0" w:header="0"/>
          <w:type w:val="continuous"/>
        </w:sectPr>
      </w:pPr>
    </w:p>
    <w:p>
      <w:pPr>
        <w:jc w:val="center"/>
        <w:ind w:left="600"/>
        <w:spacing w:after="0"/>
        <w:rPr>
          <w:sz w:val="20"/>
          <w:szCs w:val="20"/>
          <w:color w:val="auto"/>
        </w:rPr>
      </w:pPr>
      <w:r>
        <w:rPr>
          <w:rFonts w:ascii="Arial" w:cs="Arial" w:eastAsia="Arial" w:hAnsi="Arial"/>
          <w:sz w:val="18"/>
          <w:szCs w:val="18"/>
          <w:color w:val="auto"/>
        </w:rPr>
        <w:t>Peggy Alford</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JOHN H. ALSCHULER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John H. Alschuler</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ERIC K. BRANDT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Eric K. Brandt</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STEVEN R. HASH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Steven R. Hash</w:t>
      </w:r>
    </w:p>
    <w:p>
      <w:pPr>
        <w:spacing w:after="0" w:line="9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ENRIQUE HERNANDEZ,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5850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Enrique Hernandez, Jr.</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DANIEL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5">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Daniel J. Hirsch</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MARIANNE LOWENTHAL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6">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Marianne Lowenthal</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STEVEN L. SOBOROFF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Steven L. Soboroff</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ANDREA M.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8">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Andrea M. Stephen</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850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9">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Scott W. Kingsmore</w:t>
      </w:r>
    </w:p>
    <w:p>
      <w:pPr>
        <w:spacing w:after="0" w:line="21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CHRISTOPHER J. ZECCHINI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5850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0">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5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Christopher J. Zecchini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Chairman of Board of Directors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Senior Executive Vice President, Treasurer and Chief Financial Officer (Principal Financial Officer)</w:t>
      </w:r>
    </w:p>
    <w:p>
      <w:pPr>
        <w:spacing w:after="0" w:line="28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Senior Vice President and Chief Accounting Officer (Principal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2023</w:t>
      </w:r>
    </w:p>
    <w:p>
      <w:pPr>
        <w:spacing w:after="0" w:line="485" w:lineRule="exact"/>
        <w:rPr>
          <w:sz w:val="20"/>
          <w:szCs w:val="20"/>
          <w:color w:val="auto"/>
        </w:rPr>
      </w:pPr>
    </w:p>
    <w:p>
      <w:pPr>
        <w:sectPr>
          <w:pgSz w:w="11900" w:h="16838" w:orient="portrait"/>
          <w:cols w:equalWidth="0" w:num="3">
            <w:col w:w="3480" w:space="720"/>
            <w:col w:w="4500" w:space="720"/>
            <w:col w:w="1280"/>
          </w:cols>
          <w:pgMar w:left="320" w:top="1023"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700"/>
          </w:cols>
          <w:pgMar w:left="320" w:top="1023" w:right="87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the Registrant’s Securities Registered Pursuant to</w:t>
      </w:r>
    </w:p>
    <w:p>
      <w:pPr>
        <w:jc w:val="center"/>
        <w:spacing w:after="0"/>
        <w:rPr>
          <w:sz w:val="20"/>
          <w:szCs w:val="20"/>
          <w:color w:val="auto"/>
        </w:rPr>
      </w:pPr>
      <w:r>
        <w:rPr>
          <w:rFonts w:ascii="Arial" w:cs="Arial" w:eastAsia="Arial" w:hAnsi="Arial"/>
          <w:sz w:val="18"/>
          <w:szCs w:val="18"/>
          <w:b w:val="1"/>
          <w:bCs w:val="1"/>
          <w:u w:val="single" w:color="auto"/>
          <w:color w:val="auto"/>
        </w:rPr>
        <w:t>Section 12 of the Securities Exchange Act of 1934, as amended</w:t>
      </w:r>
    </w:p>
    <w:p>
      <w:pPr>
        <w:spacing w:after="0" w:line="200" w:lineRule="exact"/>
        <w:rPr>
          <w:sz w:val="20"/>
          <w:szCs w:val="20"/>
          <w:color w:val="auto"/>
        </w:rPr>
      </w:pP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common stock, par value $0.01 per share (“Common Stock”), of The Macerich Company (“Macerich,” “we,” or “our”) is registered under Section 12 of the Securities Exchange Act of 1934, as amended (the “Exchange Act”). The following description sets forth certain general terms and provisions of our Common Stock. These descriptions are in all respects subject to and qualified in their entirety by, and should be read in conjunction with, the applicable</w:t>
      </w:r>
    </w:p>
    <w:p>
      <w:pPr>
        <w:jc w:val="both"/>
        <w:spacing w:after="0" w:line="239" w:lineRule="auto"/>
        <w:rPr>
          <w:sz w:val="20"/>
          <w:szCs w:val="20"/>
          <w:color w:val="auto"/>
        </w:rPr>
      </w:pPr>
      <w:r>
        <w:rPr>
          <w:rFonts w:ascii="Arial" w:cs="Arial" w:eastAsia="Arial" w:hAnsi="Arial"/>
          <w:sz w:val="16"/>
          <w:szCs w:val="16"/>
          <w:color w:val="auto"/>
        </w:rPr>
        <w:t>provisions of our Articles of Amendment and Restatement, as further amended and supplemented (our “Articles”), and our Amended and Restated Bylaws (our “Bylaws”), each of which is incorporated herein by reference and copies of which are incorporated by reference as exhibits to our most recent Annual Report on Form 10-K filed with the Securities and Exchange Commission, and the applicable provisions of the Maryland General Corporation Law (the “MGCL”).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Articles authorize us to issue up to 575,000,000 shares of capital stock, consisting of 500,000,000 shares of Common Stock, 15,000,000 shares of preferred stock, par value $0.01 per share (“Preferred Stock”), and 60,000,000 shares of excess stock, par value $0.01 per share (“Excess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Subject to the provisions of our Articles regarding Excess Stock, the holders of our Common Stock have full voting rights, one vote for each share held of record.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Subject to the provisions of our Articles regarding Excess Stock and the rights of any holders of Preferred Stock, holders of our Common Stock are entitled to receive the dividends authorized by our board of directors and declared by us out of funds legally available for this purpose.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Liquidation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Upon our liquidation, dissolution or winding up and after payment in full of all amounts required to be paid to creditors and to the holders of any outstanding</w:t>
      </w:r>
    </w:p>
    <w:p>
      <w:pPr>
        <w:spacing w:after="0" w:line="14"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shares of any other class or series of stock having liquidation preferences, if any, the assets legally available for distribution to holders of our Common Stock will be distributed ratably among the holders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13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Holders of our Common Stock have no preemptive or other subscription or conversion rights. Our Common Stock is not subject to assessment or any sinking fund.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Exchange Listing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are listed on the New York Stock Exchange under the symbol “MAC”.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to Preferred Stock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Under our Articles, we may issue shares of Preferred Stock from time to time, in one or more series as authorized by our board of directors. Prior to issuance of shares of each class or series, our board of directors is required by the MGCL to adopt resolutions and file Articles Supplementary with the State Department of</w:t>
      </w:r>
    </w:p>
    <w:p>
      <w:pPr>
        <w:jc w:val="both"/>
        <w:spacing w:after="0" w:line="229" w:lineRule="auto"/>
        <w:rPr>
          <w:sz w:val="20"/>
          <w:szCs w:val="20"/>
          <w:color w:val="auto"/>
        </w:rPr>
      </w:pPr>
      <w:r>
        <w:rPr>
          <w:rFonts w:ascii="Arial" w:cs="Arial" w:eastAsia="Arial" w:hAnsi="Arial"/>
          <w:sz w:val="16"/>
          <w:szCs w:val="16"/>
          <w:color w:val="auto"/>
        </w:rPr>
        <w:t>Assessments and Taxation of Maryland, fixing for each class or series the designations, powers, preferences, conversion and other rights, voting powers, qualifications, limitations as to dividends, restrictions and terms and conditions of redemption. Our board of directors could authorize the issuance of shares of Preferred Stock with terms and conditions which could have the effect of delaying, deferring or preventing a change of control or other transaction in which</w:t>
      </w:r>
    </w:p>
    <w:p>
      <w:pPr>
        <w:spacing w:after="0"/>
        <w:rPr>
          <w:sz w:val="20"/>
          <w:szCs w:val="20"/>
          <w:color w:val="auto"/>
        </w:rPr>
      </w:pPr>
      <w:r>
        <w:rPr>
          <w:rFonts w:ascii="Arial" w:cs="Arial" w:eastAsia="Arial" w:hAnsi="Arial"/>
          <w:sz w:val="18"/>
          <w:szCs w:val="18"/>
          <w:color w:val="auto"/>
        </w:rPr>
        <w:t>holders 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113" w:name="page114"/>
    <w:bookmarkEnd w:id="113"/>
    <w:p>
      <w:pPr>
        <w:spacing w:after="0" w:line="15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some, or a majority, of shares of our Common Stock might receive a premium for their shares over the then prevailing market price of those shares or which such holders might believe to be otherwise in their best interests.</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We currently have 1,961,345 shares of Series D Cumulative Convertible Preferred Stock (the “Series D Preferred Stock”) authorized under our Articles, none of which are outstanding. If issued, shares of the Series D Preferred Stock could be converted into shares of our Common Stock based on a formula set forth in</w:t>
      </w:r>
    </w:p>
    <w:p>
      <w:pPr>
        <w:spacing w:after="0" w:line="255" w:lineRule="auto"/>
        <w:rPr>
          <w:sz w:val="20"/>
          <w:szCs w:val="20"/>
          <w:color w:val="auto"/>
        </w:rPr>
      </w:pPr>
      <w:r>
        <w:rPr>
          <w:rFonts w:ascii="Arial" w:cs="Arial" w:eastAsia="Arial" w:hAnsi="Arial"/>
          <w:sz w:val="16"/>
          <w:szCs w:val="16"/>
          <w:color w:val="auto"/>
        </w:rPr>
        <w:t>the applicable Articles Supplementary. Rights of holders of the Series D Preferred Stock include dividend and liquidation preferences over the holders of shares of our Common Stock and, in some circumstances, voting rights preferences over the holders of shares of our Common Stock.</w:t>
      </w:r>
    </w:p>
    <w:p>
      <w:pPr>
        <w:spacing w:after="0" w:line="122" w:lineRule="exact"/>
        <w:rPr>
          <w:sz w:val="20"/>
          <w:szCs w:val="20"/>
          <w:color w:val="auto"/>
        </w:rPr>
      </w:pPr>
    </w:p>
    <w:p>
      <w:pPr>
        <w:ind w:right="1240"/>
        <w:spacing w:after="0" w:line="404" w:lineRule="auto"/>
        <w:rPr>
          <w:sz w:val="20"/>
          <w:szCs w:val="20"/>
          <w:color w:val="auto"/>
        </w:rPr>
      </w:pPr>
      <w:r>
        <w:rPr>
          <w:rFonts w:ascii="Arial" w:cs="Arial" w:eastAsia="Arial" w:hAnsi="Arial"/>
          <w:sz w:val="18"/>
          <w:szCs w:val="18"/>
          <w:color w:val="auto"/>
        </w:rPr>
        <w:t xml:space="preserve">See “Selected Provisions of Maryland Law and of Our Articles and Bylaws—Power to Reclassify Shares of Our Stock” for more information. </w:t>
      </w:r>
      <w:r>
        <w:rPr>
          <w:rFonts w:ascii="Arial" w:cs="Arial" w:eastAsia="Arial" w:hAnsi="Arial"/>
          <w:sz w:val="18"/>
          <w:szCs w:val="18"/>
          <w:b w:val="1"/>
          <w:bCs w:val="1"/>
          <w:color w:val="auto"/>
        </w:rPr>
        <w:t>Restrictions on Transfer and Ownership</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For us to qualify as a real estate investment trust (“REIT”) under the Internal Revenue Code of 1986, as amended (the “Code”), both of the following conditions relating to ownership of shares must be satisfied:</w:t>
      </w:r>
    </w:p>
    <w:p>
      <w:pPr>
        <w:spacing w:after="0" w:line="134" w:lineRule="exact"/>
        <w:rPr>
          <w:sz w:val="20"/>
          <w:szCs w:val="20"/>
          <w:color w:val="auto"/>
        </w:rPr>
      </w:pPr>
    </w:p>
    <w:p>
      <w:pPr>
        <w:jc w:val="both"/>
        <w:ind w:left="640" w:hanging="318"/>
        <w:spacing w:after="0" w:line="223"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more than 50% in value of our outstanding stock (after taking into account options to acquire stock) may be owned, directly or indirectly (after application of certain attribution rules), by five or fewer “individuals” (as defined under the Code to include some entities that would not ordinarily be considered “individuals”) during the last half of a taxable year; and</w:t>
      </w:r>
    </w:p>
    <w:p>
      <w:pPr>
        <w:spacing w:after="0" w:line="187" w:lineRule="exact"/>
        <w:rPr>
          <w:rFonts w:ascii="Arial" w:cs="Arial" w:eastAsia="Arial" w:hAnsi="Arial"/>
          <w:sz w:val="18"/>
          <w:szCs w:val="18"/>
          <w:color w:val="auto"/>
        </w:rPr>
      </w:pPr>
    </w:p>
    <w:p>
      <w:pPr>
        <w:ind w:left="640" w:hanging="318"/>
        <w:spacing w:after="0" w:line="228"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shares of our capital stock must be beneficially owned by 100 or more persons during at least 335 days of a taxable year of 12 months or during a proportionate part of a shorter taxable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Articles Restrict the Ownership and Transfer of Shares of Our Capital Stock</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Subject to exceptions specified in our Articles, no stockholder may own, or be deemed to own by virtue of the attribution provisions of the Code, in excess of the lesser of 5% in value or in number of shares of our outstanding capital stock. The attribution provisions are complex and may cause stock owned directly or indirectly by a group of related individuals or entities to be deemed to be owned by one individual or entity. As a result, the acquisition of less than 5% in value</w:t>
      </w:r>
    </w:p>
    <w:p>
      <w:pPr>
        <w:jc w:val="both"/>
        <w:spacing w:after="0" w:line="229" w:lineRule="auto"/>
        <w:rPr>
          <w:sz w:val="20"/>
          <w:szCs w:val="20"/>
          <w:color w:val="auto"/>
        </w:rPr>
      </w:pPr>
      <w:r>
        <w:rPr>
          <w:rFonts w:ascii="Arial" w:cs="Arial" w:eastAsia="Arial" w:hAnsi="Arial"/>
          <w:sz w:val="16"/>
          <w:szCs w:val="16"/>
          <w:color w:val="auto"/>
        </w:rPr>
        <w:t>or in number of shares of stock (or the acquisition of an interest in an entity which owns stock) by an individual or entity could cause that individual or entity (or another individual or entity) to be deemed to own in excess of 5% in value or in number of shares of our outstanding capital stock, and thus subject that stock to the ownership limit. Our board of directors, in its sole discretion (subject to certain limitations), may waive the ownership limit with respect to our</w:t>
      </w:r>
    </w:p>
    <w:p>
      <w:pPr>
        <w:jc w:val="both"/>
        <w:spacing w:after="0" w:line="229" w:lineRule="auto"/>
        <w:rPr>
          <w:sz w:val="20"/>
          <w:szCs w:val="20"/>
          <w:color w:val="auto"/>
        </w:rPr>
      </w:pPr>
      <w:r>
        <w:rPr>
          <w:rFonts w:ascii="Arial" w:cs="Arial" w:eastAsia="Arial" w:hAnsi="Arial"/>
          <w:sz w:val="16"/>
          <w:szCs w:val="16"/>
          <w:color w:val="auto"/>
        </w:rPr>
        <w:t>stockholders, but is under no obligation to do so. As a condition of a waiver of the ownership limit, our board of directors may require opinions of counsel satisfactory to it or other conditions as it may direct, including an agreement from the applicant that the applicant will not act to threaten our REIT status. Our Articles exclude from the ownership limit some persons and their respective families and affiliates, but provides that no excluded participant may own (directly</w:t>
      </w:r>
    </w:p>
    <w:p>
      <w:pPr>
        <w:spacing w:after="0"/>
        <w:rPr>
          <w:sz w:val="20"/>
          <w:szCs w:val="20"/>
          <w:color w:val="auto"/>
        </w:rPr>
      </w:pPr>
      <w:r>
        <w:rPr>
          <w:rFonts w:ascii="Arial" w:cs="Arial" w:eastAsia="Arial" w:hAnsi="Arial"/>
          <w:sz w:val="18"/>
          <w:szCs w:val="18"/>
          <w:color w:val="auto"/>
        </w:rPr>
        <w:t>or indirectly) more than the excluded participant’s percentage limitation, as described below under “—Issuance of Excess Stock.”</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Our Articles provide that any purported transfer or issuance of shares, or other event, will be null and void if it results in a “prohibited event.” The intended transferee or purported owner in a transaction that results in a prohibited event will not acquire, and will retain no rights to, or economic interest in, those</w:t>
      </w:r>
    </w:p>
    <w:p>
      <w:pPr>
        <w:ind w:right="4720"/>
        <w:spacing w:after="0" w:line="396" w:lineRule="auto"/>
        <w:rPr>
          <w:sz w:val="20"/>
          <w:szCs w:val="20"/>
          <w:color w:val="auto"/>
        </w:rPr>
      </w:pPr>
      <w:r>
        <w:rPr>
          <w:rFonts w:ascii="Arial" w:cs="Arial" w:eastAsia="Arial" w:hAnsi="Arial"/>
          <w:sz w:val="18"/>
          <w:szCs w:val="18"/>
          <w:color w:val="auto"/>
        </w:rPr>
        <w:t xml:space="preserve">shares of stock. For more information, see the section entitled “—Issuance of Excess Stock.” </w:t>
      </w:r>
      <w:r>
        <w:rPr>
          <w:rFonts w:ascii="Arial" w:cs="Arial" w:eastAsia="Arial" w:hAnsi="Arial"/>
          <w:sz w:val="18"/>
          <w:szCs w:val="18"/>
          <w:i w:val="1"/>
          <w:iCs w:val="1"/>
          <w:color w:val="auto"/>
        </w:rPr>
        <w:t>Issuance of Excess Stock</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Our Articles provide that in the case of a prohibited event, the relevant shares of stock will automatically be exchanged for shares of Excess Stock, to the extent necessary to ensure that the purported transfer or other event does not result in a prohibited event. A “prohibited event” is a purported transfer of stock or other</w:t>
      </w:r>
    </w:p>
    <w:p>
      <w:pPr>
        <w:spacing w:after="0"/>
        <w:rPr>
          <w:sz w:val="20"/>
          <w:szCs w:val="20"/>
          <w:color w:val="auto"/>
        </w:rPr>
      </w:pPr>
      <w:r>
        <w:rPr>
          <w:rFonts w:ascii="Arial" w:cs="Arial" w:eastAsia="Arial" w:hAnsi="Arial"/>
          <w:sz w:val="18"/>
          <w:szCs w:val="18"/>
          <w:color w:val="auto"/>
        </w:rPr>
        <w:t>event that will, if effective, result in any of the following:</w:t>
      </w:r>
    </w:p>
    <w:p>
      <w:pPr>
        <w:spacing w:after="0" w:line="122" w:lineRule="exact"/>
        <w:rPr>
          <w:sz w:val="20"/>
          <w:szCs w:val="20"/>
          <w:color w:val="auto"/>
        </w:rPr>
      </w:pPr>
    </w:p>
    <w:p>
      <w:pPr>
        <w:jc w:val="both"/>
        <w:ind w:left="640" w:hanging="318"/>
        <w:spacing w:after="0" w:line="209"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person owning (directly or indirectly) shares of our stock in excess of the ownership limit as determined in accordance with our Articles or owning (directly or indirectly) more than a specified percentage of our Common Stock as determined in accordance with our Articles (that person’s “percentage limitation”);</w:t>
      </w:r>
    </w:p>
    <w:p>
      <w:pPr>
        <w:ind w:left="640" w:hanging="31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of our Common Stock and Preferred Stock being owned by fewer than 100 persons (determined without reference to any rules of attribution);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14" w:name="page115"/>
    <w:bookmarkEnd w:id="114"/>
    <w:p>
      <w:pPr>
        <w:ind w:left="640" w:hanging="318"/>
        <w:spacing w:after="0" w:line="228"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becoming “closely held” under Section 856(h) of the Code (determined without regard to Code Section 856(h)(2) and by deleting the words “the last half of” in the first sentence of Code Section 542(a)(2) in applying Code Section 856(h)); or</w:t>
      </w:r>
    </w:p>
    <w:p>
      <w:pPr>
        <w:spacing w:after="0" w:line="199" w:lineRule="exact"/>
        <w:rPr>
          <w:rFonts w:ascii="Arial" w:cs="Arial" w:eastAsia="Arial" w:hAnsi="Arial"/>
          <w:sz w:val="18"/>
          <w:szCs w:val="18"/>
          <w:color w:val="auto"/>
        </w:rPr>
      </w:pPr>
    </w:p>
    <w:p>
      <w:pPr>
        <w:ind w:left="640" w:hanging="31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disqualification as a REIT.</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Outstanding shares of Excess Stock will be held in trust. The trustee of the trust will be appointed by us and will be independent of us, any purported record or beneficial transferee and any beneficiary of such trust (the “beneficiary”). The beneficiary will be one or more charitable organizations selected by the trustee.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Our Articles further provide that shares of Excess Stock are entitled to the same dividends as the shares of stock exchanged for Excess Stock (the “original</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shares”). The trustee, as record holder of the Excess Stock, is entitled to receive all dividends and distributions in respect of the Excess Stock as may be authorized by our board of directors and declared by us and will hold the dividends or distributions in trust for the benefit of the beneficiary. The trustee is also entitled to cast all votes that holders of the Excess Stock are entitled to cast. Shares of Excess Stock in the hands of the trustee will have the same voting rights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as original shares. Upon our liquidation, dissolution or winding up, each share of Excess Stock will be entitled to receive ratably with each other share of stock of the same class or series as the original shares, the assets distributed to the holders of the class or series of stock. The trustee will distribute to the purported transferee the amounts received upon our liquidation, dissolution or winding up, but only up to the amount paid by the purported transferee, or the market price</w:t>
      </w:r>
    </w:p>
    <w:p>
      <w:pPr>
        <w:jc w:val="both"/>
        <w:spacing w:after="0" w:line="220" w:lineRule="auto"/>
        <w:rPr>
          <w:sz w:val="20"/>
          <w:szCs w:val="20"/>
          <w:color w:val="auto"/>
        </w:rPr>
      </w:pPr>
      <w:r>
        <w:rPr>
          <w:rFonts w:ascii="Arial" w:cs="Arial" w:eastAsia="Arial" w:hAnsi="Arial"/>
          <w:sz w:val="18"/>
          <w:szCs w:val="18"/>
          <w:color w:val="auto"/>
        </w:rPr>
        <w:t>for the original shares on the date of the purported transfer, if no consideration was paid by the transferee, and subject to additional limitations and offsets set forth in our Articles.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If, after the purported transfer or other event resulting in an exchange of stock for shares of Excess Stock, dividends or distributions are paid with respect to the original shares, then the dividends or distributions will be paid to the trustee for the benefit of the beneficiary. While shares of Excess Stock are held in trust, Excess Stock may be transferred by the trustee only to a person whose ownership of the original shares will not result in a prohibited event. At the time of any</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permitted transfer, the shares of Excess Stock will be automatically exchanged for the same number of shares of the same type and class as the original shares. Our Articles contain provisions that prohibit the purported transferee of shares of Excess Stock from receiving in return for the transfer an amount that reflects any appreciation in the original shares during the period that the shares of Excess Stock were outstanding. Our Articles require any amount received by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purported transferee, in excess of the amount permitted to be received, to be paid to the beneficiary.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Our Articles further provide that we may purchase, for a period of 90 days during the time the shares of Excess Stock are held in trust, all or any portion of the</w:t>
      </w:r>
    </w:p>
    <w:p>
      <w:pPr>
        <w:spacing w:after="0" w:line="14"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Excess Stock at the lesser of the price paid for the stock by the purported transferee (or if no consideration was paid, the market price at the time of such transaction) or the market price of the relevant shares on the date we, or our designee, accept the offer to purchase the shares of Excess Stock. The 90-day period begins on the date of the prohibited transfer if the purported transferee gives notice to us of the transfer or, if no notice is given, the date our board of</w:t>
      </w:r>
    </w:p>
    <w:p>
      <w:pPr>
        <w:spacing w:after="0"/>
        <w:rPr>
          <w:sz w:val="20"/>
          <w:szCs w:val="20"/>
          <w:color w:val="auto"/>
        </w:rPr>
      </w:pPr>
      <w:r>
        <w:rPr>
          <w:rFonts w:ascii="Arial" w:cs="Arial" w:eastAsia="Arial" w:hAnsi="Arial"/>
          <w:sz w:val="18"/>
          <w:szCs w:val="18"/>
          <w:color w:val="auto"/>
        </w:rPr>
        <w:t>directors determines in good faith that a prohibited transfer has occurred.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contained in our Articles will not be automatically removed even if the REIT provisions of the Code are changed so as to no longer contain</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any ownership concentration limitation or if the ownership concentration limitation is increased. Amendments to our Articles generally require the affirmative vote of stockholders entitled to cast a majority of all the votes entitled to be cast on the matter. In addition to preserving our status as a REIT, the ownership limit may have the effect of precluding an acquisition of control of us without the approval of our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Any certificates representing shares of our Common Stock and our Preferred Stock bear, or will bear, a legend referring to the restrictions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All persons who own, directly or by virtue of the attribution provisions of the Code, more than 5% of our outstanding stock must file an affidavit with us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containing the information specified in our Articles within 30 days after January 1 of each year. In addition, these and other significant stockholders are required, upon demand, to disclose to us in writing the information with respect to their direct, indirect and constructive ownership of shares of our capital stock that our board of directors deems necessary to comply with the provisions of the Code applicable to a REIT.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Provisions of Maryland Law and of Our Articles and Bylaws</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addition to the ownership limit, certain provisions of our Articles, Bylaws and the MGCL may delay, defer or prevent a change of control or other transaction in which holders of some, or a majority, of shares of our Common Stock might receive a premium for their shares over the then prevailing market price of those shares or which such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79" w:right="339" w:bottom="1440" w:gutter="0" w:footer="0" w:header="0"/>
        </w:sectPr>
      </w:pPr>
    </w:p>
    <w:bookmarkStart w:id="115" w:name="page116"/>
    <w:bookmarkEnd w:id="115"/>
    <w:p>
      <w:pPr>
        <w:jc w:val="both"/>
        <w:spacing w:after="0" w:line="228" w:lineRule="auto"/>
        <w:rPr>
          <w:sz w:val="20"/>
          <w:szCs w:val="20"/>
          <w:color w:val="auto"/>
        </w:rPr>
      </w:pPr>
      <w:r>
        <w:rPr>
          <w:rFonts w:ascii="Arial" w:cs="Arial" w:eastAsia="Arial" w:hAnsi="Arial"/>
          <w:sz w:val="18"/>
          <w:szCs w:val="18"/>
          <w:color w:val="auto"/>
        </w:rPr>
        <w:t>holders might believe to be otherwise in their best interests. The following paragraphs summarize a number of these provisions, as well as selected provisions of the MGCL.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to Reclassify Shares of Our Stock</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Our Articles and the MGCL permit our board of directors, or any duly authorized committee thereof, to classify and reclassify any unissued shares of our capital stock by setting or changing in any one or more respects the preferences, conversion or other rights, voting powers, restrictions, limitations as to dividends and other distributions, qualifications or terms and conditions of redemption of the classified or reclassified shares of our capital stock. The terms of</w:t>
      </w:r>
    </w:p>
    <w:p>
      <w:pPr>
        <w:jc w:val="both"/>
        <w:spacing w:after="0" w:line="255" w:lineRule="auto"/>
        <w:rPr>
          <w:sz w:val="20"/>
          <w:szCs w:val="20"/>
          <w:color w:val="auto"/>
        </w:rPr>
      </w:pPr>
      <w:r>
        <w:rPr>
          <w:rFonts w:ascii="Arial" w:cs="Arial" w:eastAsia="Arial" w:hAnsi="Arial"/>
          <w:sz w:val="16"/>
          <w:szCs w:val="16"/>
          <w:color w:val="auto"/>
        </w:rPr>
        <w:t>any stock classified or reclassified by our board of directors or a duly authorized committee thereof in accordance with our Articles will be set forth in articles supplementary filed with the State Department of Assessments and Taxation of Maryland prior to the issuance of any classified or reclassified stock.</w:t>
      </w:r>
    </w:p>
    <w:p>
      <w:pPr>
        <w:spacing w:after="0" w:line="12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Articles also authorize our board of directors to issue one or more classes or series of Common Stock or Preferred Stock and authorize the creation and issuance of rights entitling holders thereof to purchase from us shares of stock or other securities or property.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of Director Nominations and New Business; Procedures for Special Meetings Requested by Stockholders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Our Articles and Bylaws provide that for any stockholder proposal to be presented in connection with an annual meeting or special meeting of our</w:t>
      </w:r>
    </w:p>
    <w:p>
      <w:pPr>
        <w:spacing w:after="0" w:line="14"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stockholders, including a proposal to nominate a director, the stockholder must have given timely written notice of the proposal to our secretary. The Bylaws provide that nominations to our board of directors and the proposal of other business to be considered by stockholders at an annual meeting of stockholders may be made only:</w:t>
      </w:r>
    </w:p>
    <w:p>
      <w:pPr>
        <w:spacing w:after="0" w:line="136" w:lineRule="exact"/>
        <w:rPr>
          <w:sz w:val="20"/>
          <w:szCs w:val="20"/>
          <w:color w:val="auto"/>
        </w:rPr>
      </w:pPr>
    </w:p>
    <w:p>
      <w:pPr>
        <w:ind w:left="640" w:hanging="31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our notice of the meeting;</w:t>
      </w:r>
    </w:p>
    <w:p>
      <w:pPr>
        <w:spacing w:after="0" w:line="201" w:lineRule="exact"/>
        <w:rPr>
          <w:rFonts w:ascii="Arial" w:cs="Arial" w:eastAsia="Arial" w:hAnsi="Arial"/>
          <w:sz w:val="18"/>
          <w:szCs w:val="18"/>
          <w:color w:val="auto"/>
        </w:rPr>
      </w:pPr>
    </w:p>
    <w:p>
      <w:pPr>
        <w:ind w:left="640" w:hanging="31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or at the direction of our board of directors;</w:t>
      </w:r>
    </w:p>
    <w:p>
      <w:pPr>
        <w:spacing w:after="0" w:line="214" w:lineRule="exact"/>
        <w:rPr>
          <w:rFonts w:ascii="Arial" w:cs="Arial" w:eastAsia="Arial" w:hAnsi="Arial"/>
          <w:sz w:val="18"/>
          <w:szCs w:val="18"/>
          <w:color w:val="auto"/>
        </w:rPr>
      </w:pPr>
    </w:p>
    <w:p>
      <w:pPr>
        <w:jc w:val="both"/>
        <w:ind w:left="640" w:hanging="318"/>
        <w:spacing w:after="0"/>
        <w:tabs>
          <w:tab w:leader="none" w:pos="6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by any stockholder who is a stockholder of record at the record date set by our board of directors for the purpose of determining stockholders entitled to vote at the annual meeting, at the time such stockholder gives the notice required by our Bylaws and at the time of the annual meeting (and any postponement or adjournment thereof), who is entitled to vote at the meeting in the election of each individual so nominated or on the proposal of other business, as the case may be, and who has complied with the advance notice procedures and other applicable requirements, including minimum and maximum time periods, set forth in our Articles and Bylaws; or</w:t>
      </w:r>
    </w:p>
    <w:p>
      <w:pPr>
        <w:spacing w:after="0" w:line="186" w:lineRule="exact"/>
        <w:rPr>
          <w:rFonts w:ascii="Arial" w:cs="Arial" w:eastAsia="Arial" w:hAnsi="Arial"/>
          <w:sz w:val="16"/>
          <w:szCs w:val="16"/>
          <w:color w:val="auto"/>
        </w:rPr>
      </w:pPr>
    </w:p>
    <w:p>
      <w:pPr>
        <w:jc w:val="both"/>
        <w:ind w:left="640" w:hanging="318"/>
        <w:spacing w:after="0" w:line="217"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the proxy access provisions of our Bylaws, which allow an eligible stockholder or a qualifying group of up to 20 stockholders, owning at least 3% of our outstanding shares of Common Stock continuously for at least three years, to nominate up to the greater of two directors or the largest whole number that does not exceed 20% of the number of directors then serving on our board of directors for inclusion in our proxy materials, subject to complying with the requirements contained in our Bylaws.</w:t>
      </w:r>
    </w:p>
    <w:p>
      <w:pPr>
        <w:spacing w:after="0" w:line="13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Bylaws also provide that only the business specified in our notice of meeting may be brought before a special meeting of stockholders. Nominations of persons for election to our board of directors at a special meeting of stockholders at which directors are to be elected may be made only:</w:t>
      </w:r>
    </w:p>
    <w:p>
      <w:pPr>
        <w:spacing w:after="0" w:line="108" w:lineRule="exact"/>
        <w:rPr>
          <w:sz w:val="20"/>
          <w:szCs w:val="20"/>
          <w:color w:val="auto"/>
        </w:rPr>
      </w:pPr>
    </w:p>
    <w:p>
      <w:pPr>
        <w:ind w:left="640" w:hanging="31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or at the direction of our board of directors;</w:t>
      </w:r>
    </w:p>
    <w:p>
      <w:pPr>
        <w:spacing w:after="0" w:line="201" w:lineRule="exact"/>
        <w:rPr>
          <w:rFonts w:ascii="Arial" w:cs="Arial" w:eastAsia="Arial" w:hAnsi="Arial"/>
          <w:sz w:val="18"/>
          <w:szCs w:val="18"/>
          <w:color w:val="auto"/>
        </w:rPr>
      </w:pPr>
    </w:p>
    <w:p>
      <w:pPr>
        <w:ind w:left="640" w:hanging="318"/>
        <w:spacing w:after="0" w:line="273" w:lineRule="auto"/>
        <w:tabs>
          <w:tab w:leader="none" w:pos="6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by a stockholder who has requested that a special meeting be called for the purpose of electing directors in compliance with our Bylaws and who has supplied the information required by our Bylaws about each individual whom the stockholder proposes to nominate for election as a director; or</w:t>
      </w:r>
    </w:p>
    <w:p>
      <w:pPr>
        <w:spacing w:after="0" w:line="174" w:lineRule="exact"/>
        <w:rPr>
          <w:rFonts w:ascii="Arial" w:cs="Arial" w:eastAsia="Arial" w:hAnsi="Arial"/>
          <w:sz w:val="16"/>
          <w:szCs w:val="16"/>
          <w:color w:val="auto"/>
        </w:rPr>
      </w:pPr>
    </w:p>
    <w:p>
      <w:pPr>
        <w:jc w:val="both"/>
        <w:ind w:left="640" w:hanging="318"/>
        <w:spacing w:after="0"/>
        <w:tabs>
          <w:tab w:leader="none" w:pos="6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provided that the special meeting has been called in accordance with our Bylaws for the purpose of electing directors, by any stockholder who is a stockholder of record at the record date set by our board of directors for the purpose of determining stockholders entitled to vote at the special meeting, at the time such stockholder gives the notice required by our Bylaws and at the time of the special meeting (and any postponement or adjournment thereof), who is entitled to vote at the meeting in the election of each individual so nominated and who has complied with the advance notice procedures and other applicable requirements, including minimum and maximum time periods, set forth in our Bylaws.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79" w:right="339" w:bottom="1440" w:gutter="0" w:footer="0" w:header="0"/>
        </w:sectPr>
      </w:pPr>
    </w:p>
    <w:bookmarkStart w:id="116" w:name="page117"/>
    <w:bookmarkEnd w:id="116"/>
    <w:p>
      <w:pPr>
        <w:spacing w:after="0" w:line="257" w:lineRule="auto"/>
        <w:rPr>
          <w:sz w:val="20"/>
          <w:szCs w:val="20"/>
          <w:color w:val="auto"/>
        </w:rPr>
      </w:pPr>
      <w:r>
        <w:rPr>
          <w:rFonts w:ascii="Arial" w:cs="Arial" w:eastAsia="Arial" w:hAnsi="Arial"/>
          <w:sz w:val="15"/>
          <w:szCs w:val="15"/>
          <w:color w:val="auto"/>
        </w:rPr>
        <w:t>Our Bylaws also contain special procedures applicable to a special meeting of stockholders that is called by the secretary to act on any matter that may properly be considered at a meeting of stockholders at the written request of stockholders entitled to cast not less than a majority of all the votes entitled to be cast on</w:t>
      </w:r>
    </w:p>
    <w:p>
      <w:pPr>
        <w:spacing w:after="0"/>
        <w:rPr>
          <w:sz w:val="20"/>
          <w:szCs w:val="20"/>
          <w:color w:val="auto"/>
        </w:rPr>
      </w:pPr>
      <w:r>
        <w:rPr>
          <w:rFonts w:ascii="Arial" w:cs="Arial" w:eastAsia="Arial" w:hAnsi="Arial"/>
          <w:sz w:val="18"/>
          <w:szCs w:val="18"/>
          <w:color w:val="auto"/>
        </w:rPr>
        <w:t>such matter at the meeting.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for Our Original Founders from the Maryland Business Combination Act</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w:t>
      </w:r>
    </w:p>
    <w:p>
      <w:pPr>
        <w:spacing w:after="0" w:line="220" w:lineRule="auto"/>
        <w:rPr>
          <w:sz w:val="20"/>
          <w:szCs w:val="20"/>
          <w:color w:val="auto"/>
        </w:rPr>
      </w:pPr>
      <w:r>
        <w:rPr>
          <w:rFonts w:ascii="Arial" w:cs="Arial" w:eastAsia="Arial" w:hAnsi="Arial"/>
          <w:sz w:val="18"/>
          <w:szCs w:val="18"/>
          <w:color w:val="auto"/>
        </w:rPr>
        <w:t>a merger, consolidation, share exchange, or, in circumstances specified in the statute, an asset transfer or issuance or reclassification of equity securities. An interested stockholder is defined as:</w:t>
      </w:r>
    </w:p>
    <w:p>
      <w:pPr>
        <w:spacing w:after="0" w:line="133" w:lineRule="exact"/>
        <w:rPr>
          <w:sz w:val="20"/>
          <w:szCs w:val="20"/>
          <w:color w:val="auto"/>
        </w:rPr>
      </w:pPr>
    </w:p>
    <w:p>
      <w:pPr>
        <w:ind w:left="640" w:hanging="318"/>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voting stock; or</w:t>
      </w:r>
    </w:p>
    <w:p>
      <w:pPr>
        <w:spacing w:after="0" w:line="201" w:lineRule="exact"/>
        <w:rPr>
          <w:rFonts w:ascii="Arial" w:cs="Arial" w:eastAsia="Arial" w:hAnsi="Arial"/>
          <w:sz w:val="18"/>
          <w:szCs w:val="18"/>
          <w:color w:val="auto"/>
        </w:rPr>
      </w:pPr>
    </w:p>
    <w:p>
      <w:pPr>
        <w:ind w:left="640" w:hanging="318"/>
        <w:spacing w:after="0" w:line="228" w:lineRule="auto"/>
        <w:tabs>
          <w:tab w:leader="none" w:pos="6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immediately prior to the date in question, was the beneficial owner, directly or indirectly, of 10% or more of the voting power of the then outstanding stock of the corporation.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After the five-year prohibition, any business combination between the Maryland corporation and an interested stockholder generally must be recommended by the board of directors of the corporation and approved by two super-majority stockholder votes, unless, among other conditions, the holders of the corporation’s</w:t>
      </w:r>
    </w:p>
    <w:p>
      <w:pPr>
        <w:jc w:val="both"/>
        <w:spacing w:after="0" w:line="244" w:lineRule="auto"/>
        <w:rPr>
          <w:sz w:val="20"/>
          <w:szCs w:val="20"/>
          <w:color w:val="auto"/>
        </w:rPr>
      </w:pPr>
      <w:r>
        <w:rPr>
          <w:rFonts w:ascii="Arial" w:cs="Arial" w:eastAsia="Arial" w:hAnsi="Arial"/>
          <w:sz w:val="15"/>
          <w:szCs w:val="15"/>
          <w:color w:val="auto"/>
        </w:rPr>
        <w:t>common stock receive a minimum price, as defined by the MGCL, for their shares and the consideration is received in cash or in the same form as previously paid by the interested stockholder for its shares. None of these provisions of the MGCL will apply, however, to business combinations that are approved or exempted by the board of directors of the corporation before the time that the interested stockholder becomes an interested stockholder. Furthermore, a person</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is not an interested stockholder if the transaction by which he or she would otherwise have become an interested stockholder is approved in advance by the board of directors.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permitted by the MGCL, our Articles exempt from these provisions any business combination between us and our original founders and their respective affiliates or related persons. As a result, these persons may be able to enter into business combinations with us that may not be in the best interest of our stockholders without compliance with the super-majority vote requirements and the other provisions of the statute.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Non-Stockholder Constituencies</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Under our Articles, for the purpose of determining our and our stockholders’ best interests with respect to a proposed business combination or other transaction involving a change of control of us, our board of directors must give due consideration to all relevant factors, including, without limitation, the interests of our employees, the economy, community and societal interests and our and our stockholders’ long-term as well as short-term interests, including the possibility that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these interests may be best served by our continued independence.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Share Acquisitions</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MGCL provides that the acquirer of certain levels of voting power in electing directors of a Maryland corporation (one-tenth or more, but less than one-third, one-third or more but less than a majority, and a majority or more) is not entitled to vote the shares in excess of the applicable threshold unless voting rights for the shares are approved at a meeting by holders of two-thirds of the votes entitled to be cast on the matter, excluding shares of stock owned by the</w:t>
      </w:r>
    </w:p>
    <w:p>
      <w:pPr>
        <w:jc w:val="both"/>
        <w:spacing w:after="0" w:line="255" w:lineRule="auto"/>
        <w:rPr>
          <w:sz w:val="20"/>
          <w:szCs w:val="20"/>
          <w:color w:val="auto"/>
        </w:rPr>
      </w:pPr>
      <w:r>
        <w:rPr>
          <w:rFonts w:ascii="Arial" w:cs="Arial" w:eastAsia="Arial" w:hAnsi="Arial"/>
          <w:sz w:val="16"/>
          <w:szCs w:val="16"/>
          <w:color w:val="auto"/>
        </w:rPr>
        <w:t>acquiror or by an officer or director of the corporation who is an employee of the corporation, or unless the acquisition of the shares has been specifically or generally approved or exempted from the statute by a provision in the corporation’s charter or bylaws adopted before the acquisition of the shares.</w:t>
      </w:r>
    </w:p>
    <w:p>
      <w:pPr>
        <w:spacing w:after="0" w:line="12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Our Articles exempt from these provisions voting rights of shares owned or acquired by our original founders and their respective affiliates and related persons. Our Bylaws also contain a provision exempting from this statute any acquisition by any person of shares of our stock. There can be no assurance that such provision will not be amended or eliminated at any time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Subtitle 8</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Our board of directors has approved a resolution prohibiting us from unilaterally electing to be subject to the provisions of Sections 3-803, 3-804 and 3-805 of Subtitle 8 of Title 3 of the MGCL (“Subtitle 8”). Subtitle 8 permits a Maryland corporation with a class of equity securities registered under the Exchange Act and at least three independent directors to elect, without any stockholder vote or other action and notwithstanding any contrary provision in its charter or</w:t>
      </w:r>
    </w:p>
    <w:p>
      <w:pPr>
        <w:spacing w:after="0"/>
        <w:rPr>
          <w:sz w:val="20"/>
          <w:szCs w:val="20"/>
          <w:color w:val="auto"/>
        </w:rPr>
      </w:pPr>
      <w:r>
        <w:rPr>
          <w:rFonts w:ascii="Arial" w:cs="Arial" w:eastAsia="Arial" w:hAnsi="Arial"/>
          <w:sz w:val="18"/>
          <w:szCs w:val="18"/>
          <w:color w:val="auto"/>
        </w:rPr>
        <w:t>bylaws, to be subject to any or all of the following five provisions: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79" w:right="339" w:bottom="1440" w:gutter="0" w:footer="0" w:header="0"/>
        </w:sectPr>
      </w:pPr>
    </w:p>
    <w:bookmarkStart w:id="117" w:name="page118"/>
    <w:bookmarkEnd w:id="117"/>
    <w:p>
      <w:pPr>
        <w:ind w:left="640" w:hanging="31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3-803 – requiring classification of the board of directors into three classes;</w:t>
      </w:r>
    </w:p>
    <w:p>
      <w:pPr>
        <w:spacing w:after="0" w:line="201" w:lineRule="exact"/>
        <w:rPr>
          <w:rFonts w:ascii="Arial" w:cs="Arial" w:eastAsia="Arial" w:hAnsi="Arial"/>
          <w:sz w:val="18"/>
          <w:szCs w:val="18"/>
          <w:color w:val="auto"/>
        </w:rPr>
      </w:pPr>
    </w:p>
    <w:p>
      <w:pPr>
        <w:ind w:left="640" w:hanging="318"/>
        <w:spacing w:after="0" w:line="235"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3-804(a) – requiring that stockholders may remove any director by the affirmative vote of at least two-thirds of all the votes entitled to be cast by the stockholders generally in the election of directors;</w:t>
      </w:r>
    </w:p>
    <w:p>
      <w:pPr>
        <w:spacing w:after="0" w:line="187" w:lineRule="exact"/>
        <w:rPr>
          <w:rFonts w:ascii="Arial" w:cs="Arial" w:eastAsia="Arial" w:hAnsi="Arial"/>
          <w:sz w:val="18"/>
          <w:szCs w:val="18"/>
          <w:color w:val="auto"/>
        </w:rPr>
      </w:pPr>
    </w:p>
    <w:p>
      <w:pPr>
        <w:ind w:left="640" w:hanging="31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3-804(b) – requiring that the number of directors be fixed only by vote of the board of directors;</w:t>
      </w:r>
    </w:p>
    <w:p>
      <w:pPr>
        <w:spacing w:after="0" w:line="201" w:lineRule="exact"/>
        <w:rPr>
          <w:rFonts w:ascii="Arial" w:cs="Arial" w:eastAsia="Arial" w:hAnsi="Arial"/>
          <w:sz w:val="18"/>
          <w:szCs w:val="18"/>
          <w:color w:val="auto"/>
        </w:rPr>
      </w:pPr>
    </w:p>
    <w:p>
      <w:pPr>
        <w:ind w:left="640" w:hanging="318"/>
        <w:spacing w:after="0" w:line="290" w:lineRule="auto"/>
        <w:tabs>
          <w:tab w:leader="none" w:pos="6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Section 3-804(c) – requiring that any vacancy on the board of directors be filled only by the affirmative vote of a majority of the remaining directors for the remainder of the full term of the class of directors in which the vacancy occurred and until a successor is elected and qualifies; and</w:t>
      </w:r>
    </w:p>
    <w:p>
      <w:pPr>
        <w:spacing w:after="0" w:line="148" w:lineRule="exact"/>
        <w:rPr>
          <w:rFonts w:ascii="Arial" w:cs="Arial" w:eastAsia="Arial" w:hAnsi="Arial"/>
          <w:sz w:val="16"/>
          <w:szCs w:val="16"/>
          <w:color w:val="auto"/>
        </w:rPr>
      </w:pPr>
    </w:p>
    <w:p>
      <w:pPr>
        <w:ind w:left="640" w:hanging="318"/>
        <w:spacing w:after="0" w:line="228"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3-805 – requiring that a special meeting of stockholders may be called only upon the written request of stockholders entitled to cast at least a majority of all the votes entitled to be cast at the meeting.</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Following our board of director’s resolution, we supplemented our Articles to provide that we are prohibited from electing to be subject to any of the foregoing provisions, and such prohibition may not be repealed unless a proposal to repeal such prohibition with respect to any such section is approved by the</w:t>
      </w:r>
    </w:p>
    <w:p>
      <w:pPr>
        <w:ind w:right="2140"/>
        <w:spacing w:after="0" w:line="396" w:lineRule="auto"/>
        <w:rPr>
          <w:sz w:val="20"/>
          <w:szCs w:val="20"/>
          <w:color w:val="auto"/>
        </w:rPr>
      </w:pPr>
      <w:r>
        <w:rPr>
          <w:rFonts w:ascii="Arial" w:cs="Arial" w:eastAsia="Arial" w:hAnsi="Arial"/>
          <w:sz w:val="18"/>
          <w:szCs w:val="18"/>
          <w:color w:val="auto"/>
        </w:rPr>
        <w:t xml:space="preserve">affirmative vote of a majority of the votes cast on the matter by stockholders entitled to vote generally in the election of directors. </w:t>
      </w:r>
      <w:r>
        <w:rPr>
          <w:rFonts w:ascii="Arial" w:cs="Arial" w:eastAsia="Arial" w:hAnsi="Arial"/>
          <w:sz w:val="18"/>
          <w:szCs w:val="18"/>
          <w:i w:val="1"/>
          <w:iCs w:val="1"/>
          <w:color w:val="auto"/>
        </w:rPr>
        <w:t>Amendment to Our Articles and Bylaws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Except for those amendments permitted to be made without stockholder approval under the MGCL or by specific provision in our Articles, amendments to our Articles must be declared advisable by our board of directors and approved by the affirmative vote of stockholders entitled to cast a majority of all the votes</w:t>
      </w:r>
    </w:p>
    <w:p>
      <w:pPr>
        <w:jc w:val="both"/>
        <w:spacing w:after="0" w:line="239" w:lineRule="auto"/>
        <w:rPr>
          <w:sz w:val="20"/>
          <w:szCs w:val="20"/>
          <w:color w:val="auto"/>
        </w:rPr>
      </w:pPr>
      <w:r>
        <w:rPr>
          <w:rFonts w:ascii="Arial" w:cs="Arial" w:eastAsia="Arial" w:hAnsi="Arial"/>
          <w:sz w:val="16"/>
          <w:szCs w:val="16"/>
          <w:color w:val="auto"/>
        </w:rPr>
        <w:t xml:space="preserve">entitled to be cast on the matter. Any amendment to our Articles related to the (i) removal of directors, (ii) vote required to approve any extraordinary transaction </w:t>
      </w:r>
      <w:r>
        <w:rPr>
          <w:rFonts w:ascii="Arial" w:cs="Arial" w:eastAsia="Arial" w:hAnsi="Arial"/>
          <w:sz w:val="16"/>
          <w:szCs w:val="16"/>
          <w:i w:val="1"/>
          <w:iCs w:val="1"/>
          <w:color w:val="auto"/>
        </w:rPr>
        <w:t>(i.e.</w:t>
      </w:r>
      <w:r>
        <w:rPr>
          <w:rFonts w:ascii="Arial" w:cs="Arial" w:eastAsia="Arial" w:hAnsi="Arial"/>
          <w:sz w:val="16"/>
          <w:szCs w:val="16"/>
          <w:color w:val="auto"/>
        </w:rPr>
        <w:t>, merger, share exchange, consolidation, conversion and sale of all or substantially all of our assets) or (iii) amendment provision in our Articles relating to these matters requires the affirmative vote of stockholders entitled to cast two-thirds of all the votes entitled to be cast on the matter.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Our Bylaws provide that, with the exception of provisions in our Bylaws relating to (i) the indemnification of our present and former directors and officers and</w:t>
      </w:r>
    </w:p>
    <w:p>
      <w:pPr>
        <w:spacing w:after="0" w:line="1" w:lineRule="exact"/>
        <w:rPr>
          <w:sz w:val="20"/>
          <w:szCs w:val="20"/>
          <w:color w:val="auto"/>
        </w:rPr>
      </w:pPr>
    </w:p>
    <w:p>
      <w:pPr>
        <w:jc w:val="both"/>
        <w:ind w:firstLine="5"/>
        <w:spacing w:after="0" w:line="239" w:lineRule="auto"/>
        <w:tabs>
          <w:tab w:leader="none" w:pos="25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amendment of our Bylaws, which provisions may not be amended without the approval of our board of directors, our Bylaws may be altered or repealed or new bylaw provisions may be adopted, in each case to the extent permitted by, and consistent with, our Articles, our Bylaws and applicable law, by the affirmative vote of a majority of all the votes entitled to be cast on the matter pursuant to a proposal submitted for approval at a duly called annual meeting or special meeting of stockholders. Our board of directors may also adopt, alter or repeal any provision of our Bylaws or make new Bylaws.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Board of Directors; Election; Removal</w:t>
      </w:r>
    </w:p>
    <w:p>
      <w:pPr>
        <w:spacing w:after="0" w:line="149"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Our Articles provide that the number of directors on our board of directors is fixed pursuant to our Bylaws, but may not be fewer than the minimum required by the MGCL, which is one. Our Bylaws provide that our board of directors must consist of not less than one and not more than twelve directors.</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Our Articles and Bylaws provide that directors are required to be elected by the affirmative vote of a majority of all the votes cast on the matter at a meeting at which a quorum is present.</w:t>
      </w:r>
    </w:p>
    <w:p>
      <w:pPr>
        <w:spacing w:after="0" w:line="187"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Subject to the rights of holders of any series of Preferred Stock, our Articles provide that a director may be removed only for cause and only by the affirmative vote of the holders of shares entitled to cast at least two-thirds of the votes entitled to be cast generally in the election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Dissolution</w:t>
      </w:r>
    </w:p>
    <w:p>
      <w:pPr>
        <w:spacing w:after="0" w:line="13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dissolution must be approved by our board of directors and by the affirmative vote of not less than a majority of all of the votes entitled to be cast on the matter.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Supermajority Vote for Extraordinary Corporate Actions</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Under the MGCL, a Maryland corporation generally cannot dissolve, amend its charter, merge, convert into another entity, sell all or substantially all of its assets, or engage in a share exchange or in a similar extraordinary corporate action unless approved by the corporation’s board of directors and the affirmative vote of holders of at least two-thirds of the votes entitled to be cast on the matter, unless a lesser percentage (but not less than a majority of all of the votes</w:t>
      </w:r>
    </w:p>
    <w:p>
      <w:pPr>
        <w:jc w:val="both"/>
        <w:spacing w:after="0" w:line="220" w:lineRule="auto"/>
        <w:rPr>
          <w:sz w:val="20"/>
          <w:szCs w:val="20"/>
          <w:color w:val="auto"/>
        </w:rPr>
      </w:pPr>
      <w:r>
        <w:rPr>
          <w:rFonts w:ascii="Arial" w:cs="Arial" w:eastAsia="Arial" w:hAnsi="Arial"/>
          <w:sz w:val="18"/>
          <w:szCs w:val="18"/>
          <w:color w:val="auto"/>
        </w:rPr>
        <w:t>entitled to be cast on the matter) is set forth in the corporation’s charter. Except for Article Seventh and Article Ninth of our Articles, which provide that amendments to the Articles (except for certain instances)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79" w:right="339" w:bottom="1440" w:gutter="0" w:footer="0" w:header="0"/>
        </w:sectPr>
      </w:pPr>
    </w:p>
    <w:bookmarkStart w:id="118" w:name="page119"/>
    <w:bookmarkEnd w:id="118"/>
    <w:p>
      <w:pPr>
        <w:jc w:val="both"/>
        <w:spacing w:after="0" w:line="228" w:lineRule="auto"/>
        <w:rPr>
          <w:sz w:val="20"/>
          <w:szCs w:val="20"/>
          <w:color w:val="auto"/>
        </w:rPr>
      </w:pPr>
      <w:r>
        <w:rPr>
          <w:rFonts w:ascii="Arial" w:cs="Arial" w:eastAsia="Arial" w:hAnsi="Arial"/>
          <w:sz w:val="18"/>
          <w:szCs w:val="18"/>
          <w:color w:val="auto"/>
        </w:rPr>
        <w:t>dissolution must be approved by the vote of holders of a majority of our outstanding shares of Common Stock entitled to vote on the matter, our Articles do not provide for a lesser percentage in these situations.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Our Bylaws provide that, unless our board of directors agrees otherwise, (i) any derivative action or proceeding, (ii) any action asserting a claim of breach of any duty owed by any of our directors, officers or other employees to us or our stockholders, (iii) any action asserting a claim against us or any of our directors, officers or other employees pursuant to the MGCL, or our Articles or Bylaws and (iv) claims governed by the internal affairs doctrine must be brought in the</w:t>
      </w:r>
    </w:p>
    <w:p>
      <w:pPr>
        <w:jc w:val="both"/>
        <w:spacing w:after="0" w:line="220" w:lineRule="auto"/>
        <w:rPr>
          <w:sz w:val="20"/>
          <w:szCs w:val="20"/>
          <w:color w:val="auto"/>
        </w:rPr>
      </w:pPr>
      <w:r>
        <w:rPr>
          <w:rFonts w:ascii="Arial" w:cs="Arial" w:eastAsia="Arial" w:hAnsi="Arial"/>
          <w:sz w:val="18"/>
          <w:szCs w:val="18"/>
          <w:color w:val="auto"/>
        </w:rPr>
        <w:t>Circuit Court for Baltimore City, Maryland (or if that court does not have jurisdiction, the United States District Court for the District of Maryland, Baltimore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78" w:right="339" w:bottom="1440" w:gutter="0" w:footer="0" w:header="0"/>
        </w:sectPr>
      </w:pPr>
    </w:p>
    <w:bookmarkStart w:id="119" w:name="page120"/>
    <w:bookmarkEnd w:id="119"/>
    <w:p>
      <w:pPr>
        <w:ind w:left="5200"/>
        <w:spacing w:after="0"/>
        <w:rPr>
          <w:sz w:val="20"/>
          <w:szCs w:val="20"/>
          <w:color w:val="auto"/>
        </w:rPr>
      </w:pPr>
      <w:r>
        <w:rPr>
          <w:rFonts w:ascii="Arial" w:cs="Arial" w:eastAsia="Arial" w:hAnsi="Arial"/>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THE MACERICH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ELIGIBLE DIRECTORS’</w:t>
      </w:r>
    </w:p>
    <w:p>
      <w:pPr>
        <w:jc w:val="center"/>
        <w:ind w:right="19"/>
        <w:spacing w:after="0" w:line="209" w:lineRule="auto"/>
        <w:rPr>
          <w:sz w:val="20"/>
          <w:szCs w:val="20"/>
          <w:color w:val="auto"/>
        </w:rPr>
      </w:pPr>
      <w:r>
        <w:rPr>
          <w:rFonts w:ascii="Arial" w:cs="Arial" w:eastAsia="Arial" w:hAnsi="Arial"/>
          <w:sz w:val="21"/>
          <w:szCs w:val="21"/>
          <w:b w:val="1"/>
          <w:bCs w:val="1"/>
          <w:color w:val="auto"/>
        </w:rPr>
        <w:t>DEFERRED COMPENSATION/PHANTOM STOCK PLAN</w:t>
      </w:r>
    </w:p>
    <w:p>
      <w:pPr>
        <w:jc w:val="center"/>
        <w:ind w:right="19"/>
        <w:spacing w:after="0"/>
        <w:rPr>
          <w:sz w:val="20"/>
          <w:szCs w:val="20"/>
          <w:color w:val="auto"/>
        </w:rPr>
      </w:pPr>
      <w:r>
        <w:rPr>
          <w:rFonts w:ascii="Arial" w:cs="Arial" w:eastAsia="Arial" w:hAnsi="Arial"/>
          <w:sz w:val="19"/>
          <w:szCs w:val="19"/>
          <w:b w:val="1"/>
          <w:bCs w:val="1"/>
          <w:color w:val="auto"/>
        </w:rPr>
        <w:t>(As Amended and Restated Effective as of January 1, 2023)</w:t>
      </w:r>
    </w:p>
    <w:p>
      <w:pPr>
        <w:sectPr>
          <w:pgSz w:w="11900" w:h="16838" w:orient="portrait"/>
          <w:cols w:equalWidth="0" w:num="1">
            <w:col w:w="9019"/>
          </w:cols>
          <w:pgMar w:left="1440" w:top="1364" w:right="1440" w:bottom="1440" w:gutter="0" w:footer="0" w:header="0"/>
        </w:sectPr>
      </w:pPr>
    </w:p>
    <w:bookmarkStart w:id="120" w:name="page121"/>
    <w:bookmarkEnd w:id="120"/>
    <w:p>
      <w:pPr>
        <w:jc w:val="center"/>
        <w:ind w:right="-1100"/>
        <w:spacing w:after="0"/>
        <w:rPr>
          <w:sz w:val="20"/>
          <w:szCs w:val="20"/>
          <w:color w:val="auto"/>
        </w:rPr>
      </w:pPr>
      <w:r>
        <w:rPr>
          <w:rFonts w:ascii="Arial" w:cs="Arial" w:eastAsia="Arial" w:hAnsi="Arial"/>
          <w:sz w:val="21"/>
          <w:szCs w:val="21"/>
          <w:b w:val="1"/>
          <w:bCs w:val="1"/>
          <w:color w:val="auto"/>
        </w:rPr>
        <w:t>THE MACERICH COMPANY</w:t>
      </w:r>
    </w:p>
    <w:p>
      <w:pPr>
        <w:spacing w:after="0" w:line="17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ELIGIBLE DIRECTORS’</w:t>
      </w:r>
    </w:p>
    <w:p>
      <w:pPr>
        <w:jc w:val="center"/>
        <w:ind w:right="-1100"/>
        <w:spacing w:after="0" w:line="209" w:lineRule="auto"/>
        <w:rPr>
          <w:sz w:val="20"/>
          <w:szCs w:val="20"/>
          <w:color w:val="auto"/>
        </w:rPr>
      </w:pPr>
      <w:r>
        <w:rPr>
          <w:rFonts w:ascii="Arial" w:cs="Arial" w:eastAsia="Arial" w:hAnsi="Arial"/>
          <w:sz w:val="21"/>
          <w:szCs w:val="21"/>
          <w:b w:val="1"/>
          <w:bCs w:val="1"/>
          <w:color w:val="auto"/>
        </w:rPr>
        <w:t>DEFERRED COMPENSATION/PHANTOM STOCK PLAN</w:t>
      </w:r>
    </w:p>
    <w:p>
      <w:pPr>
        <w:jc w:val="center"/>
        <w:ind w:right="-1100"/>
        <w:spacing w:after="0"/>
        <w:rPr>
          <w:sz w:val="20"/>
          <w:szCs w:val="20"/>
          <w:color w:val="auto"/>
        </w:rPr>
      </w:pPr>
      <w:r>
        <w:rPr>
          <w:rFonts w:ascii="Arial" w:cs="Arial" w:eastAsia="Arial" w:hAnsi="Arial"/>
          <w:sz w:val="19"/>
          <w:szCs w:val="19"/>
          <w:b w:val="1"/>
          <w:bCs w:val="1"/>
          <w:color w:val="auto"/>
        </w:rPr>
        <w:t>(As Amended and Restated Effective as of January 1, 2023)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21"/>
                <w:szCs w:val="21"/>
                <w:b w:val="1"/>
                <w:bCs w:val="1"/>
                <w:color w:val="auto"/>
                <w:w w:val="98"/>
              </w:rPr>
              <w:t>TABLE OF CONTENTS</w:t>
            </w:r>
          </w:p>
        </w:tc>
      </w:tr>
      <w:tr>
        <w:trPr>
          <w:trHeight w:val="661"/>
        </w:trPr>
        <w:tc>
          <w:tcPr>
            <w:tcW w:w="1080" w:type="dxa"/>
            <w:vAlign w:val="bottom"/>
          </w:tcPr>
          <w:p>
            <w:pPr>
              <w:ind w:left="220"/>
              <w:spacing w:after="0"/>
              <w:rPr>
                <w:sz w:val="20"/>
                <w:szCs w:val="20"/>
                <w:color w:val="auto"/>
              </w:rPr>
            </w:pPr>
            <w:r>
              <w:rPr>
                <w:rFonts w:ascii="Arial" w:cs="Arial" w:eastAsia="Arial" w:hAnsi="Arial"/>
                <w:sz w:val="21"/>
                <w:szCs w:val="21"/>
                <w:color w:val="auto"/>
              </w:rPr>
              <w:t>Page</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48"/>
        </w:trPr>
        <w:tc>
          <w:tcPr>
            <w:tcW w:w="1080" w:type="dxa"/>
            <w:vAlign w:val="bottom"/>
          </w:tcPr>
          <w:p>
            <w:pPr>
              <w:spacing w:after="0"/>
              <w:rPr>
                <w:sz w:val="20"/>
                <w:szCs w:val="20"/>
                <w:color w:val="auto"/>
              </w:rPr>
            </w:pPr>
            <w:r>
              <w:rPr>
                <w:rFonts w:ascii="Arial" w:cs="Arial" w:eastAsia="Arial" w:hAnsi="Arial"/>
                <w:sz w:val="21"/>
                <w:szCs w:val="21"/>
                <w:color w:val="auto"/>
              </w:rPr>
              <w:t>ARTICLE I</w:t>
            </w:r>
          </w:p>
        </w:tc>
        <w:tc>
          <w:tcPr>
            <w:tcW w:w="5680" w:type="dxa"/>
            <w:vAlign w:val="bottom"/>
            <w:gridSpan w:val="7"/>
          </w:tcPr>
          <w:p>
            <w:pPr>
              <w:ind w:left="140"/>
              <w:spacing w:after="0"/>
              <w:rPr>
                <w:sz w:val="20"/>
                <w:szCs w:val="20"/>
                <w:color w:val="auto"/>
              </w:rPr>
            </w:pPr>
            <w:r>
              <w:rPr>
                <w:rFonts w:ascii="Arial" w:cs="Arial" w:eastAsia="Arial" w:hAnsi="Arial"/>
                <w:sz w:val="21"/>
                <w:szCs w:val="21"/>
                <w:color w:val="auto"/>
              </w:rPr>
              <w:t>TITLE, PURPOSE AND AUTHORIZED SHARES  1</w:t>
            </w:r>
          </w:p>
        </w:tc>
      </w:tr>
      <w:tr>
        <w:trPr>
          <w:trHeight w:val="316"/>
        </w:trPr>
        <w:tc>
          <w:tcPr>
            <w:tcW w:w="1080" w:type="dxa"/>
            <w:vAlign w:val="bottom"/>
          </w:tcPr>
          <w:p>
            <w:pPr>
              <w:spacing w:after="0"/>
              <w:rPr>
                <w:sz w:val="20"/>
                <w:szCs w:val="20"/>
                <w:color w:val="auto"/>
              </w:rPr>
            </w:pPr>
            <w:r>
              <w:rPr>
                <w:rFonts w:ascii="Arial" w:cs="Arial" w:eastAsia="Arial" w:hAnsi="Arial"/>
                <w:sz w:val="21"/>
                <w:szCs w:val="21"/>
                <w:color w:val="auto"/>
                <w:w w:val="99"/>
              </w:rPr>
              <w:t>ARTICLE II</w:t>
            </w:r>
          </w:p>
        </w:tc>
        <w:tc>
          <w:tcPr>
            <w:tcW w:w="1540" w:type="dxa"/>
            <w:vAlign w:val="bottom"/>
            <w:gridSpan w:val="2"/>
          </w:tcPr>
          <w:p>
            <w:pPr>
              <w:ind w:left="200"/>
              <w:spacing w:after="0"/>
              <w:rPr>
                <w:sz w:val="20"/>
                <w:szCs w:val="20"/>
                <w:color w:val="auto"/>
              </w:rPr>
            </w:pPr>
            <w:r>
              <w:rPr>
                <w:rFonts w:ascii="Arial" w:cs="Arial" w:eastAsia="Arial" w:hAnsi="Arial"/>
                <w:sz w:val="21"/>
                <w:szCs w:val="21"/>
                <w:color w:val="auto"/>
                <w:w w:val="99"/>
              </w:rPr>
              <w:t>DEFINITIONS</w:t>
            </w:r>
          </w:p>
        </w:tc>
        <w:tc>
          <w:tcPr>
            <w:tcW w:w="660" w:type="dxa"/>
            <w:vAlign w:val="bottom"/>
          </w:tcPr>
          <w:p>
            <w:pPr>
              <w:jc w:val="right"/>
              <w:ind w:right="255"/>
              <w:spacing w:after="0"/>
              <w:rPr>
                <w:sz w:val="20"/>
                <w:szCs w:val="20"/>
                <w:color w:val="auto"/>
              </w:rPr>
            </w:pPr>
            <w:r>
              <w:rPr>
                <w:rFonts w:ascii="Arial" w:cs="Arial" w:eastAsia="Arial" w:hAnsi="Arial"/>
                <w:sz w:val="21"/>
                <w:szCs w:val="21"/>
                <w:color w:val="auto"/>
              </w:rPr>
              <w:t>1</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w:t>
            </w:r>
          </w:p>
        </w:tc>
        <w:tc>
          <w:tcPr>
            <w:tcW w:w="1120" w:type="dxa"/>
            <w:vAlign w:val="bottom"/>
          </w:tcPr>
          <w:p>
            <w:pPr>
              <w:ind w:left="20"/>
              <w:spacing w:after="0"/>
              <w:rPr>
                <w:sz w:val="20"/>
                <w:szCs w:val="20"/>
                <w:color w:val="auto"/>
              </w:rPr>
            </w:pPr>
            <w:r>
              <w:rPr>
                <w:rFonts w:ascii="Arial" w:cs="Arial" w:eastAsia="Arial" w:hAnsi="Arial"/>
                <w:sz w:val="21"/>
                <w:szCs w:val="21"/>
                <w:color w:val="auto"/>
              </w:rPr>
              <w:t>Account  1</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2.2</w:t>
            </w:r>
          </w:p>
        </w:tc>
        <w:tc>
          <w:tcPr>
            <w:tcW w:w="2200" w:type="dxa"/>
            <w:vAlign w:val="bottom"/>
            <w:gridSpan w:val="3"/>
          </w:tcPr>
          <w:p>
            <w:pPr>
              <w:ind w:left="20"/>
              <w:spacing w:after="0"/>
              <w:rPr>
                <w:sz w:val="20"/>
                <w:szCs w:val="20"/>
                <w:color w:val="auto"/>
              </w:rPr>
            </w:pPr>
            <w:r>
              <w:rPr>
                <w:rFonts w:ascii="Arial" w:cs="Arial" w:eastAsia="Arial" w:hAnsi="Arial"/>
                <w:sz w:val="21"/>
                <w:szCs w:val="21"/>
                <w:color w:val="auto"/>
                <w:w w:val="92"/>
              </w:rPr>
              <w:t>Additional Compensation</w:t>
            </w:r>
          </w:p>
        </w:tc>
        <w:tc>
          <w:tcPr>
            <w:tcW w:w="1060" w:type="dxa"/>
            <w:vAlign w:val="bottom"/>
          </w:tcPr>
          <w:p>
            <w:pPr>
              <w:jc w:val="right"/>
              <w:ind w:right="655"/>
              <w:spacing w:after="0"/>
              <w:rPr>
                <w:sz w:val="20"/>
                <w:szCs w:val="20"/>
                <w:color w:val="auto"/>
              </w:rPr>
            </w:pPr>
            <w:r>
              <w:rPr>
                <w:rFonts w:ascii="Arial" w:cs="Arial" w:eastAsia="Arial" w:hAnsi="Arial"/>
                <w:sz w:val="21"/>
                <w:szCs w:val="21"/>
                <w:color w:val="auto"/>
              </w:rPr>
              <w:t>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2.3</w:t>
            </w:r>
          </w:p>
        </w:tc>
        <w:tc>
          <w:tcPr>
            <w:tcW w:w="3960" w:type="dxa"/>
            <w:vAlign w:val="bottom"/>
            <w:gridSpan w:val="6"/>
          </w:tcPr>
          <w:p>
            <w:pPr>
              <w:ind w:left="20"/>
              <w:spacing w:after="0"/>
              <w:rPr>
                <w:sz w:val="20"/>
                <w:szCs w:val="20"/>
                <w:color w:val="auto"/>
              </w:rPr>
            </w:pPr>
            <w:r>
              <w:rPr>
                <w:rFonts w:ascii="Arial" w:cs="Arial" w:eastAsia="Arial" w:hAnsi="Arial"/>
                <w:sz w:val="21"/>
                <w:szCs w:val="21"/>
                <w:color w:val="auto"/>
                <w:w w:val="99"/>
              </w:rPr>
              <w:t>Additional Compensation Approval Date  2</w:t>
            </w: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2.4</w:t>
            </w:r>
          </w:p>
        </w:tc>
        <w:tc>
          <w:tcPr>
            <w:tcW w:w="1120" w:type="dxa"/>
            <w:vAlign w:val="bottom"/>
          </w:tcPr>
          <w:p>
            <w:pPr>
              <w:ind w:left="20"/>
              <w:spacing w:after="0"/>
              <w:rPr>
                <w:sz w:val="20"/>
                <w:szCs w:val="20"/>
                <w:color w:val="auto"/>
              </w:rPr>
            </w:pPr>
            <w:r>
              <w:rPr>
                <w:rFonts w:ascii="Arial" w:cs="Arial" w:eastAsia="Arial" w:hAnsi="Arial"/>
                <w:sz w:val="21"/>
                <w:szCs w:val="21"/>
                <w:color w:val="auto"/>
                <w:w w:val="98"/>
              </w:rPr>
              <w:t>Award Date</w:t>
            </w:r>
          </w:p>
        </w:tc>
        <w:tc>
          <w:tcPr>
            <w:tcW w:w="420" w:type="dxa"/>
            <w:vAlign w:val="bottom"/>
          </w:tcPr>
          <w:p>
            <w:pPr>
              <w:jc w:val="right"/>
              <w:ind w:right="95"/>
              <w:spacing w:after="0"/>
              <w:rPr>
                <w:sz w:val="20"/>
                <w:szCs w:val="20"/>
                <w:color w:val="auto"/>
              </w:rPr>
            </w:pPr>
            <w:r>
              <w:rPr>
                <w:rFonts w:ascii="Arial" w:cs="Arial" w:eastAsia="Arial" w:hAnsi="Arial"/>
                <w:sz w:val="21"/>
                <w:szCs w:val="21"/>
                <w:color w:val="auto"/>
              </w:rPr>
              <w:t>2</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2.5</w:t>
            </w:r>
          </w:p>
        </w:tc>
        <w:tc>
          <w:tcPr>
            <w:tcW w:w="2200" w:type="dxa"/>
            <w:vAlign w:val="bottom"/>
            <w:gridSpan w:val="3"/>
          </w:tcPr>
          <w:p>
            <w:pPr>
              <w:ind w:left="40"/>
              <w:spacing w:after="0"/>
              <w:rPr>
                <w:sz w:val="20"/>
                <w:szCs w:val="20"/>
                <w:color w:val="auto"/>
              </w:rPr>
            </w:pPr>
            <w:r>
              <w:rPr>
                <w:rFonts w:ascii="Arial" w:cs="Arial" w:eastAsia="Arial" w:hAnsi="Arial"/>
                <w:sz w:val="21"/>
                <w:szCs w:val="21"/>
                <w:color w:val="auto"/>
              </w:rPr>
              <w:t>Board of Directors  2</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2.6</w:t>
            </w:r>
          </w:p>
        </w:tc>
        <w:tc>
          <w:tcPr>
            <w:tcW w:w="1540" w:type="dxa"/>
            <w:vAlign w:val="bottom"/>
            <w:gridSpan w:val="2"/>
          </w:tcPr>
          <w:p>
            <w:pPr>
              <w:ind w:left="40"/>
              <w:spacing w:after="0"/>
              <w:rPr>
                <w:sz w:val="20"/>
                <w:szCs w:val="20"/>
                <w:color w:val="auto"/>
              </w:rPr>
            </w:pPr>
            <w:r>
              <w:rPr>
                <w:rFonts w:ascii="Arial" w:cs="Arial" w:eastAsia="Arial" w:hAnsi="Arial"/>
                <w:sz w:val="21"/>
                <w:szCs w:val="21"/>
                <w:color w:val="auto"/>
                <w:w w:val="96"/>
              </w:rPr>
              <w:t>Cash Account  2</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2.7</w:t>
            </w:r>
          </w:p>
        </w:tc>
        <w:tc>
          <w:tcPr>
            <w:tcW w:w="3260" w:type="dxa"/>
            <w:vAlign w:val="bottom"/>
            <w:gridSpan w:val="4"/>
          </w:tcPr>
          <w:p>
            <w:pPr>
              <w:ind w:left="40"/>
              <w:spacing w:after="0"/>
              <w:rPr>
                <w:sz w:val="20"/>
                <w:szCs w:val="20"/>
                <w:color w:val="auto"/>
              </w:rPr>
            </w:pPr>
            <w:r>
              <w:rPr>
                <w:rFonts w:ascii="Arial" w:cs="Arial" w:eastAsia="Arial" w:hAnsi="Arial"/>
                <w:sz w:val="21"/>
                <w:szCs w:val="21"/>
                <w:color w:val="auto"/>
              </w:rPr>
              <w:t>Cash or Combination Dividends  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2.8</w:t>
            </w:r>
          </w:p>
        </w:tc>
        <w:tc>
          <w:tcPr>
            <w:tcW w:w="2200" w:type="dxa"/>
            <w:vAlign w:val="bottom"/>
            <w:gridSpan w:val="3"/>
          </w:tcPr>
          <w:p>
            <w:pPr>
              <w:ind w:left="40"/>
              <w:spacing w:after="0"/>
              <w:rPr>
                <w:sz w:val="20"/>
                <w:szCs w:val="20"/>
                <w:color w:val="auto"/>
              </w:rPr>
            </w:pPr>
            <w:r>
              <w:rPr>
                <w:rFonts w:ascii="Arial" w:cs="Arial" w:eastAsia="Arial" w:hAnsi="Arial"/>
                <w:sz w:val="21"/>
                <w:szCs w:val="21"/>
                <w:color w:val="auto"/>
                <w:w w:val="93"/>
              </w:rPr>
              <w:t>Change in Control Event</w:t>
            </w:r>
          </w:p>
        </w:tc>
        <w:tc>
          <w:tcPr>
            <w:tcW w:w="1060" w:type="dxa"/>
            <w:vAlign w:val="bottom"/>
          </w:tcPr>
          <w:p>
            <w:pPr>
              <w:jc w:val="right"/>
              <w:ind w:right="695"/>
              <w:spacing w:after="0"/>
              <w:rPr>
                <w:sz w:val="20"/>
                <w:szCs w:val="20"/>
                <w:color w:val="auto"/>
              </w:rPr>
            </w:pPr>
            <w:r>
              <w:rPr>
                <w:rFonts w:ascii="Arial" w:cs="Arial" w:eastAsia="Arial" w:hAnsi="Arial"/>
                <w:sz w:val="21"/>
                <w:szCs w:val="21"/>
                <w:color w:val="auto"/>
              </w:rPr>
              <w:t>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2.9</w:t>
            </w:r>
          </w:p>
        </w:tc>
        <w:tc>
          <w:tcPr>
            <w:tcW w:w="1120" w:type="dxa"/>
            <w:vAlign w:val="bottom"/>
          </w:tcPr>
          <w:p>
            <w:pPr>
              <w:ind w:left="40"/>
              <w:spacing w:after="0"/>
              <w:rPr>
                <w:sz w:val="20"/>
                <w:szCs w:val="20"/>
                <w:color w:val="auto"/>
              </w:rPr>
            </w:pPr>
            <w:r>
              <w:rPr>
                <w:rFonts w:ascii="Arial" w:cs="Arial" w:eastAsia="Arial" w:hAnsi="Arial"/>
                <w:sz w:val="21"/>
                <w:szCs w:val="21"/>
                <w:color w:val="auto"/>
              </w:rPr>
              <w:t>Code  3</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2.10</w:t>
            </w:r>
          </w:p>
        </w:tc>
        <w:tc>
          <w:tcPr>
            <w:tcW w:w="1540" w:type="dxa"/>
            <w:vAlign w:val="bottom"/>
            <w:gridSpan w:val="2"/>
          </w:tcPr>
          <w:p>
            <w:pPr>
              <w:ind w:left="140"/>
              <w:spacing w:after="0"/>
              <w:rPr>
                <w:sz w:val="20"/>
                <w:szCs w:val="20"/>
                <w:color w:val="auto"/>
              </w:rPr>
            </w:pPr>
            <w:r>
              <w:rPr>
                <w:rFonts w:ascii="Arial" w:cs="Arial" w:eastAsia="Arial" w:hAnsi="Arial"/>
                <w:sz w:val="21"/>
                <w:szCs w:val="21"/>
                <w:color w:val="auto"/>
                <w:w w:val="96"/>
              </w:rPr>
              <w:t>Common Stock</w:t>
            </w:r>
          </w:p>
        </w:tc>
        <w:tc>
          <w:tcPr>
            <w:tcW w:w="660" w:type="dxa"/>
            <w:vAlign w:val="bottom"/>
          </w:tcPr>
          <w:p>
            <w:pPr>
              <w:jc w:val="right"/>
              <w:ind w:right="315"/>
              <w:spacing w:after="0"/>
              <w:rPr>
                <w:sz w:val="20"/>
                <w:szCs w:val="20"/>
                <w:color w:val="auto"/>
              </w:rPr>
            </w:pPr>
            <w:r>
              <w:rPr>
                <w:rFonts w:ascii="Arial" w:cs="Arial" w:eastAsia="Arial" w:hAnsi="Arial"/>
                <w:sz w:val="21"/>
                <w:szCs w:val="21"/>
                <w:color w:val="auto"/>
              </w:rPr>
              <w:t>3</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2.11</w:t>
            </w:r>
          </w:p>
        </w:tc>
        <w:tc>
          <w:tcPr>
            <w:tcW w:w="1120" w:type="dxa"/>
            <w:vAlign w:val="bottom"/>
          </w:tcPr>
          <w:p>
            <w:pPr>
              <w:ind w:left="120"/>
              <w:spacing w:after="0"/>
              <w:rPr>
                <w:sz w:val="20"/>
                <w:szCs w:val="20"/>
                <w:color w:val="auto"/>
              </w:rPr>
            </w:pPr>
            <w:r>
              <w:rPr>
                <w:rFonts w:ascii="Arial" w:cs="Arial" w:eastAsia="Arial" w:hAnsi="Arial"/>
                <w:sz w:val="21"/>
                <w:szCs w:val="21"/>
                <w:color w:val="auto"/>
                <w:w w:val="96"/>
              </w:rPr>
              <w:t>Committee</w:t>
            </w:r>
          </w:p>
        </w:tc>
        <w:tc>
          <w:tcPr>
            <w:tcW w:w="420" w:type="dxa"/>
            <w:vAlign w:val="bottom"/>
          </w:tcPr>
          <w:p>
            <w:pPr>
              <w:jc w:val="right"/>
              <w:ind w:right="55"/>
              <w:spacing w:after="0"/>
              <w:rPr>
                <w:sz w:val="20"/>
                <w:szCs w:val="20"/>
                <w:color w:val="auto"/>
              </w:rPr>
            </w:pPr>
            <w:r>
              <w:rPr>
                <w:rFonts w:ascii="Arial" w:cs="Arial" w:eastAsia="Arial" w:hAnsi="Arial"/>
                <w:sz w:val="21"/>
                <w:szCs w:val="21"/>
                <w:color w:val="auto"/>
              </w:rPr>
              <w:t>3</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2.12</w:t>
            </w:r>
          </w:p>
        </w:tc>
        <w:tc>
          <w:tcPr>
            <w:tcW w:w="1120" w:type="dxa"/>
            <w:vAlign w:val="bottom"/>
          </w:tcPr>
          <w:p>
            <w:pPr>
              <w:ind w:left="140"/>
              <w:spacing w:after="0"/>
              <w:rPr>
                <w:sz w:val="20"/>
                <w:szCs w:val="20"/>
                <w:color w:val="auto"/>
              </w:rPr>
            </w:pPr>
            <w:r>
              <w:rPr>
                <w:rFonts w:ascii="Arial" w:cs="Arial" w:eastAsia="Arial" w:hAnsi="Arial"/>
                <w:sz w:val="21"/>
                <w:szCs w:val="21"/>
                <w:color w:val="auto"/>
              </w:rPr>
              <w:t>Company</w:t>
            </w:r>
          </w:p>
        </w:tc>
        <w:tc>
          <w:tcPr>
            <w:tcW w:w="420" w:type="dxa"/>
            <w:vAlign w:val="bottom"/>
          </w:tcPr>
          <w:p>
            <w:pPr>
              <w:jc w:val="right"/>
              <w:ind w:right="155"/>
              <w:spacing w:after="0"/>
              <w:rPr>
                <w:sz w:val="20"/>
                <w:szCs w:val="20"/>
                <w:color w:val="auto"/>
              </w:rPr>
            </w:pPr>
            <w:r>
              <w:rPr>
                <w:rFonts w:ascii="Arial" w:cs="Arial" w:eastAsia="Arial" w:hAnsi="Arial"/>
                <w:sz w:val="21"/>
                <w:szCs w:val="21"/>
                <w:color w:val="auto"/>
              </w:rPr>
              <w:t>3</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2.13</w:t>
            </w:r>
          </w:p>
        </w:tc>
        <w:tc>
          <w:tcPr>
            <w:tcW w:w="1540" w:type="dxa"/>
            <w:vAlign w:val="bottom"/>
            <w:gridSpan w:val="2"/>
          </w:tcPr>
          <w:p>
            <w:pPr>
              <w:ind w:left="140"/>
              <w:spacing w:after="0"/>
              <w:rPr>
                <w:sz w:val="20"/>
                <w:szCs w:val="20"/>
                <w:color w:val="auto"/>
              </w:rPr>
            </w:pPr>
            <w:r>
              <w:rPr>
                <w:rFonts w:ascii="Arial" w:cs="Arial" w:eastAsia="Arial" w:hAnsi="Arial"/>
                <w:sz w:val="21"/>
                <w:szCs w:val="21"/>
                <w:color w:val="auto"/>
              </w:rPr>
              <w:t>Compensation</w:t>
            </w:r>
          </w:p>
        </w:tc>
        <w:tc>
          <w:tcPr>
            <w:tcW w:w="660" w:type="dxa"/>
            <w:vAlign w:val="bottom"/>
          </w:tcPr>
          <w:p>
            <w:pPr>
              <w:jc w:val="right"/>
              <w:ind w:right="415"/>
              <w:spacing w:after="0"/>
              <w:rPr>
                <w:sz w:val="20"/>
                <w:szCs w:val="20"/>
                <w:color w:val="auto"/>
              </w:rPr>
            </w:pPr>
            <w:r>
              <w:rPr>
                <w:rFonts w:ascii="Arial" w:cs="Arial" w:eastAsia="Arial" w:hAnsi="Arial"/>
                <w:sz w:val="21"/>
                <w:szCs w:val="21"/>
                <w:color w:val="auto"/>
              </w:rPr>
              <w:t>3</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2.14</w:t>
            </w:r>
          </w:p>
        </w:tc>
        <w:tc>
          <w:tcPr>
            <w:tcW w:w="2200" w:type="dxa"/>
            <w:vAlign w:val="bottom"/>
            <w:gridSpan w:val="3"/>
          </w:tcPr>
          <w:p>
            <w:pPr>
              <w:ind w:left="140"/>
              <w:spacing w:after="0"/>
              <w:rPr>
                <w:sz w:val="20"/>
                <w:szCs w:val="20"/>
                <w:color w:val="auto"/>
              </w:rPr>
            </w:pPr>
            <w:r>
              <w:rPr>
                <w:rFonts w:ascii="Arial" w:cs="Arial" w:eastAsia="Arial" w:hAnsi="Arial"/>
                <w:sz w:val="21"/>
                <w:szCs w:val="21"/>
                <w:color w:val="auto"/>
                <w:w w:val="98"/>
              </w:rPr>
              <w:t>Current Cash Account</w:t>
            </w:r>
          </w:p>
        </w:tc>
        <w:tc>
          <w:tcPr>
            <w:tcW w:w="1060" w:type="dxa"/>
            <w:vAlign w:val="bottom"/>
          </w:tcPr>
          <w:p>
            <w:pPr>
              <w:jc w:val="right"/>
              <w:ind w:right="815"/>
              <w:spacing w:after="0"/>
              <w:rPr>
                <w:sz w:val="20"/>
                <w:szCs w:val="20"/>
                <w:color w:val="auto"/>
              </w:rPr>
            </w:pPr>
            <w:r>
              <w:rPr>
                <w:rFonts w:ascii="Arial" w:cs="Arial" w:eastAsia="Arial" w:hAnsi="Arial"/>
                <w:sz w:val="21"/>
                <w:szCs w:val="21"/>
                <w:color w:val="auto"/>
              </w:rPr>
              <w:t>3</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2.15</w:t>
            </w:r>
          </w:p>
        </w:tc>
        <w:tc>
          <w:tcPr>
            <w:tcW w:w="3960" w:type="dxa"/>
            <w:vAlign w:val="bottom"/>
            <w:gridSpan w:val="6"/>
          </w:tcPr>
          <w:p>
            <w:pPr>
              <w:ind w:left="140"/>
              <w:spacing w:after="0"/>
              <w:rPr>
                <w:sz w:val="20"/>
                <w:szCs w:val="20"/>
                <w:color w:val="auto"/>
              </w:rPr>
            </w:pPr>
            <w:r>
              <w:rPr>
                <w:rFonts w:ascii="Arial" w:cs="Arial" w:eastAsia="Arial" w:hAnsi="Arial"/>
                <w:sz w:val="21"/>
                <w:szCs w:val="21"/>
                <w:color w:val="auto"/>
                <w:w w:val="95"/>
              </w:rPr>
              <w:t>Current Dividend Equivalent Cash Account</w:t>
            </w:r>
          </w:p>
        </w:tc>
        <w:tc>
          <w:tcPr>
            <w:tcW w:w="1720" w:type="dxa"/>
            <w:vAlign w:val="bottom"/>
          </w:tcPr>
          <w:p>
            <w:pPr>
              <w:jc w:val="right"/>
              <w:ind w:right="1435"/>
              <w:spacing w:after="0"/>
              <w:rPr>
                <w:sz w:val="20"/>
                <w:szCs w:val="20"/>
                <w:color w:val="auto"/>
              </w:rPr>
            </w:pPr>
            <w:r>
              <w:rPr>
                <w:rFonts w:ascii="Arial" w:cs="Arial" w:eastAsia="Arial" w:hAnsi="Arial"/>
                <w:sz w:val="21"/>
                <w:szCs w:val="21"/>
                <w:color w:val="auto"/>
              </w:rPr>
              <w:t>4</w:t>
            </w: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2.16</w:t>
            </w:r>
          </w:p>
        </w:tc>
        <w:tc>
          <w:tcPr>
            <w:tcW w:w="3960" w:type="dxa"/>
            <w:vAlign w:val="bottom"/>
            <w:gridSpan w:val="6"/>
          </w:tcPr>
          <w:p>
            <w:pPr>
              <w:ind w:left="140"/>
              <w:spacing w:after="0"/>
              <w:rPr>
                <w:sz w:val="20"/>
                <w:szCs w:val="20"/>
                <w:color w:val="auto"/>
              </w:rPr>
            </w:pPr>
            <w:r>
              <w:rPr>
                <w:rFonts w:ascii="Arial" w:cs="Arial" w:eastAsia="Arial" w:hAnsi="Arial"/>
                <w:sz w:val="21"/>
                <w:szCs w:val="21"/>
                <w:color w:val="auto"/>
                <w:w w:val="94"/>
              </w:rPr>
              <w:t>Current Dividend Equivalent Stock Account</w:t>
            </w:r>
          </w:p>
        </w:tc>
        <w:tc>
          <w:tcPr>
            <w:tcW w:w="1720" w:type="dxa"/>
            <w:vAlign w:val="bottom"/>
          </w:tcPr>
          <w:p>
            <w:pPr>
              <w:jc w:val="right"/>
              <w:ind w:right="1375"/>
              <w:spacing w:after="0"/>
              <w:rPr>
                <w:sz w:val="20"/>
                <w:szCs w:val="20"/>
                <w:color w:val="auto"/>
              </w:rPr>
            </w:pPr>
            <w:r>
              <w:rPr>
                <w:rFonts w:ascii="Arial" w:cs="Arial" w:eastAsia="Arial" w:hAnsi="Arial"/>
                <w:sz w:val="21"/>
                <w:szCs w:val="21"/>
                <w:color w:val="auto"/>
              </w:rPr>
              <w:t>4</w:t>
            </w: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2.17</w:t>
            </w:r>
          </w:p>
        </w:tc>
        <w:tc>
          <w:tcPr>
            <w:tcW w:w="3260" w:type="dxa"/>
            <w:vAlign w:val="bottom"/>
            <w:gridSpan w:val="4"/>
          </w:tcPr>
          <w:p>
            <w:pPr>
              <w:ind w:left="140"/>
              <w:spacing w:after="0"/>
              <w:rPr>
                <w:sz w:val="20"/>
                <w:szCs w:val="20"/>
                <w:color w:val="auto"/>
              </w:rPr>
            </w:pPr>
            <w:r>
              <w:rPr>
                <w:rFonts w:ascii="Arial" w:cs="Arial" w:eastAsia="Arial" w:hAnsi="Arial"/>
                <w:sz w:val="21"/>
                <w:szCs w:val="21"/>
                <w:color w:val="auto"/>
              </w:rPr>
              <w:t>Current Stock Unit Account  4</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2.18</w:t>
            </w:r>
          </w:p>
        </w:tc>
        <w:tc>
          <w:tcPr>
            <w:tcW w:w="1120" w:type="dxa"/>
            <w:vAlign w:val="bottom"/>
          </w:tcPr>
          <w:p>
            <w:pPr>
              <w:ind w:left="140"/>
              <w:spacing w:after="0"/>
              <w:rPr>
                <w:sz w:val="20"/>
                <w:szCs w:val="20"/>
                <w:color w:val="auto"/>
              </w:rPr>
            </w:pPr>
            <w:r>
              <w:rPr>
                <w:rFonts w:ascii="Arial" w:cs="Arial" w:eastAsia="Arial" w:hAnsi="Arial"/>
                <w:sz w:val="21"/>
                <w:szCs w:val="21"/>
                <w:color w:val="auto"/>
              </w:rPr>
              <w:t>Disability</w:t>
            </w:r>
          </w:p>
        </w:tc>
        <w:tc>
          <w:tcPr>
            <w:tcW w:w="420" w:type="dxa"/>
            <w:vAlign w:val="bottom"/>
          </w:tcPr>
          <w:p>
            <w:pPr>
              <w:jc w:val="right"/>
              <w:ind w:right="155"/>
              <w:spacing w:after="0"/>
              <w:rPr>
                <w:sz w:val="20"/>
                <w:szCs w:val="20"/>
                <w:color w:val="auto"/>
              </w:rPr>
            </w:pPr>
            <w:r>
              <w:rPr>
                <w:rFonts w:ascii="Arial" w:cs="Arial" w:eastAsia="Arial" w:hAnsi="Arial"/>
                <w:sz w:val="21"/>
                <w:szCs w:val="21"/>
                <w:color w:val="auto"/>
              </w:rPr>
              <w:t>4</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2.19</w:t>
            </w:r>
          </w:p>
        </w:tc>
        <w:tc>
          <w:tcPr>
            <w:tcW w:w="1540" w:type="dxa"/>
            <w:vAlign w:val="bottom"/>
            <w:gridSpan w:val="2"/>
          </w:tcPr>
          <w:p>
            <w:pPr>
              <w:ind w:left="140"/>
              <w:spacing w:after="0"/>
              <w:rPr>
                <w:sz w:val="20"/>
                <w:szCs w:val="20"/>
                <w:color w:val="auto"/>
              </w:rPr>
            </w:pPr>
            <w:r>
              <w:rPr>
                <w:rFonts w:ascii="Arial" w:cs="Arial" w:eastAsia="Arial" w:hAnsi="Arial"/>
                <w:sz w:val="21"/>
                <w:szCs w:val="21"/>
                <w:color w:val="auto"/>
              </w:rPr>
              <w:t>Discount Rate</w:t>
            </w:r>
          </w:p>
        </w:tc>
        <w:tc>
          <w:tcPr>
            <w:tcW w:w="660" w:type="dxa"/>
            <w:vAlign w:val="bottom"/>
          </w:tcPr>
          <w:p>
            <w:pPr>
              <w:jc w:val="right"/>
              <w:ind w:right="435"/>
              <w:spacing w:after="0"/>
              <w:rPr>
                <w:sz w:val="20"/>
                <w:szCs w:val="20"/>
                <w:color w:val="auto"/>
              </w:rPr>
            </w:pPr>
            <w:r>
              <w:rPr>
                <w:rFonts w:ascii="Arial" w:cs="Arial" w:eastAsia="Arial" w:hAnsi="Arial"/>
                <w:sz w:val="21"/>
                <w:szCs w:val="21"/>
                <w:color w:val="auto"/>
                <w:w w:val="85"/>
              </w:rPr>
              <w:t>4</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2.20</w:t>
            </w:r>
          </w:p>
        </w:tc>
        <w:tc>
          <w:tcPr>
            <w:tcW w:w="2200" w:type="dxa"/>
            <w:vAlign w:val="bottom"/>
            <w:gridSpan w:val="3"/>
          </w:tcPr>
          <w:p>
            <w:pPr>
              <w:ind w:left="140"/>
              <w:spacing w:after="0"/>
              <w:rPr>
                <w:sz w:val="20"/>
                <w:szCs w:val="20"/>
                <w:color w:val="auto"/>
              </w:rPr>
            </w:pPr>
            <w:r>
              <w:rPr>
                <w:rFonts w:ascii="Arial" w:cs="Arial" w:eastAsia="Arial" w:hAnsi="Arial"/>
                <w:sz w:val="21"/>
                <w:szCs w:val="21"/>
                <w:color w:val="auto"/>
              </w:rPr>
              <w:t>Disinterested Director</w:t>
            </w:r>
          </w:p>
        </w:tc>
        <w:tc>
          <w:tcPr>
            <w:tcW w:w="1060" w:type="dxa"/>
            <w:vAlign w:val="bottom"/>
          </w:tcPr>
          <w:p>
            <w:pPr>
              <w:jc w:val="right"/>
              <w:ind w:right="835"/>
              <w:spacing w:after="0"/>
              <w:rPr>
                <w:sz w:val="20"/>
                <w:szCs w:val="20"/>
                <w:color w:val="auto"/>
              </w:rPr>
            </w:pPr>
            <w:r>
              <w:rPr>
                <w:rFonts w:ascii="Arial" w:cs="Arial" w:eastAsia="Arial" w:hAnsi="Arial"/>
                <w:sz w:val="21"/>
                <w:szCs w:val="21"/>
                <w:color w:val="auto"/>
                <w:w w:val="85"/>
              </w:rPr>
              <w:t>4</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2.21</w:t>
            </w:r>
          </w:p>
        </w:tc>
        <w:tc>
          <w:tcPr>
            <w:tcW w:w="2200" w:type="dxa"/>
            <w:vAlign w:val="bottom"/>
            <w:gridSpan w:val="3"/>
          </w:tcPr>
          <w:p>
            <w:pPr>
              <w:ind w:left="140"/>
              <w:spacing w:after="0"/>
              <w:rPr>
                <w:sz w:val="20"/>
                <w:szCs w:val="20"/>
                <w:color w:val="auto"/>
              </w:rPr>
            </w:pPr>
            <w:r>
              <w:rPr>
                <w:rFonts w:ascii="Arial" w:cs="Arial" w:eastAsia="Arial" w:hAnsi="Arial"/>
                <w:sz w:val="21"/>
                <w:szCs w:val="21"/>
                <w:color w:val="auto"/>
                <w:w w:val="91"/>
              </w:rPr>
              <w:t>Distribution Subaccount</w:t>
            </w:r>
          </w:p>
        </w:tc>
        <w:tc>
          <w:tcPr>
            <w:tcW w:w="1060" w:type="dxa"/>
            <w:vAlign w:val="bottom"/>
          </w:tcPr>
          <w:p>
            <w:pPr>
              <w:jc w:val="right"/>
              <w:ind w:right="655"/>
              <w:spacing w:after="0"/>
              <w:rPr>
                <w:sz w:val="20"/>
                <w:szCs w:val="20"/>
                <w:color w:val="auto"/>
              </w:rPr>
            </w:pPr>
            <w:r>
              <w:rPr>
                <w:rFonts w:ascii="Arial" w:cs="Arial" w:eastAsia="Arial" w:hAnsi="Arial"/>
                <w:sz w:val="21"/>
                <w:szCs w:val="21"/>
                <w:color w:val="auto"/>
              </w:rPr>
              <w:t>4</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2.22</w:t>
            </w:r>
          </w:p>
        </w:tc>
        <w:tc>
          <w:tcPr>
            <w:tcW w:w="2200" w:type="dxa"/>
            <w:vAlign w:val="bottom"/>
            <w:gridSpan w:val="3"/>
          </w:tcPr>
          <w:p>
            <w:pPr>
              <w:ind w:left="140"/>
              <w:spacing w:after="0"/>
              <w:rPr>
                <w:sz w:val="20"/>
                <w:szCs w:val="20"/>
                <w:color w:val="auto"/>
              </w:rPr>
            </w:pPr>
            <w:r>
              <w:rPr>
                <w:rFonts w:ascii="Arial" w:cs="Arial" w:eastAsia="Arial" w:hAnsi="Arial"/>
                <w:sz w:val="21"/>
                <w:szCs w:val="21"/>
                <w:color w:val="auto"/>
                <w:w w:val="97"/>
              </w:rPr>
              <w:t>Dividend Equivalent  4</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2.23</w:t>
            </w:r>
          </w:p>
        </w:tc>
        <w:tc>
          <w:tcPr>
            <w:tcW w:w="3260" w:type="dxa"/>
            <w:vAlign w:val="bottom"/>
            <w:gridSpan w:val="4"/>
          </w:tcPr>
          <w:p>
            <w:pPr>
              <w:ind w:left="140"/>
              <w:spacing w:after="0"/>
              <w:rPr>
                <w:sz w:val="20"/>
                <w:szCs w:val="20"/>
                <w:color w:val="auto"/>
              </w:rPr>
            </w:pPr>
            <w:r>
              <w:rPr>
                <w:rFonts w:ascii="Arial" w:cs="Arial" w:eastAsia="Arial" w:hAnsi="Arial"/>
                <w:sz w:val="21"/>
                <w:szCs w:val="21"/>
                <w:color w:val="auto"/>
                <w:w w:val="96"/>
              </w:rPr>
              <w:t>Dividend Equivalent Cash Account</w:t>
            </w:r>
          </w:p>
        </w:tc>
        <w:tc>
          <w:tcPr>
            <w:tcW w:w="700" w:type="dxa"/>
            <w:vAlign w:val="bottom"/>
            <w:gridSpan w:val="2"/>
          </w:tcPr>
          <w:p>
            <w:pPr>
              <w:jc w:val="right"/>
              <w:ind w:right="415"/>
              <w:spacing w:after="0"/>
              <w:rPr>
                <w:sz w:val="20"/>
                <w:szCs w:val="20"/>
                <w:color w:val="auto"/>
              </w:rPr>
            </w:pPr>
            <w:r>
              <w:rPr>
                <w:rFonts w:ascii="Arial" w:cs="Arial" w:eastAsia="Arial" w:hAnsi="Arial"/>
                <w:sz w:val="21"/>
                <w:szCs w:val="21"/>
                <w:color w:val="auto"/>
              </w:rPr>
              <w:t>4</w:t>
            </w: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2.24</w:t>
            </w:r>
          </w:p>
        </w:tc>
        <w:tc>
          <w:tcPr>
            <w:tcW w:w="3260" w:type="dxa"/>
            <w:vAlign w:val="bottom"/>
            <w:gridSpan w:val="4"/>
          </w:tcPr>
          <w:p>
            <w:pPr>
              <w:ind w:left="140"/>
              <w:spacing w:after="0"/>
              <w:rPr>
                <w:sz w:val="20"/>
                <w:szCs w:val="20"/>
                <w:color w:val="auto"/>
              </w:rPr>
            </w:pPr>
            <w:r>
              <w:rPr>
                <w:rFonts w:ascii="Arial" w:cs="Arial" w:eastAsia="Arial" w:hAnsi="Arial"/>
                <w:sz w:val="21"/>
                <w:szCs w:val="21"/>
                <w:color w:val="auto"/>
                <w:w w:val="95"/>
              </w:rPr>
              <w:t>Dividend Equivalent Stock Account</w:t>
            </w:r>
          </w:p>
        </w:tc>
        <w:tc>
          <w:tcPr>
            <w:tcW w:w="700" w:type="dxa"/>
            <w:vAlign w:val="bottom"/>
            <w:gridSpan w:val="2"/>
          </w:tcPr>
          <w:p>
            <w:pPr>
              <w:ind w:left="140"/>
              <w:spacing w:after="0"/>
              <w:rPr>
                <w:sz w:val="20"/>
                <w:szCs w:val="20"/>
                <w:color w:val="auto"/>
              </w:rPr>
            </w:pPr>
            <w:r>
              <w:rPr>
                <w:rFonts w:ascii="Arial" w:cs="Arial" w:eastAsia="Arial" w:hAnsi="Arial"/>
                <w:sz w:val="21"/>
                <w:szCs w:val="21"/>
                <w:color w:val="auto"/>
              </w:rPr>
              <w:t>4</w:t>
            </w:r>
          </w:p>
        </w:tc>
        <w:tc>
          <w:tcPr>
            <w:tcW w:w="1720" w:type="dxa"/>
            <w:vAlign w:val="bottom"/>
          </w:tcPr>
          <w:p>
            <w:pPr>
              <w:spacing w:after="0"/>
              <w:rPr>
                <w:sz w:val="24"/>
                <w:szCs w:val="24"/>
                <w:color w:val="auto"/>
              </w:rPr>
            </w:pPr>
          </w:p>
        </w:tc>
      </w:tr>
      <w:tr>
        <w:trPr>
          <w:trHeight w:val="316"/>
        </w:trPr>
        <w:tc>
          <w:tcPr>
            <w:tcW w:w="1080" w:type="dxa"/>
            <w:vAlign w:val="bottom"/>
          </w:tcPr>
          <w:p>
            <w:pPr>
              <w:ind w:left="640"/>
              <w:spacing w:after="0"/>
              <w:rPr>
                <w:sz w:val="20"/>
                <w:szCs w:val="20"/>
                <w:color w:val="auto"/>
              </w:rPr>
            </w:pPr>
            <w:r>
              <w:rPr>
                <w:rFonts w:ascii="Arial" w:cs="Arial" w:eastAsia="Arial" w:hAnsi="Arial"/>
                <w:sz w:val="21"/>
                <w:szCs w:val="21"/>
                <w:color w:val="auto"/>
              </w:rPr>
              <w:t>2.25</w:t>
            </w:r>
          </w:p>
        </w:tc>
        <w:tc>
          <w:tcPr>
            <w:tcW w:w="1540" w:type="dxa"/>
            <w:vAlign w:val="bottom"/>
            <w:gridSpan w:val="2"/>
          </w:tcPr>
          <w:p>
            <w:pPr>
              <w:ind w:left="140"/>
              <w:spacing w:after="0"/>
              <w:rPr>
                <w:sz w:val="20"/>
                <w:szCs w:val="20"/>
                <w:color w:val="auto"/>
              </w:rPr>
            </w:pPr>
            <w:r>
              <w:rPr>
                <w:rFonts w:ascii="Arial" w:cs="Arial" w:eastAsia="Arial" w:hAnsi="Arial"/>
                <w:sz w:val="21"/>
                <w:szCs w:val="21"/>
                <w:color w:val="auto"/>
              </w:rPr>
              <w:t>Effective Date</w:t>
            </w:r>
          </w:p>
        </w:tc>
        <w:tc>
          <w:tcPr>
            <w:tcW w:w="660" w:type="dxa"/>
            <w:vAlign w:val="bottom"/>
          </w:tcPr>
          <w:p>
            <w:pPr>
              <w:jc w:val="right"/>
              <w:ind w:right="415"/>
              <w:spacing w:after="0"/>
              <w:rPr>
                <w:sz w:val="20"/>
                <w:szCs w:val="20"/>
                <w:color w:val="auto"/>
              </w:rPr>
            </w:pPr>
            <w:r>
              <w:rPr>
                <w:rFonts w:ascii="Arial" w:cs="Arial" w:eastAsia="Arial" w:hAnsi="Arial"/>
                <w:sz w:val="21"/>
                <w:szCs w:val="21"/>
                <w:color w:val="auto"/>
              </w:rPr>
              <w:t>4</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364"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0139"/>
          </w:cols>
          <w:pgMar w:left="320" w:top="1364" w:right="1440"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68"/>
        </w:trPr>
        <w:tc>
          <w:tcPr>
            <w:tcW w:w="1100" w:type="dxa"/>
            <w:vAlign w:val="bottom"/>
          </w:tcPr>
          <w:p>
            <w:pPr>
              <w:ind w:left="640"/>
              <w:spacing w:after="0"/>
              <w:rPr>
                <w:sz w:val="20"/>
                <w:szCs w:val="20"/>
                <w:color w:val="auto"/>
              </w:rPr>
            </w:pPr>
            <w:r>
              <w:rPr>
                <w:rFonts w:ascii="Arial" w:cs="Arial" w:eastAsia="Arial" w:hAnsi="Arial"/>
                <w:sz w:val="21"/>
                <w:szCs w:val="21"/>
                <w:color w:val="auto"/>
              </w:rPr>
              <w:t>2.26</w:t>
            </w:r>
          </w:p>
        </w:tc>
        <w:tc>
          <w:tcPr>
            <w:tcW w:w="1700" w:type="dxa"/>
            <w:vAlign w:val="bottom"/>
            <w:gridSpan w:val="4"/>
          </w:tcPr>
          <w:p>
            <w:pPr>
              <w:ind w:left="120"/>
              <w:spacing w:after="0"/>
              <w:rPr>
                <w:sz w:val="20"/>
                <w:szCs w:val="20"/>
                <w:color w:val="auto"/>
              </w:rPr>
            </w:pPr>
            <w:r>
              <w:rPr>
                <w:rFonts w:ascii="Arial" w:cs="Arial" w:eastAsia="Arial" w:hAnsi="Arial"/>
                <w:sz w:val="21"/>
                <w:szCs w:val="21"/>
                <w:color w:val="auto"/>
              </w:rPr>
              <w:t>Eligible Director</w:t>
            </w:r>
          </w:p>
        </w:tc>
        <w:tc>
          <w:tcPr>
            <w:tcW w:w="280" w:type="dxa"/>
            <w:vAlign w:val="bottom"/>
          </w:tcPr>
          <w:p>
            <w:pPr>
              <w:jc w:val="right"/>
              <w:ind w:right="15"/>
              <w:spacing w:after="0"/>
              <w:rPr>
                <w:sz w:val="20"/>
                <w:szCs w:val="20"/>
                <w:color w:val="auto"/>
              </w:rPr>
            </w:pPr>
            <w:r>
              <w:rPr>
                <w:rFonts w:ascii="Arial" w:cs="Arial" w:eastAsia="Arial" w:hAnsi="Arial"/>
                <w:sz w:val="21"/>
                <w:szCs w:val="21"/>
                <w:color w:val="auto"/>
              </w:rPr>
              <w:t>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20" w:type="dxa"/>
            <w:vAlign w:val="bottom"/>
          </w:tcPr>
          <w:p>
            <w:pPr>
              <w:spacing w:after="0"/>
              <w:rPr>
                <w:sz w:val="23"/>
                <w:szCs w:val="23"/>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2.27</w:t>
            </w:r>
          </w:p>
        </w:tc>
        <w:tc>
          <w:tcPr>
            <w:tcW w:w="1380" w:type="dxa"/>
            <w:vAlign w:val="bottom"/>
            <w:gridSpan w:val="3"/>
          </w:tcPr>
          <w:p>
            <w:pPr>
              <w:ind w:left="120"/>
              <w:spacing w:after="0"/>
              <w:rPr>
                <w:sz w:val="20"/>
                <w:szCs w:val="20"/>
                <w:color w:val="auto"/>
              </w:rPr>
            </w:pPr>
            <w:r>
              <w:rPr>
                <w:rFonts w:ascii="Arial" w:cs="Arial" w:eastAsia="Arial" w:hAnsi="Arial"/>
                <w:sz w:val="21"/>
                <w:szCs w:val="21"/>
                <w:color w:val="auto"/>
                <w:w w:val="95"/>
              </w:rPr>
              <w:t>Exchange Act</w:t>
            </w:r>
          </w:p>
        </w:tc>
        <w:tc>
          <w:tcPr>
            <w:tcW w:w="320" w:type="dxa"/>
            <w:vAlign w:val="bottom"/>
          </w:tcPr>
          <w:p>
            <w:pPr>
              <w:jc w:val="right"/>
              <w:spacing w:after="0"/>
              <w:rPr>
                <w:sz w:val="20"/>
                <w:szCs w:val="20"/>
                <w:color w:val="auto"/>
              </w:rPr>
            </w:pPr>
            <w:r>
              <w:rPr>
                <w:rFonts w:ascii="Arial" w:cs="Arial" w:eastAsia="Arial" w:hAnsi="Arial"/>
                <w:sz w:val="21"/>
                <w:szCs w:val="21"/>
                <w:color w:val="auto"/>
              </w:rPr>
              <w:t>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2.28</w:t>
            </w:r>
          </w:p>
        </w:tc>
        <w:tc>
          <w:tcPr>
            <w:tcW w:w="1700" w:type="dxa"/>
            <w:vAlign w:val="bottom"/>
            <w:gridSpan w:val="4"/>
          </w:tcPr>
          <w:p>
            <w:pPr>
              <w:ind w:left="120"/>
              <w:spacing w:after="0"/>
              <w:rPr>
                <w:sz w:val="20"/>
                <w:szCs w:val="20"/>
                <w:color w:val="auto"/>
              </w:rPr>
            </w:pPr>
            <w:r>
              <w:rPr>
                <w:rFonts w:ascii="Arial" w:cs="Arial" w:eastAsia="Arial" w:hAnsi="Arial"/>
                <w:sz w:val="21"/>
                <w:szCs w:val="21"/>
                <w:color w:val="auto"/>
                <w:w w:val="94"/>
              </w:rPr>
              <w:t>Fair Market Value</w:t>
            </w:r>
          </w:p>
        </w:tc>
        <w:tc>
          <w:tcPr>
            <w:tcW w:w="280" w:type="dxa"/>
            <w:vAlign w:val="bottom"/>
          </w:tcPr>
          <w:p>
            <w:pPr>
              <w:jc w:val="right"/>
              <w:spacing w:after="0"/>
              <w:rPr>
                <w:sz w:val="20"/>
                <w:szCs w:val="20"/>
                <w:color w:val="auto"/>
              </w:rPr>
            </w:pPr>
            <w:r>
              <w:rPr>
                <w:rFonts w:ascii="Arial" w:cs="Arial" w:eastAsia="Arial" w:hAnsi="Arial"/>
                <w:sz w:val="21"/>
                <w:szCs w:val="21"/>
                <w:color w:val="auto"/>
              </w:rPr>
              <w:t>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2.29</w:t>
            </w:r>
          </w:p>
        </w:tc>
        <w:tc>
          <w:tcPr>
            <w:tcW w:w="1380" w:type="dxa"/>
            <w:vAlign w:val="bottom"/>
            <w:gridSpan w:val="3"/>
          </w:tcPr>
          <w:p>
            <w:pPr>
              <w:ind w:left="120"/>
              <w:spacing w:after="0"/>
              <w:rPr>
                <w:sz w:val="20"/>
                <w:szCs w:val="20"/>
                <w:color w:val="auto"/>
              </w:rPr>
            </w:pPr>
            <w:r>
              <w:rPr>
                <w:rFonts w:ascii="Arial" w:cs="Arial" w:eastAsia="Arial" w:hAnsi="Arial"/>
                <w:sz w:val="21"/>
                <w:szCs w:val="21"/>
                <w:color w:val="auto"/>
              </w:rPr>
              <w:t>Interest Rate</w:t>
            </w:r>
          </w:p>
        </w:tc>
        <w:tc>
          <w:tcPr>
            <w:tcW w:w="320" w:type="dxa"/>
            <w:vAlign w:val="bottom"/>
          </w:tcPr>
          <w:p>
            <w:pPr>
              <w:jc w:val="right"/>
              <w:ind w:right="95"/>
              <w:spacing w:after="0"/>
              <w:rPr>
                <w:sz w:val="20"/>
                <w:szCs w:val="20"/>
                <w:color w:val="auto"/>
              </w:rPr>
            </w:pPr>
            <w:r>
              <w:rPr>
                <w:rFonts w:ascii="Arial" w:cs="Arial" w:eastAsia="Arial" w:hAnsi="Arial"/>
                <w:sz w:val="21"/>
                <w:szCs w:val="21"/>
                <w:color w:val="auto"/>
                <w:w w:val="85"/>
              </w:rPr>
              <w:t>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2.30</w:t>
            </w:r>
          </w:p>
        </w:tc>
        <w:tc>
          <w:tcPr>
            <w:tcW w:w="680" w:type="dxa"/>
            <w:vAlign w:val="bottom"/>
            <w:gridSpan w:val="2"/>
          </w:tcPr>
          <w:p>
            <w:pPr>
              <w:ind w:left="120"/>
              <w:spacing w:after="0"/>
              <w:rPr>
                <w:sz w:val="20"/>
                <w:szCs w:val="20"/>
                <w:color w:val="auto"/>
              </w:rPr>
            </w:pPr>
            <w:r>
              <w:rPr>
                <w:rFonts w:ascii="Arial" w:cs="Arial" w:eastAsia="Arial" w:hAnsi="Arial"/>
                <w:sz w:val="21"/>
                <w:szCs w:val="21"/>
                <w:color w:val="auto"/>
              </w:rPr>
              <w:t>Plan</w:t>
            </w:r>
          </w:p>
        </w:tc>
        <w:tc>
          <w:tcPr>
            <w:tcW w:w="700" w:type="dxa"/>
            <w:vAlign w:val="bottom"/>
          </w:tcPr>
          <w:p>
            <w:pPr>
              <w:jc w:val="right"/>
              <w:ind w:right="475"/>
              <w:spacing w:after="0"/>
              <w:rPr>
                <w:sz w:val="20"/>
                <w:szCs w:val="20"/>
                <w:color w:val="auto"/>
              </w:rPr>
            </w:pPr>
            <w:r>
              <w:rPr>
                <w:rFonts w:ascii="Arial" w:cs="Arial" w:eastAsia="Arial" w:hAnsi="Arial"/>
                <w:sz w:val="21"/>
                <w:szCs w:val="21"/>
                <w:color w:val="auto"/>
                <w:w w:val="85"/>
              </w:rPr>
              <w:t>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2.31</w:t>
            </w:r>
          </w:p>
        </w:tc>
        <w:tc>
          <w:tcPr>
            <w:tcW w:w="1380" w:type="dxa"/>
            <w:vAlign w:val="bottom"/>
            <w:gridSpan w:val="3"/>
          </w:tcPr>
          <w:p>
            <w:pPr>
              <w:ind w:left="120"/>
              <w:spacing w:after="0"/>
              <w:rPr>
                <w:sz w:val="20"/>
                <w:szCs w:val="20"/>
                <w:color w:val="auto"/>
              </w:rPr>
            </w:pPr>
            <w:r>
              <w:rPr>
                <w:rFonts w:ascii="Arial" w:cs="Arial" w:eastAsia="Arial" w:hAnsi="Arial"/>
                <w:sz w:val="21"/>
                <w:szCs w:val="21"/>
                <w:color w:val="auto"/>
              </w:rPr>
              <w:t>Plan Year  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2.32</w:t>
            </w:r>
          </w:p>
        </w:tc>
        <w:tc>
          <w:tcPr>
            <w:tcW w:w="1980" w:type="dxa"/>
            <w:vAlign w:val="bottom"/>
            <w:gridSpan w:val="5"/>
          </w:tcPr>
          <w:p>
            <w:pPr>
              <w:ind w:left="120"/>
              <w:spacing w:after="0"/>
              <w:rPr>
                <w:sz w:val="20"/>
                <w:szCs w:val="20"/>
                <w:color w:val="auto"/>
              </w:rPr>
            </w:pPr>
            <w:r>
              <w:rPr>
                <w:rFonts w:ascii="Arial" w:cs="Arial" w:eastAsia="Arial" w:hAnsi="Arial"/>
                <w:sz w:val="21"/>
                <w:szCs w:val="21"/>
                <w:color w:val="auto"/>
              </w:rPr>
              <w:t>Prior Cash Account</w:t>
            </w:r>
          </w:p>
        </w:tc>
        <w:tc>
          <w:tcPr>
            <w:tcW w:w="380" w:type="dxa"/>
            <w:vAlign w:val="bottom"/>
            <w:gridSpan w:val="2"/>
          </w:tcPr>
          <w:p>
            <w:pPr>
              <w:jc w:val="right"/>
              <w:ind w:right="155"/>
              <w:spacing w:after="0"/>
              <w:rPr>
                <w:sz w:val="20"/>
                <w:szCs w:val="20"/>
                <w:color w:val="auto"/>
              </w:rPr>
            </w:pPr>
            <w:r>
              <w:rPr>
                <w:rFonts w:ascii="Arial" w:cs="Arial" w:eastAsia="Arial" w:hAnsi="Arial"/>
                <w:sz w:val="21"/>
                <w:szCs w:val="21"/>
                <w:color w:val="auto"/>
                <w:w w:val="85"/>
              </w:rPr>
              <w:t>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2.33</w:t>
            </w:r>
          </w:p>
        </w:tc>
        <w:tc>
          <w:tcPr>
            <w:tcW w:w="3720" w:type="dxa"/>
            <w:vAlign w:val="bottom"/>
            <w:gridSpan w:val="9"/>
          </w:tcPr>
          <w:p>
            <w:pPr>
              <w:ind w:left="120"/>
              <w:spacing w:after="0"/>
              <w:rPr>
                <w:sz w:val="20"/>
                <w:szCs w:val="20"/>
                <w:color w:val="auto"/>
              </w:rPr>
            </w:pPr>
            <w:r>
              <w:rPr>
                <w:rFonts w:ascii="Arial" w:cs="Arial" w:eastAsia="Arial" w:hAnsi="Arial"/>
                <w:sz w:val="21"/>
                <w:szCs w:val="21"/>
                <w:color w:val="auto"/>
                <w:w w:val="96"/>
              </w:rPr>
              <w:t>Prior Dividend Equivalent Cash Account</w:t>
            </w:r>
          </w:p>
        </w:tc>
        <w:tc>
          <w:tcPr>
            <w:tcW w:w="4820" w:type="dxa"/>
            <w:vAlign w:val="bottom"/>
          </w:tcPr>
          <w:p>
            <w:pPr>
              <w:jc w:val="right"/>
              <w:ind w:right="4535"/>
              <w:spacing w:after="0"/>
              <w:rPr>
                <w:sz w:val="20"/>
                <w:szCs w:val="20"/>
                <w:color w:val="auto"/>
              </w:rPr>
            </w:pPr>
            <w:r>
              <w:rPr>
                <w:rFonts w:ascii="Arial" w:cs="Arial" w:eastAsia="Arial" w:hAnsi="Arial"/>
                <w:sz w:val="21"/>
                <w:szCs w:val="21"/>
                <w:color w:val="auto"/>
              </w:rPr>
              <w:t>5</w:t>
            </w: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2.34</w:t>
            </w:r>
          </w:p>
        </w:tc>
        <w:tc>
          <w:tcPr>
            <w:tcW w:w="3720" w:type="dxa"/>
            <w:vAlign w:val="bottom"/>
            <w:gridSpan w:val="9"/>
          </w:tcPr>
          <w:p>
            <w:pPr>
              <w:ind w:left="120"/>
              <w:spacing w:after="0"/>
              <w:rPr>
                <w:sz w:val="20"/>
                <w:szCs w:val="20"/>
                <w:color w:val="auto"/>
              </w:rPr>
            </w:pPr>
            <w:r>
              <w:rPr>
                <w:rFonts w:ascii="Arial" w:cs="Arial" w:eastAsia="Arial" w:hAnsi="Arial"/>
                <w:sz w:val="21"/>
                <w:szCs w:val="21"/>
                <w:color w:val="auto"/>
                <w:w w:val="95"/>
              </w:rPr>
              <w:t>Prior Dividend Equivalent Stock Account</w:t>
            </w:r>
          </w:p>
        </w:tc>
        <w:tc>
          <w:tcPr>
            <w:tcW w:w="4820" w:type="dxa"/>
            <w:vAlign w:val="bottom"/>
          </w:tcPr>
          <w:p>
            <w:pPr>
              <w:jc w:val="right"/>
              <w:ind w:right="4475"/>
              <w:spacing w:after="0"/>
              <w:rPr>
                <w:sz w:val="20"/>
                <w:szCs w:val="20"/>
                <w:color w:val="auto"/>
              </w:rPr>
            </w:pPr>
            <w:r>
              <w:rPr>
                <w:rFonts w:ascii="Arial" w:cs="Arial" w:eastAsia="Arial" w:hAnsi="Arial"/>
                <w:sz w:val="21"/>
                <w:szCs w:val="21"/>
                <w:color w:val="auto"/>
              </w:rPr>
              <w:t>5</w:t>
            </w: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2.35</w:t>
            </w:r>
          </w:p>
        </w:tc>
        <w:tc>
          <w:tcPr>
            <w:tcW w:w="2360" w:type="dxa"/>
            <w:vAlign w:val="bottom"/>
            <w:gridSpan w:val="7"/>
          </w:tcPr>
          <w:p>
            <w:pPr>
              <w:ind w:left="120"/>
              <w:spacing w:after="0"/>
              <w:rPr>
                <w:sz w:val="20"/>
                <w:szCs w:val="20"/>
                <w:color w:val="auto"/>
              </w:rPr>
            </w:pPr>
            <w:r>
              <w:rPr>
                <w:rFonts w:ascii="Arial" w:cs="Arial" w:eastAsia="Arial" w:hAnsi="Arial"/>
                <w:sz w:val="21"/>
                <w:szCs w:val="21"/>
                <w:color w:val="auto"/>
                <w:w w:val="97"/>
              </w:rPr>
              <w:t>Prior Stock Unit Account</w:t>
            </w:r>
          </w:p>
        </w:tc>
        <w:tc>
          <w:tcPr>
            <w:tcW w:w="1360" w:type="dxa"/>
            <w:vAlign w:val="bottom"/>
            <w:gridSpan w:val="2"/>
          </w:tcPr>
          <w:p>
            <w:pPr>
              <w:jc w:val="right"/>
              <w:ind w:right="1036"/>
              <w:spacing w:after="0"/>
              <w:rPr>
                <w:sz w:val="20"/>
                <w:szCs w:val="20"/>
                <w:color w:val="auto"/>
              </w:rPr>
            </w:pPr>
            <w:r>
              <w:rPr>
                <w:rFonts w:ascii="Arial" w:cs="Arial" w:eastAsia="Arial" w:hAnsi="Arial"/>
                <w:sz w:val="21"/>
                <w:szCs w:val="21"/>
                <w:color w:val="auto"/>
              </w:rPr>
              <w:t>5</w:t>
            </w: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2.36</w:t>
            </w:r>
          </w:p>
        </w:tc>
        <w:tc>
          <w:tcPr>
            <w:tcW w:w="2100" w:type="dxa"/>
            <w:vAlign w:val="bottom"/>
            <w:gridSpan w:val="6"/>
          </w:tcPr>
          <w:p>
            <w:pPr>
              <w:ind w:left="120"/>
              <w:spacing w:after="0"/>
              <w:rPr>
                <w:sz w:val="20"/>
                <w:szCs w:val="20"/>
                <w:color w:val="auto"/>
              </w:rPr>
            </w:pPr>
            <w:r>
              <w:rPr>
                <w:rFonts w:ascii="Arial" w:cs="Arial" w:eastAsia="Arial" w:hAnsi="Arial"/>
                <w:sz w:val="21"/>
                <w:szCs w:val="21"/>
                <w:color w:val="auto"/>
                <w:w w:val="93"/>
              </w:rPr>
              <w:t>Special Compensation</w:t>
            </w:r>
          </w:p>
        </w:tc>
        <w:tc>
          <w:tcPr>
            <w:tcW w:w="260" w:type="dxa"/>
            <w:vAlign w:val="bottom"/>
          </w:tcPr>
          <w:p>
            <w:pPr>
              <w:ind w:left="120"/>
              <w:spacing w:after="0"/>
              <w:rPr>
                <w:sz w:val="20"/>
                <w:szCs w:val="20"/>
                <w:color w:val="auto"/>
              </w:rPr>
            </w:pPr>
            <w:r>
              <w:rPr>
                <w:rFonts w:ascii="Arial" w:cs="Arial" w:eastAsia="Arial" w:hAnsi="Arial"/>
                <w:sz w:val="21"/>
                <w:szCs w:val="21"/>
                <w:color w:val="auto"/>
              </w:rPr>
              <w:t>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2.37</w:t>
            </w:r>
          </w:p>
        </w:tc>
        <w:tc>
          <w:tcPr>
            <w:tcW w:w="1980" w:type="dxa"/>
            <w:vAlign w:val="bottom"/>
            <w:gridSpan w:val="5"/>
          </w:tcPr>
          <w:p>
            <w:pPr>
              <w:ind w:left="120"/>
              <w:spacing w:after="0"/>
              <w:rPr>
                <w:sz w:val="20"/>
                <w:szCs w:val="20"/>
                <w:color w:val="auto"/>
              </w:rPr>
            </w:pPr>
            <w:r>
              <w:rPr>
                <w:rFonts w:ascii="Arial" w:cs="Arial" w:eastAsia="Arial" w:hAnsi="Arial"/>
                <w:sz w:val="21"/>
                <w:szCs w:val="21"/>
                <w:color w:val="auto"/>
                <w:w w:val="91"/>
              </w:rPr>
              <w:t>Special Meeting Fees</w:t>
            </w:r>
          </w:p>
        </w:tc>
        <w:tc>
          <w:tcPr>
            <w:tcW w:w="120" w:type="dxa"/>
            <w:vAlign w:val="bottom"/>
          </w:tcPr>
          <w:p>
            <w:pPr>
              <w:spacing w:after="0"/>
              <w:rPr>
                <w:sz w:val="24"/>
                <w:szCs w:val="24"/>
                <w:color w:val="auto"/>
              </w:rPr>
            </w:pPr>
          </w:p>
        </w:tc>
        <w:tc>
          <w:tcPr>
            <w:tcW w:w="260" w:type="dxa"/>
            <w:vAlign w:val="bottom"/>
          </w:tcPr>
          <w:p>
            <w:pPr>
              <w:jc w:val="right"/>
              <w:ind w:right="15"/>
              <w:spacing w:after="0"/>
              <w:rPr>
                <w:sz w:val="20"/>
                <w:szCs w:val="20"/>
                <w:color w:val="auto"/>
              </w:rPr>
            </w:pPr>
            <w:r>
              <w:rPr>
                <w:rFonts w:ascii="Arial" w:cs="Arial" w:eastAsia="Arial" w:hAnsi="Arial"/>
                <w:sz w:val="21"/>
                <w:szCs w:val="21"/>
                <w:color w:val="auto"/>
              </w:rPr>
              <w:t>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2.38</w:t>
            </w:r>
          </w:p>
        </w:tc>
        <w:tc>
          <w:tcPr>
            <w:tcW w:w="1700" w:type="dxa"/>
            <w:vAlign w:val="bottom"/>
            <w:gridSpan w:val="4"/>
          </w:tcPr>
          <w:p>
            <w:pPr>
              <w:ind w:left="120"/>
              <w:spacing w:after="0"/>
              <w:rPr>
                <w:sz w:val="20"/>
                <w:szCs w:val="20"/>
                <w:color w:val="auto"/>
              </w:rPr>
            </w:pPr>
            <w:r>
              <w:rPr>
                <w:rFonts w:ascii="Arial" w:cs="Arial" w:eastAsia="Arial" w:hAnsi="Arial"/>
                <w:sz w:val="21"/>
                <w:szCs w:val="21"/>
                <w:color w:val="auto"/>
                <w:w w:val="95"/>
              </w:rPr>
              <w:t>Stock Unit or Unit</w:t>
            </w:r>
          </w:p>
        </w:tc>
        <w:tc>
          <w:tcPr>
            <w:tcW w:w="400" w:type="dxa"/>
            <w:vAlign w:val="bottom"/>
            <w:gridSpan w:val="2"/>
          </w:tcPr>
          <w:p>
            <w:pPr>
              <w:jc w:val="right"/>
              <w:spacing w:after="0"/>
              <w:rPr>
                <w:sz w:val="20"/>
                <w:szCs w:val="20"/>
                <w:color w:val="auto"/>
              </w:rPr>
            </w:pPr>
            <w:r>
              <w:rPr>
                <w:rFonts w:ascii="Arial" w:cs="Arial" w:eastAsia="Arial" w:hAnsi="Arial"/>
                <w:sz w:val="21"/>
                <w:szCs w:val="21"/>
                <w:color w:val="auto"/>
              </w:rPr>
              <w:t>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2.39</w:t>
            </w:r>
          </w:p>
        </w:tc>
        <w:tc>
          <w:tcPr>
            <w:tcW w:w="1980" w:type="dxa"/>
            <w:vAlign w:val="bottom"/>
            <w:gridSpan w:val="5"/>
          </w:tcPr>
          <w:p>
            <w:pPr>
              <w:ind w:left="120"/>
              <w:spacing w:after="0"/>
              <w:rPr>
                <w:sz w:val="20"/>
                <w:szCs w:val="20"/>
                <w:color w:val="auto"/>
              </w:rPr>
            </w:pPr>
            <w:r>
              <w:rPr>
                <w:rFonts w:ascii="Arial" w:cs="Arial" w:eastAsia="Arial" w:hAnsi="Arial"/>
                <w:sz w:val="21"/>
                <w:szCs w:val="21"/>
                <w:color w:val="auto"/>
              </w:rPr>
              <w:t>Stock Unit Account</w:t>
            </w:r>
          </w:p>
        </w:tc>
        <w:tc>
          <w:tcPr>
            <w:tcW w:w="380" w:type="dxa"/>
            <w:vAlign w:val="bottom"/>
            <w:gridSpan w:val="2"/>
          </w:tcPr>
          <w:p>
            <w:pPr>
              <w:jc w:val="right"/>
              <w:ind w:right="155"/>
              <w:spacing w:after="0"/>
              <w:rPr>
                <w:sz w:val="20"/>
                <w:szCs w:val="20"/>
                <w:color w:val="auto"/>
              </w:rPr>
            </w:pPr>
            <w:r>
              <w:rPr>
                <w:rFonts w:ascii="Arial" w:cs="Arial" w:eastAsia="Arial" w:hAnsi="Arial"/>
                <w:sz w:val="21"/>
                <w:szCs w:val="21"/>
                <w:color w:val="auto"/>
                <w:w w:val="85"/>
              </w:rPr>
              <w:t>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2.40</w:t>
            </w:r>
          </w:p>
        </w:tc>
        <w:tc>
          <w:tcPr>
            <w:tcW w:w="2360" w:type="dxa"/>
            <w:vAlign w:val="bottom"/>
            <w:gridSpan w:val="7"/>
          </w:tcPr>
          <w:p>
            <w:pPr>
              <w:ind w:left="120"/>
              <w:spacing w:after="0"/>
              <w:rPr>
                <w:sz w:val="20"/>
                <w:szCs w:val="20"/>
                <w:color w:val="auto"/>
              </w:rPr>
            </w:pPr>
            <w:r>
              <w:rPr>
                <w:rFonts w:ascii="Arial" w:cs="Arial" w:eastAsia="Arial" w:hAnsi="Arial"/>
                <w:sz w:val="21"/>
                <w:szCs w:val="21"/>
                <w:color w:val="auto"/>
                <w:w w:val="89"/>
              </w:rPr>
              <w:t>Unforeseeable Emergency</w:t>
            </w:r>
          </w:p>
        </w:tc>
        <w:tc>
          <w:tcPr>
            <w:tcW w:w="200" w:type="dxa"/>
            <w:vAlign w:val="bottom"/>
          </w:tcPr>
          <w:p>
            <w:pPr>
              <w:spacing w:after="0"/>
              <w:rPr>
                <w:sz w:val="24"/>
                <w:szCs w:val="24"/>
                <w:color w:val="auto"/>
              </w:rPr>
            </w:pPr>
          </w:p>
        </w:tc>
        <w:tc>
          <w:tcPr>
            <w:tcW w:w="1160" w:type="dxa"/>
            <w:vAlign w:val="bottom"/>
          </w:tcPr>
          <w:p>
            <w:pPr>
              <w:jc w:val="right"/>
              <w:ind w:right="956"/>
              <w:spacing w:after="0"/>
              <w:rPr>
                <w:sz w:val="20"/>
                <w:szCs w:val="20"/>
                <w:color w:val="auto"/>
              </w:rPr>
            </w:pPr>
            <w:r>
              <w:rPr>
                <w:rFonts w:ascii="Arial" w:cs="Arial" w:eastAsia="Arial" w:hAnsi="Arial"/>
                <w:sz w:val="20"/>
                <w:szCs w:val="20"/>
                <w:color w:val="auto"/>
                <w:w w:val="71"/>
              </w:rPr>
              <w:t>6</w:t>
            </w:r>
          </w:p>
        </w:tc>
        <w:tc>
          <w:tcPr>
            <w:tcW w:w="4820" w:type="dxa"/>
            <w:vAlign w:val="bottom"/>
          </w:tcPr>
          <w:p>
            <w:pPr>
              <w:spacing w:after="0"/>
              <w:rPr>
                <w:sz w:val="24"/>
                <w:szCs w:val="24"/>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21"/>
                <w:szCs w:val="21"/>
                <w:color w:val="auto"/>
              </w:rPr>
              <w:t>ARTICLE III</w:t>
            </w:r>
          </w:p>
        </w:tc>
        <w:tc>
          <w:tcPr>
            <w:tcW w:w="1760" w:type="dxa"/>
            <w:vAlign w:val="bottom"/>
            <w:gridSpan w:val="4"/>
          </w:tcPr>
          <w:p>
            <w:pPr>
              <w:ind w:left="40"/>
              <w:spacing w:after="0"/>
              <w:rPr>
                <w:sz w:val="20"/>
                <w:szCs w:val="20"/>
                <w:color w:val="auto"/>
              </w:rPr>
            </w:pPr>
            <w:r>
              <w:rPr>
                <w:rFonts w:ascii="Arial" w:cs="Arial" w:eastAsia="Arial" w:hAnsi="Arial"/>
                <w:sz w:val="21"/>
                <w:szCs w:val="21"/>
                <w:color w:val="auto"/>
              </w:rPr>
              <w:t>PARTICIPATION</w:t>
            </w:r>
          </w:p>
        </w:tc>
        <w:tc>
          <w:tcPr>
            <w:tcW w:w="120" w:type="dxa"/>
            <w:vAlign w:val="bottom"/>
          </w:tcPr>
          <w:p>
            <w:pPr>
              <w:jc w:val="right"/>
              <w:spacing w:after="0"/>
              <w:rPr>
                <w:sz w:val="20"/>
                <w:szCs w:val="20"/>
                <w:color w:val="auto"/>
              </w:rPr>
            </w:pPr>
            <w:r>
              <w:rPr>
                <w:rFonts w:ascii="Arial" w:cs="Arial" w:eastAsia="Arial" w:hAnsi="Arial"/>
                <w:sz w:val="21"/>
                <w:szCs w:val="21"/>
                <w:color w:val="auto"/>
                <w:w w:val="85"/>
              </w:rPr>
              <w:t>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21"/>
                <w:szCs w:val="21"/>
                <w:color w:val="auto"/>
              </w:rPr>
              <w:t>ARTICLE IV</w:t>
            </w:r>
          </w:p>
        </w:tc>
        <w:tc>
          <w:tcPr>
            <w:tcW w:w="2340" w:type="dxa"/>
            <w:vAlign w:val="bottom"/>
            <w:gridSpan w:val="7"/>
          </w:tcPr>
          <w:p>
            <w:pPr>
              <w:ind w:left="40"/>
              <w:spacing w:after="0"/>
              <w:rPr>
                <w:sz w:val="20"/>
                <w:szCs w:val="20"/>
                <w:color w:val="auto"/>
              </w:rPr>
            </w:pPr>
            <w:r>
              <w:rPr>
                <w:rFonts w:ascii="Arial" w:cs="Arial" w:eastAsia="Arial" w:hAnsi="Arial"/>
                <w:sz w:val="21"/>
                <w:szCs w:val="21"/>
                <w:color w:val="auto"/>
                <w:w w:val="96"/>
              </w:rPr>
              <w:t>DEFERRAL ELECTIONS</w:t>
            </w:r>
          </w:p>
        </w:tc>
        <w:tc>
          <w:tcPr>
            <w:tcW w:w="1160" w:type="dxa"/>
            <w:vAlign w:val="bottom"/>
          </w:tcPr>
          <w:p>
            <w:pPr>
              <w:ind w:left="200"/>
              <w:spacing w:after="0"/>
              <w:rPr>
                <w:sz w:val="20"/>
                <w:szCs w:val="20"/>
                <w:color w:val="auto"/>
              </w:rPr>
            </w:pPr>
            <w:r>
              <w:rPr>
                <w:rFonts w:ascii="Arial" w:cs="Arial" w:eastAsia="Arial" w:hAnsi="Arial"/>
                <w:sz w:val="21"/>
                <w:szCs w:val="21"/>
                <w:color w:val="auto"/>
              </w:rPr>
              <w:t>6</w:t>
            </w: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4.1</w:t>
            </w:r>
          </w:p>
        </w:tc>
        <w:tc>
          <w:tcPr>
            <w:tcW w:w="1380" w:type="dxa"/>
            <w:vAlign w:val="bottom"/>
            <w:gridSpan w:val="3"/>
          </w:tcPr>
          <w:p>
            <w:pPr>
              <w:ind w:left="20"/>
              <w:spacing w:after="0"/>
              <w:rPr>
                <w:sz w:val="20"/>
                <w:szCs w:val="20"/>
                <w:color w:val="auto"/>
              </w:rPr>
            </w:pPr>
            <w:r>
              <w:rPr>
                <w:rFonts w:ascii="Arial" w:cs="Arial" w:eastAsia="Arial" w:hAnsi="Arial"/>
                <w:sz w:val="21"/>
                <w:szCs w:val="21"/>
                <w:color w:val="auto"/>
                <w:w w:val="95"/>
              </w:rPr>
              <w:t>Initial Elections</w:t>
            </w:r>
          </w:p>
        </w:tc>
        <w:tc>
          <w:tcPr>
            <w:tcW w:w="320" w:type="dxa"/>
            <w:vAlign w:val="bottom"/>
          </w:tcPr>
          <w:p>
            <w:pPr>
              <w:jc w:val="right"/>
              <w:spacing w:after="0"/>
              <w:rPr>
                <w:sz w:val="20"/>
                <w:szCs w:val="20"/>
                <w:color w:val="auto"/>
              </w:rPr>
            </w:pPr>
            <w:r>
              <w:rPr>
                <w:rFonts w:ascii="Arial" w:cs="Arial" w:eastAsia="Arial" w:hAnsi="Arial"/>
                <w:sz w:val="21"/>
                <w:szCs w:val="21"/>
                <w:color w:val="auto"/>
              </w:rPr>
              <w:t>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4.2</w:t>
            </w:r>
          </w:p>
        </w:tc>
        <w:tc>
          <w:tcPr>
            <w:tcW w:w="2560" w:type="dxa"/>
            <w:vAlign w:val="bottom"/>
            <w:gridSpan w:val="8"/>
          </w:tcPr>
          <w:p>
            <w:pPr>
              <w:ind w:left="20"/>
              <w:spacing w:after="0"/>
              <w:rPr>
                <w:sz w:val="20"/>
                <w:szCs w:val="20"/>
                <w:color w:val="auto"/>
              </w:rPr>
            </w:pPr>
            <w:r>
              <w:rPr>
                <w:rFonts w:ascii="Arial" w:cs="Arial" w:eastAsia="Arial" w:hAnsi="Arial"/>
                <w:sz w:val="21"/>
                <w:szCs w:val="21"/>
                <w:color w:val="auto"/>
                <w:w w:val="91"/>
              </w:rPr>
              <w:t>Subsequent Annual Elections</w:t>
            </w:r>
          </w:p>
        </w:tc>
        <w:tc>
          <w:tcPr>
            <w:tcW w:w="1160" w:type="dxa"/>
            <w:vAlign w:val="bottom"/>
          </w:tcPr>
          <w:p>
            <w:pPr>
              <w:jc w:val="right"/>
              <w:ind w:right="796"/>
              <w:spacing w:after="0"/>
              <w:rPr>
                <w:sz w:val="20"/>
                <w:szCs w:val="20"/>
                <w:color w:val="auto"/>
              </w:rPr>
            </w:pPr>
            <w:r>
              <w:rPr>
                <w:rFonts w:ascii="Arial" w:cs="Arial" w:eastAsia="Arial" w:hAnsi="Arial"/>
                <w:sz w:val="21"/>
                <w:szCs w:val="21"/>
                <w:color w:val="auto"/>
              </w:rPr>
              <w:t>6</w:t>
            </w:r>
          </w:p>
        </w:tc>
        <w:tc>
          <w:tcPr>
            <w:tcW w:w="4820" w:type="dxa"/>
            <w:vAlign w:val="bottom"/>
          </w:tcPr>
          <w:p>
            <w:pPr>
              <w:spacing w:after="0"/>
              <w:rPr>
                <w:sz w:val="24"/>
                <w:szCs w:val="24"/>
                <w:color w:val="auto"/>
              </w:rPr>
            </w:pPr>
          </w:p>
        </w:tc>
      </w:tr>
      <w:tr>
        <w:trPr>
          <w:trHeight w:val="316"/>
        </w:trPr>
        <w:tc>
          <w:tcPr>
            <w:tcW w:w="1100" w:type="dxa"/>
            <w:vAlign w:val="bottom"/>
          </w:tcPr>
          <w:p>
            <w:pPr>
              <w:spacing w:after="0"/>
              <w:rPr>
                <w:sz w:val="20"/>
                <w:szCs w:val="20"/>
                <w:color w:val="auto"/>
              </w:rPr>
            </w:pPr>
            <w:r>
              <w:rPr>
                <w:rFonts w:ascii="Arial" w:cs="Arial" w:eastAsia="Arial" w:hAnsi="Arial"/>
                <w:sz w:val="21"/>
                <w:szCs w:val="21"/>
                <w:color w:val="auto"/>
                <w:w w:val="99"/>
              </w:rPr>
              <w:t>ARTICLE V</w:t>
            </w:r>
          </w:p>
        </w:tc>
        <w:tc>
          <w:tcPr>
            <w:tcW w:w="2560" w:type="dxa"/>
            <w:vAlign w:val="bottom"/>
            <w:gridSpan w:val="8"/>
          </w:tcPr>
          <w:p>
            <w:pPr>
              <w:ind w:left="200"/>
              <w:spacing w:after="0"/>
              <w:rPr>
                <w:sz w:val="20"/>
                <w:szCs w:val="20"/>
                <w:color w:val="auto"/>
              </w:rPr>
            </w:pPr>
            <w:r>
              <w:rPr>
                <w:rFonts w:ascii="Arial" w:cs="Arial" w:eastAsia="Arial" w:hAnsi="Arial"/>
                <w:sz w:val="21"/>
                <w:szCs w:val="21"/>
                <w:color w:val="auto"/>
                <w:w w:val="99"/>
              </w:rPr>
              <w:t>DEFERRAL ACCOUNTS</w:t>
            </w:r>
          </w:p>
        </w:tc>
        <w:tc>
          <w:tcPr>
            <w:tcW w:w="1160" w:type="dxa"/>
            <w:vAlign w:val="bottom"/>
          </w:tcPr>
          <w:p>
            <w:pPr>
              <w:jc w:val="right"/>
              <w:ind w:right="836"/>
              <w:spacing w:after="0"/>
              <w:rPr>
                <w:sz w:val="20"/>
                <w:szCs w:val="20"/>
                <w:color w:val="auto"/>
              </w:rPr>
            </w:pPr>
            <w:r>
              <w:rPr>
                <w:rFonts w:ascii="Arial" w:cs="Arial" w:eastAsia="Arial" w:hAnsi="Arial"/>
                <w:sz w:val="21"/>
                <w:szCs w:val="21"/>
                <w:color w:val="auto"/>
              </w:rPr>
              <w:t>7</w:t>
            </w: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5.1</w:t>
            </w:r>
          </w:p>
        </w:tc>
        <w:tc>
          <w:tcPr>
            <w:tcW w:w="1380" w:type="dxa"/>
            <w:vAlign w:val="bottom"/>
            <w:gridSpan w:val="3"/>
          </w:tcPr>
          <w:p>
            <w:pPr>
              <w:ind w:left="20"/>
              <w:spacing w:after="0"/>
              <w:rPr>
                <w:sz w:val="20"/>
                <w:szCs w:val="20"/>
                <w:color w:val="auto"/>
              </w:rPr>
            </w:pPr>
            <w:r>
              <w:rPr>
                <w:rFonts w:ascii="Arial" w:cs="Arial" w:eastAsia="Arial" w:hAnsi="Arial"/>
                <w:sz w:val="21"/>
                <w:szCs w:val="21"/>
                <w:color w:val="auto"/>
              </w:rPr>
              <w:t>Cash Account</w:t>
            </w:r>
          </w:p>
        </w:tc>
        <w:tc>
          <w:tcPr>
            <w:tcW w:w="320" w:type="dxa"/>
            <w:vAlign w:val="bottom"/>
          </w:tcPr>
          <w:p>
            <w:pPr>
              <w:jc w:val="right"/>
              <w:ind w:right="75"/>
              <w:spacing w:after="0"/>
              <w:rPr>
                <w:sz w:val="20"/>
                <w:szCs w:val="20"/>
                <w:color w:val="auto"/>
              </w:rPr>
            </w:pPr>
            <w:r>
              <w:rPr>
                <w:rFonts w:ascii="Arial" w:cs="Arial" w:eastAsia="Arial" w:hAnsi="Arial"/>
                <w:sz w:val="21"/>
                <w:szCs w:val="21"/>
                <w:color w:val="auto"/>
              </w:rPr>
              <w:t>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5.2</w:t>
            </w:r>
          </w:p>
        </w:tc>
        <w:tc>
          <w:tcPr>
            <w:tcW w:w="1700" w:type="dxa"/>
            <w:vAlign w:val="bottom"/>
            <w:gridSpan w:val="4"/>
          </w:tcPr>
          <w:p>
            <w:pPr>
              <w:ind w:left="20"/>
              <w:spacing w:after="0"/>
              <w:rPr>
                <w:sz w:val="20"/>
                <w:szCs w:val="20"/>
                <w:color w:val="auto"/>
              </w:rPr>
            </w:pPr>
            <w:r>
              <w:rPr>
                <w:rFonts w:ascii="Arial" w:cs="Arial" w:eastAsia="Arial" w:hAnsi="Arial"/>
                <w:sz w:val="21"/>
                <w:szCs w:val="21"/>
                <w:color w:val="auto"/>
                <w:w w:val="93"/>
              </w:rPr>
              <w:t>Stock Unit Account</w:t>
            </w:r>
          </w:p>
        </w:tc>
        <w:tc>
          <w:tcPr>
            <w:tcW w:w="400" w:type="dxa"/>
            <w:vAlign w:val="bottom"/>
            <w:gridSpan w:val="2"/>
          </w:tcPr>
          <w:p>
            <w:pPr>
              <w:jc w:val="right"/>
              <w:spacing w:after="0"/>
              <w:rPr>
                <w:sz w:val="20"/>
                <w:szCs w:val="20"/>
                <w:color w:val="auto"/>
              </w:rPr>
            </w:pPr>
            <w:r>
              <w:rPr>
                <w:rFonts w:ascii="Arial" w:cs="Arial" w:eastAsia="Arial" w:hAnsi="Arial"/>
                <w:sz w:val="21"/>
                <w:szCs w:val="21"/>
                <w:color w:val="auto"/>
              </w:rPr>
              <w:t>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5.3</w:t>
            </w:r>
          </w:p>
        </w:tc>
        <w:tc>
          <w:tcPr>
            <w:tcW w:w="8540" w:type="dxa"/>
            <w:vAlign w:val="bottom"/>
            <w:gridSpan w:val="10"/>
          </w:tcPr>
          <w:p>
            <w:pPr>
              <w:ind w:left="20"/>
              <w:spacing w:after="0"/>
              <w:rPr>
                <w:sz w:val="20"/>
                <w:szCs w:val="20"/>
                <w:color w:val="auto"/>
              </w:rPr>
            </w:pPr>
            <w:r>
              <w:rPr>
                <w:rFonts w:ascii="Arial" w:cs="Arial" w:eastAsia="Arial" w:hAnsi="Arial"/>
                <w:sz w:val="21"/>
                <w:szCs w:val="21"/>
                <w:color w:val="auto"/>
                <w:w w:val="94"/>
              </w:rPr>
              <w:t>Dividend Equivalents; Dividend Equivalent Cash Account; Dividend Equivalent Stock Account  10</w:t>
            </w: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5.4</w:t>
            </w:r>
          </w:p>
        </w:tc>
        <w:tc>
          <w:tcPr>
            <w:tcW w:w="680" w:type="dxa"/>
            <w:vAlign w:val="bottom"/>
            <w:gridSpan w:val="2"/>
          </w:tcPr>
          <w:p>
            <w:pPr>
              <w:spacing w:after="0"/>
              <w:rPr>
                <w:sz w:val="20"/>
                <w:szCs w:val="20"/>
                <w:color w:val="auto"/>
              </w:rPr>
            </w:pPr>
            <w:r>
              <w:rPr>
                <w:rFonts w:ascii="Arial" w:cs="Arial" w:eastAsia="Arial" w:hAnsi="Arial"/>
                <w:sz w:val="21"/>
                <w:szCs w:val="21"/>
                <w:color w:val="auto"/>
                <w:w w:val="94"/>
              </w:rPr>
              <w:t>Vesting</w:t>
            </w:r>
          </w:p>
        </w:tc>
        <w:tc>
          <w:tcPr>
            <w:tcW w:w="700" w:type="dxa"/>
            <w:vAlign w:val="bottom"/>
          </w:tcPr>
          <w:p>
            <w:pPr>
              <w:jc w:val="right"/>
              <w:ind w:right="215"/>
              <w:spacing w:after="0"/>
              <w:rPr>
                <w:sz w:val="20"/>
                <w:szCs w:val="20"/>
                <w:color w:val="auto"/>
              </w:rPr>
            </w:pPr>
            <w:r>
              <w:rPr>
                <w:rFonts w:ascii="Arial" w:cs="Arial" w:eastAsia="Arial" w:hAnsi="Arial"/>
                <w:sz w:val="21"/>
                <w:szCs w:val="21"/>
                <w:color w:val="auto"/>
              </w:rPr>
              <w:t>11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5.5</w:t>
            </w:r>
          </w:p>
        </w:tc>
        <w:tc>
          <w:tcPr>
            <w:tcW w:w="2100" w:type="dxa"/>
            <w:vAlign w:val="bottom"/>
            <w:gridSpan w:val="6"/>
          </w:tcPr>
          <w:p>
            <w:pPr>
              <w:ind w:left="20"/>
              <w:spacing w:after="0"/>
              <w:rPr>
                <w:sz w:val="20"/>
                <w:szCs w:val="20"/>
                <w:color w:val="auto"/>
              </w:rPr>
            </w:pPr>
            <w:r>
              <w:rPr>
                <w:rFonts w:ascii="Arial" w:cs="Arial" w:eastAsia="Arial" w:hAnsi="Arial"/>
                <w:sz w:val="21"/>
                <w:szCs w:val="21"/>
                <w:color w:val="auto"/>
                <w:w w:val="98"/>
              </w:rPr>
              <w:t>Distribution of Benefits</w:t>
            </w:r>
          </w:p>
        </w:tc>
        <w:tc>
          <w:tcPr>
            <w:tcW w:w="460" w:type="dxa"/>
            <w:vAlign w:val="bottom"/>
            <w:gridSpan w:val="2"/>
          </w:tcPr>
          <w:p>
            <w:pPr>
              <w:ind w:left="120"/>
              <w:spacing w:after="0"/>
              <w:rPr>
                <w:sz w:val="20"/>
                <w:szCs w:val="20"/>
                <w:color w:val="auto"/>
              </w:rPr>
            </w:pPr>
            <w:r>
              <w:rPr>
                <w:rFonts w:ascii="Arial" w:cs="Arial" w:eastAsia="Arial" w:hAnsi="Arial"/>
                <w:sz w:val="21"/>
                <w:szCs w:val="21"/>
                <w:color w:val="auto"/>
              </w:rPr>
              <w:t>12</w:t>
            </w: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5.6</w:t>
            </w:r>
          </w:p>
        </w:tc>
        <w:tc>
          <w:tcPr>
            <w:tcW w:w="8540" w:type="dxa"/>
            <w:vAlign w:val="bottom"/>
            <w:gridSpan w:val="10"/>
          </w:tcPr>
          <w:p>
            <w:pPr>
              <w:spacing w:after="0"/>
              <w:rPr>
                <w:sz w:val="20"/>
                <w:szCs w:val="20"/>
                <w:color w:val="auto"/>
              </w:rPr>
            </w:pPr>
            <w:r>
              <w:rPr>
                <w:rFonts w:ascii="Arial" w:cs="Arial" w:eastAsia="Arial" w:hAnsi="Arial"/>
                <w:sz w:val="21"/>
                <w:szCs w:val="21"/>
                <w:color w:val="auto"/>
              </w:rPr>
              <w:t>Adjustments in Case of Changes in Common Stock  14</w:t>
            </w: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5.7</w:t>
            </w:r>
          </w:p>
        </w:tc>
        <w:tc>
          <w:tcPr>
            <w:tcW w:w="2560" w:type="dxa"/>
            <w:vAlign w:val="bottom"/>
            <w:gridSpan w:val="8"/>
          </w:tcPr>
          <w:p>
            <w:pPr>
              <w:ind w:left="20"/>
              <w:spacing w:after="0"/>
              <w:rPr>
                <w:sz w:val="20"/>
                <w:szCs w:val="20"/>
                <w:color w:val="auto"/>
              </w:rPr>
            </w:pPr>
            <w:r>
              <w:rPr>
                <w:rFonts w:ascii="Arial" w:cs="Arial" w:eastAsia="Arial" w:hAnsi="Arial"/>
                <w:sz w:val="21"/>
                <w:szCs w:val="21"/>
                <w:color w:val="auto"/>
                <w:w w:val="93"/>
              </w:rPr>
              <w:t>Company’s Right to Withhold</w:t>
            </w:r>
          </w:p>
        </w:tc>
        <w:tc>
          <w:tcPr>
            <w:tcW w:w="1160" w:type="dxa"/>
            <w:vAlign w:val="bottom"/>
          </w:tcPr>
          <w:p>
            <w:pPr>
              <w:ind w:left="200"/>
              <w:spacing w:after="0"/>
              <w:rPr>
                <w:sz w:val="20"/>
                <w:szCs w:val="20"/>
                <w:color w:val="auto"/>
              </w:rPr>
            </w:pPr>
            <w:r>
              <w:rPr>
                <w:rFonts w:ascii="Arial" w:cs="Arial" w:eastAsia="Arial" w:hAnsi="Arial"/>
                <w:sz w:val="21"/>
                <w:szCs w:val="21"/>
                <w:color w:val="auto"/>
              </w:rPr>
              <w:t>14</w:t>
            </w: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5.8</w:t>
            </w:r>
          </w:p>
        </w:tc>
        <w:tc>
          <w:tcPr>
            <w:tcW w:w="1980" w:type="dxa"/>
            <w:vAlign w:val="bottom"/>
            <w:gridSpan w:val="5"/>
          </w:tcPr>
          <w:p>
            <w:pPr>
              <w:ind w:left="20"/>
              <w:spacing w:after="0"/>
              <w:rPr>
                <w:sz w:val="20"/>
                <w:szCs w:val="20"/>
                <w:color w:val="auto"/>
              </w:rPr>
            </w:pPr>
            <w:r>
              <w:rPr>
                <w:rFonts w:ascii="Arial" w:cs="Arial" w:eastAsia="Arial" w:hAnsi="Arial"/>
                <w:sz w:val="21"/>
                <w:szCs w:val="21"/>
                <w:color w:val="auto"/>
                <w:w w:val="97"/>
              </w:rPr>
              <w:t>Stockholder Approval</w:t>
            </w:r>
          </w:p>
        </w:tc>
        <w:tc>
          <w:tcPr>
            <w:tcW w:w="1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1"/>
                <w:szCs w:val="21"/>
                <w:color w:val="auto"/>
                <w:w w:val="76"/>
              </w:rPr>
              <w:t>15</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21"/>
                <w:szCs w:val="21"/>
                <w:color w:val="auto"/>
              </w:rPr>
              <w:t>ARTICLE VI</w:t>
            </w:r>
          </w:p>
        </w:tc>
        <w:tc>
          <w:tcPr>
            <w:tcW w:w="1880" w:type="dxa"/>
            <w:vAlign w:val="bottom"/>
            <w:gridSpan w:val="5"/>
          </w:tcPr>
          <w:p>
            <w:pPr>
              <w:ind w:left="40"/>
              <w:spacing w:after="0"/>
              <w:rPr>
                <w:sz w:val="20"/>
                <w:szCs w:val="20"/>
                <w:color w:val="auto"/>
              </w:rPr>
            </w:pPr>
            <w:r>
              <w:rPr>
                <w:rFonts w:ascii="Arial" w:cs="Arial" w:eastAsia="Arial" w:hAnsi="Arial"/>
                <w:sz w:val="21"/>
                <w:szCs w:val="21"/>
                <w:color w:val="auto"/>
              </w:rPr>
              <w:t>ADMINISTRATION</w:t>
            </w:r>
          </w:p>
        </w:tc>
        <w:tc>
          <w:tcPr>
            <w:tcW w:w="460" w:type="dxa"/>
            <w:vAlign w:val="bottom"/>
            <w:gridSpan w:val="2"/>
          </w:tcPr>
          <w:p>
            <w:pPr>
              <w:jc w:val="right"/>
              <w:spacing w:after="0"/>
              <w:rPr>
                <w:sz w:val="20"/>
                <w:szCs w:val="20"/>
                <w:color w:val="auto"/>
              </w:rPr>
            </w:pPr>
            <w:r>
              <w:rPr>
                <w:rFonts w:ascii="Arial" w:cs="Arial" w:eastAsia="Arial" w:hAnsi="Arial"/>
                <w:sz w:val="21"/>
                <w:szCs w:val="21"/>
                <w:color w:val="auto"/>
              </w:rPr>
              <w:t>15</w:t>
            </w: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6.1</w:t>
            </w:r>
          </w:p>
        </w:tc>
        <w:tc>
          <w:tcPr>
            <w:tcW w:w="1700" w:type="dxa"/>
            <w:vAlign w:val="bottom"/>
            <w:gridSpan w:val="4"/>
          </w:tcPr>
          <w:p>
            <w:pPr>
              <w:spacing w:after="0"/>
              <w:rPr>
                <w:sz w:val="20"/>
                <w:szCs w:val="20"/>
                <w:color w:val="auto"/>
              </w:rPr>
            </w:pPr>
            <w:r>
              <w:rPr>
                <w:rFonts w:ascii="Arial" w:cs="Arial" w:eastAsia="Arial" w:hAnsi="Arial"/>
                <w:sz w:val="21"/>
                <w:szCs w:val="21"/>
                <w:color w:val="auto"/>
              </w:rPr>
              <w:t>The Administrator</w:t>
            </w:r>
          </w:p>
        </w:tc>
        <w:tc>
          <w:tcPr>
            <w:tcW w:w="400" w:type="dxa"/>
            <w:vAlign w:val="bottom"/>
            <w:gridSpan w:val="2"/>
          </w:tcPr>
          <w:p>
            <w:pPr>
              <w:jc w:val="right"/>
              <w:spacing w:after="0"/>
              <w:rPr>
                <w:sz w:val="20"/>
                <w:szCs w:val="20"/>
                <w:color w:val="auto"/>
              </w:rPr>
            </w:pPr>
            <w:r>
              <w:rPr>
                <w:rFonts w:ascii="Arial" w:cs="Arial" w:eastAsia="Arial" w:hAnsi="Arial"/>
                <w:sz w:val="21"/>
                <w:szCs w:val="21"/>
                <w:color w:val="auto"/>
              </w:rPr>
              <w:t>15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6.2</w:t>
            </w:r>
          </w:p>
        </w:tc>
        <w:tc>
          <w:tcPr>
            <w:tcW w:w="1700" w:type="dxa"/>
            <w:vAlign w:val="bottom"/>
            <w:gridSpan w:val="4"/>
          </w:tcPr>
          <w:p>
            <w:pPr>
              <w:ind w:left="20"/>
              <w:spacing w:after="0"/>
              <w:rPr>
                <w:sz w:val="20"/>
                <w:szCs w:val="20"/>
                <w:color w:val="auto"/>
              </w:rPr>
            </w:pPr>
            <w:r>
              <w:rPr>
                <w:rFonts w:ascii="Arial" w:cs="Arial" w:eastAsia="Arial" w:hAnsi="Arial"/>
                <w:sz w:val="21"/>
                <w:szCs w:val="21"/>
                <w:color w:val="auto"/>
              </w:rPr>
              <w:t>Committee Action</w:t>
            </w:r>
          </w:p>
        </w:tc>
        <w:tc>
          <w:tcPr>
            <w:tcW w:w="400" w:type="dxa"/>
            <w:vAlign w:val="bottom"/>
            <w:gridSpan w:val="2"/>
          </w:tcPr>
          <w:p>
            <w:pPr>
              <w:jc w:val="right"/>
              <w:spacing w:after="0"/>
              <w:rPr>
                <w:sz w:val="20"/>
                <w:szCs w:val="20"/>
                <w:color w:val="auto"/>
              </w:rPr>
            </w:pPr>
            <w:r>
              <w:rPr>
                <w:rFonts w:ascii="Arial" w:cs="Arial" w:eastAsia="Arial" w:hAnsi="Arial"/>
                <w:sz w:val="21"/>
                <w:szCs w:val="21"/>
                <w:color w:val="auto"/>
              </w:rPr>
              <w:t>15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6.3</w:t>
            </w:r>
          </w:p>
        </w:tc>
        <w:tc>
          <w:tcPr>
            <w:tcW w:w="1700" w:type="dxa"/>
            <w:vAlign w:val="bottom"/>
            <w:gridSpan w:val="4"/>
          </w:tcPr>
          <w:p>
            <w:pPr>
              <w:ind w:left="20"/>
              <w:spacing w:after="0"/>
              <w:rPr>
                <w:sz w:val="20"/>
                <w:szCs w:val="20"/>
                <w:color w:val="auto"/>
              </w:rPr>
            </w:pPr>
            <w:r>
              <w:rPr>
                <w:rFonts w:ascii="Arial" w:cs="Arial" w:eastAsia="Arial" w:hAnsi="Arial"/>
                <w:sz w:val="21"/>
                <w:szCs w:val="21"/>
                <w:color w:val="auto"/>
              </w:rPr>
              <w:t>Rights and Duties</w:t>
            </w:r>
          </w:p>
        </w:tc>
        <w:tc>
          <w:tcPr>
            <w:tcW w:w="280" w:type="dxa"/>
            <w:vAlign w:val="bottom"/>
          </w:tcPr>
          <w:p>
            <w:pPr>
              <w:jc w:val="right"/>
              <w:spacing w:after="0"/>
              <w:rPr>
                <w:sz w:val="20"/>
                <w:szCs w:val="20"/>
                <w:color w:val="auto"/>
              </w:rPr>
            </w:pPr>
            <w:r>
              <w:rPr>
                <w:rFonts w:ascii="Arial" w:cs="Arial" w:eastAsia="Arial" w:hAnsi="Arial"/>
                <w:sz w:val="21"/>
                <w:szCs w:val="21"/>
                <w:color w:val="auto"/>
                <w:w w:val="93"/>
              </w:rPr>
              <w:t>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100" w:type="dxa"/>
            <w:vAlign w:val="bottom"/>
          </w:tcPr>
          <w:p>
            <w:pPr>
              <w:ind w:left="640"/>
              <w:spacing w:after="0"/>
              <w:rPr>
                <w:sz w:val="20"/>
                <w:szCs w:val="20"/>
                <w:color w:val="auto"/>
              </w:rPr>
            </w:pPr>
            <w:r>
              <w:rPr>
                <w:rFonts w:ascii="Arial" w:cs="Arial" w:eastAsia="Arial" w:hAnsi="Arial"/>
                <w:sz w:val="21"/>
                <w:szCs w:val="21"/>
                <w:color w:val="auto"/>
              </w:rPr>
              <w:t>6.4</w:t>
            </w:r>
          </w:p>
        </w:tc>
        <w:tc>
          <w:tcPr>
            <w:tcW w:w="2100" w:type="dxa"/>
            <w:vAlign w:val="bottom"/>
            <w:gridSpan w:val="6"/>
          </w:tcPr>
          <w:p>
            <w:pPr>
              <w:ind w:left="20"/>
              <w:spacing w:after="0"/>
              <w:rPr>
                <w:sz w:val="20"/>
                <w:szCs w:val="20"/>
                <w:color w:val="auto"/>
              </w:rPr>
            </w:pPr>
            <w:r>
              <w:rPr>
                <w:rFonts w:ascii="Arial" w:cs="Arial" w:eastAsia="Arial" w:hAnsi="Arial"/>
                <w:sz w:val="21"/>
                <w:szCs w:val="21"/>
                <w:color w:val="auto"/>
                <w:w w:val="99"/>
              </w:rPr>
              <w:t>Indemnity and Liability</w:t>
            </w:r>
          </w:p>
        </w:tc>
        <w:tc>
          <w:tcPr>
            <w:tcW w:w="460" w:type="dxa"/>
            <w:vAlign w:val="bottom"/>
            <w:gridSpan w:val="2"/>
          </w:tcPr>
          <w:p>
            <w:pPr>
              <w:ind w:left="120"/>
              <w:spacing w:after="0"/>
              <w:rPr>
                <w:sz w:val="20"/>
                <w:szCs w:val="20"/>
                <w:color w:val="auto"/>
              </w:rPr>
            </w:pPr>
            <w:r>
              <w:rPr>
                <w:rFonts w:ascii="Arial" w:cs="Arial" w:eastAsia="Arial" w:hAnsi="Arial"/>
                <w:sz w:val="21"/>
                <w:szCs w:val="21"/>
                <w:color w:val="auto"/>
              </w:rPr>
              <w:t>16</w:t>
            </w:r>
          </w:p>
        </w:tc>
        <w:tc>
          <w:tcPr>
            <w:tcW w:w="11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16"/>
        </w:trPr>
        <w:tc>
          <w:tcPr>
            <w:tcW w:w="1320" w:type="dxa"/>
            <w:vAlign w:val="bottom"/>
            <w:gridSpan w:val="2"/>
          </w:tcPr>
          <w:p>
            <w:pPr>
              <w:spacing w:after="0"/>
              <w:rPr>
                <w:sz w:val="20"/>
                <w:szCs w:val="20"/>
                <w:color w:val="auto"/>
              </w:rPr>
            </w:pPr>
            <w:r>
              <w:rPr>
                <w:rFonts w:ascii="Arial" w:cs="Arial" w:eastAsia="Arial" w:hAnsi="Arial"/>
                <w:sz w:val="21"/>
                <w:szCs w:val="21"/>
                <w:color w:val="auto"/>
              </w:rPr>
              <w:t>ARTICLE VII</w:t>
            </w:r>
          </w:p>
        </w:tc>
        <w:tc>
          <w:tcPr>
            <w:tcW w:w="8320" w:type="dxa"/>
            <w:vAlign w:val="bottom"/>
            <w:gridSpan w:val="9"/>
          </w:tcPr>
          <w:p>
            <w:pPr>
              <w:jc w:val="center"/>
              <w:ind w:right="3955"/>
              <w:spacing w:after="0"/>
              <w:rPr>
                <w:sz w:val="20"/>
                <w:szCs w:val="20"/>
                <w:color w:val="auto"/>
              </w:rPr>
            </w:pPr>
            <w:r>
              <w:rPr>
                <w:rFonts w:ascii="Arial" w:cs="Arial" w:eastAsia="Arial" w:hAnsi="Arial"/>
                <w:sz w:val="21"/>
                <w:szCs w:val="21"/>
                <w:color w:val="auto"/>
              </w:rPr>
              <w:t>PLAN CHANGES AND TERMINATION  16</w:t>
            </w:r>
          </w:p>
        </w:tc>
      </w:tr>
      <w:tr>
        <w:trPr>
          <w:trHeight w:val="316"/>
        </w:trPr>
        <w:tc>
          <w:tcPr>
            <w:tcW w:w="1320" w:type="dxa"/>
            <w:vAlign w:val="bottom"/>
            <w:gridSpan w:val="2"/>
          </w:tcPr>
          <w:p>
            <w:pPr>
              <w:spacing w:after="0"/>
              <w:rPr>
                <w:sz w:val="20"/>
                <w:szCs w:val="20"/>
                <w:color w:val="auto"/>
              </w:rPr>
            </w:pPr>
            <w:r>
              <w:rPr>
                <w:rFonts w:ascii="Arial" w:cs="Arial" w:eastAsia="Arial" w:hAnsi="Arial"/>
                <w:sz w:val="21"/>
                <w:szCs w:val="21"/>
                <w:color w:val="auto"/>
              </w:rPr>
              <w:t>ARTICLE VIII</w:t>
            </w:r>
          </w:p>
        </w:tc>
        <w:tc>
          <w:tcPr>
            <w:tcW w:w="2140" w:type="dxa"/>
            <w:vAlign w:val="bottom"/>
            <w:gridSpan w:val="6"/>
          </w:tcPr>
          <w:p>
            <w:pPr>
              <w:ind w:left="180"/>
              <w:spacing w:after="0"/>
              <w:rPr>
                <w:sz w:val="20"/>
                <w:szCs w:val="20"/>
                <w:color w:val="auto"/>
              </w:rPr>
            </w:pPr>
            <w:r>
              <w:rPr>
                <w:rFonts w:ascii="Arial" w:cs="Arial" w:eastAsia="Arial" w:hAnsi="Arial"/>
                <w:sz w:val="21"/>
                <w:szCs w:val="21"/>
                <w:color w:val="auto"/>
              </w:rPr>
              <w:t>MISCELLANEOUS</w:t>
            </w:r>
          </w:p>
        </w:tc>
        <w:tc>
          <w:tcPr>
            <w:tcW w:w="1360" w:type="dxa"/>
            <w:vAlign w:val="bottom"/>
            <w:gridSpan w:val="2"/>
          </w:tcPr>
          <w:p>
            <w:pPr>
              <w:jc w:val="right"/>
              <w:ind w:right="1036"/>
              <w:spacing w:after="0"/>
              <w:rPr>
                <w:sz w:val="20"/>
                <w:szCs w:val="20"/>
                <w:color w:val="auto"/>
              </w:rPr>
            </w:pPr>
            <w:r>
              <w:rPr>
                <w:rFonts w:ascii="Arial" w:cs="Arial" w:eastAsia="Arial" w:hAnsi="Arial"/>
                <w:sz w:val="21"/>
                <w:szCs w:val="21"/>
                <w:color w:val="auto"/>
                <w:w w:val="85"/>
              </w:rPr>
              <w:t>17</w:t>
            </w:r>
          </w:p>
        </w:tc>
        <w:tc>
          <w:tcPr>
            <w:tcW w:w="4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139"/>
          </w:cols>
          <w:pgMar w:left="320" w:top="1370" w:right="1440" w:bottom="1440" w:gutter="0" w:footer="0" w:header="0"/>
        </w:sectPr>
      </w:pPr>
    </w:p>
    <w:bookmarkStart w:id="122" w:name="page123"/>
    <w:bookmarkEnd w:id="122"/>
    <w:tbl>
      <w:tblPr>
        <w:tblLayout w:type="fixed"/>
        <w:tblInd w:w="420" w:type="dxa"/>
        <w:tblCellMar>
          <w:top w:w="0" w:type="dxa"/>
          <w:left w:w="0" w:type="dxa"/>
          <w:bottom w:w="0" w:type="dxa"/>
          <w:right w:w="0" w:type="dxa"/>
        </w:tblCellMar>
      </w:tblPr>
      <w:tr>
        <w:trPr>
          <w:trHeight w:val="268"/>
        </w:trPr>
        <w:tc>
          <w:tcPr>
            <w:tcW w:w="360" w:type="dxa"/>
            <w:vAlign w:val="bottom"/>
          </w:tcPr>
          <w:p>
            <w:pPr>
              <w:jc w:val="right"/>
              <w:spacing w:after="0"/>
              <w:rPr>
                <w:sz w:val="20"/>
                <w:szCs w:val="20"/>
                <w:color w:val="auto"/>
              </w:rPr>
            </w:pPr>
            <w:r>
              <w:rPr>
                <w:rFonts w:ascii="Arial" w:cs="Arial" w:eastAsia="Arial" w:hAnsi="Arial"/>
                <w:sz w:val="21"/>
                <w:szCs w:val="21"/>
                <w:color w:val="auto"/>
                <w:w w:val="82"/>
              </w:rPr>
              <w:t>8.1</w:t>
            </w:r>
          </w:p>
        </w:tc>
        <w:tc>
          <w:tcPr>
            <w:tcW w:w="5920" w:type="dxa"/>
            <w:vAlign w:val="bottom"/>
          </w:tcPr>
          <w:p>
            <w:pPr>
              <w:ind w:left="120"/>
              <w:spacing w:after="0"/>
              <w:rPr>
                <w:sz w:val="20"/>
                <w:szCs w:val="20"/>
                <w:color w:val="auto"/>
              </w:rPr>
            </w:pPr>
            <w:r>
              <w:rPr>
                <w:rFonts w:ascii="Arial" w:cs="Arial" w:eastAsia="Arial" w:hAnsi="Arial"/>
                <w:sz w:val="21"/>
                <w:szCs w:val="21"/>
                <w:color w:val="auto"/>
              </w:rPr>
              <w:t>Limitation on Eligible Directors’ Rights  17</w:t>
            </w: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w w:val="82"/>
              </w:rPr>
              <w:t>8.2</w:t>
            </w:r>
          </w:p>
        </w:tc>
        <w:tc>
          <w:tcPr>
            <w:tcW w:w="5920" w:type="dxa"/>
            <w:vAlign w:val="bottom"/>
          </w:tcPr>
          <w:p>
            <w:pPr>
              <w:ind w:left="120"/>
              <w:spacing w:after="0"/>
              <w:rPr>
                <w:sz w:val="20"/>
                <w:szCs w:val="20"/>
                <w:color w:val="auto"/>
              </w:rPr>
            </w:pPr>
            <w:r>
              <w:rPr>
                <w:rFonts w:ascii="Arial" w:cs="Arial" w:eastAsia="Arial" w:hAnsi="Arial"/>
                <w:sz w:val="21"/>
                <w:szCs w:val="21"/>
                <w:color w:val="auto"/>
              </w:rPr>
              <w:t>Beneficiaries  17</w:t>
            </w: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w w:val="82"/>
              </w:rPr>
              <w:t>8.3</w:t>
            </w:r>
          </w:p>
        </w:tc>
        <w:tc>
          <w:tcPr>
            <w:tcW w:w="5920" w:type="dxa"/>
            <w:vAlign w:val="bottom"/>
          </w:tcPr>
          <w:p>
            <w:pPr>
              <w:ind w:left="120"/>
              <w:spacing w:after="0"/>
              <w:rPr>
                <w:sz w:val="20"/>
                <w:szCs w:val="20"/>
                <w:color w:val="auto"/>
              </w:rPr>
            </w:pPr>
            <w:r>
              <w:rPr>
                <w:rFonts w:ascii="Arial" w:cs="Arial" w:eastAsia="Arial" w:hAnsi="Arial"/>
                <w:sz w:val="21"/>
                <w:szCs w:val="21"/>
                <w:color w:val="auto"/>
                <w:w w:val="93"/>
              </w:rPr>
              <w:t>Benefits Not Assignable; Obligations Binding Upon Successors  17</w:t>
            </w: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w w:val="82"/>
              </w:rPr>
              <w:t>8.4</w:t>
            </w:r>
          </w:p>
        </w:tc>
        <w:tc>
          <w:tcPr>
            <w:tcW w:w="5920" w:type="dxa"/>
            <w:vAlign w:val="bottom"/>
          </w:tcPr>
          <w:p>
            <w:pPr>
              <w:ind w:left="120"/>
              <w:spacing w:after="0"/>
              <w:rPr>
                <w:sz w:val="20"/>
                <w:szCs w:val="20"/>
                <w:color w:val="auto"/>
              </w:rPr>
            </w:pPr>
            <w:r>
              <w:rPr>
                <w:rFonts w:ascii="Arial" w:cs="Arial" w:eastAsia="Arial" w:hAnsi="Arial"/>
                <w:sz w:val="21"/>
                <w:szCs w:val="21"/>
                <w:color w:val="auto"/>
              </w:rPr>
              <w:t>Governing Law; Severability  17</w:t>
            </w: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w w:val="82"/>
              </w:rPr>
              <w:t>8.5</w:t>
            </w:r>
          </w:p>
        </w:tc>
        <w:tc>
          <w:tcPr>
            <w:tcW w:w="5920" w:type="dxa"/>
            <w:vAlign w:val="bottom"/>
          </w:tcPr>
          <w:p>
            <w:pPr>
              <w:ind w:left="120"/>
              <w:spacing w:after="0"/>
              <w:rPr>
                <w:sz w:val="20"/>
                <w:szCs w:val="20"/>
                <w:color w:val="auto"/>
              </w:rPr>
            </w:pPr>
            <w:r>
              <w:rPr>
                <w:rFonts w:ascii="Arial" w:cs="Arial" w:eastAsia="Arial" w:hAnsi="Arial"/>
                <w:sz w:val="21"/>
                <w:szCs w:val="21"/>
                <w:color w:val="auto"/>
              </w:rPr>
              <w:t>Compliance With Laws  17</w:t>
            </w:r>
          </w:p>
        </w:tc>
      </w:tr>
      <w:tr>
        <w:trPr>
          <w:trHeight w:val="316"/>
        </w:trPr>
        <w:tc>
          <w:tcPr>
            <w:tcW w:w="360" w:type="dxa"/>
            <w:vAlign w:val="bottom"/>
          </w:tcPr>
          <w:p>
            <w:pPr>
              <w:jc w:val="right"/>
              <w:spacing w:after="0"/>
              <w:rPr>
                <w:sz w:val="20"/>
                <w:szCs w:val="20"/>
                <w:color w:val="auto"/>
              </w:rPr>
            </w:pPr>
            <w:r>
              <w:rPr>
                <w:rFonts w:ascii="Arial" w:cs="Arial" w:eastAsia="Arial" w:hAnsi="Arial"/>
                <w:sz w:val="21"/>
                <w:szCs w:val="21"/>
                <w:color w:val="auto"/>
                <w:w w:val="82"/>
              </w:rPr>
              <w:t>8.6</w:t>
            </w:r>
          </w:p>
        </w:tc>
        <w:tc>
          <w:tcPr>
            <w:tcW w:w="5920" w:type="dxa"/>
            <w:vAlign w:val="bottom"/>
          </w:tcPr>
          <w:p>
            <w:pPr>
              <w:ind w:left="120"/>
              <w:spacing w:after="0"/>
              <w:rPr>
                <w:sz w:val="20"/>
                <w:szCs w:val="20"/>
                <w:color w:val="auto"/>
              </w:rPr>
            </w:pPr>
            <w:r>
              <w:rPr>
                <w:rFonts w:ascii="Arial" w:cs="Arial" w:eastAsia="Arial" w:hAnsi="Arial"/>
                <w:sz w:val="21"/>
                <w:szCs w:val="21"/>
                <w:color w:val="auto"/>
              </w:rPr>
              <w:t>Headings Not Part of Plan  18</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9919"/>
          </w:cols>
          <w:pgMar w:left="540" w:top="1370"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21"/>
          <w:szCs w:val="21"/>
          <w:b w:val="1"/>
          <w:bCs w:val="1"/>
          <w:color w:val="auto"/>
        </w:rPr>
        <w:t>THE MACERICH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ELIGIBLE DIRECTORS’</w:t>
      </w:r>
    </w:p>
    <w:p>
      <w:pPr>
        <w:jc w:val="center"/>
        <w:spacing w:after="0" w:line="209" w:lineRule="auto"/>
        <w:rPr>
          <w:sz w:val="20"/>
          <w:szCs w:val="20"/>
          <w:color w:val="auto"/>
        </w:rPr>
      </w:pPr>
      <w:r>
        <w:rPr>
          <w:rFonts w:ascii="Arial" w:cs="Arial" w:eastAsia="Arial" w:hAnsi="Arial"/>
          <w:sz w:val="21"/>
          <w:szCs w:val="21"/>
          <w:b w:val="1"/>
          <w:bCs w:val="1"/>
          <w:color w:val="auto"/>
        </w:rPr>
        <w:t>DEFERRED COMPENSATION/PHANTOM STOCK PLAN</w:t>
      </w:r>
    </w:p>
    <w:p>
      <w:pPr>
        <w:jc w:val="center"/>
        <w:spacing w:after="0"/>
        <w:rPr>
          <w:sz w:val="20"/>
          <w:szCs w:val="20"/>
          <w:color w:val="auto"/>
        </w:rPr>
      </w:pPr>
      <w:r>
        <w:rPr>
          <w:rFonts w:ascii="Arial" w:cs="Arial" w:eastAsia="Arial" w:hAnsi="Arial"/>
          <w:sz w:val="21"/>
          <w:szCs w:val="21"/>
          <w:b w:val="1"/>
          <w:bCs w:val="1"/>
          <w:color w:val="auto"/>
        </w:rPr>
        <w:t>(As Amended and Restated Effective as of January 1, 2023)</w:t>
      </w:r>
    </w:p>
    <w:p>
      <w:pPr>
        <w:spacing w:after="0" w:line="255" w:lineRule="exact"/>
        <w:rPr>
          <w:sz w:val="20"/>
          <w:szCs w:val="20"/>
          <w:color w:val="auto"/>
        </w:rPr>
      </w:pPr>
    </w:p>
    <w:p>
      <w:pPr>
        <w:jc w:val="center"/>
        <w:ind w:right="160"/>
        <w:spacing w:after="0"/>
        <w:rPr>
          <w:sz w:val="20"/>
          <w:szCs w:val="20"/>
          <w:color w:val="auto"/>
        </w:rPr>
      </w:pPr>
      <w:r>
        <w:rPr>
          <w:rFonts w:ascii="Arial" w:cs="Arial" w:eastAsia="Arial" w:hAnsi="Arial"/>
          <w:sz w:val="21"/>
          <w:szCs w:val="21"/>
          <w:b w:val="1"/>
          <w:bCs w:val="1"/>
          <w:u w:val="single" w:color="auto"/>
          <w:color w:val="auto"/>
        </w:rPr>
        <w:t>ARTICLE I</w:t>
      </w:r>
    </w:p>
    <w:p>
      <w:pPr>
        <w:jc w:val="center"/>
        <w:spacing w:after="0"/>
        <w:rPr>
          <w:sz w:val="20"/>
          <w:szCs w:val="20"/>
          <w:color w:val="auto"/>
        </w:rPr>
      </w:pPr>
      <w:r>
        <w:rPr>
          <w:rFonts w:ascii="Arial" w:cs="Arial" w:eastAsia="Arial" w:hAnsi="Arial"/>
          <w:sz w:val="21"/>
          <w:szCs w:val="21"/>
          <w:b w:val="1"/>
          <w:bCs w:val="1"/>
          <w:u w:val="single" w:color="auto"/>
          <w:color w:val="auto"/>
        </w:rPr>
        <w:t>TITLE, PURPOSE AND AUTHORIZED SHARES</w:t>
      </w:r>
    </w:p>
    <w:p>
      <w:pPr>
        <w:spacing w:after="0" w:line="162" w:lineRule="exact"/>
        <w:rPr>
          <w:sz w:val="20"/>
          <w:szCs w:val="20"/>
          <w:color w:val="auto"/>
        </w:rPr>
      </w:pPr>
    </w:p>
    <w:p>
      <w:pPr>
        <w:ind w:firstLine="1265"/>
        <w:spacing w:after="0" w:line="224" w:lineRule="auto"/>
        <w:rPr>
          <w:sz w:val="20"/>
          <w:szCs w:val="20"/>
          <w:color w:val="auto"/>
        </w:rPr>
      </w:pPr>
      <w:r>
        <w:rPr>
          <w:rFonts w:ascii="Arial" w:cs="Arial" w:eastAsia="Arial" w:hAnsi="Arial"/>
          <w:sz w:val="20"/>
          <w:szCs w:val="20"/>
          <w:color w:val="auto"/>
        </w:rPr>
        <w:t>This Plan shall be known as “The Macerich Company Eligible Directors’ Deferred Compensation/Phantom Stock Plan.” The purpose of this Plan is to attract, motivate and retain experienced and knowledgeable directors of The Macerich Company by permitting them to defer compensation and affording them the opportunity to link that compensation to an equity interest in the Company. The total number of shares of Common Stock that may be delivered pursuant to awards under this Plan is 650,000, subject to adjustments contemplated by Section 5.6. This version of this Plan applies to Compensation and/or Special Compensation payable to an Eligible Director for service on the Board or any Board committee on or after January 1, 2023. The Plan was amended and restated to change the formula for calculating the number of Stock Units to credit to an Eligible Director’s Current Stock Unit Account and Current Dividend Equivalent Stock Account effective on and after January 1, 2023. Such amendment was intended as a change to the method of calculating allocations to an investment option and for calculating earnings, and is not intended to constitute a material modification within the meaning of Code Section 409A. For the provisions applicable to Compensation and/or Special Compensation payable to an Eligible Director for service prior to January 1, 2023, see the version of this Plan in effect as of the applicable date.</w:t>
      </w:r>
    </w:p>
    <w:p>
      <w:pPr>
        <w:spacing w:after="0" w:line="152"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ARTICLE II</w:t>
      </w:r>
    </w:p>
    <w:p>
      <w:pPr>
        <w:ind w:left="4920"/>
        <w:spacing w:after="0"/>
        <w:rPr>
          <w:sz w:val="20"/>
          <w:szCs w:val="20"/>
          <w:color w:val="auto"/>
        </w:rPr>
      </w:pPr>
      <w:r>
        <w:rPr>
          <w:rFonts w:ascii="Arial" w:cs="Arial" w:eastAsia="Arial" w:hAnsi="Arial"/>
          <w:sz w:val="21"/>
          <w:szCs w:val="21"/>
          <w:b w:val="1"/>
          <w:bCs w:val="1"/>
          <w:u w:val="single" w:color="auto"/>
          <w:color w:val="auto"/>
        </w:rPr>
        <w:t>DEFINITIONS</w:t>
      </w:r>
    </w:p>
    <w:p>
      <w:pPr>
        <w:spacing w:after="0" w:line="162" w:lineRule="exact"/>
        <w:rPr>
          <w:sz w:val="20"/>
          <w:szCs w:val="20"/>
          <w:color w:val="auto"/>
        </w:rPr>
      </w:pPr>
    </w:p>
    <w:p>
      <w:pPr>
        <w:ind w:right="300" w:firstLine="1265"/>
        <w:spacing w:after="0" w:line="237" w:lineRule="auto"/>
        <w:rPr>
          <w:sz w:val="20"/>
          <w:szCs w:val="20"/>
          <w:color w:val="auto"/>
        </w:rPr>
      </w:pPr>
      <w:r>
        <w:rPr>
          <w:rFonts w:ascii="Arial" w:cs="Arial" w:eastAsia="Arial" w:hAnsi="Arial"/>
          <w:sz w:val="21"/>
          <w:szCs w:val="21"/>
          <w:color w:val="auto"/>
        </w:rPr>
        <w:t>Whenever the following terms are used in this Plan they shall have the meaning specified below unless the context clearly indicates to the contrary:</w:t>
      </w:r>
    </w:p>
    <w:p>
      <w:pPr>
        <w:spacing w:after="0" w:line="149" w:lineRule="exact"/>
        <w:rPr>
          <w:sz w:val="20"/>
          <w:szCs w:val="20"/>
          <w:color w:val="auto"/>
        </w:rPr>
      </w:pPr>
    </w:p>
    <w:p>
      <w:pPr>
        <w:ind w:right="400"/>
        <w:spacing w:after="0" w:line="230"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b w:val="1"/>
          <w:bCs w:val="1"/>
          <w:u w:val="single" w:color="auto"/>
          <w:color w:val="auto"/>
        </w:rPr>
        <w:t>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one or more of an Eligible Director’s Cash Account(s), Stock Unit Account(s), Dividend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Cash Account(s) and Dividend Equivalent Stock Account(s). Each Account includes, to the extent applicable, any Distribution Subaccounts.</w:t>
      </w:r>
    </w:p>
    <w:p>
      <w:pPr>
        <w:spacing w:after="0" w:line="149"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b w:val="1"/>
          <w:bCs w:val="1"/>
          <w:u w:val="single" w:color="auto"/>
          <w:color w:val="auto"/>
        </w:rPr>
        <w:t>Additional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a particular calendar year shall mean the difference (if any) between (i)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of an Eligible Director’s Compensation for such calendar year taken into account on the Award Date, and (ii) the amount of Compensation the Eligible Director would actually have been paid for such calendar year, solely to the extent that such difference in the Eligible Director’s Compensation for such calendar year is attributable to (1) changes in the Company’s compensation policy for non-employee directors that are approved by the Board of Directors and take effect during or prior to such calendar year and/or (2) changes in the Eligible Director’s annual retainer levels as a result of such Eligible Director’s becoming or ceasing to be a member of a Board committee or the chairperson or presiding/lead director of the Board or the chairperson of a Board committee. For purposes of clarity, “Additional Compensation” may be a negative number. Notwithstanding any other provision herein, an amount of Compensation that is treated as Additional Compensation hereunder shall not in any event be treated as Special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64" w:right="339" w:bottom="1440" w:gutter="0" w:footer="0" w:header="0"/>
        </w:sectPr>
      </w:pPr>
    </w:p>
    <w:bookmarkStart w:id="124" w:name="page125"/>
    <w:bookmarkEnd w:id="124"/>
    <w:p>
      <w:pPr>
        <w:spacing w:after="0" w:line="222" w:lineRule="auto"/>
        <w:rPr>
          <w:sz w:val="20"/>
          <w:szCs w:val="20"/>
          <w:color w:val="auto"/>
        </w:rPr>
      </w:pPr>
      <w:r>
        <w:rPr>
          <w:rFonts w:ascii="Arial" w:cs="Arial" w:eastAsia="Arial" w:hAnsi="Arial"/>
          <w:sz w:val="21"/>
          <w:szCs w:val="21"/>
          <w:b w:val="1"/>
          <w:bCs w:val="1"/>
          <w:color w:val="auto"/>
        </w:rPr>
        <w:t xml:space="preserve">2.3 </w:t>
      </w:r>
      <w:r>
        <w:rPr>
          <w:rFonts w:ascii="Arial" w:cs="Arial" w:eastAsia="Arial" w:hAnsi="Arial"/>
          <w:sz w:val="21"/>
          <w:szCs w:val="21"/>
          <w:b w:val="1"/>
          <w:bCs w:val="1"/>
          <w:u w:val="single" w:color="auto"/>
          <w:color w:val="auto"/>
        </w:rPr>
        <w:t>Additional Compensation Approval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as applicable, the date on which the Board of Directors approves the</w:t>
      </w:r>
      <w:r>
        <w:rPr>
          <w:rFonts w:ascii="Arial" w:cs="Arial" w:eastAsia="Arial" w:hAnsi="Arial"/>
          <w:sz w:val="21"/>
          <w:szCs w:val="21"/>
          <w:b w:val="1"/>
          <w:bCs w:val="1"/>
          <w:color w:val="auto"/>
        </w:rPr>
        <w:t xml:space="preserve"> </w:t>
      </w:r>
      <w:r>
        <w:rPr>
          <w:rFonts w:ascii="Arial" w:cs="Arial" w:eastAsia="Arial" w:hAnsi="Arial"/>
          <w:sz w:val="21"/>
          <w:szCs w:val="21"/>
          <w:color w:val="auto"/>
        </w:rPr>
        <w:t>change in the Company’s compensation policy for non-employee directors that gives rise to the Additional Compensation or, in the case of an Eligible Director’s becoming or ceasing to be a member of a Board committee or the chairperson or presiding/lead director of the Board or the chairperson of a Board committee, the date on which the Board of Directors approves such change in the Eligible Director’s status (or, if later, the effective date of such change).</w:t>
      </w:r>
    </w:p>
    <w:p>
      <w:pPr>
        <w:spacing w:after="0" w:line="148" w:lineRule="exact"/>
        <w:rPr>
          <w:sz w:val="20"/>
          <w:szCs w:val="20"/>
          <w:color w:val="auto"/>
        </w:rPr>
      </w:pPr>
    </w:p>
    <w:p>
      <w:pPr>
        <w:jc w:val="both"/>
        <w:ind w:right="100"/>
        <w:spacing w:after="0" w:line="230"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b w:val="1"/>
          <w:bCs w:val="1"/>
          <w:u w:val="single" w:color="auto"/>
          <w:color w:val="auto"/>
        </w:rPr>
        <w:t>Award Date</w:t>
      </w:r>
      <w:r>
        <w:rPr>
          <w:rFonts w:ascii="Arial" w:cs="Arial" w:eastAsia="Arial" w:hAnsi="Arial"/>
          <w:sz w:val="21"/>
          <w:szCs w:val="21"/>
          <w:b w:val="1"/>
          <w:bCs w:val="1"/>
          <w:color w:val="auto"/>
        </w:rPr>
        <w:t xml:space="preserve"> </w:t>
      </w:r>
      <w:r>
        <w:rPr>
          <w:rFonts w:ascii="Arial" w:cs="Arial" w:eastAsia="Arial" w:hAnsi="Arial"/>
          <w:sz w:val="21"/>
          <w:szCs w:val="21"/>
          <w:color w:val="auto"/>
        </w:rPr>
        <w:t>with reference to elections under Section 4.2 shall mean the January 1 that next follows the date of an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Director’s election made pursuant to Section 4.2. Award Date with reference to elections under Section 4.1 shall mean the date next following the date that the Eligible Director files his or her election under Section 4.1.</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2.5</w:t>
      </w:r>
      <w:r>
        <w:rPr>
          <w:sz w:val="20"/>
          <w:szCs w:val="20"/>
          <w:color w:val="auto"/>
        </w:rPr>
        <w:tab/>
      </w:r>
      <w:r>
        <w:rPr>
          <w:rFonts w:ascii="Arial" w:cs="Arial" w:eastAsia="Arial" w:hAnsi="Arial"/>
          <w:sz w:val="19"/>
          <w:szCs w:val="19"/>
          <w:b w:val="1"/>
          <w:bCs w:val="1"/>
          <w:u w:val="single" w:color="auto"/>
          <w:color w:val="auto"/>
        </w:rPr>
        <w:t xml:space="preserve">Board of Directors </w:t>
      </w:r>
      <w:r>
        <w:rPr>
          <w:rFonts w:ascii="Arial" w:cs="Arial" w:eastAsia="Arial" w:hAnsi="Arial"/>
          <w:sz w:val="19"/>
          <w:szCs w:val="19"/>
          <w:color w:val="auto"/>
        </w:rPr>
        <w:t>or</w:t>
      </w:r>
      <w:r>
        <w:rPr>
          <w:rFonts w:ascii="Arial" w:cs="Arial" w:eastAsia="Arial" w:hAnsi="Arial"/>
          <w:sz w:val="19"/>
          <w:szCs w:val="19"/>
          <w:b w:val="1"/>
          <w:bCs w:val="1"/>
          <w:u w:val="single" w:color="auto"/>
          <w:color w:val="auto"/>
        </w:rPr>
        <w:t xml:space="preserve"> Board </w:t>
      </w:r>
      <w:r>
        <w:rPr>
          <w:rFonts w:ascii="Arial" w:cs="Arial" w:eastAsia="Arial" w:hAnsi="Arial"/>
          <w:sz w:val="19"/>
          <w:szCs w:val="19"/>
          <w:color w:val="auto"/>
        </w:rPr>
        <w:t>shall mean the Board of Directors of the Company.</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2.6</w:t>
      </w:r>
      <w:r>
        <w:rPr>
          <w:sz w:val="20"/>
          <w:szCs w:val="20"/>
          <w:color w:val="auto"/>
        </w:rPr>
        <w:tab/>
      </w:r>
      <w:r>
        <w:rPr>
          <w:rFonts w:ascii="Arial" w:cs="Arial" w:eastAsia="Arial" w:hAnsi="Arial"/>
          <w:sz w:val="18"/>
          <w:szCs w:val="18"/>
          <w:b w:val="1"/>
          <w:bCs w:val="1"/>
          <w:u w:val="single" w:color="auto"/>
          <w:color w:val="auto"/>
        </w:rPr>
        <w:t xml:space="preserve">Cash Account </w:t>
      </w:r>
      <w:r>
        <w:rPr>
          <w:rFonts w:ascii="Arial" w:cs="Arial" w:eastAsia="Arial" w:hAnsi="Arial"/>
          <w:sz w:val="18"/>
          <w:szCs w:val="18"/>
          <w:color w:val="auto"/>
        </w:rPr>
        <w:t>shall mean a Current Cash Account and/or a Prior Cash Account.</w:t>
      </w:r>
    </w:p>
    <w:p>
      <w:pPr>
        <w:spacing w:after="0" w:line="180" w:lineRule="exact"/>
        <w:rPr>
          <w:sz w:val="20"/>
          <w:szCs w:val="20"/>
          <w:color w:val="auto"/>
        </w:rPr>
      </w:pPr>
    </w:p>
    <w:p>
      <w:pPr>
        <w:jc w:val="both"/>
        <w:ind w:right="220"/>
        <w:spacing w:after="0" w:line="230" w:lineRule="auto"/>
        <w:rPr>
          <w:sz w:val="20"/>
          <w:szCs w:val="20"/>
          <w:color w:val="auto"/>
        </w:rPr>
      </w:pPr>
      <w:r>
        <w:rPr>
          <w:rFonts w:ascii="Arial" w:cs="Arial" w:eastAsia="Arial" w:hAnsi="Arial"/>
          <w:sz w:val="21"/>
          <w:szCs w:val="21"/>
          <w:b w:val="1"/>
          <w:bCs w:val="1"/>
          <w:color w:val="auto"/>
        </w:rPr>
        <w:t xml:space="preserve">2.7 </w:t>
      </w:r>
      <w:r>
        <w:rPr>
          <w:rFonts w:ascii="Arial" w:cs="Arial" w:eastAsia="Arial" w:hAnsi="Arial"/>
          <w:sz w:val="21"/>
          <w:szCs w:val="21"/>
          <w:b w:val="1"/>
          <w:bCs w:val="1"/>
          <w:u w:val="single" w:color="auto"/>
          <w:color w:val="auto"/>
        </w:rPr>
        <w:t>Cash or Combination Dividends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cash dividends and distributions to holders of shares of Common Stock, and</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dividends in connection with which holders of shares of Common Stock have the right to elect to receive cash, shares of Common Stock of equivalent value, or a combination thereof.</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2.8</w:t>
      </w:r>
      <w:r>
        <w:rPr>
          <w:sz w:val="20"/>
          <w:szCs w:val="20"/>
          <w:color w:val="auto"/>
        </w:rPr>
        <w:tab/>
      </w:r>
      <w:r>
        <w:rPr>
          <w:rFonts w:ascii="Arial" w:cs="Arial" w:eastAsia="Arial" w:hAnsi="Arial"/>
          <w:sz w:val="19"/>
          <w:szCs w:val="19"/>
          <w:b w:val="1"/>
          <w:bCs w:val="1"/>
          <w:u w:val="single" w:color="auto"/>
          <w:color w:val="auto"/>
        </w:rPr>
        <w:t>Change in Control Event</w:t>
      </w:r>
    </w:p>
    <w:p>
      <w:pPr>
        <w:spacing w:after="0" w:line="186" w:lineRule="exact"/>
        <w:rPr>
          <w:sz w:val="20"/>
          <w:szCs w:val="20"/>
          <w:color w:val="auto"/>
        </w:rPr>
      </w:pPr>
    </w:p>
    <w:p>
      <w:pPr>
        <w:ind w:firstLine="5"/>
        <w:spacing w:after="0" w:line="234" w:lineRule="auto"/>
        <w:tabs>
          <w:tab w:leader="none" w:pos="628"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with respect to the provisions of Section 5.5A of the Plan set forth in Appendix A, which apply to the distribution of amounts deferred prior to January 1, 2005 and credited to Prior Cash Accounts, Prior Dividend Equivalent Cash Accounts, Prior Dividend Equivalent Stock Accounts and Prior Stock Unit Accounts, shall have the meaning specified for such term under The Macerich Company Amended and Restated 1994 Incentive Plan, as amended from time to time; and</w:t>
      </w:r>
    </w:p>
    <w:p>
      <w:pPr>
        <w:spacing w:after="0" w:line="156" w:lineRule="exact"/>
        <w:rPr>
          <w:rFonts w:ascii="Arial" w:cs="Arial" w:eastAsia="Arial" w:hAnsi="Arial"/>
          <w:sz w:val="20"/>
          <w:szCs w:val="20"/>
          <w:b w:val="1"/>
          <w:bCs w:val="1"/>
          <w:color w:val="auto"/>
        </w:rPr>
      </w:pPr>
    </w:p>
    <w:p>
      <w:pPr>
        <w:ind w:right="840" w:firstLine="5"/>
        <w:spacing w:after="0" w:line="285" w:lineRule="auto"/>
        <w:tabs>
          <w:tab w:leader="none" w:pos="626"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with respect to the provisions of the Plan that apply to distributions from Current Cash Accounts, Current Dividend Equivalent Cash Accounts, Current Dividend Equivalent Stock Accounts and Current Stock Unit Accounts, shall mean</w:t>
      </w:r>
    </w:p>
    <w:p>
      <w:pPr>
        <w:spacing w:after="0" w:line="113" w:lineRule="exact"/>
        <w:rPr>
          <w:sz w:val="20"/>
          <w:szCs w:val="20"/>
          <w:color w:val="auto"/>
        </w:rPr>
      </w:pPr>
    </w:p>
    <w:p>
      <w:pPr>
        <w:ind w:right="80" w:firstLine="5"/>
        <w:spacing w:after="0" w:line="234" w:lineRule="auto"/>
        <w:tabs>
          <w:tab w:leader="none" w:pos="628" w:val="left"/>
        </w:tabs>
        <w:numPr>
          <w:ilvl w:val="0"/>
          <w:numId w:val="60"/>
        </w:numPr>
        <w:rPr>
          <w:rFonts w:ascii="Arial" w:cs="Arial" w:eastAsia="Arial" w:hAnsi="Arial"/>
          <w:sz w:val="19"/>
          <w:szCs w:val="19"/>
          <w:b w:val="1"/>
          <w:bCs w:val="1"/>
          <w:color w:val="auto"/>
        </w:rPr>
      </w:pPr>
      <w:r>
        <w:rPr>
          <w:rFonts w:ascii="Arial" w:cs="Arial" w:eastAsia="Arial" w:hAnsi="Arial"/>
          <w:sz w:val="19"/>
          <w:szCs w:val="19"/>
          <w:color w:val="auto"/>
        </w:rPr>
        <w:t>the acquisition by any individual, entity or group (within the meaning of Section 13(d)(3) or 14(d)(2) of the Securities Exchange Act of 1934, as amended (the “Exchange Act”)) (such individual, entity, or group, a “Person”) of beneficial ownership (within the meaning of Rule 13d-3 promulgated under the Exchange Act) of stock possessing 33% or more of the combined voting power of the then-outstanding voting securities of the Company entitled to vote generally in the election of directors (the “Outstanding Company Voting Securities”); provided, however, that, for purposes of this definition, the following acquisitions shall not constitute a Change in Control Event; (A) any acquisition directly from the Company, (B) any acquisition by the Company,</w:t>
      </w:r>
    </w:p>
    <w:p>
      <w:pPr>
        <w:spacing w:after="0" w:line="4" w:lineRule="exact"/>
        <w:rPr>
          <w:rFonts w:ascii="Arial" w:cs="Arial" w:eastAsia="Arial" w:hAnsi="Arial"/>
          <w:sz w:val="19"/>
          <w:szCs w:val="19"/>
          <w:b w:val="1"/>
          <w:bCs w:val="1"/>
          <w:color w:val="auto"/>
        </w:rPr>
      </w:pPr>
    </w:p>
    <w:p>
      <w:pPr>
        <w:ind w:right="220"/>
        <w:spacing w:after="0" w:line="222" w:lineRule="auto"/>
        <w:rPr>
          <w:rFonts w:ascii="Arial" w:cs="Arial" w:eastAsia="Arial" w:hAnsi="Arial"/>
          <w:sz w:val="19"/>
          <w:szCs w:val="19"/>
          <w:b w:val="1"/>
          <w:bCs w:val="1"/>
          <w:color w:val="auto"/>
        </w:rPr>
      </w:pPr>
      <w:r>
        <w:rPr>
          <w:rFonts w:ascii="Arial" w:cs="Arial" w:eastAsia="Arial" w:hAnsi="Arial"/>
          <w:sz w:val="21"/>
          <w:szCs w:val="21"/>
          <w:color w:val="auto"/>
        </w:rPr>
        <w:t>(C) any acquisition by any employee benefit plan (or related trust) sponsored or maintained by the Company or any affiliate of the Company or successor or (D) any acquisition by a Person having beneficial ownership of more than 50% of the Outstanding Company Voting Securities prior to the acquisition;</w:t>
      </w:r>
    </w:p>
    <w:p>
      <w:pPr>
        <w:spacing w:after="0" w:line="155" w:lineRule="exact"/>
        <w:rPr>
          <w:rFonts w:ascii="Arial" w:cs="Arial" w:eastAsia="Arial" w:hAnsi="Arial"/>
          <w:sz w:val="19"/>
          <w:szCs w:val="19"/>
          <w:b w:val="1"/>
          <w:bCs w:val="1"/>
          <w:color w:val="auto"/>
        </w:rPr>
      </w:pPr>
    </w:p>
    <w:p>
      <w:pPr>
        <w:ind w:right="80" w:firstLine="5"/>
        <w:spacing w:after="0" w:line="228" w:lineRule="auto"/>
        <w:tabs>
          <w:tab w:leader="none" w:pos="628" w:val="left"/>
        </w:tabs>
        <w:numPr>
          <w:ilvl w:val="0"/>
          <w:numId w:val="60"/>
        </w:numPr>
        <w:rPr>
          <w:rFonts w:ascii="Arial" w:cs="Arial" w:eastAsia="Arial" w:hAnsi="Arial"/>
          <w:sz w:val="21"/>
          <w:szCs w:val="21"/>
          <w:b w:val="1"/>
          <w:bCs w:val="1"/>
          <w:color w:val="auto"/>
        </w:rPr>
      </w:pPr>
      <w:r>
        <w:rPr>
          <w:rFonts w:ascii="Arial" w:cs="Arial" w:eastAsia="Arial" w:hAnsi="Arial"/>
          <w:sz w:val="21"/>
          <w:szCs w:val="21"/>
          <w:color w:val="auto"/>
        </w:rPr>
        <w:t>individuals who, as of any date (the “Initial Date”) after the date hereof, constitute the Board (the “Incumbent Board”) cease for any reason, at any time within 12 months following the Initial Date, to constitute at least a majority of the Board; provided, however, that any individual becoming a director subsequent to the Initial Date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00"/>
          </w:cols>
          <w:pgMar w:left="320" w:top="1364" w:right="379" w:bottom="1440" w:gutter="0" w:footer="0" w:header="0"/>
        </w:sectPr>
      </w:pPr>
    </w:p>
    <w:bookmarkStart w:id="125" w:name="page126"/>
    <w:bookmarkEnd w:id="125"/>
    <w:p>
      <w:pPr>
        <w:ind w:right="80"/>
        <w:spacing w:after="0" w:line="223" w:lineRule="auto"/>
        <w:rPr>
          <w:sz w:val="20"/>
          <w:szCs w:val="20"/>
          <w:color w:val="auto"/>
        </w:rPr>
      </w:pPr>
      <w:r>
        <w:rPr>
          <w:rFonts w:ascii="Arial" w:cs="Arial" w:eastAsia="Arial" w:hAnsi="Arial"/>
          <w:sz w:val="21"/>
          <w:szCs w:val="21"/>
          <w:color w:val="auto"/>
        </w:rPr>
        <w:t>election, or nomination for election by the Company's stockholders, was approved by a vote of at least a majority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w:t>
      </w:r>
    </w:p>
    <w:p>
      <w:pPr>
        <w:spacing w:after="0" w:line="155" w:lineRule="exact"/>
        <w:rPr>
          <w:sz w:val="20"/>
          <w:szCs w:val="20"/>
          <w:color w:val="auto"/>
        </w:rPr>
      </w:pPr>
    </w:p>
    <w:p>
      <w:pPr>
        <w:ind w:left="640" w:hanging="635"/>
        <w:spacing w:after="0"/>
        <w:tabs>
          <w:tab w:leader="none" w:pos="640"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consummation of a reorganization, merger, statutory share exchange or consolidation or similar corporate transaction</w:t>
      </w:r>
    </w:p>
    <w:p>
      <w:pPr>
        <w:ind w:right="60"/>
        <w:spacing w:after="0" w:line="225" w:lineRule="auto"/>
        <w:rPr>
          <w:rFonts w:ascii="Arial" w:cs="Arial" w:eastAsia="Arial" w:hAnsi="Arial"/>
          <w:sz w:val="20"/>
          <w:szCs w:val="20"/>
          <w:b w:val="1"/>
          <w:bCs w:val="1"/>
          <w:color w:val="auto"/>
        </w:rPr>
      </w:pPr>
      <w:r>
        <w:rPr>
          <w:rFonts w:ascii="Arial" w:cs="Arial" w:eastAsia="Arial" w:hAnsi="Arial"/>
          <w:sz w:val="20"/>
          <w:szCs w:val="20"/>
          <w:color w:val="auto"/>
        </w:rPr>
        <w:t>involving the Company or any of its subsidiaries, or the acquisition of assets or stock of another entity by the Company or any of its subsidiaries (each, a “Business Combination”), in each case if, following such Business Combination, any Person (excluding any entity resulting from such Business Combination or a parent of any such entity or any employee benefit plan (or related trust) of the Company or such entity resulting from such Business Combination or parent of any such entity) beneficially owns, directly or indirectly, more than 50% of, respectively, the then-outstanding shares of stock of the entity resulting from such Business Combination or the combined voting power of the then-outstanding voting securities of such entity, except to the extent that the ownership in excess of 50% existed prior to the Business Combination; or</w:t>
      </w:r>
    </w:p>
    <w:p>
      <w:pPr>
        <w:spacing w:after="0" w:line="159" w:lineRule="exact"/>
        <w:rPr>
          <w:rFonts w:ascii="Arial" w:cs="Arial" w:eastAsia="Arial" w:hAnsi="Arial"/>
          <w:sz w:val="20"/>
          <w:szCs w:val="20"/>
          <w:b w:val="1"/>
          <w:bCs w:val="1"/>
          <w:color w:val="auto"/>
        </w:rPr>
      </w:pPr>
    </w:p>
    <w:p>
      <w:pPr>
        <w:ind w:right="220" w:firstLine="5"/>
        <w:spacing w:after="0" w:line="228" w:lineRule="auto"/>
        <w:tabs>
          <w:tab w:leader="none" w:pos="628" w:val="left"/>
        </w:tabs>
        <w:numPr>
          <w:ilvl w:val="0"/>
          <w:numId w:val="61"/>
        </w:numPr>
        <w:rPr>
          <w:rFonts w:ascii="Arial" w:cs="Arial" w:eastAsia="Arial" w:hAnsi="Arial"/>
          <w:sz w:val="20"/>
          <w:szCs w:val="20"/>
          <w:b w:val="1"/>
          <w:bCs w:val="1"/>
          <w:color w:val="auto"/>
        </w:rPr>
      </w:pPr>
      <w:r>
        <w:rPr>
          <w:rFonts w:ascii="Arial" w:cs="Arial" w:eastAsia="Arial" w:hAnsi="Arial"/>
          <w:sz w:val="20"/>
          <w:szCs w:val="20"/>
          <w:color w:val="auto"/>
        </w:rPr>
        <w:t>consummation of a sale or other disposition of all or substantially all of the assets of the Company (an “Asset Transfer”), other than a transfer to (A) one or more of the beneficial owners (immediately before the Asset Transfer) of the then-outstanding shares of stock of the Company (“Outstanding Company Stock”) in exchange for or with respect to such Outstanding Company Stock of such beneficial owners, or (B) an entity, 50% or more of the total value or voting power of which is owned, directly or indirectly, by the Company, or (C) a Person that owns, directly or indirectly, 50% or more of the total value or voting power of the Outstanding Company Stock, or (D) an entity, 50% or more of the total value or voting power of which is owned, directly or indirectly, by a Person described in the preceding clause (C).</w:t>
      </w:r>
    </w:p>
    <w:p>
      <w:pPr>
        <w:spacing w:after="0" w:line="157" w:lineRule="exact"/>
        <w:rPr>
          <w:sz w:val="20"/>
          <w:szCs w:val="20"/>
          <w:color w:val="auto"/>
        </w:rPr>
      </w:pPr>
    </w:p>
    <w:p>
      <w:pPr>
        <w:ind w:right="220" w:firstLine="1265"/>
        <w:spacing w:after="0" w:line="223" w:lineRule="auto"/>
        <w:rPr>
          <w:sz w:val="20"/>
          <w:szCs w:val="20"/>
          <w:color w:val="auto"/>
        </w:rPr>
      </w:pPr>
      <w:r>
        <w:rPr>
          <w:rFonts w:ascii="Arial" w:cs="Arial" w:eastAsia="Arial" w:hAnsi="Arial"/>
          <w:sz w:val="21"/>
          <w:szCs w:val="21"/>
          <w:color w:val="auto"/>
        </w:rPr>
        <w:t>Each event comprising a Change in Control Event under this Subsection (b) is intended to constitute a “change in ownership or effective control” or a “change in the ownership of a substantial portion of the assets” of the Company as such terms are defined for purposes of Section 409A of the Internal Revenue Code and such definition of “Change in Control Event” as used herein shall be interpreted consistently therewith.</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2.9</w:t>
      </w:r>
      <w:r>
        <w:rPr>
          <w:sz w:val="20"/>
          <w:szCs w:val="20"/>
          <w:color w:val="auto"/>
        </w:rPr>
        <w:tab/>
      </w:r>
      <w:r>
        <w:rPr>
          <w:rFonts w:ascii="Arial" w:cs="Arial" w:eastAsia="Arial" w:hAnsi="Arial"/>
          <w:sz w:val="18"/>
          <w:szCs w:val="18"/>
          <w:b w:val="1"/>
          <w:bCs w:val="1"/>
          <w:u w:val="single" w:color="auto"/>
          <w:color w:val="auto"/>
        </w:rPr>
        <w:t xml:space="preserve">Code </w:t>
      </w:r>
      <w:r>
        <w:rPr>
          <w:rFonts w:ascii="Arial" w:cs="Arial" w:eastAsia="Arial" w:hAnsi="Arial"/>
          <w:sz w:val="18"/>
          <w:szCs w:val="18"/>
          <w:color w:val="auto"/>
        </w:rPr>
        <w:t>shall mean the Internal Revenue Code of 1986, as amended.</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2.10</w:t>
      </w:r>
      <w:r>
        <w:rPr>
          <w:sz w:val="20"/>
          <w:szCs w:val="20"/>
          <w:color w:val="auto"/>
        </w:rPr>
        <w:tab/>
      </w:r>
      <w:r>
        <w:rPr>
          <w:rFonts w:ascii="Arial" w:cs="Arial" w:eastAsia="Arial" w:hAnsi="Arial"/>
          <w:sz w:val="18"/>
          <w:szCs w:val="18"/>
          <w:b w:val="1"/>
          <w:bCs w:val="1"/>
          <w:u w:val="single" w:color="auto"/>
          <w:color w:val="auto"/>
        </w:rPr>
        <w:t xml:space="preserve">Common Stock </w:t>
      </w:r>
      <w:r>
        <w:rPr>
          <w:rFonts w:ascii="Arial" w:cs="Arial" w:eastAsia="Arial" w:hAnsi="Arial"/>
          <w:sz w:val="18"/>
          <w:szCs w:val="18"/>
          <w:color w:val="auto"/>
        </w:rPr>
        <w:t>shall mean the Common Stock of the Company.</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21"/>
          <w:szCs w:val="21"/>
          <w:b w:val="1"/>
          <w:bCs w:val="1"/>
          <w:color w:val="auto"/>
        </w:rPr>
        <w:t xml:space="preserve">2.11 </w:t>
      </w:r>
      <w:r>
        <w:rPr>
          <w:rFonts w:ascii="Arial" w:cs="Arial" w:eastAsia="Arial" w:hAnsi="Arial"/>
          <w:sz w:val="21"/>
          <w:szCs w:val="21"/>
          <w:b w:val="1"/>
          <w:bCs w:val="1"/>
          <w:u w:val="single" w:color="auto"/>
          <w:color w:val="auto"/>
        </w:rPr>
        <w:t>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Committee of the Board of Directors acting in accordance with Article VI and applicable Maryland</w:t>
      </w:r>
      <w:r>
        <w:rPr>
          <w:rFonts w:ascii="Arial" w:cs="Arial" w:eastAsia="Arial" w:hAnsi="Arial"/>
          <w:sz w:val="21"/>
          <w:szCs w:val="21"/>
          <w:b w:val="1"/>
          <w:bCs w:val="1"/>
          <w:color w:val="auto"/>
        </w:rPr>
        <w:t xml:space="preserve"> </w:t>
      </w:r>
      <w:r>
        <w:rPr>
          <w:rFonts w:ascii="Arial" w:cs="Arial" w:eastAsia="Arial" w:hAnsi="Arial"/>
          <w:sz w:val="21"/>
          <w:szCs w:val="21"/>
          <w:color w:val="auto"/>
        </w:rPr>
        <w:t>law, or the Board of Directors.</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2.12</w:t>
      </w:r>
      <w:r>
        <w:rPr>
          <w:sz w:val="20"/>
          <w:szCs w:val="20"/>
          <w:color w:val="auto"/>
        </w:rPr>
        <w:tab/>
      </w:r>
      <w:r>
        <w:rPr>
          <w:rFonts w:ascii="Arial" w:cs="Arial" w:eastAsia="Arial" w:hAnsi="Arial"/>
          <w:sz w:val="18"/>
          <w:szCs w:val="18"/>
          <w:b w:val="1"/>
          <w:bCs w:val="1"/>
          <w:u w:val="single" w:color="auto"/>
          <w:color w:val="auto"/>
        </w:rPr>
        <w:t xml:space="preserve">Company </w:t>
      </w:r>
      <w:r>
        <w:rPr>
          <w:rFonts w:ascii="Arial" w:cs="Arial" w:eastAsia="Arial" w:hAnsi="Arial"/>
          <w:sz w:val="18"/>
          <w:szCs w:val="18"/>
          <w:color w:val="auto"/>
        </w:rPr>
        <w:t>shall mean The Macerich Company, a Maryland corporation, and its successors and assigns.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2.13</w:t>
      </w:r>
      <w:r>
        <w:rPr>
          <w:sz w:val="20"/>
          <w:szCs w:val="20"/>
          <w:color w:val="auto"/>
        </w:rPr>
        <w:tab/>
      </w:r>
      <w:r>
        <w:rPr>
          <w:rFonts w:ascii="Arial" w:cs="Arial" w:eastAsia="Arial" w:hAnsi="Arial"/>
          <w:sz w:val="18"/>
          <w:szCs w:val="18"/>
          <w:b w:val="1"/>
          <w:bCs w:val="1"/>
          <w:u w:val="single" w:color="auto"/>
          <w:color w:val="auto"/>
        </w:rPr>
        <w:t xml:space="preserve">Compensation </w:t>
      </w:r>
      <w:r>
        <w:rPr>
          <w:rFonts w:ascii="Arial" w:cs="Arial" w:eastAsia="Arial" w:hAnsi="Arial"/>
          <w:sz w:val="18"/>
          <w:szCs w:val="18"/>
          <w:color w:val="auto"/>
        </w:rPr>
        <w:t>shall mean the annual retainer fees payable by the Company to an Eligible Director for a calendar year.</w:t>
      </w:r>
    </w:p>
    <w:p>
      <w:pPr>
        <w:spacing w:after="0" w:line="180" w:lineRule="exact"/>
        <w:rPr>
          <w:sz w:val="20"/>
          <w:szCs w:val="20"/>
          <w:color w:val="auto"/>
        </w:rPr>
      </w:pPr>
    </w:p>
    <w:p>
      <w:pPr>
        <w:spacing w:after="0" w:line="292" w:lineRule="auto"/>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9"/>
          <w:szCs w:val="19"/>
          <w:b w:val="1"/>
          <w:bCs w:val="1"/>
          <w:u w:val="single" w:color="auto"/>
          <w:color w:val="auto"/>
        </w:rPr>
        <w:t>Current Cash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 bookkeeping account maintained by the Company on behalf of each Eligible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who elects to defer Compensation and Special Meeting Fees earned after December 31, 2004 in cash in accordance with Section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00"/>
          </w:cols>
          <w:pgMar w:left="320" w:top="1370" w:right="379" w:bottom="1440" w:gutter="0" w:footer="0" w:header="0"/>
        </w:sectPr>
      </w:pPr>
    </w:p>
    <w:bookmarkStart w:id="126" w:name="page127"/>
    <w:bookmarkEnd w:id="126"/>
    <w:p>
      <w:pPr>
        <w:spacing w:after="0" w:line="225" w:lineRule="auto"/>
        <w:rPr>
          <w:sz w:val="20"/>
          <w:szCs w:val="20"/>
          <w:color w:val="auto"/>
        </w:rPr>
      </w:pPr>
      <w:r>
        <w:rPr>
          <w:rFonts w:ascii="Arial" w:cs="Arial" w:eastAsia="Arial" w:hAnsi="Arial"/>
          <w:sz w:val="21"/>
          <w:szCs w:val="21"/>
          <w:b w:val="1"/>
          <w:bCs w:val="1"/>
          <w:color w:val="auto"/>
        </w:rPr>
        <w:t xml:space="preserve">2.15 </w:t>
      </w:r>
      <w:r>
        <w:rPr>
          <w:rFonts w:ascii="Arial" w:cs="Arial" w:eastAsia="Arial" w:hAnsi="Arial"/>
          <w:sz w:val="21"/>
          <w:szCs w:val="21"/>
          <w:b w:val="1"/>
          <w:bCs w:val="1"/>
          <w:u w:val="single" w:color="auto"/>
          <w:color w:val="auto"/>
        </w:rPr>
        <w:t>Current Dividend Equivalent Cash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bookkeeping account maintained by the Company on behalf of</w:t>
      </w:r>
      <w:r>
        <w:rPr>
          <w:rFonts w:ascii="Arial" w:cs="Arial" w:eastAsia="Arial" w:hAnsi="Arial"/>
          <w:sz w:val="21"/>
          <w:szCs w:val="21"/>
          <w:b w:val="1"/>
          <w:bCs w:val="1"/>
          <w:color w:val="auto"/>
        </w:rPr>
        <w:t xml:space="preserve"> </w:t>
      </w:r>
      <w:r>
        <w:rPr>
          <w:rFonts w:ascii="Arial" w:cs="Arial" w:eastAsia="Arial" w:hAnsi="Arial"/>
          <w:sz w:val="21"/>
          <w:szCs w:val="21"/>
          <w:color w:val="auto"/>
        </w:rPr>
        <w:t>an Eligible Director that is credited with Dividend Equivalents in the form of cash deferrals attributable to Stock Units credited to the Eligible Director’s Current Stock Unit Account (with respect to Compensation and Special Meeting Fees earned after December 31, 2004) in accordance with Section 5.3(b)(1).</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21"/>
          <w:szCs w:val="21"/>
          <w:b w:val="1"/>
          <w:bCs w:val="1"/>
          <w:color w:val="auto"/>
        </w:rPr>
        <w:t xml:space="preserve">2.16 </w:t>
      </w:r>
      <w:r>
        <w:rPr>
          <w:rFonts w:ascii="Arial" w:cs="Arial" w:eastAsia="Arial" w:hAnsi="Arial"/>
          <w:sz w:val="21"/>
          <w:szCs w:val="21"/>
          <w:b w:val="1"/>
          <w:bCs w:val="1"/>
          <w:u w:val="single" w:color="auto"/>
          <w:color w:val="auto"/>
        </w:rPr>
        <w:t>Current Dividend Equivalent Stock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bookkeeping account maintained by the Company on behalf of</w:t>
      </w:r>
      <w:r>
        <w:rPr>
          <w:rFonts w:ascii="Arial" w:cs="Arial" w:eastAsia="Arial" w:hAnsi="Arial"/>
          <w:sz w:val="21"/>
          <w:szCs w:val="21"/>
          <w:b w:val="1"/>
          <w:bCs w:val="1"/>
          <w:color w:val="auto"/>
        </w:rPr>
        <w:t xml:space="preserve"> </w:t>
      </w:r>
      <w:r>
        <w:rPr>
          <w:rFonts w:ascii="Arial" w:cs="Arial" w:eastAsia="Arial" w:hAnsi="Arial"/>
          <w:sz w:val="21"/>
          <w:szCs w:val="21"/>
          <w:color w:val="auto"/>
        </w:rPr>
        <w:t>an Eligible Director that is credited with Dividend Equivalents in the form of Stock Units attributable to Stock Units credited to the Eligible Director’s Current Stock Unit Account (with respect to Compensation and Special Meeting Fees earned after December 31, 2004) in accordance with Section 5.3(c)(1).</w:t>
      </w:r>
    </w:p>
    <w:p>
      <w:pPr>
        <w:spacing w:after="0" w:line="148" w:lineRule="exact"/>
        <w:rPr>
          <w:sz w:val="20"/>
          <w:szCs w:val="20"/>
          <w:color w:val="auto"/>
        </w:rPr>
      </w:pPr>
    </w:p>
    <w:p>
      <w:pPr>
        <w:ind w:right="40"/>
        <w:spacing w:after="0" w:line="230" w:lineRule="auto"/>
        <w:rPr>
          <w:sz w:val="20"/>
          <w:szCs w:val="20"/>
          <w:color w:val="auto"/>
        </w:rPr>
      </w:pPr>
      <w:r>
        <w:rPr>
          <w:rFonts w:ascii="Arial" w:cs="Arial" w:eastAsia="Arial" w:hAnsi="Arial"/>
          <w:sz w:val="21"/>
          <w:szCs w:val="21"/>
          <w:b w:val="1"/>
          <w:bCs w:val="1"/>
          <w:color w:val="auto"/>
        </w:rPr>
        <w:t xml:space="preserve">2.17 </w:t>
      </w:r>
      <w:r>
        <w:rPr>
          <w:rFonts w:ascii="Arial" w:cs="Arial" w:eastAsia="Arial" w:hAnsi="Arial"/>
          <w:sz w:val="21"/>
          <w:szCs w:val="21"/>
          <w:b w:val="1"/>
          <w:bCs w:val="1"/>
          <w:u w:val="single" w:color="auto"/>
          <w:color w:val="auto"/>
        </w:rPr>
        <w:t>Current Stock Unit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bookkeeping account maintained by the Company on behalf of each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 who elects to defer Compensation and Special Meeting Fees earned after December 31, 2004 in Stock Units in accordance with Section 5.2.</w:t>
      </w:r>
    </w:p>
    <w:p>
      <w:pPr>
        <w:spacing w:after="0" w:line="149" w:lineRule="exact"/>
        <w:rPr>
          <w:sz w:val="20"/>
          <w:szCs w:val="20"/>
          <w:color w:val="auto"/>
        </w:rPr>
      </w:pPr>
    </w:p>
    <w:p>
      <w:pPr>
        <w:ind w:right="60"/>
        <w:spacing w:after="0" w:line="230" w:lineRule="auto"/>
        <w:rPr>
          <w:sz w:val="20"/>
          <w:szCs w:val="20"/>
          <w:color w:val="auto"/>
        </w:rPr>
      </w:pPr>
      <w:r>
        <w:rPr>
          <w:rFonts w:ascii="Arial" w:cs="Arial" w:eastAsia="Arial" w:hAnsi="Arial"/>
          <w:sz w:val="21"/>
          <w:szCs w:val="21"/>
          <w:b w:val="1"/>
          <w:bCs w:val="1"/>
          <w:color w:val="auto"/>
        </w:rPr>
        <w:t xml:space="preserve">2.18 </w:t>
      </w:r>
      <w:r>
        <w:rPr>
          <w:rFonts w:ascii="Arial" w:cs="Arial" w:eastAsia="Arial" w:hAnsi="Arial"/>
          <w:sz w:val="21"/>
          <w:szCs w:val="21"/>
          <w:b w:val="1"/>
          <w:bCs w:val="1"/>
          <w:u w:val="single" w:color="auto"/>
          <w:color w:val="auto"/>
        </w:rPr>
        <w:t>Disability</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medically determinable physical or mental impairment that can be expected to result in death or can</w:t>
      </w:r>
      <w:r>
        <w:rPr>
          <w:rFonts w:ascii="Arial" w:cs="Arial" w:eastAsia="Arial" w:hAnsi="Arial"/>
          <w:sz w:val="21"/>
          <w:szCs w:val="21"/>
          <w:b w:val="1"/>
          <w:bCs w:val="1"/>
          <w:color w:val="auto"/>
        </w:rPr>
        <w:t xml:space="preserve"> </w:t>
      </w:r>
      <w:r>
        <w:rPr>
          <w:rFonts w:ascii="Arial" w:cs="Arial" w:eastAsia="Arial" w:hAnsi="Arial"/>
          <w:sz w:val="21"/>
          <w:szCs w:val="21"/>
          <w:color w:val="auto"/>
        </w:rPr>
        <w:t>be expected to last for a continuous period of not less than 12 months that renders an Eligible Director unable to engage in any substantial gainful activity.</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2.19</w:t>
      </w:r>
      <w:r>
        <w:rPr>
          <w:sz w:val="20"/>
          <w:szCs w:val="20"/>
          <w:color w:val="auto"/>
        </w:rPr>
        <w:tab/>
      </w:r>
      <w:r>
        <w:rPr>
          <w:rFonts w:ascii="Arial" w:cs="Arial" w:eastAsia="Arial" w:hAnsi="Arial"/>
          <w:sz w:val="18"/>
          <w:szCs w:val="18"/>
          <w:b w:val="1"/>
          <w:bCs w:val="1"/>
          <w:u w:val="single" w:color="auto"/>
          <w:color w:val="auto"/>
        </w:rPr>
        <w:t xml:space="preserve">Discount Rate </w:t>
      </w:r>
      <w:r>
        <w:rPr>
          <w:rFonts w:ascii="Arial" w:cs="Arial" w:eastAsia="Arial" w:hAnsi="Arial"/>
          <w:sz w:val="18"/>
          <w:szCs w:val="18"/>
          <w:color w:val="auto"/>
        </w:rPr>
        <w:t>shall mean an interest rate equal to 5% per annum.</w:t>
      </w:r>
    </w:p>
    <w:p>
      <w:pPr>
        <w:spacing w:after="0" w:line="180"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b w:val="1"/>
          <w:bCs w:val="1"/>
          <w:color w:val="auto"/>
        </w:rPr>
        <w:t xml:space="preserve">2.20 </w:t>
      </w:r>
      <w:r>
        <w:rPr>
          <w:rFonts w:ascii="Arial" w:cs="Arial" w:eastAsia="Arial" w:hAnsi="Arial"/>
          <w:sz w:val="20"/>
          <w:szCs w:val="20"/>
          <w:b w:val="1"/>
          <w:bCs w:val="1"/>
          <w:u w:val="single" w:color="auto"/>
          <w:color w:val="auto"/>
        </w:rPr>
        <w:t>Disinterested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a member of the Board of Directors who is not generally disqualified from making</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decisions concerning this Plan or all actions hereunder under any applicable legal requirements, but in no event shall a member of the Board of Directors participate in any decision affecting only his or her benefits under this Plan.</w:t>
      </w:r>
    </w:p>
    <w:p>
      <w:pPr>
        <w:spacing w:after="0" w:line="147" w:lineRule="exact"/>
        <w:rPr>
          <w:sz w:val="20"/>
          <w:szCs w:val="20"/>
          <w:color w:val="auto"/>
        </w:rPr>
      </w:pPr>
    </w:p>
    <w:p>
      <w:pPr>
        <w:ind w:right="60"/>
        <w:spacing w:after="0" w:line="230" w:lineRule="auto"/>
        <w:rPr>
          <w:sz w:val="20"/>
          <w:szCs w:val="20"/>
          <w:color w:val="auto"/>
        </w:rPr>
      </w:pPr>
      <w:r>
        <w:rPr>
          <w:rFonts w:ascii="Arial" w:cs="Arial" w:eastAsia="Arial" w:hAnsi="Arial"/>
          <w:sz w:val="21"/>
          <w:szCs w:val="21"/>
          <w:b w:val="1"/>
          <w:bCs w:val="1"/>
          <w:color w:val="auto"/>
        </w:rPr>
        <w:t xml:space="preserve">2.21 </w:t>
      </w:r>
      <w:r>
        <w:rPr>
          <w:rFonts w:ascii="Arial" w:cs="Arial" w:eastAsia="Arial" w:hAnsi="Arial"/>
          <w:sz w:val="21"/>
          <w:szCs w:val="21"/>
          <w:b w:val="1"/>
          <w:bCs w:val="1"/>
          <w:u w:val="single" w:color="auto"/>
          <w:color w:val="auto"/>
        </w:rPr>
        <w:t>Distribution Subaccount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subaccount of an Eligible Director’s Account established to separately account for</w:t>
      </w:r>
      <w:r>
        <w:rPr>
          <w:rFonts w:ascii="Arial" w:cs="Arial" w:eastAsia="Arial" w:hAnsi="Arial"/>
          <w:sz w:val="21"/>
          <w:szCs w:val="21"/>
          <w:b w:val="1"/>
          <w:bCs w:val="1"/>
          <w:color w:val="auto"/>
        </w:rPr>
        <w:t xml:space="preserve"> </w:t>
      </w:r>
      <w:r>
        <w:rPr>
          <w:rFonts w:ascii="Arial" w:cs="Arial" w:eastAsia="Arial" w:hAnsi="Arial"/>
          <w:sz w:val="21"/>
          <w:szCs w:val="21"/>
          <w:color w:val="auto"/>
        </w:rPr>
        <w:t>deferred Compensation and Special Meeting Fees (and Dividend Equivalents or other earnings or losses thereon) that are subject to different distribution elections.</w:t>
      </w:r>
    </w:p>
    <w:p>
      <w:pPr>
        <w:spacing w:after="0" w:line="149" w:lineRule="exact"/>
        <w:rPr>
          <w:sz w:val="20"/>
          <w:szCs w:val="20"/>
          <w:color w:val="auto"/>
        </w:rPr>
      </w:pPr>
    </w:p>
    <w:p>
      <w:pPr>
        <w:ind w:right="40"/>
        <w:spacing w:after="0" w:line="219" w:lineRule="auto"/>
        <w:rPr>
          <w:sz w:val="20"/>
          <w:szCs w:val="20"/>
          <w:color w:val="auto"/>
        </w:rPr>
      </w:pPr>
      <w:r>
        <w:rPr>
          <w:rFonts w:ascii="Arial" w:cs="Arial" w:eastAsia="Arial" w:hAnsi="Arial"/>
          <w:sz w:val="21"/>
          <w:szCs w:val="21"/>
          <w:b w:val="1"/>
          <w:bCs w:val="1"/>
          <w:color w:val="auto"/>
        </w:rPr>
        <w:t xml:space="preserve">2.22 </w:t>
      </w:r>
      <w:r>
        <w:rPr>
          <w:rFonts w:ascii="Arial" w:cs="Arial" w:eastAsia="Arial" w:hAnsi="Arial"/>
          <w:sz w:val="21"/>
          <w:szCs w:val="21"/>
          <w:b w:val="1"/>
          <w:bCs w:val="1"/>
          <w:u w:val="single" w:color="auto"/>
          <w:color w:val="auto"/>
        </w:rPr>
        <w:t>Dividend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amount of Cash or Combination Dividends paid by the Company after January 31,</w:t>
      </w:r>
      <w:r>
        <w:rPr>
          <w:rFonts w:ascii="Arial" w:cs="Arial" w:eastAsia="Arial" w:hAnsi="Arial"/>
          <w:sz w:val="21"/>
          <w:szCs w:val="21"/>
          <w:b w:val="1"/>
          <w:bCs w:val="1"/>
          <w:color w:val="auto"/>
        </w:rPr>
        <w:t xml:space="preserve"> </w:t>
      </w:r>
      <w:r>
        <w:rPr>
          <w:rFonts w:ascii="Arial" w:cs="Arial" w:eastAsia="Arial" w:hAnsi="Arial"/>
          <w:sz w:val="21"/>
          <w:szCs w:val="21"/>
          <w:color w:val="auto"/>
        </w:rPr>
        <w:t>1995 on that number of shares of Common Stock equivalent to the number of Stock Units then credited to an Eligible Director’s Stock Unit Account, or Stock Unit Accounts, as applicable, and Dividend Equivalent Stock Account, or Dividend Equivalent Stock Accounts, as applicable, which amount shall be allocated as additional Stock Units to the Eligible Director’s Dividend Equivalent Stock Account(s) or as additional deferrals to the Eligible Director’s Dividend Equivalent Cash Account(s), as provided in Section 5.3.</w:t>
      </w:r>
    </w:p>
    <w:p>
      <w:pPr>
        <w:spacing w:after="0" w:line="153" w:lineRule="exact"/>
        <w:rPr>
          <w:sz w:val="20"/>
          <w:szCs w:val="20"/>
          <w:color w:val="auto"/>
        </w:rPr>
      </w:pPr>
    </w:p>
    <w:p>
      <w:pPr>
        <w:ind w:right="440"/>
        <w:spacing w:after="0" w:line="241" w:lineRule="auto"/>
        <w:rPr>
          <w:sz w:val="20"/>
          <w:szCs w:val="20"/>
          <w:color w:val="auto"/>
        </w:rPr>
      </w:pPr>
      <w:r>
        <w:rPr>
          <w:rFonts w:ascii="Arial" w:cs="Arial" w:eastAsia="Arial" w:hAnsi="Arial"/>
          <w:sz w:val="21"/>
          <w:szCs w:val="21"/>
          <w:b w:val="1"/>
          <w:bCs w:val="1"/>
          <w:color w:val="auto"/>
        </w:rPr>
        <w:t xml:space="preserve">2.23 </w:t>
      </w:r>
      <w:r>
        <w:rPr>
          <w:rFonts w:ascii="Arial" w:cs="Arial" w:eastAsia="Arial" w:hAnsi="Arial"/>
          <w:sz w:val="21"/>
          <w:szCs w:val="21"/>
          <w:b w:val="1"/>
          <w:bCs w:val="1"/>
          <w:u w:val="single" w:color="auto"/>
          <w:color w:val="auto"/>
        </w:rPr>
        <w:t>Dividend Equivalent Cash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Current Dividend Equivalent Cash Account and/or a Prior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 Cash Account.</w:t>
      </w:r>
    </w:p>
    <w:p>
      <w:pPr>
        <w:spacing w:after="0" w:line="147" w:lineRule="exact"/>
        <w:rPr>
          <w:sz w:val="20"/>
          <w:szCs w:val="20"/>
          <w:color w:val="auto"/>
        </w:rPr>
      </w:pPr>
    </w:p>
    <w:p>
      <w:pPr>
        <w:ind w:right="340"/>
        <w:spacing w:after="0" w:line="241" w:lineRule="auto"/>
        <w:rPr>
          <w:sz w:val="20"/>
          <w:szCs w:val="20"/>
          <w:color w:val="auto"/>
        </w:rPr>
      </w:pPr>
      <w:r>
        <w:rPr>
          <w:rFonts w:ascii="Arial" w:cs="Arial" w:eastAsia="Arial" w:hAnsi="Arial"/>
          <w:sz w:val="21"/>
          <w:szCs w:val="21"/>
          <w:b w:val="1"/>
          <w:bCs w:val="1"/>
          <w:color w:val="auto"/>
        </w:rPr>
        <w:t xml:space="preserve">2.24 </w:t>
      </w:r>
      <w:r>
        <w:rPr>
          <w:rFonts w:ascii="Arial" w:cs="Arial" w:eastAsia="Arial" w:hAnsi="Arial"/>
          <w:sz w:val="21"/>
          <w:szCs w:val="21"/>
          <w:b w:val="1"/>
          <w:bCs w:val="1"/>
          <w:u w:val="single" w:color="auto"/>
          <w:color w:val="auto"/>
        </w:rPr>
        <w:t>Dividend Equivalent Stock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Current Dividend Equivalent Stock Account and/or a Prior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 Stock Account.</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2.25</w:t>
      </w:r>
      <w:r>
        <w:rPr>
          <w:sz w:val="20"/>
          <w:szCs w:val="20"/>
          <w:color w:val="auto"/>
        </w:rPr>
        <w:tab/>
      </w:r>
      <w:r>
        <w:rPr>
          <w:rFonts w:ascii="Arial" w:cs="Arial" w:eastAsia="Arial" w:hAnsi="Arial"/>
          <w:sz w:val="19"/>
          <w:szCs w:val="19"/>
          <w:b w:val="1"/>
          <w:bCs w:val="1"/>
          <w:u w:val="single" w:color="auto"/>
          <w:color w:val="auto"/>
        </w:rPr>
        <w:t xml:space="preserve">Effective Date </w:t>
      </w:r>
      <w:r>
        <w:rPr>
          <w:rFonts w:ascii="Arial" w:cs="Arial" w:eastAsia="Arial" w:hAnsi="Arial"/>
          <w:sz w:val="19"/>
          <w:szCs w:val="19"/>
          <w:color w:val="auto"/>
        </w:rPr>
        <w:t>shall mean July 29,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140"/>
          </w:cols>
          <w:pgMar w:left="320" w:top="1364" w:right="439" w:bottom="1440" w:gutter="0" w:footer="0" w:header="0"/>
        </w:sectPr>
      </w:pPr>
    </w:p>
    <w:bookmarkStart w:id="127" w:name="page128"/>
    <w:bookmarkEnd w:id="127"/>
    <w:p>
      <w:pPr>
        <w:ind w:right="120"/>
        <w:spacing w:after="0" w:line="265" w:lineRule="auto"/>
        <w:rPr>
          <w:sz w:val="20"/>
          <w:szCs w:val="20"/>
          <w:color w:val="auto"/>
        </w:rPr>
      </w:pPr>
      <w:r>
        <w:rPr>
          <w:rFonts w:ascii="Arial" w:cs="Arial" w:eastAsia="Arial" w:hAnsi="Arial"/>
          <w:sz w:val="20"/>
          <w:szCs w:val="20"/>
          <w:b w:val="1"/>
          <w:bCs w:val="1"/>
          <w:color w:val="auto"/>
        </w:rPr>
        <w:t xml:space="preserve">2.26 </w:t>
      </w:r>
      <w:r>
        <w:rPr>
          <w:rFonts w:ascii="Arial" w:cs="Arial" w:eastAsia="Arial" w:hAnsi="Arial"/>
          <w:sz w:val="20"/>
          <w:szCs w:val="20"/>
          <w:b w:val="1"/>
          <w:bCs w:val="1"/>
          <w:u w:val="single" w:color="auto"/>
          <w:color w:val="auto"/>
        </w:rPr>
        <w:t>Eligible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a member of the Board of Directors of the Company who is compensated in such capacity and</w:t>
      </w:r>
      <w:r>
        <w:rPr>
          <w:rFonts w:ascii="Arial" w:cs="Arial" w:eastAsia="Arial" w:hAnsi="Arial"/>
          <w:sz w:val="20"/>
          <w:szCs w:val="20"/>
          <w:b w:val="1"/>
          <w:bCs w:val="1"/>
          <w:color w:val="auto"/>
        </w:rPr>
        <w:t xml:space="preserve"> </w:t>
      </w:r>
      <w:r>
        <w:rPr>
          <w:rFonts w:ascii="Arial" w:cs="Arial" w:eastAsia="Arial" w:hAnsi="Arial"/>
          <w:sz w:val="20"/>
          <w:szCs w:val="20"/>
          <w:color w:val="auto"/>
        </w:rPr>
        <w:t>(as to any outstanding Account balances under this Plan) any such person who has Account balances under the Plan.</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2.27</w:t>
      </w:r>
      <w:r>
        <w:rPr>
          <w:sz w:val="20"/>
          <w:szCs w:val="20"/>
          <w:color w:val="auto"/>
        </w:rPr>
        <w:tab/>
      </w:r>
      <w:r>
        <w:rPr>
          <w:rFonts w:ascii="Arial" w:cs="Arial" w:eastAsia="Arial" w:hAnsi="Arial"/>
          <w:sz w:val="19"/>
          <w:szCs w:val="19"/>
          <w:b w:val="1"/>
          <w:bCs w:val="1"/>
          <w:u w:val="single" w:color="auto"/>
          <w:color w:val="auto"/>
        </w:rPr>
        <w:t xml:space="preserve">Exchange Act </w:t>
      </w:r>
      <w:r>
        <w:rPr>
          <w:rFonts w:ascii="Arial" w:cs="Arial" w:eastAsia="Arial" w:hAnsi="Arial"/>
          <w:sz w:val="19"/>
          <w:szCs w:val="19"/>
          <w:color w:val="auto"/>
        </w:rPr>
        <w:t>shall mean the Securities Exchange Act of 1934, as amended from time to time.</w:t>
      </w:r>
    </w:p>
    <w:p>
      <w:pPr>
        <w:spacing w:after="0" w:line="180" w:lineRule="exact"/>
        <w:rPr>
          <w:sz w:val="20"/>
          <w:szCs w:val="20"/>
          <w:color w:val="auto"/>
        </w:rPr>
      </w:pPr>
    </w:p>
    <w:p>
      <w:pPr>
        <w:ind w:right="160"/>
        <w:spacing w:after="0" w:line="243" w:lineRule="auto"/>
        <w:rPr>
          <w:sz w:val="20"/>
          <w:szCs w:val="20"/>
          <w:color w:val="auto"/>
        </w:rPr>
      </w:pPr>
      <w:r>
        <w:rPr>
          <w:rFonts w:ascii="Arial" w:cs="Arial" w:eastAsia="Arial" w:hAnsi="Arial"/>
          <w:sz w:val="19"/>
          <w:szCs w:val="19"/>
          <w:b w:val="1"/>
          <w:bCs w:val="1"/>
          <w:color w:val="auto"/>
        </w:rPr>
        <w:t xml:space="preserve">2.28 </w:t>
      </w:r>
      <w:r>
        <w:rPr>
          <w:rFonts w:ascii="Arial" w:cs="Arial" w:eastAsia="Arial" w:hAnsi="Arial"/>
          <w:sz w:val="19"/>
          <w:szCs w:val="19"/>
          <w:b w:val="1"/>
          <w:bCs w:val="1"/>
          <w:u w:val="single" w:color="auto"/>
          <w:color w:val="auto"/>
        </w:rPr>
        <w:t>Fair Market Value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on any date the closing price of the Common Stock on the Composite Tape, as published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Western Edition of The Wall Street Journal, of the principal securities exchange or market on which the Common Stock is so listed, admitted to trade, or quoted on such date, or, if there is no trading of the stock on such date, then the closing price of the Common Stock as quoted on such Composite Tape on the next preceding date on which there was trading in such shares; provided, however, if the Common Stock is not so listed, admitted or quoted, the Committee may designate such other exchange, market or source of data as it deems appropriate for determining such value for purposes of this Plan.</w:t>
      </w:r>
    </w:p>
    <w:p>
      <w:pPr>
        <w:spacing w:after="0" w:line="148" w:lineRule="exact"/>
        <w:rPr>
          <w:sz w:val="20"/>
          <w:szCs w:val="20"/>
          <w:color w:val="auto"/>
        </w:rPr>
      </w:pPr>
    </w:p>
    <w:p>
      <w:pPr>
        <w:ind w:right="180"/>
        <w:spacing w:after="0" w:line="230" w:lineRule="auto"/>
        <w:rPr>
          <w:sz w:val="20"/>
          <w:szCs w:val="20"/>
          <w:color w:val="auto"/>
        </w:rPr>
      </w:pPr>
      <w:r>
        <w:rPr>
          <w:rFonts w:ascii="Arial" w:cs="Arial" w:eastAsia="Arial" w:hAnsi="Arial"/>
          <w:sz w:val="21"/>
          <w:szCs w:val="21"/>
          <w:b w:val="1"/>
          <w:bCs w:val="1"/>
          <w:color w:val="auto"/>
        </w:rPr>
        <w:t xml:space="preserve">2.29 </w:t>
      </w:r>
      <w:r>
        <w:rPr>
          <w:rFonts w:ascii="Arial" w:cs="Arial" w:eastAsia="Arial" w:hAnsi="Arial"/>
          <w:sz w:val="21"/>
          <w:szCs w:val="21"/>
          <w:b w:val="1"/>
          <w:bCs w:val="1"/>
          <w:u w:val="single" w:color="auto"/>
          <w:color w:val="auto"/>
        </w:rPr>
        <w:t>Interest Rate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rate that is 120% of the federal long-term rate for compounding on a quarterly basis,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and published by the Secretary of the United States Department of Treasury under Section 1274(d) of the Code, for the month in which interest is credited.</w:t>
      </w:r>
    </w:p>
    <w:p>
      <w:pPr>
        <w:spacing w:after="0" w:line="149" w:lineRule="exact"/>
        <w:rPr>
          <w:sz w:val="20"/>
          <w:szCs w:val="20"/>
          <w:color w:val="auto"/>
        </w:rPr>
      </w:pPr>
    </w:p>
    <w:p>
      <w:pPr>
        <w:ind w:right="80"/>
        <w:spacing w:after="0" w:line="241" w:lineRule="auto"/>
        <w:rPr>
          <w:sz w:val="20"/>
          <w:szCs w:val="20"/>
          <w:color w:val="auto"/>
        </w:rPr>
      </w:pPr>
      <w:r>
        <w:rPr>
          <w:rFonts w:ascii="Arial" w:cs="Arial" w:eastAsia="Arial" w:hAnsi="Arial"/>
          <w:sz w:val="21"/>
          <w:szCs w:val="21"/>
          <w:b w:val="1"/>
          <w:bCs w:val="1"/>
          <w:color w:val="auto"/>
        </w:rPr>
        <w:t xml:space="preserve">2.30 </w:t>
      </w:r>
      <w:r>
        <w:rPr>
          <w:rFonts w:ascii="Arial" w:cs="Arial" w:eastAsia="Arial" w:hAnsi="Arial"/>
          <w:sz w:val="21"/>
          <w:szCs w:val="21"/>
          <w:b w:val="1"/>
          <w:bCs w:val="1"/>
          <w:u w:val="single" w:color="auto"/>
          <w:color w:val="auto"/>
        </w:rPr>
        <w:t>Plan</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Macerich Company Eligible Directors’ Deferred Compensation/Phantom Stock Plan, as amended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2.31</w:t>
      </w:r>
      <w:r>
        <w:rPr>
          <w:sz w:val="20"/>
          <w:szCs w:val="20"/>
          <w:color w:val="auto"/>
        </w:rPr>
        <w:tab/>
      </w:r>
      <w:r>
        <w:rPr>
          <w:rFonts w:ascii="Arial" w:cs="Arial" w:eastAsia="Arial" w:hAnsi="Arial"/>
          <w:sz w:val="18"/>
          <w:szCs w:val="18"/>
          <w:b w:val="1"/>
          <w:bCs w:val="1"/>
          <w:u w:val="single" w:color="auto"/>
          <w:color w:val="auto"/>
        </w:rPr>
        <w:t xml:space="preserve">Plan Year </w:t>
      </w:r>
      <w:r>
        <w:rPr>
          <w:rFonts w:ascii="Arial" w:cs="Arial" w:eastAsia="Arial" w:hAnsi="Arial"/>
          <w:sz w:val="18"/>
          <w:szCs w:val="18"/>
          <w:color w:val="auto"/>
        </w:rPr>
        <w:t>shall mean the applicable calendar year.</w:t>
      </w:r>
    </w:p>
    <w:p>
      <w:pPr>
        <w:spacing w:after="0" w:line="180" w:lineRule="exact"/>
        <w:rPr>
          <w:sz w:val="20"/>
          <w:szCs w:val="20"/>
          <w:color w:val="auto"/>
        </w:rPr>
      </w:pPr>
    </w:p>
    <w:p>
      <w:pPr>
        <w:spacing w:after="0" w:line="292" w:lineRule="auto"/>
        <w:rPr>
          <w:sz w:val="20"/>
          <w:szCs w:val="20"/>
          <w:color w:val="auto"/>
        </w:rPr>
      </w:pPr>
      <w:r>
        <w:rPr>
          <w:rFonts w:ascii="Arial" w:cs="Arial" w:eastAsia="Arial" w:hAnsi="Arial"/>
          <w:sz w:val="19"/>
          <w:szCs w:val="19"/>
          <w:b w:val="1"/>
          <w:bCs w:val="1"/>
          <w:color w:val="auto"/>
        </w:rPr>
        <w:t xml:space="preserve">2.32 </w:t>
      </w:r>
      <w:r>
        <w:rPr>
          <w:rFonts w:ascii="Arial" w:cs="Arial" w:eastAsia="Arial" w:hAnsi="Arial"/>
          <w:sz w:val="19"/>
          <w:szCs w:val="19"/>
          <w:b w:val="1"/>
          <w:bCs w:val="1"/>
          <w:u w:val="single" w:color="auto"/>
          <w:color w:val="auto"/>
        </w:rPr>
        <w:t>Prior Cash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 bookkeeping account maintained by the Company on behalf of each Eligible Director who</w:t>
      </w:r>
      <w:r>
        <w:rPr>
          <w:rFonts w:ascii="Arial" w:cs="Arial" w:eastAsia="Arial" w:hAnsi="Arial"/>
          <w:sz w:val="19"/>
          <w:szCs w:val="19"/>
          <w:b w:val="1"/>
          <w:bCs w:val="1"/>
          <w:color w:val="auto"/>
        </w:rPr>
        <w:t xml:space="preserve"> </w:t>
      </w:r>
      <w:r>
        <w:rPr>
          <w:rFonts w:ascii="Arial" w:cs="Arial" w:eastAsia="Arial" w:hAnsi="Arial"/>
          <w:sz w:val="19"/>
          <w:szCs w:val="19"/>
          <w:color w:val="auto"/>
        </w:rPr>
        <w:t>elects to defer Compensation and Special Meeting Fees earned before January 1, 2005 in cash in accordance with Section 5.1.</w:t>
      </w:r>
    </w:p>
    <w:p>
      <w:pPr>
        <w:spacing w:after="0" w:line="101" w:lineRule="exact"/>
        <w:rPr>
          <w:sz w:val="20"/>
          <w:szCs w:val="20"/>
          <w:color w:val="auto"/>
        </w:rPr>
      </w:pPr>
    </w:p>
    <w:p>
      <w:pPr>
        <w:ind w:right="160"/>
        <w:spacing w:after="0" w:line="225" w:lineRule="auto"/>
        <w:rPr>
          <w:sz w:val="20"/>
          <w:szCs w:val="20"/>
          <w:color w:val="auto"/>
        </w:rPr>
      </w:pPr>
      <w:r>
        <w:rPr>
          <w:rFonts w:ascii="Arial" w:cs="Arial" w:eastAsia="Arial" w:hAnsi="Arial"/>
          <w:sz w:val="21"/>
          <w:szCs w:val="21"/>
          <w:b w:val="1"/>
          <w:bCs w:val="1"/>
          <w:color w:val="auto"/>
        </w:rPr>
        <w:t xml:space="preserve">2.33 </w:t>
      </w:r>
      <w:r>
        <w:rPr>
          <w:rFonts w:ascii="Arial" w:cs="Arial" w:eastAsia="Arial" w:hAnsi="Arial"/>
          <w:sz w:val="21"/>
          <w:szCs w:val="21"/>
          <w:b w:val="1"/>
          <w:bCs w:val="1"/>
          <w:u w:val="single" w:color="auto"/>
          <w:color w:val="auto"/>
        </w:rPr>
        <w:t>Prior Dividend Equivalent Cash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bookkeeping account maintained by the Company on behalf of an</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Director that is credited with Dividend Equivalents in the form of cash deferrals attributable to Stock Units credited to the Eligible Director’s Prior Stock Unit Account (with respect to Compensation and Special Meeting Fees earned before January 1, 2005) in accordance with Section 5.3(b)(2).</w:t>
      </w:r>
    </w:p>
    <w:p>
      <w:pPr>
        <w:spacing w:after="0" w:line="148" w:lineRule="exact"/>
        <w:rPr>
          <w:sz w:val="20"/>
          <w:szCs w:val="20"/>
          <w:color w:val="auto"/>
        </w:rPr>
      </w:pPr>
    </w:p>
    <w:p>
      <w:pPr>
        <w:ind w:right="120"/>
        <w:spacing w:after="0" w:line="225" w:lineRule="auto"/>
        <w:rPr>
          <w:sz w:val="20"/>
          <w:szCs w:val="20"/>
          <w:color w:val="auto"/>
        </w:rPr>
      </w:pPr>
      <w:r>
        <w:rPr>
          <w:rFonts w:ascii="Arial" w:cs="Arial" w:eastAsia="Arial" w:hAnsi="Arial"/>
          <w:sz w:val="21"/>
          <w:szCs w:val="21"/>
          <w:b w:val="1"/>
          <w:bCs w:val="1"/>
          <w:color w:val="auto"/>
        </w:rPr>
        <w:t xml:space="preserve">2.34 </w:t>
      </w:r>
      <w:r>
        <w:rPr>
          <w:rFonts w:ascii="Arial" w:cs="Arial" w:eastAsia="Arial" w:hAnsi="Arial"/>
          <w:sz w:val="21"/>
          <w:szCs w:val="21"/>
          <w:b w:val="1"/>
          <w:bCs w:val="1"/>
          <w:u w:val="single" w:color="auto"/>
          <w:color w:val="auto"/>
        </w:rPr>
        <w:t>Prior Dividend Equivalent Stock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bookkeeping account maintained by the Company on behalf of an</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Director that is credited with Dividend Equivalents in the form of Stock Units attributable to Stock Units credited to the Eligible Director’s Prior Stock Unit Account (with respect to Compensation and Special Meeting Fees earned before January 1, 2005) in accordance with Section 5.3(c)(2).</w:t>
      </w:r>
    </w:p>
    <w:p>
      <w:pPr>
        <w:spacing w:after="0" w:line="148" w:lineRule="exact"/>
        <w:rPr>
          <w:sz w:val="20"/>
          <w:szCs w:val="20"/>
          <w:color w:val="auto"/>
        </w:rPr>
      </w:pPr>
    </w:p>
    <w:p>
      <w:pPr>
        <w:ind w:right="300"/>
        <w:spacing w:after="0" w:line="230" w:lineRule="auto"/>
        <w:rPr>
          <w:sz w:val="20"/>
          <w:szCs w:val="20"/>
          <w:color w:val="auto"/>
        </w:rPr>
      </w:pPr>
      <w:r>
        <w:rPr>
          <w:rFonts w:ascii="Arial" w:cs="Arial" w:eastAsia="Arial" w:hAnsi="Arial"/>
          <w:sz w:val="21"/>
          <w:szCs w:val="21"/>
          <w:b w:val="1"/>
          <w:bCs w:val="1"/>
          <w:color w:val="auto"/>
        </w:rPr>
        <w:t xml:space="preserve">2.35 </w:t>
      </w:r>
      <w:r>
        <w:rPr>
          <w:rFonts w:ascii="Arial" w:cs="Arial" w:eastAsia="Arial" w:hAnsi="Arial"/>
          <w:sz w:val="21"/>
          <w:szCs w:val="21"/>
          <w:b w:val="1"/>
          <w:bCs w:val="1"/>
          <w:u w:val="single" w:color="auto"/>
          <w:color w:val="auto"/>
        </w:rPr>
        <w:t>Prior Stock Unit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bookkeeping account maintained by the Company on behalf of each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 who elects to defer Compensation and Special Meeting Fees earned before January 1, 2005 in Stock Units in accordance with Section 5.2.</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2.36</w:t>
      </w:r>
      <w:r>
        <w:rPr>
          <w:sz w:val="20"/>
          <w:szCs w:val="20"/>
          <w:color w:val="auto"/>
        </w:rPr>
        <w:tab/>
      </w:r>
      <w:r>
        <w:rPr>
          <w:rFonts w:ascii="Arial" w:cs="Arial" w:eastAsia="Arial" w:hAnsi="Arial"/>
          <w:sz w:val="19"/>
          <w:szCs w:val="19"/>
          <w:b w:val="1"/>
          <w:bCs w:val="1"/>
          <w:u w:val="single" w:color="auto"/>
          <w:color w:val="auto"/>
        </w:rPr>
        <w:t xml:space="preserve">Special Compensation </w:t>
      </w:r>
      <w:r>
        <w:rPr>
          <w:rFonts w:ascii="Arial" w:cs="Arial" w:eastAsia="Arial" w:hAnsi="Arial"/>
          <w:sz w:val="19"/>
          <w:szCs w:val="19"/>
          <w:color w:val="auto"/>
        </w:rPr>
        <w:t>with respect to a particular calendar year shall mean the difference (if any) obtained by subtracting</w:t>
      </w:r>
    </w:p>
    <w:p>
      <w:pPr>
        <w:ind w:left="260" w:hanging="255"/>
        <w:spacing w:after="0"/>
        <w:tabs>
          <w:tab w:leader="none" w:pos="2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sum of (a) the amount of an Eligible Director’s Compensation for such calendar year taken into account on the Award Date,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220"/>
        <w:spacing w:after="0"/>
        <w:rPr>
          <w:rFonts w:ascii="Arial" w:cs="Arial" w:eastAsia="Arial" w:hAnsi="Arial"/>
          <w:sz w:val="19"/>
          <w:szCs w:val="19"/>
          <w:color w:val="auto"/>
        </w:rPr>
      </w:pPr>
      <w:r>
        <w:rPr>
          <w:rFonts w:ascii="Arial" w:cs="Arial" w:eastAsia="Arial" w:hAnsi="Arial"/>
          <w:sz w:val="21"/>
          <w:szCs w:val="21"/>
          <w:color w:val="auto"/>
        </w:rPr>
        <w:t>5</w:t>
      </w:r>
    </w:p>
    <w:p>
      <w:pPr>
        <w:sectPr>
          <w:pgSz w:w="11900" w:h="16838" w:orient="portrait"/>
          <w:cols w:equalWidth="0" w:num="1">
            <w:col w:w="11220"/>
          </w:cols>
          <w:pgMar w:left="320" w:top="1364" w:right="359" w:bottom="1440" w:gutter="0" w:footer="0" w:header="0"/>
        </w:sectPr>
      </w:pPr>
    </w:p>
    <w:bookmarkStart w:id="128" w:name="page129"/>
    <w:bookmarkEnd w:id="128"/>
    <w:p>
      <w:pPr>
        <w:ind w:right="40"/>
        <w:spacing w:after="0" w:line="245" w:lineRule="auto"/>
        <w:rPr>
          <w:sz w:val="20"/>
          <w:szCs w:val="20"/>
          <w:color w:val="auto"/>
        </w:rPr>
      </w:pPr>
      <w:r>
        <w:rPr>
          <w:rFonts w:ascii="Arial" w:cs="Arial" w:eastAsia="Arial" w:hAnsi="Arial"/>
          <w:sz w:val="19"/>
          <w:szCs w:val="19"/>
          <w:color w:val="auto"/>
        </w:rPr>
        <w:t>and (b) the amount of the Eligible Director’s Additional Compensation (if any) taken into account for such calendar year at any time after the Award Date, from (ii) the amount of Compensation the Eligible Director would actually have been paid for such calendar year (including, without limitation, any Special Meeting Fees, and any other Compensation not taken into account on the Award Date or as Additional Compensation after the Award Date), in each case without giving effect to any election by the Eligible Director to defer Compensation hereunder. For purposes of clarity, “Special Compensation” may be a negative number.</w:t>
      </w:r>
    </w:p>
    <w:p>
      <w:pPr>
        <w:spacing w:after="0" w:line="143" w:lineRule="exact"/>
        <w:rPr>
          <w:sz w:val="20"/>
          <w:szCs w:val="20"/>
          <w:color w:val="auto"/>
        </w:rPr>
      </w:pPr>
    </w:p>
    <w:p>
      <w:pPr>
        <w:ind w:right="680"/>
        <w:spacing w:after="0" w:line="241" w:lineRule="auto"/>
        <w:rPr>
          <w:sz w:val="20"/>
          <w:szCs w:val="20"/>
          <w:color w:val="auto"/>
        </w:rPr>
      </w:pPr>
      <w:r>
        <w:rPr>
          <w:rFonts w:ascii="Arial" w:cs="Arial" w:eastAsia="Arial" w:hAnsi="Arial"/>
          <w:sz w:val="21"/>
          <w:szCs w:val="21"/>
          <w:b w:val="1"/>
          <w:bCs w:val="1"/>
          <w:color w:val="auto"/>
        </w:rPr>
        <w:t xml:space="preserve">2.37 </w:t>
      </w:r>
      <w:r>
        <w:rPr>
          <w:rFonts w:ascii="Arial" w:cs="Arial" w:eastAsia="Arial" w:hAnsi="Arial"/>
          <w:sz w:val="21"/>
          <w:szCs w:val="21"/>
          <w:b w:val="1"/>
          <w:bCs w:val="1"/>
          <w:u w:val="single" w:color="auto"/>
          <w:color w:val="auto"/>
        </w:rPr>
        <w:t>Special Meeting Fees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meeting fees (if any) that are paid by the Company after January 31, 1995 to an</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Director for meetings during a deferral period.</w:t>
      </w:r>
    </w:p>
    <w:p>
      <w:pPr>
        <w:spacing w:after="0" w:line="147" w:lineRule="exact"/>
        <w:rPr>
          <w:sz w:val="20"/>
          <w:szCs w:val="20"/>
          <w:color w:val="auto"/>
        </w:rPr>
      </w:pPr>
    </w:p>
    <w:p>
      <w:pPr>
        <w:ind w:right="140"/>
        <w:spacing w:after="0" w:line="241" w:lineRule="auto"/>
        <w:rPr>
          <w:sz w:val="20"/>
          <w:szCs w:val="20"/>
          <w:color w:val="auto"/>
        </w:rPr>
      </w:pPr>
      <w:r>
        <w:rPr>
          <w:rFonts w:ascii="Arial" w:cs="Arial" w:eastAsia="Arial" w:hAnsi="Arial"/>
          <w:sz w:val="21"/>
          <w:szCs w:val="21"/>
          <w:b w:val="1"/>
          <w:bCs w:val="1"/>
          <w:color w:val="auto"/>
        </w:rPr>
        <w:t xml:space="preserve">2.38 </w:t>
      </w:r>
      <w:r>
        <w:rPr>
          <w:rFonts w:ascii="Arial" w:cs="Arial" w:eastAsia="Arial" w:hAnsi="Arial"/>
          <w:sz w:val="21"/>
          <w:szCs w:val="21"/>
          <w:b w:val="1"/>
          <w:bCs w:val="1"/>
          <w:u w:val="single" w:color="auto"/>
          <w:color w:val="auto"/>
        </w:rPr>
        <w:t>Stock Unit or Unit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 non-voting unit of measurement that is deemed for bookkeeping purposes to be equivalent</w:t>
      </w:r>
      <w:r>
        <w:rPr>
          <w:rFonts w:ascii="Arial" w:cs="Arial" w:eastAsia="Arial" w:hAnsi="Arial"/>
          <w:sz w:val="21"/>
          <w:szCs w:val="21"/>
          <w:b w:val="1"/>
          <w:bCs w:val="1"/>
          <w:color w:val="auto"/>
        </w:rPr>
        <w:t xml:space="preserve"> </w:t>
      </w:r>
      <w:r>
        <w:rPr>
          <w:rFonts w:ascii="Arial" w:cs="Arial" w:eastAsia="Arial" w:hAnsi="Arial"/>
          <w:sz w:val="21"/>
          <w:szCs w:val="21"/>
          <w:color w:val="auto"/>
        </w:rPr>
        <w:t>to one outstanding share of Common Stock of the Company solely for purposes of this Plan.</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2.39</w:t>
      </w:r>
      <w:r>
        <w:rPr>
          <w:sz w:val="20"/>
          <w:szCs w:val="20"/>
          <w:color w:val="auto"/>
        </w:rPr>
        <w:tab/>
      </w:r>
      <w:r>
        <w:rPr>
          <w:rFonts w:ascii="Arial" w:cs="Arial" w:eastAsia="Arial" w:hAnsi="Arial"/>
          <w:sz w:val="19"/>
          <w:szCs w:val="19"/>
          <w:b w:val="1"/>
          <w:bCs w:val="1"/>
          <w:u w:val="single" w:color="auto"/>
          <w:color w:val="auto"/>
        </w:rPr>
        <w:t xml:space="preserve">Stock Unit Account </w:t>
      </w:r>
      <w:r>
        <w:rPr>
          <w:rFonts w:ascii="Arial" w:cs="Arial" w:eastAsia="Arial" w:hAnsi="Arial"/>
          <w:sz w:val="19"/>
          <w:szCs w:val="19"/>
          <w:color w:val="auto"/>
        </w:rPr>
        <w:t>shall mean a Current Stock Unit Account and/or a Prior Stock Unit Account.</w:t>
      </w:r>
    </w:p>
    <w:p>
      <w:pPr>
        <w:spacing w:after="0" w:line="180" w:lineRule="exact"/>
        <w:rPr>
          <w:sz w:val="20"/>
          <w:szCs w:val="20"/>
          <w:color w:val="auto"/>
        </w:rPr>
      </w:pPr>
    </w:p>
    <w:p>
      <w:pPr>
        <w:ind w:right="460"/>
        <w:spacing w:after="0" w:line="236" w:lineRule="auto"/>
        <w:rPr>
          <w:sz w:val="20"/>
          <w:szCs w:val="20"/>
          <w:color w:val="auto"/>
        </w:rPr>
      </w:pPr>
      <w:r>
        <w:rPr>
          <w:rFonts w:ascii="Arial" w:cs="Arial" w:eastAsia="Arial" w:hAnsi="Arial"/>
          <w:sz w:val="20"/>
          <w:szCs w:val="20"/>
          <w:b w:val="1"/>
          <w:bCs w:val="1"/>
          <w:color w:val="auto"/>
        </w:rPr>
        <w:t xml:space="preserve">2.40 </w:t>
      </w:r>
      <w:r>
        <w:rPr>
          <w:rFonts w:ascii="Arial" w:cs="Arial" w:eastAsia="Arial" w:hAnsi="Arial"/>
          <w:sz w:val="20"/>
          <w:szCs w:val="20"/>
          <w:b w:val="1"/>
          <w:bCs w:val="1"/>
          <w:u w:val="single" w:color="auto"/>
          <w:color w:val="auto"/>
        </w:rPr>
        <w:t>Unforeseeable Emergency</w:t>
      </w:r>
      <w:r>
        <w:rPr>
          <w:rFonts w:ascii="Arial" w:cs="Arial" w:eastAsia="Arial" w:hAnsi="Arial"/>
          <w:sz w:val="20"/>
          <w:szCs w:val="20"/>
          <w:b w:val="1"/>
          <w:bCs w:val="1"/>
          <w:color w:val="auto"/>
        </w:rPr>
        <w:t xml:space="preserve"> </w:t>
      </w:r>
      <w:r>
        <w:rPr>
          <w:rFonts w:ascii="Arial" w:cs="Arial" w:eastAsia="Arial" w:hAnsi="Arial"/>
          <w:sz w:val="20"/>
          <w:szCs w:val="20"/>
          <w:color w:val="auto"/>
        </w:rPr>
        <w:t>shall mean a severe financial hardship to the Eligible Director resulting from an illness or</w:t>
      </w:r>
      <w:r>
        <w:rPr>
          <w:rFonts w:ascii="Arial" w:cs="Arial" w:eastAsia="Arial" w:hAnsi="Arial"/>
          <w:sz w:val="20"/>
          <w:szCs w:val="20"/>
          <w:b w:val="1"/>
          <w:bCs w:val="1"/>
          <w:color w:val="auto"/>
        </w:rPr>
        <w:t xml:space="preserve"> </w:t>
      </w:r>
      <w:r>
        <w:rPr>
          <w:rFonts w:ascii="Arial" w:cs="Arial" w:eastAsia="Arial" w:hAnsi="Arial"/>
          <w:sz w:val="20"/>
          <w:szCs w:val="20"/>
          <w:color w:val="auto"/>
        </w:rPr>
        <w:t>accident of the Eligible Director, the Eligible Director’s spouse or a dependent (as defined in Section 152(a) of the Code) of the Eligible Director, loss to the Eligible Director’s property due to casualty, or other similar extraordinary and unforeseeable circumstances arising as a result of events beyond the control of the Eligible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ARTICLE III</w:t>
      </w:r>
    </w:p>
    <w:p>
      <w:pPr>
        <w:jc w:val="center"/>
        <w:ind w:right="-19"/>
        <w:spacing w:after="0"/>
        <w:rPr>
          <w:sz w:val="20"/>
          <w:szCs w:val="20"/>
          <w:color w:val="auto"/>
        </w:rPr>
      </w:pPr>
      <w:r>
        <w:rPr>
          <w:rFonts w:ascii="Arial" w:cs="Arial" w:eastAsia="Arial" w:hAnsi="Arial"/>
          <w:sz w:val="21"/>
          <w:szCs w:val="21"/>
          <w:b w:val="1"/>
          <w:bCs w:val="1"/>
          <w:u w:val="single" w:color="auto"/>
          <w:color w:val="auto"/>
        </w:rPr>
        <w:t>PARTICIPATION</w:t>
      </w:r>
    </w:p>
    <w:p>
      <w:pPr>
        <w:spacing w:after="0" w:line="162" w:lineRule="exact"/>
        <w:rPr>
          <w:sz w:val="20"/>
          <w:szCs w:val="20"/>
          <w:color w:val="auto"/>
        </w:rPr>
      </w:pPr>
    </w:p>
    <w:p>
      <w:pPr>
        <w:ind w:right="140" w:firstLine="1265"/>
        <w:spacing w:after="0" w:line="237" w:lineRule="auto"/>
        <w:rPr>
          <w:sz w:val="20"/>
          <w:szCs w:val="20"/>
          <w:color w:val="auto"/>
        </w:rPr>
      </w:pPr>
      <w:r>
        <w:rPr>
          <w:rFonts w:ascii="Arial" w:cs="Arial" w:eastAsia="Arial" w:hAnsi="Arial"/>
          <w:sz w:val="21"/>
          <w:szCs w:val="21"/>
          <w:color w:val="auto"/>
        </w:rPr>
        <w:t>Each Eligible Director shall become a participant in the Plan by electing to defer his or her Compensation or Special Meeting Fees in accordance with Article IV.</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ARTICLE IV</w:t>
      </w:r>
    </w:p>
    <w:p>
      <w:pPr>
        <w:jc w:val="center"/>
        <w:ind w:right="-19"/>
        <w:spacing w:after="0"/>
        <w:rPr>
          <w:sz w:val="20"/>
          <w:szCs w:val="20"/>
          <w:color w:val="auto"/>
        </w:rPr>
      </w:pPr>
      <w:r>
        <w:rPr>
          <w:rFonts w:ascii="Arial" w:cs="Arial" w:eastAsia="Arial" w:hAnsi="Arial"/>
          <w:sz w:val="21"/>
          <w:szCs w:val="21"/>
          <w:b w:val="1"/>
          <w:bCs w:val="1"/>
          <w:u w:val="single" w:color="auto"/>
          <w:color w:val="auto"/>
        </w:rPr>
        <w:t>DEFERRAL ELECTIONS</w:t>
      </w:r>
    </w:p>
    <w:p>
      <w:pPr>
        <w:spacing w:after="0" w:line="155" w:lineRule="exact"/>
        <w:rPr>
          <w:sz w:val="20"/>
          <w:szCs w:val="20"/>
          <w:color w:val="auto"/>
        </w:rPr>
      </w:pPr>
    </w:p>
    <w:p>
      <w:pPr>
        <w:spacing w:after="0" w:line="225"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Initial Elections</w:t>
      </w:r>
      <w:r>
        <w:rPr>
          <w:rFonts w:ascii="Arial" w:cs="Arial" w:eastAsia="Arial" w:hAnsi="Arial"/>
          <w:sz w:val="19"/>
          <w:szCs w:val="19"/>
          <w:b w:val="1"/>
          <w:bCs w:val="1"/>
          <w:color w:val="auto"/>
        </w:rPr>
        <w:t xml:space="preserve">. </w:t>
      </w:r>
      <w:r>
        <w:rPr>
          <w:rFonts w:ascii="Arial" w:cs="Arial" w:eastAsia="Arial" w:hAnsi="Arial"/>
          <w:sz w:val="19"/>
          <w:szCs w:val="19"/>
          <w:color w:val="auto"/>
        </w:rPr>
        <w:t>On or before the 30</w:t>
      </w:r>
      <w:r>
        <w:rPr>
          <w:rFonts w:ascii="Arial" w:cs="Arial" w:eastAsia="Arial" w:hAnsi="Arial"/>
          <w:sz w:val="24"/>
          <w:szCs w:val="24"/>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day after first becoming an Eligible Director, a new Eligible Director may make an</w:t>
      </w:r>
      <w:r>
        <w:rPr>
          <w:rFonts w:ascii="Arial" w:cs="Arial" w:eastAsia="Arial" w:hAnsi="Arial"/>
          <w:sz w:val="19"/>
          <w:szCs w:val="19"/>
          <w:b w:val="1"/>
          <w:bCs w:val="1"/>
          <w:color w:val="auto"/>
        </w:rPr>
        <w:t xml:space="preserve"> </w:t>
      </w:r>
      <w:r>
        <w:rPr>
          <w:rFonts w:ascii="Arial" w:cs="Arial" w:eastAsia="Arial" w:hAnsi="Arial"/>
          <w:sz w:val="19"/>
          <w:szCs w:val="19"/>
          <w:color w:val="auto"/>
        </w:rPr>
        <w:t>irrevocable election to defer all or a portion (in 10% increments) of his or her Compensation and/or Special Meeting Fees payable for services to be rendered by the Eligible Director after the date such election is filed with the Committee and during the remainder of the calendar year during which the Eligible Director first becomes an Eligible Director and/or during the next one or two calendar years in (a) cash, in accordance with Section 5.1, or (b) Stock Units, in accordance with Section 5.2. Such election shall be in writing on a form provided by the Company and approved by the Committee and must be filed no later than the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date that the Eligible Director first becomes an Eligible Director. Such election may also specify that the amounts deferred pursuant to such election shall be paid under one of the optional forms of benefits set forth in Section 5.5(a).</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4.2</w:t>
      </w:r>
      <w:r>
        <w:rPr>
          <w:sz w:val="20"/>
          <w:szCs w:val="20"/>
          <w:color w:val="auto"/>
        </w:rPr>
        <w:tab/>
      </w:r>
      <w:r>
        <w:rPr>
          <w:rFonts w:ascii="Arial" w:cs="Arial" w:eastAsia="Arial" w:hAnsi="Arial"/>
          <w:sz w:val="18"/>
          <w:szCs w:val="18"/>
          <w:b w:val="1"/>
          <w:bCs w:val="1"/>
          <w:u w:val="single" w:color="auto"/>
          <w:color w:val="auto"/>
        </w:rPr>
        <w:t>Subsequent Annual Elections</w:t>
      </w:r>
      <w:r>
        <w:rPr>
          <w:rFonts w:ascii="Arial" w:cs="Arial" w:eastAsia="Arial" w:hAnsi="Arial"/>
          <w:sz w:val="18"/>
          <w:szCs w:val="18"/>
          <w:color w:val="auto"/>
        </w:rPr>
        <w:t>.</w:t>
      </w:r>
    </w:p>
    <w:p>
      <w:pPr>
        <w:spacing w:after="0" w:line="180" w:lineRule="exact"/>
        <w:rPr>
          <w:sz w:val="20"/>
          <w:szCs w:val="20"/>
          <w:color w:val="auto"/>
        </w:rPr>
      </w:pPr>
    </w:p>
    <w:p>
      <w:pPr>
        <w:ind w:firstLine="5"/>
        <w:spacing w:after="0" w:line="265" w:lineRule="auto"/>
        <w:tabs>
          <w:tab w:leader="none" w:pos="628"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Rule</w:t>
      </w:r>
      <w:r>
        <w:rPr>
          <w:rFonts w:ascii="Arial" w:cs="Arial" w:eastAsia="Arial" w:hAnsi="Arial"/>
          <w:sz w:val="20"/>
          <w:szCs w:val="20"/>
          <w:b w:val="1"/>
          <w:bCs w:val="1"/>
          <w:color w:val="auto"/>
        </w:rPr>
        <w:t xml:space="preserve">. </w:t>
      </w:r>
      <w:r>
        <w:rPr>
          <w:rFonts w:ascii="Arial" w:cs="Arial" w:eastAsia="Arial" w:hAnsi="Arial"/>
          <w:sz w:val="20"/>
          <w:szCs w:val="20"/>
          <w:color w:val="auto"/>
        </w:rPr>
        <w:t>On or before the date set forth in the applicable election agreement (but in no event later than December 31 of</w:t>
      </w:r>
      <w:r>
        <w:rPr>
          <w:rFonts w:ascii="Arial" w:cs="Arial" w:eastAsia="Arial" w:hAnsi="Arial"/>
          <w:sz w:val="20"/>
          <w:szCs w:val="20"/>
          <w:b w:val="1"/>
          <w:bCs w:val="1"/>
          <w:color w:val="auto"/>
        </w:rPr>
        <w:t xml:space="preserve"> </w:t>
      </w:r>
      <w:r>
        <w:rPr>
          <w:rFonts w:ascii="Arial" w:cs="Arial" w:eastAsia="Arial" w:hAnsi="Arial"/>
          <w:sz w:val="20"/>
          <w:szCs w:val="20"/>
          <w:color w:val="auto"/>
        </w:rPr>
        <w:t>the year preceding the first year to which the election applies), each Eligible Director may make an irrevocable election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20"/>
          </w:cols>
          <w:pgMar w:left="320" w:top="1370" w:right="359" w:bottom="1440" w:gutter="0" w:footer="0" w:header="0"/>
        </w:sectPr>
      </w:pPr>
    </w:p>
    <w:bookmarkStart w:id="129" w:name="page130"/>
    <w:bookmarkEnd w:id="129"/>
    <w:p>
      <w:pPr>
        <w:ind w:right="380"/>
        <w:spacing w:after="0" w:line="241" w:lineRule="auto"/>
        <w:rPr>
          <w:sz w:val="20"/>
          <w:szCs w:val="20"/>
          <w:color w:val="auto"/>
        </w:rPr>
      </w:pPr>
      <w:r>
        <w:rPr>
          <w:rFonts w:ascii="Arial" w:cs="Arial" w:eastAsia="Arial" w:hAnsi="Arial"/>
          <w:sz w:val="19"/>
          <w:szCs w:val="19"/>
          <w:color w:val="auto"/>
        </w:rPr>
        <w:t>defer all or a portion (in 10% increments) of his or her Compensation and/or Special Meeting Fees payable for services to be rendered by the Eligible Director during the next one, two, or three calendar years in (a) cash, in accordance with Section 5.1, or</w:t>
      </w:r>
    </w:p>
    <w:p>
      <w:pPr>
        <w:spacing w:after="0" w:line="1" w:lineRule="exact"/>
        <w:rPr>
          <w:sz w:val="20"/>
          <w:szCs w:val="20"/>
          <w:color w:val="auto"/>
        </w:rPr>
      </w:pPr>
    </w:p>
    <w:p>
      <w:pPr>
        <w:jc w:val="both"/>
        <w:ind w:right="60" w:firstLine="5"/>
        <w:spacing w:after="0" w:line="222" w:lineRule="auto"/>
        <w:tabs>
          <w:tab w:leader="none" w:pos="298" w:val="left"/>
        </w:tabs>
        <w:numPr>
          <w:ilvl w:val="0"/>
          <w:numId w:val="64"/>
        </w:numPr>
        <w:rPr>
          <w:rFonts w:ascii="Arial" w:cs="Arial" w:eastAsia="Arial" w:hAnsi="Arial"/>
          <w:sz w:val="21"/>
          <w:szCs w:val="21"/>
          <w:color w:val="auto"/>
        </w:rPr>
      </w:pPr>
      <w:r>
        <w:rPr>
          <w:rFonts w:ascii="Arial" w:cs="Arial" w:eastAsia="Arial" w:hAnsi="Arial"/>
          <w:sz w:val="21"/>
          <w:szCs w:val="21"/>
          <w:color w:val="auto"/>
        </w:rPr>
        <w:t>Stock Units, in accordance with Section 5.2. Such election shall be in writing on forms provided by the Company and approved by the Committee. Such election may also specify that the amounts deferred pursuant to such election shall be paid under one of the optional time and forms of distribution set forth in Section 5.5(a).</w:t>
      </w:r>
    </w:p>
    <w:p>
      <w:pPr>
        <w:spacing w:after="0" w:line="149" w:lineRule="exact"/>
        <w:rPr>
          <w:sz w:val="20"/>
          <w:szCs w:val="20"/>
          <w:color w:val="auto"/>
        </w:rPr>
      </w:pPr>
    </w:p>
    <w:p>
      <w:pPr>
        <w:ind w:right="60" w:firstLine="5"/>
        <w:spacing w:after="0" w:line="239" w:lineRule="auto"/>
        <w:tabs>
          <w:tab w:leader="none" w:pos="626"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Special Rule for 2005 and 2006 Deferrals</w:t>
      </w:r>
      <w:r>
        <w:rPr>
          <w:rFonts w:ascii="Arial" w:cs="Arial" w:eastAsia="Arial" w:hAnsi="Arial"/>
          <w:sz w:val="19"/>
          <w:szCs w:val="19"/>
          <w:b w:val="1"/>
          <w:bCs w:val="1"/>
          <w:color w:val="auto"/>
        </w:rPr>
        <w:t xml:space="preserve">. </w:t>
      </w:r>
      <w:r>
        <w:rPr>
          <w:rFonts w:ascii="Arial" w:cs="Arial" w:eastAsia="Arial" w:hAnsi="Arial"/>
          <w:sz w:val="19"/>
          <w:szCs w:val="19"/>
          <w:color w:val="auto"/>
        </w:rPr>
        <w:t>Any Eligible Director who filed a deferral election under this Plan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 2003 with respect to Compensation and/or Special Meeting Fees to be earned in 2005 and/or 2006 (a “Pre-Existing Deferral Election”) may file a new distribution election with respect to amounts to be deferred in 2005 and/or 2006 pursuant to such Pre-Existing Deferral Election (the “2005-2006 Deferrals”) no later than December 31, 2005. If the Eligible Director does not file such a distribution election for such 2005-2006 Deferrals, then he or she shall be deemed to have elected to receive a distribution of his 2005-2006 Deferrals as provided in the Eligible Director’s most recent effective distribution election filed prior to December 31, 2004 with the Committee in accordance with Section 5.5A(b) with respect to all amounts deferred under such Pre-Existing Deferral Election. Any further changes to the time and manner of distribution of the Participant’s 2005-2006 Deferrals shall be made in accordance with, and governed by, the provisions of Section 5.5(b) and not Section 5.5A(b).</w:t>
      </w:r>
    </w:p>
    <w:p>
      <w:pPr>
        <w:spacing w:after="0" w:line="149" w:lineRule="exact"/>
        <w:rPr>
          <w:rFonts w:ascii="Arial" w:cs="Arial" w:eastAsia="Arial" w:hAnsi="Arial"/>
          <w:sz w:val="19"/>
          <w:szCs w:val="19"/>
          <w:b w:val="1"/>
          <w:bCs w:val="1"/>
          <w:color w:val="auto"/>
        </w:rPr>
      </w:pPr>
    </w:p>
    <w:p>
      <w:pPr>
        <w:ind w:firstLine="5"/>
        <w:spacing w:after="0" w:line="243" w:lineRule="auto"/>
        <w:tabs>
          <w:tab w:leader="none" w:pos="629"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2008 Distribution Elections</w:t>
      </w:r>
      <w:r>
        <w:rPr>
          <w:rFonts w:ascii="Arial" w:cs="Arial" w:eastAsia="Arial" w:hAnsi="Arial"/>
          <w:sz w:val="19"/>
          <w:szCs w:val="19"/>
          <w:color w:val="auto"/>
        </w:rPr>
        <w:t>. Notwithstanding the provisions of Sections 4.1, 4.2(a), 4.2(b) and 5.5 hereof, a Participant may</w:t>
      </w:r>
      <w:r>
        <w:rPr>
          <w:rFonts w:ascii="Arial" w:cs="Arial" w:eastAsia="Arial" w:hAnsi="Arial"/>
          <w:sz w:val="19"/>
          <w:szCs w:val="19"/>
          <w:b w:val="1"/>
          <w:bCs w:val="1"/>
          <w:color w:val="auto"/>
        </w:rPr>
        <w:t xml:space="preserve"> </w:t>
      </w:r>
      <w:r>
        <w:rPr>
          <w:rFonts w:ascii="Arial" w:cs="Arial" w:eastAsia="Arial" w:hAnsi="Arial"/>
          <w:sz w:val="19"/>
          <w:szCs w:val="19"/>
          <w:color w:val="auto"/>
        </w:rPr>
        <w:t>elect to change his or her distribution election with respect to his or her Current Cash Accounts, Current Dividend Equivalent Cash Accounts, Current Dividend Equivalent Stock Accounts and Current Stock Unit Accounts from among the optional times and forms of distribution set forth in Section 5.5(a) by filing a new election with the Committee on or after January 1, 2008 and on or before December 31, 2008. Any such election change shall apply only to amounts that would not otherwise be payable in 2008 and shall not cause any amount to be paid in 2008 that would not otherwise be payable in 2008.</w:t>
      </w:r>
    </w:p>
    <w:p>
      <w:pPr>
        <w:spacing w:after="0" w:line="141" w:lineRule="exact"/>
        <w:rPr>
          <w:sz w:val="20"/>
          <w:szCs w:val="20"/>
          <w:color w:val="auto"/>
        </w:rPr>
      </w:pPr>
    </w:p>
    <w:p>
      <w:pPr>
        <w:ind w:left="5000"/>
        <w:spacing w:after="0"/>
        <w:rPr>
          <w:sz w:val="20"/>
          <w:szCs w:val="20"/>
          <w:color w:val="auto"/>
        </w:rPr>
      </w:pPr>
      <w:r>
        <w:rPr>
          <w:rFonts w:ascii="Arial" w:cs="Arial" w:eastAsia="Arial" w:hAnsi="Arial"/>
          <w:sz w:val="21"/>
          <w:szCs w:val="21"/>
          <w:b w:val="1"/>
          <w:bCs w:val="1"/>
          <w:u w:val="single" w:color="auto"/>
          <w:color w:val="auto"/>
        </w:rPr>
        <w:t>ARTICLE V</w:t>
      </w:r>
    </w:p>
    <w:p>
      <w:pPr>
        <w:ind w:left="4420"/>
        <w:spacing w:after="0"/>
        <w:rPr>
          <w:sz w:val="20"/>
          <w:szCs w:val="20"/>
          <w:color w:val="auto"/>
        </w:rPr>
      </w:pPr>
      <w:r>
        <w:rPr>
          <w:rFonts w:ascii="Arial" w:cs="Arial" w:eastAsia="Arial" w:hAnsi="Arial"/>
          <w:sz w:val="21"/>
          <w:szCs w:val="21"/>
          <w:b w:val="1"/>
          <w:bCs w:val="1"/>
          <w:u w:val="single" w:color="auto"/>
          <w:color w:val="auto"/>
        </w:rPr>
        <w:t>DEFERRAL ACCOUNTS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5.1</w:t>
      </w:r>
      <w:r>
        <w:rPr>
          <w:sz w:val="20"/>
          <w:szCs w:val="20"/>
          <w:color w:val="auto"/>
        </w:rPr>
        <w:tab/>
      </w:r>
      <w:r>
        <w:rPr>
          <w:rFonts w:ascii="Arial" w:cs="Arial" w:eastAsia="Arial" w:hAnsi="Arial"/>
          <w:sz w:val="18"/>
          <w:szCs w:val="18"/>
          <w:b w:val="1"/>
          <w:bCs w:val="1"/>
          <w:u w:val="single" w:color="auto"/>
          <w:color w:val="auto"/>
        </w:rPr>
        <w:t>Cash Account</w:t>
      </w:r>
      <w:r>
        <w:rPr>
          <w:rFonts w:ascii="Arial" w:cs="Arial" w:eastAsia="Arial" w:hAnsi="Arial"/>
          <w:sz w:val="18"/>
          <w:szCs w:val="18"/>
          <w:color w:val="auto"/>
        </w:rPr>
        <w:t>.</w:t>
      </w:r>
    </w:p>
    <w:p>
      <w:pPr>
        <w:spacing w:after="0" w:line="180" w:lineRule="exact"/>
        <w:rPr>
          <w:sz w:val="20"/>
          <w:szCs w:val="20"/>
          <w:color w:val="auto"/>
        </w:rPr>
      </w:pPr>
    </w:p>
    <w:p>
      <w:pPr>
        <w:ind w:firstLine="5"/>
        <w:spacing w:after="0" w:line="222" w:lineRule="auto"/>
        <w:tabs>
          <w:tab w:leader="none" w:pos="628"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Current Cash Account</w:t>
      </w:r>
      <w:r>
        <w:rPr>
          <w:rFonts w:ascii="Arial" w:cs="Arial" w:eastAsia="Arial" w:hAnsi="Arial"/>
          <w:sz w:val="21"/>
          <w:szCs w:val="21"/>
          <w:color w:val="auto"/>
        </w:rPr>
        <w:t>. Effective January 1, 2005, if an Eligible Director has elected or elects in accordance with Article IV</w:t>
      </w:r>
      <w:r>
        <w:rPr>
          <w:rFonts w:ascii="Arial" w:cs="Arial" w:eastAsia="Arial" w:hAnsi="Arial"/>
          <w:sz w:val="21"/>
          <w:szCs w:val="21"/>
          <w:b w:val="1"/>
          <w:bCs w:val="1"/>
          <w:color w:val="auto"/>
        </w:rPr>
        <w:t xml:space="preserve"> </w:t>
      </w:r>
      <w:r>
        <w:rPr>
          <w:rFonts w:ascii="Arial" w:cs="Arial" w:eastAsia="Arial" w:hAnsi="Arial"/>
          <w:sz w:val="21"/>
          <w:szCs w:val="21"/>
          <w:color w:val="auto"/>
        </w:rPr>
        <w:t>to defer Compensation and/or Special Meeting Fees earned after December 31, 2004 in cash, the Committee shall establish and maintain a Cash Account for the Eligible Director under the Plan, which Account shall be a memorandum account on the books of the Company and shall be such Eligible Director’s “Current Cash Account.” An Eligible Director’s Current Cash Account shall be credited as follows:</w:t>
      </w:r>
    </w:p>
    <w:p>
      <w:pPr>
        <w:spacing w:after="0" w:line="154" w:lineRule="exact"/>
        <w:rPr>
          <w:sz w:val="20"/>
          <w:szCs w:val="20"/>
          <w:color w:val="auto"/>
        </w:rPr>
      </w:pPr>
    </w:p>
    <w:p>
      <w:pPr>
        <w:ind w:right="140" w:firstLine="5"/>
        <w:spacing w:after="0" w:line="259" w:lineRule="auto"/>
        <w:tabs>
          <w:tab w:leader="none" w:pos="628"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As of the last day of each calendar quarter, the Committee shall credit the Eligible Director’s Current Cash Account with an amount equal to the elected percentage of the Compensation deferred by the Eligible Director during such quarter;</w:t>
      </w:r>
    </w:p>
    <w:p>
      <w:pPr>
        <w:spacing w:after="0" w:line="135" w:lineRule="exact"/>
        <w:rPr>
          <w:rFonts w:ascii="Arial" w:cs="Arial" w:eastAsia="Arial" w:hAnsi="Arial"/>
          <w:sz w:val="20"/>
          <w:szCs w:val="20"/>
          <w:b w:val="1"/>
          <w:bCs w:val="1"/>
          <w:color w:val="auto"/>
        </w:rPr>
      </w:pPr>
    </w:p>
    <w:p>
      <w:pPr>
        <w:ind w:right="20" w:firstLine="5"/>
        <w:spacing w:after="0" w:line="259" w:lineRule="auto"/>
        <w:tabs>
          <w:tab w:leader="none" w:pos="628"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As of the date payment of any Special Meeting Fees would otherwise be made, the Eligible Director’s Current Cash Account shall be credited with an amount equal to the elected percentage of the Eligible Director’s Special Meeting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00"/>
          </w:cols>
          <w:pgMar w:left="320" w:top="1370" w:right="379" w:bottom="1440" w:gutter="0" w:footer="0" w:header="0"/>
        </w:sectPr>
      </w:pPr>
    </w:p>
    <w:bookmarkStart w:id="130" w:name="page131"/>
    <w:bookmarkEnd w:id="130"/>
    <w:p>
      <w:pPr>
        <w:ind w:right="360" w:firstLine="5"/>
        <w:spacing w:after="0" w:line="228" w:lineRule="auto"/>
        <w:tabs>
          <w:tab w:leader="none" w:pos="628" w:val="left"/>
        </w:tabs>
        <w:numPr>
          <w:ilvl w:val="0"/>
          <w:numId w:val="68"/>
        </w:numPr>
        <w:rPr>
          <w:rFonts w:ascii="Arial" w:cs="Arial" w:eastAsia="Arial" w:hAnsi="Arial"/>
          <w:sz w:val="21"/>
          <w:szCs w:val="21"/>
          <w:b w:val="1"/>
          <w:bCs w:val="1"/>
          <w:color w:val="auto"/>
        </w:rPr>
      </w:pPr>
      <w:r>
        <w:rPr>
          <w:rFonts w:ascii="Arial" w:cs="Arial" w:eastAsia="Arial" w:hAnsi="Arial"/>
          <w:sz w:val="21"/>
          <w:szCs w:val="21"/>
          <w:color w:val="auto"/>
        </w:rPr>
        <w:t>As of the last day of each calendar quarter, the Eligible Director’s Current Cash Account shall be credited with earnings equal to an amount determined by multiplying the balance credited to such Account as of the last day of the preceding quarter by one-fourth of the Interest Rate.</w:t>
      </w:r>
    </w:p>
    <w:p>
      <w:pPr>
        <w:spacing w:after="0" w:line="149" w:lineRule="exact"/>
        <w:rPr>
          <w:sz w:val="20"/>
          <w:szCs w:val="20"/>
          <w:color w:val="auto"/>
        </w:rPr>
      </w:pPr>
    </w:p>
    <w:p>
      <w:pPr>
        <w:ind w:right="20" w:firstLine="5"/>
        <w:spacing w:after="0" w:line="219" w:lineRule="auto"/>
        <w:tabs>
          <w:tab w:leader="none" w:pos="626" w:val="left"/>
        </w:tabs>
        <w:numPr>
          <w:ilvl w:val="0"/>
          <w:numId w:val="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Prior Cash Account</w:t>
      </w:r>
      <w:r>
        <w:rPr>
          <w:rFonts w:ascii="Arial" w:cs="Arial" w:eastAsia="Arial" w:hAnsi="Arial"/>
          <w:sz w:val="21"/>
          <w:szCs w:val="21"/>
          <w:color w:val="auto"/>
        </w:rPr>
        <w:t>. Effective January 1, 2005, the Cash Account (if any) established for an Eligible Director prior to</w:t>
      </w:r>
      <w:r>
        <w:rPr>
          <w:rFonts w:ascii="Arial" w:cs="Arial" w:eastAsia="Arial" w:hAnsi="Arial"/>
          <w:sz w:val="21"/>
          <w:szCs w:val="21"/>
          <w:b w:val="1"/>
          <w:bCs w:val="1"/>
          <w:color w:val="auto"/>
        </w:rPr>
        <w:t xml:space="preserve"> </w:t>
      </w:r>
      <w:r>
        <w:rPr>
          <w:rFonts w:ascii="Arial" w:cs="Arial" w:eastAsia="Arial" w:hAnsi="Arial"/>
          <w:sz w:val="21"/>
          <w:szCs w:val="21"/>
          <w:color w:val="auto"/>
        </w:rPr>
        <w:t>January 1, 2005 shall be that Eligible Director’s “Prior Cash Account,” and no amount of Compensation or Special Meeting Fees earned after December 31, 2004 that such Eligible Director elects to defer under this Plan shall be credited to such Prior Cash Account. As of the last day of each calendar quarter, the Eligible Director’s Prior Cash Account shall be credited with earnings equal to an amount determined by multiplying the balance credited to such Account as of the last day of the preceding quarter by one-fourth of the Interest Rate.</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5.2</w:t>
      </w:r>
      <w:r>
        <w:rPr>
          <w:sz w:val="20"/>
          <w:szCs w:val="20"/>
          <w:color w:val="auto"/>
        </w:rPr>
        <w:tab/>
      </w:r>
      <w:r>
        <w:rPr>
          <w:rFonts w:ascii="Arial" w:cs="Arial" w:eastAsia="Arial" w:hAnsi="Arial"/>
          <w:sz w:val="18"/>
          <w:szCs w:val="18"/>
          <w:b w:val="1"/>
          <w:bCs w:val="1"/>
          <w:u w:val="single" w:color="auto"/>
          <w:color w:val="auto"/>
        </w:rPr>
        <w:t>Stock Unit Account</w:t>
      </w:r>
      <w:r>
        <w:rPr>
          <w:rFonts w:ascii="Arial" w:cs="Arial" w:eastAsia="Arial" w:hAnsi="Arial"/>
          <w:sz w:val="18"/>
          <w:szCs w:val="18"/>
          <w:color w:val="auto"/>
        </w:rPr>
        <w:t>.</w:t>
      </w:r>
    </w:p>
    <w:p>
      <w:pPr>
        <w:spacing w:after="0" w:line="180" w:lineRule="exact"/>
        <w:rPr>
          <w:sz w:val="20"/>
          <w:szCs w:val="20"/>
          <w:color w:val="auto"/>
        </w:rPr>
      </w:pPr>
    </w:p>
    <w:p>
      <w:pPr>
        <w:ind w:firstLine="5"/>
        <w:spacing w:after="0" w:line="222" w:lineRule="auto"/>
        <w:tabs>
          <w:tab w:leader="none" w:pos="628"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Current Stock Unit Account</w:t>
      </w:r>
      <w:r>
        <w:rPr>
          <w:rFonts w:ascii="Arial" w:cs="Arial" w:eastAsia="Arial" w:hAnsi="Arial"/>
          <w:sz w:val="21"/>
          <w:szCs w:val="21"/>
          <w:color w:val="auto"/>
        </w:rPr>
        <w:t>. Effective January 1, 2005, if an Eligible Director has elected or elects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IV to defer his or her Compensation and/or Special Meeting Fees earned after December 31, 2004 in Stock Units, the Committee shall establish and maintain a Stock Unit Account for the Eligible Director under the Plan, which Account shall be a memorandum account on the books of the Company and shall be such Eligible Director’s “Current Stock Unit Account.” An Eligible Director’s Current Stock Account shall be credited as follows:</w:t>
      </w:r>
    </w:p>
    <w:p>
      <w:pPr>
        <w:spacing w:after="0" w:line="148" w:lineRule="exact"/>
        <w:rPr>
          <w:sz w:val="20"/>
          <w:szCs w:val="20"/>
          <w:color w:val="auto"/>
        </w:rPr>
      </w:pPr>
    </w:p>
    <w:p>
      <w:pPr>
        <w:ind w:right="260" w:firstLine="5"/>
        <w:spacing w:after="0" w:line="228" w:lineRule="auto"/>
        <w:tabs>
          <w:tab w:leader="none" w:pos="628"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Regular Compensation</w:t>
      </w:r>
      <w:r>
        <w:rPr>
          <w:rFonts w:ascii="Arial" w:cs="Arial" w:eastAsia="Arial" w:hAnsi="Arial"/>
          <w:sz w:val="20"/>
          <w:szCs w:val="20"/>
          <w:color w:val="auto"/>
        </w:rPr>
        <w:t>. If an Eligible Director has elected or elects to defer his or her Compensation earned on or after</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1, 2023 in Stock Units, the Committee shall credit on the Award Date to the Current Stock Unit Account of the Eligible Director a number of Units determined by dividing the present value of the Compensation deferred by the Eligible Director by the Fair Market Value of a share of Common Stock. The present value shall be computed assuming the Compensation deferred would have been paid on the first day of the calendar year to which it relates (or, in the case of Compensation deferred under an election under Section 4.1 for the remainder of the calendar year in which the Eligible Director first becomes an Eligible Director, on the Award Date) at the prevailing rate of Compensation at the time of the election made in accordance with Article IV, discounted to present value using the Discount Rate.</w:t>
      </w:r>
    </w:p>
    <w:p>
      <w:pPr>
        <w:spacing w:after="0" w:line="149" w:lineRule="exact"/>
        <w:rPr>
          <w:rFonts w:ascii="Arial" w:cs="Arial" w:eastAsia="Arial" w:hAnsi="Arial"/>
          <w:sz w:val="20"/>
          <w:szCs w:val="20"/>
          <w:b w:val="1"/>
          <w:bCs w:val="1"/>
          <w:color w:val="auto"/>
        </w:rPr>
      </w:pPr>
    </w:p>
    <w:p>
      <w:pPr>
        <w:ind w:right="140" w:firstLine="5"/>
        <w:spacing w:after="0" w:line="225" w:lineRule="auto"/>
        <w:tabs>
          <w:tab w:leader="none" w:pos="628"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Additional Compensation</w:t>
      </w:r>
      <w:r>
        <w:rPr>
          <w:rFonts w:ascii="Arial" w:cs="Arial" w:eastAsia="Arial" w:hAnsi="Arial"/>
          <w:sz w:val="20"/>
          <w:szCs w:val="20"/>
          <w:color w:val="auto"/>
        </w:rPr>
        <w:t>. If an Eligible Director has elected or elects to defer his or her Compensation and/or Special</w:t>
      </w:r>
      <w:r>
        <w:rPr>
          <w:rFonts w:ascii="Arial" w:cs="Arial" w:eastAsia="Arial" w:hAnsi="Arial"/>
          <w:sz w:val="20"/>
          <w:szCs w:val="20"/>
          <w:b w:val="1"/>
          <w:bCs w:val="1"/>
          <w:color w:val="auto"/>
        </w:rPr>
        <w:t xml:space="preserve"> </w:t>
      </w:r>
      <w:r>
        <w:rPr>
          <w:rFonts w:ascii="Arial" w:cs="Arial" w:eastAsia="Arial" w:hAnsi="Arial"/>
          <w:sz w:val="20"/>
          <w:szCs w:val="20"/>
          <w:color w:val="auto"/>
        </w:rPr>
        <w:t>Meeting Fees earned on or after January 1, 2023 in Stock Units and such Eligible Director has any Additional Compensation for a particular calendar year to which such deferral election applies, the Committee shall, on the first day of the month following the month in which the event giving rise to the related Additional Compensation occurs: (i) in the event such Additional Compensation is a positive number, credit the Eligible Director’s Current Stock Unit Account with a number of Units determined by dividing the present value of the portion of the Eligible Director’s Additional Compensation that is deferred by the Eligible Director under this Plan for that calendar year and any future calendar year subject to such deferral election by the Fair Market Value of a share of Common Stock, or (ii) in the event such Additional Compensation is a negative number, debit the Eligible Director’s Current Stock Unit Account a number of Units determined by dividing the present value of the portion of the Eligible Director’s Additional Compensation for that calendar year and any future calendar year subject to such deferral election by the Fair Market Value of a share of Common Stock. In no event, however, shall the Company make any reduction, during or after a particular year, in the level of Compensation and/or Special Meeting Fees for any Eligible Director for that particular year to the extent such reduction would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70" w:right="339" w:bottom="1440" w:gutter="0" w:footer="0" w:header="0"/>
        </w:sectPr>
      </w:pPr>
    </w:p>
    <w:bookmarkStart w:id="131" w:name="page132"/>
    <w:bookmarkEnd w:id="131"/>
    <w:p>
      <w:pPr>
        <w:ind w:right="20"/>
        <w:spacing w:after="0" w:line="228" w:lineRule="auto"/>
        <w:rPr>
          <w:sz w:val="20"/>
          <w:szCs w:val="20"/>
          <w:color w:val="auto"/>
        </w:rPr>
      </w:pPr>
      <w:r>
        <w:rPr>
          <w:rFonts w:ascii="Arial" w:cs="Arial" w:eastAsia="Arial" w:hAnsi="Arial"/>
          <w:sz w:val="20"/>
          <w:szCs w:val="20"/>
          <w:color w:val="auto"/>
        </w:rPr>
        <w:t>the Eligible Director receiving any amount that would be treated as a “substitute for a payment of deferred compensation” within the meaning of Treas. Reg. Section 1.409A-3(f), or that would otherwise violate Section 409A of the Code, and would result in any tax, penalty or interest under Section 409A of the Code. The present value for purposes of this Section 5.2(a)(2) shall be computed assuming the Additional Compensation subject to the Eligible Director’s deferral election would have been paid on the first day of the calendar year to which it relates (or, in the case of Additional Compensation subject to such deferral election that relates to the remainder of the calendar year in which the Additional Compensation Approval Date occurs, on the Additional Compensation Approval Date), discounted to present value using the Discount Rate.</w:t>
      </w:r>
    </w:p>
    <w:p>
      <w:pPr>
        <w:spacing w:after="0" w:line="151" w:lineRule="exact"/>
        <w:rPr>
          <w:sz w:val="20"/>
          <w:szCs w:val="20"/>
          <w:color w:val="auto"/>
        </w:rPr>
      </w:pPr>
    </w:p>
    <w:p>
      <w:pPr>
        <w:ind w:firstLine="5"/>
        <w:spacing w:after="0" w:line="232" w:lineRule="auto"/>
        <w:tabs>
          <w:tab w:leader="none" w:pos="628"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Special Compensation</w:t>
      </w:r>
      <w:r>
        <w:rPr>
          <w:rFonts w:ascii="Arial" w:cs="Arial" w:eastAsia="Arial" w:hAnsi="Arial"/>
          <w:sz w:val="19"/>
          <w:szCs w:val="19"/>
          <w:color w:val="auto"/>
        </w:rPr>
        <w:t>. If an Eligible Director has elected or elects to defer his or her Compensation and/or Special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Fees earned on or after January 1, 2023 in Stock Units, the Committee shall, on the March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following the year in which there is any Special Compensation with respect to such Eligible Director: (i) in the event such Special Compensation is a positive number, credit the Eligible Director’s Current Stock Unit Account with a number of Units determined by dividing the portion of the Eligible Director’s Special Compensation that is deferred by the Eligible Director under this Plan for that year by the Fair Market Value of a share of Common Stock, or (ii) in the event such Special Compensation is a negative number, debit the Eligible Director’s Current Stock Unit Account a number of Units determined by dividing the portion of the Eligible Director’s Special Compensation subject to such deferral election by the Fair Market Value of a share of Common Stock. In no event, however, shall the Company make any reduction, during or after a particular year, in the level of Compensation and/or Special Meeting Fees for any Eligible Director for that particular year to the extent such reduction would result in the Eligible Director receiving any amount that would be treated as a “substitute for a payment of deferred compensation” within the meaning of Treas. Reg. Section 1.409A-3(f), or that would otherwise violate Section 409A of the Code, and would result in any tax, penalty or interest under Section 409A of the Code.</w:t>
      </w:r>
    </w:p>
    <w:p>
      <w:pPr>
        <w:spacing w:after="0" w:line="150" w:lineRule="exact"/>
        <w:rPr>
          <w:rFonts w:ascii="Arial" w:cs="Arial" w:eastAsia="Arial" w:hAnsi="Arial"/>
          <w:sz w:val="19"/>
          <w:szCs w:val="19"/>
          <w:b w:val="1"/>
          <w:bCs w:val="1"/>
          <w:color w:val="auto"/>
        </w:rPr>
      </w:pPr>
    </w:p>
    <w:p>
      <w:pPr>
        <w:jc w:val="both"/>
        <w:ind w:right="140" w:firstLine="5"/>
        <w:spacing w:after="0" w:line="225" w:lineRule="auto"/>
        <w:tabs>
          <w:tab w:leader="none" w:pos="628"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Payment of Additional and Special Compensation</w:t>
      </w:r>
      <w:r>
        <w:rPr>
          <w:rFonts w:ascii="Arial" w:cs="Arial" w:eastAsia="Arial" w:hAnsi="Arial"/>
          <w:sz w:val="21"/>
          <w:szCs w:val="21"/>
          <w:color w:val="auto"/>
        </w:rPr>
        <w:t>. Notwithstanding any other provision herein, any Stock Units credited</w:t>
      </w:r>
      <w:r>
        <w:rPr>
          <w:rFonts w:ascii="Arial" w:cs="Arial" w:eastAsia="Arial" w:hAnsi="Arial"/>
          <w:sz w:val="21"/>
          <w:szCs w:val="21"/>
          <w:b w:val="1"/>
          <w:bCs w:val="1"/>
          <w:color w:val="auto"/>
        </w:rPr>
        <w:t xml:space="preserve"> </w:t>
      </w:r>
      <w:r>
        <w:rPr>
          <w:rFonts w:ascii="Arial" w:cs="Arial" w:eastAsia="Arial" w:hAnsi="Arial"/>
          <w:sz w:val="21"/>
          <w:szCs w:val="21"/>
          <w:color w:val="auto"/>
        </w:rPr>
        <w:t>to an Eligible Director’s Current Stock Unit Account pursuant to Section 5.2(a)(2) or Section 5.2(a)(3) shall be subject to the same time and form of payment rules as apply to the Eligible Director’s existing deferral elections of Compensation and/or Special Meeting Fees for the applicable calendar year.</w:t>
      </w:r>
    </w:p>
    <w:p>
      <w:pPr>
        <w:spacing w:after="0" w:line="148" w:lineRule="exact"/>
        <w:rPr>
          <w:sz w:val="20"/>
          <w:szCs w:val="20"/>
          <w:color w:val="auto"/>
        </w:rPr>
      </w:pPr>
    </w:p>
    <w:p>
      <w:pPr>
        <w:ind w:right="160" w:firstLine="5"/>
        <w:spacing w:after="0" w:line="225" w:lineRule="auto"/>
        <w:tabs>
          <w:tab w:leader="none" w:pos="626"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Prior Stock Unit Account</w:t>
      </w:r>
      <w:r>
        <w:rPr>
          <w:rFonts w:ascii="Arial" w:cs="Arial" w:eastAsia="Arial" w:hAnsi="Arial"/>
          <w:sz w:val="21"/>
          <w:szCs w:val="21"/>
          <w:color w:val="auto"/>
        </w:rPr>
        <w:t>. Effective January 1, 2005, the Stock Units Account (if any) established for an Eligible Director</w:t>
      </w:r>
      <w:r>
        <w:rPr>
          <w:rFonts w:ascii="Arial" w:cs="Arial" w:eastAsia="Arial" w:hAnsi="Arial"/>
          <w:sz w:val="21"/>
          <w:szCs w:val="21"/>
          <w:b w:val="1"/>
          <w:bCs w:val="1"/>
          <w:color w:val="auto"/>
        </w:rPr>
        <w:t xml:space="preserve"> </w:t>
      </w:r>
      <w:r>
        <w:rPr>
          <w:rFonts w:ascii="Arial" w:cs="Arial" w:eastAsia="Arial" w:hAnsi="Arial"/>
          <w:sz w:val="21"/>
          <w:szCs w:val="21"/>
          <w:color w:val="auto"/>
        </w:rPr>
        <w:t>prior to January 1, 2005 shall be that Eligible Director’s “Prior Stock Unit Account,” and no amount of Compensation or Special Meeting Fees earned after December 31, 2004 that such Eligible Director elects to defer under this Plan shall be credited to such Prior Stock Unit Account.</w:t>
      </w:r>
    </w:p>
    <w:p>
      <w:pPr>
        <w:spacing w:after="0" w:line="148" w:lineRule="exact"/>
        <w:rPr>
          <w:rFonts w:ascii="Arial" w:cs="Arial" w:eastAsia="Arial" w:hAnsi="Arial"/>
          <w:sz w:val="21"/>
          <w:szCs w:val="21"/>
          <w:b w:val="1"/>
          <w:bCs w:val="1"/>
          <w:color w:val="auto"/>
        </w:rPr>
      </w:pPr>
    </w:p>
    <w:p>
      <w:pPr>
        <w:ind w:right="380" w:firstLine="5"/>
        <w:spacing w:after="0" w:line="225" w:lineRule="auto"/>
        <w:tabs>
          <w:tab w:leader="none" w:pos="629"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Transfers of Stock Units Attributable to 2005 and 2006 Deferrals</w:t>
      </w:r>
      <w:r>
        <w:rPr>
          <w:rFonts w:ascii="Arial" w:cs="Arial" w:eastAsia="Arial" w:hAnsi="Arial"/>
          <w:sz w:val="21"/>
          <w:szCs w:val="21"/>
          <w:color w:val="auto"/>
        </w:rPr>
        <w:t>. Effective January 1, 2005, any Units credited to an</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Director’s Prior Stock Unit Account prior to January 1, 2005 that are attributable to Compensation to be earned after December 31, 2004 shall be transferred to such Eligible Director’s Current Stock Unit Account established pursuant to Section 5.2(a).</w:t>
      </w:r>
    </w:p>
    <w:p>
      <w:pPr>
        <w:spacing w:after="0" w:line="148" w:lineRule="exact"/>
        <w:rPr>
          <w:rFonts w:ascii="Arial" w:cs="Arial" w:eastAsia="Arial" w:hAnsi="Arial"/>
          <w:sz w:val="21"/>
          <w:szCs w:val="21"/>
          <w:b w:val="1"/>
          <w:bCs w:val="1"/>
          <w:color w:val="auto"/>
        </w:rPr>
      </w:pPr>
    </w:p>
    <w:p>
      <w:pPr>
        <w:ind w:right="20" w:firstLine="5"/>
        <w:spacing w:after="0" w:line="225" w:lineRule="auto"/>
        <w:tabs>
          <w:tab w:leader="none" w:pos="626"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Limitations on Rights Associated with Units</w:t>
      </w:r>
      <w:r>
        <w:rPr>
          <w:rFonts w:ascii="Arial" w:cs="Arial" w:eastAsia="Arial" w:hAnsi="Arial"/>
          <w:sz w:val="21"/>
          <w:szCs w:val="21"/>
          <w:color w:val="auto"/>
        </w:rPr>
        <w:t>. An Eligible Director’s Current Stock Unit Account and/or Prior Stock Unit</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shall each be a memorandum account on the books of the Company. The Units credited to an Eligible Director’s Stock Unit Account(s) shall be used solely as a device for the determination of the number of shares of Common Stock to be eventually distributed to such Eligible Director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20" w:top="1370" w:right="359" w:bottom="1440" w:gutter="0" w:footer="0" w:header="0"/>
        </w:sectPr>
      </w:pPr>
    </w:p>
    <w:bookmarkStart w:id="132" w:name="page133"/>
    <w:bookmarkEnd w:id="132"/>
    <w:p>
      <w:pPr>
        <w:ind w:right="100"/>
        <w:spacing w:after="0" w:line="231" w:lineRule="auto"/>
        <w:rPr>
          <w:sz w:val="20"/>
          <w:szCs w:val="20"/>
          <w:color w:val="auto"/>
        </w:rPr>
      </w:pPr>
      <w:r>
        <w:rPr>
          <w:rFonts w:ascii="Arial" w:cs="Arial" w:eastAsia="Arial" w:hAnsi="Arial"/>
          <w:sz w:val="20"/>
          <w:szCs w:val="20"/>
          <w:color w:val="auto"/>
        </w:rPr>
        <w:t>accordance with this Plan. The Units shall not be treated as property or as a trust fund of any kind. All shares of Common Stock or other amounts attributed to the Units shall be and remain the sole property of the Company, and each Eligible Director’s right in the Units is limited to the right to receive shares of Common Stock in the future as herein provided. No Eligible Director shall be entitled to any voting or other shareholder rights with respect to Units granted under this Plan. The number of Units credited under this Section shall be subject to adjustment in accordance with Section 5.6.</w:t>
      </w:r>
    </w:p>
    <w:p>
      <w:pPr>
        <w:spacing w:after="0" w:line="152" w:lineRule="exact"/>
        <w:rPr>
          <w:sz w:val="20"/>
          <w:szCs w:val="20"/>
          <w:color w:val="auto"/>
        </w:rPr>
      </w:pPr>
    </w:p>
    <w:p>
      <w:pPr>
        <w:ind w:right="120" w:firstLine="5"/>
        <w:spacing w:after="0" w:line="241" w:lineRule="auto"/>
        <w:tabs>
          <w:tab w:leader="none" w:pos="629"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Credited Units Not Vested</w:t>
      </w:r>
      <w:r>
        <w:rPr>
          <w:rFonts w:ascii="Arial" w:cs="Arial" w:eastAsia="Arial" w:hAnsi="Arial"/>
          <w:sz w:val="21"/>
          <w:szCs w:val="21"/>
          <w:color w:val="auto"/>
        </w:rPr>
        <w:t>. The Units credited to an Eligible Director’s Stock Unit Account(s) shall only become vested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Section 5.4(a).</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5.3</w:t>
      </w:r>
      <w:r>
        <w:rPr>
          <w:sz w:val="20"/>
          <w:szCs w:val="20"/>
          <w:color w:val="auto"/>
        </w:rPr>
        <w:tab/>
      </w:r>
      <w:r>
        <w:rPr>
          <w:rFonts w:ascii="Arial" w:cs="Arial" w:eastAsia="Arial" w:hAnsi="Arial"/>
          <w:sz w:val="19"/>
          <w:szCs w:val="19"/>
          <w:b w:val="1"/>
          <w:bCs w:val="1"/>
          <w:u w:val="single" w:color="auto"/>
          <w:color w:val="auto"/>
        </w:rPr>
        <w:t>Dividend Equivalents; Dividend Equivalent Cash Account; Dividend Equivalent Stock Account</w:t>
      </w:r>
      <w:r>
        <w:rPr>
          <w:rFonts w:ascii="Arial" w:cs="Arial" w:eastAsia="Arial" w:hAnsi="Arial"/>
          <w:sz w:val="19"/>
          <w:szCs w:val="19"/>
          <w:color w:val="auto"/>
        </w:rPr>
        <w:t>.</w:t>
      </w:r>
    </w:p>
    <w:p>
      <w:pPr>
        <w:spacing w:after="0" w:line="180" w:lineRule="exact"/>
        <w:rPr>
          <w:sz w:val="20"/>
          <w:szCs w:val="20"/>
          <w:color w:val="auto"/>
        </w:rPr>
      </w:pPr>
    </w:p>
    <w:p>
      <w:pPr>
        <w:ind w:right="40" w:firstLine="5"/>
        <w:spacing w:after="0" w:line="243" w:lineRule="auto"/>
        <w:tabs>
          <w:tab w:leader="none" w:pos="628"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Allocation of Dividend Equivalents</w:t>
      </w:r>
      <w:r>
        <w:rPr>
          <w:rFonts w:ascii="Arial" w:cs="Arial" w:eastAsia="Arial" w:hAnsi="Arial"/>
          <w:sz w:val="19"/>
          <w:szCs w:val="19"/>
          <w:color w:val="auto"/>
        </w:rPr>
        <w:t>. Each Eligible Director shall, at the time of making an election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IV, elect to have all Dividend Equivalents attributable to Units credited to his or her Stock Unit Account pursuant to such election credited to either (1) a Dividend Equivalent Cash Account for such Eligible Director in accordance with subsection (b) below or (2) a Dividend Equivalent Stock Account for such Eligible Director in accordance with subsection (c) below. Such election shall be irrevocable and shall remain in effect with respect to all Stock Units credited to the Eligible Director’s Stock Unit Account and Dividend Equivalent Stock Account in accordance with the Eligible Director’s election made pursuant to Article IV.</w:t>
      </w:r>
    </w:p>
    <w:p>
      <w:pPr>
        <w:spacing w:after="0" w:line="148" w:lineRule="exact"/>
        <w:rPr>
          <w:rFonts w:ascii="Arial" w:cs="Arial" w:eastAsia="Arial" w:hAnsi="Arial"/>
          <w:sz w:val="19"/>
          <w:szCs w:val="19"/>
          <w:b w:val="1"/>
          <w:bCs w:val="1"/>
          <w:color w:val="auto"/>
        </w:rPr>
      </w:pPr>
    </w:p>
    <w:p>
      <w:pPr>
        <w:ind w:left="640" w:hanging="635"/>
        <w:spacing w:after="0"/>
        <w:tabs>
          <w:tab w:leader="none" w:pos="64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Cash Account</w:t>
      </w:r>
      <w:r>
        <w:rPr>
          <w:rFonts w:ascii="Arial" w:cs="Arial" w:eastAsia="Arial" w:hAnsi="Arial"/>
          <w:sz w:val="21"/>
          <w:szCs w:val="21"/>
          <w:color w:val="auto"/>
        </w:rPr>
        <w:t>.</w:t>
      </w:r>
    </w:p>
    <w:p>
      <w:pPr>
        <w:spacing w:after="0" w:line="180" w:lineRule="exact"/>
        <w:rPr>
          <w:sz w:val="20"/>
          <w:szCs w:val="20"/>
          <w:color w:val="auto"/>
        </w:rPr>
      </w:pPr>
    </w:p>
    <w:p>
      <w:pPr>
        <w:ind w:firstLine="5"/>
        <w:spacing w:after="0" w:line="226" w:lineRule="auto"/>
        <w:tabs>
          <w:tab w:leader="none" w:pos="628"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Current Dividend Equivalent Cash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January 1, 2005, if an Eligible Director has elected or elects to have</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with respect to Compensation and/or Special Meeting Fees deferred in Stock Units after December 31, 2004 credited to his or her Dividend Equivalent Cash Account, the Committee shall establish and maintain a Dividend Equivalent Cash Account for the Eligible Director under the Plan, which Account shall be a memorandum account on the books of the Company and shall be such Eligible Director’s “Current Dividend Equivalent Cash Account.” In such case, the Committee shall, as of each dividend payment date, credit the Eligible Director’s Current Dividend Equivalent Cash Account with an amount equal to the amount of Dividend Equivalents attributable to Stock Units then credited to the Eligible Director’s Current Stock Unit Account. In addition, as of the last day of each calendar quarter, the Eligible Director’s Current Dividend Equivalent Cash Account shall be credited with earnings in an amount equal to that determined by multiplying the balance credited to such account as of the last day of the preceding quarter by an amount equal to one-fourth of the Interest Rate.</w:t>
      </w:r>
    </w:p>
    <w:p>
      <w:pPr>
        <w:spacing w:after="0" w:line="152" w:lineRule="exact"/>
        <w:rPr>
          <w:rFonts w:ascii="Arial" w:cs="Arial" w:eastAsia="Arial" w:hAnsi="Arial"/>
          <w:sz w:val="20"/>
          <w:szCs w:val="20"/>
          <w:b w:val="1"/>
          <w:bCs w:val="1"/>
          <w:color w:val="auto"/>
        </w:rPr>
      </w:pPr>
    </w:p>
    <w:p>
      <w:pPr>
        <w:ind w:right="140" w:firstLine="5"/>
        <w:spacing w:after="0" w:line="241" w:lineRule="auto"/>
        <w:tabs>
          <w:tab w:leader="none" w:pos="628"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Prior Dividend Equivalent Cash Account</w:t>
      </w:r>
      <w:r>
        <w:rPr>
          <w:rFonts w:ascii="Arial" w:cs="Arial" w:eastAsia="Arial" w:hAnsi="Arial"/>
          <w:sz w:val="19"/>
          <w:szCs w:val="19"/>
          <w:color w:val="auto"/>
        </w:rPr>
        <w:t>. Effective January 1, 2005, the Dividend Equivalent Cash Account (if any)</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for an Eligible Director prior to January 1, 2005 shall be that Eligible Director’s “Prior Dividend Equivalent Cash Account.” The Committee shall, as of each dividend payment date, credit the Eligible Director’s Prior Dividend Equivalent Cash Account with an amount equal to the amount of Dividend Equivalents attributable to Stock Units then credited to the Eligible Director’s Prior Stock Unit Account. In addition, as of the last day of each calendar quarter, the Eligible Director’s Prior Dividend Equivalent Cash Account shall be credited with earnings in an amount equal to that determined by multiplying the balance credited to such account as of the last day of the preceding quarter by an amount equal to one-fourth of the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20" w:top="1370" w:right="359" w:bottom="1440" w:gutter="0" w:footer="0" w:header="0"/>
        </w:sectPr>
      </w:pPr>
    </w:p>
    <w:bookmarkStart w:id="133" w:name="page134"/>
    <w:bookmarkEnd w:id="133"/>
    <w:p>
      <w:pPr>
        <w:ind w:right="120" w:firstLine="5"/>
        <w:spacing w:after="0" w:line="222" w:lineRule="auto"/>
        <w:tabs>
          <w:tab w:leader="none" w:pos="628"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Transfer of Dividend Equivalents Attributable to 2005 and 2006 Deferrals</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January 1, 2005, any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Equivalents that were credited to an Eligible Director’s Prior Dividend Equivalent Cash Account prior to January 1, 2005 that were attributable to Stock Units credited to his or her Stock Unit Account with respect to Compensation to be earned after December 31, 2004 shall be transferred to such Eligible Director’s Current Dividend Equivalent Cash Account established pursuant to Section 5.3(b)(1).</w:t>
      </w:r>
    </w:p>
    <w:p>
      <w:pPr>
        <w:spacing w:after="0" w:line="148" w:lineRule="exact"/>
        <w:rPr>
          <w:sz w:val="20"/>
          <w:szCs w:val="20"/>
          <w:color w:val="auto"/>
        </w:rPr>
      </w:pPr>
    </w:p>
    <w:p>
      <w:pPr>
        <w:ind w:left="640" w:hanging="635"/>
        <w:spacing w:after="0"/>
        <w:tabs>
          <w:tab w:leader="none" w:pos="640"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Stock Account</w:t>
      </w:r>
      <w:r>
        <w:rPr>
          <w:rFonts w:ascii="Arial" w:cs="Arial" w:eastAsia="Arial" w:hAnsi="Arial"/>
          <w:sz w:val="21"/>
          <w:szCs w:val="21"/>
          <w:color w:val="auto"/>
        </w:rPr>
        <w:t>.</w:t>
      </w:r>
    </w:p>
    <w:p>
      <w:pPr>
        <w:spacing w:after="0" w:line="180" w:lineRule="exact"/>
        <w:rPr>
          <w:sz w:val="20"/>
          <w:szCs w:val="20"/>
          <w:color w:val="auto"/>
        </w:rPr>
      </w:pPr>
    </w:p>
    <w:p>
      <w:pPr>
        <w:ind w:right="40" w:firstLine="5"/>
        <w:spacing w:after="0"/>
        <w:tabs>
          <w:tab w:leader="none" w:pos="628"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Current Dividend Equivalent Stock Account</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January 1, 2005, if an Eligible Director has elected or elects to</w:t>
      </w:r>
      <w:r>
        <w:rPr>
          <w:rFonts w:ascii="Arial" w:cs="Arial" w:eastAsia="Arial" w:hAnsi="Arial"/>
          <w:sz w:val="19"/>
          <w:szCs w:val="19"/>
          <w:b w:val="1"/>
          <w:bCs w:val="1"/>
          <w:color w:val="auto"/>
        </w:rPr>
        <w:t xml:space="preserve"> </w:t>
      </w:r>
      <w:r>
        <w:rPr>
          <w:rFonts w:ascii="Arial" w:cs="Arial" w:eastAsia="Arial" w:hAnsi="Arial"/>
          <w:sz w:val="19"/>
          <w:szCs w:val="19"/>
          <w:color w:val="auto"/>
        </w:rPr>
        <w:t>have Dividend Equivalents credited to his or her Dividend Equivalent Stock Account, the Committee shall establish and maintain a Dividend Equivalent Stock Account for the Eligible Director under the Plan, which Account shall be a memorandum account on the books of the Company and shall be such Eligible Director’s “Current Dividend Equivalent Stock Account.” In such case, the Committee shall, as of each dividend payment date, credit the Eligible Director’s Current Dividend Equivalent Stock Account with an amount of Units determined by dividing the amount of Dividend Equivalents attributable to Stock Units then credited to the Eligible Director’s Current Stock Unit Account by the Fair Market Value of a share of Common Stock as of such date. The Units credited to an Eligible Director’s Current Dividend Equivalent Stock Account shall be subject to adjustment under Section 5.6.</w:t>
      </w:r>
    </w:p>
    <w:p>
      <w:pPr>
        <w:spacing w:after="0" w:line="149" w:lineRule="exact"/>
        <w:rPr>
          <w:rFonts w:ascii="Arial" w:cs="Arial" w:eastAsia="Arial" w:hAnsi="Arial"/>
          <w:sz w:val="19"/>
          <w:szCs w:val="19"/>
          <w:b w:val="1"/>
          <w:bCs w:val="1"/>
          <w:color w:val="auto"/>
        </w:rPr>
      </w:pPr>
    </w:p>
    <w:p>
      <w:pPr>
        <w:ind w:firstLine="5"/>
        <w:spacing w:after="0" w:line="243" w:lineRule="auto"/>
        <w:tabs>
          <w:tab w:leader="none" w:pos="628"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Prior Dividend Equivalent Stock Account</w:t>
      </w:r>
      <w:r>
        <w:rPr>
          <w:rFonts w:ascii="Arial" w:cs="Arial" w:eastAsia="Arial" w:hAnsi="Arial"/>
          <w:sz w:val="19"/>
          <w:szCs w:val="19"/>
          <w:color w:val="auto"/>
        </w:rPr>
        <w:t>. Effective January 1, 2005, the Dividend Equivalent Stock Account (if any)</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for an Eligible Director prior to January 1, 2005 shall be that Eligible Director’s “Prior Dividend Equivalent Stock Account.” The Committee shall, as of each dividend payment date, credit the Eligible Director’s Prior Dividend Equivalent Stock Account with an amount of Units determined by dividing the amount of Dividend Equivalents attributable to Stock Units then credited to the Eligible Director’s Prior Stock Unit Account by the Fair Market Value of a share of Common Stock on such date. The Units credited to an Eligible Director’s Prior Dividend Equivalent Stock Account shall be subject to adjustment under Section 5.6.</w:t>
      </w:r>
    </w:p>
    <w:p>
      <w:pPr>
        <w:spacing w:after="0" w:line="148" w:lineRule="exact"/>
        <w:rPr>
          <w:rFonts w:ascii="Arial" w:cs="Arial" w:eastAsia="Arial" w:hAnsi="Arial"/>
          <w:sz w:val="19"/>
          <w:szCs w:val="19"/>
          <w:b w:val="1"/>
          <w:bCs w:val="1"/>
          <w:color w:val="auto"/>
        </w:rPr>
      </w:pPr>
    </w:p>
    <w:p>
      <w:pPr>
        <w:ind w:right="60" w:firstLine="5"/>
        <w:spacing w:after="0" w:line="222" w:lineRule="auto"/>
        <w:tabs>
          <w:tab w:leader="none" w:pos="628"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Transfer of Dividend Equivalents Attributable to 2005 and 2006 Deferrals</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January 1, 2005, any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Equivalents that were credited to an Eligible Director’s Prior Dividend Equivalent Stock Account prior to January 1, 2005 that were attributable to Stock Units credited to his or her Stock Unit Account with respect to Compensation to be earned after December 31, 2004 shall be transferred to such Eligible Director’s Current Dividend Equivalent Stock Account established pursuant to Section 5.3(c)(1).</w:t>
      </w:r>
    </w:p>
    <w:p>
      <w:pPr>
        <w:spacing w:after="0" w:line="148" w:lineRule="exact"/>
        <w:rPr>
          <w:sz w:val="20"/>
          <w:szCs w:val="20"/>
          <w:color w:val="auto"/>
        </w:rPr>
      </w:pPr>
    </w:p>
    <w:p>
      <w:pPr>
        <w:ind w:right="440" w:firstLine="5"/>
        <w:spacing w:after="0" w:line="292" w:lineRule="auto"/>
        <w:tabs>
          <w:tab w:leader="none" w:pos="626"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Credited Dividends Account Not Vested</w:t>
      </w:r>
      <w:r>
        <w:rPr>
          <w:rFonts w:ascii="Arial" w:cs="Arial" w:eastAsia="Arial" w:hAnsi="Arial"/>
          <w:sz w:val="19"/>
          <w:szCs w:val="19"/>
          <w:color w:val="auto"/>
        </w:rPr>
        <w:t>. Amounts credited to the Dividend Equivalent Cash Account or the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 Stock Account shall only become vested in accordance with Sections 5.4(a) or (c), as the case may be.</w:t>
      </w:r>
    </w:p>
    <w:p>
      <w:pPr>
        <w:spacing w:after="0" w:line="101"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5.4</w:t>
      </w:r>
      <w:r>
        <w:rPr>
          <w:sz w:val="20"/>
          <w:szCs w:val="20"/>
          <w:color w:val="auto"/>
        </w:rPr>
        <w:tab/>
      </w: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w:t>
      </w:r>
    </w:p>
    <w:p>
      <w:pPr>
        <w:spacing w:after="0" w:line="180" w:lineRule="exact"/>
        <w:rPr>
          <w:sz w:val="20"/>
          <w:szCs w:val="20"/>
          <w:color w:val="auto"/>
        </w:rPr>
      </w:pPr>
    </w:p>
    <w:p>
      <w:pPr>
        <w:jc w:val="both"/>
        <w:ind w:right="360" w:firstLine="5"/>
        <w:spacing w:after="0" w:line="233" w:lineRule="auto"/>
        <w:tabs>
          <w:tab w:leader="none" w:pos="628"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Unit Account; Dividend Equivalent Stock Account</w:t>
      </w:r>
      <w:r>
        <w:rPr>
          <w:rFonts w:ascii="Arial" w:cs="Arial" w:eastAsia="Arial" w:hAnsi="Arial"/>
          <w:sz w:val="20"/>
          <w:szCs w:val="20"/>
          <w:color w:val="auto"/>
        </w:rPr>
        <w:t>. The rights of each Eligible Director in respect of his or her</w:t>
      </w:r>
      <w:r>
        <w:rPr>
          <w:rFonts w:ascii="Arial" w:cs="Arial" w:eastAsia="Arial" w:hAnsi="Arial"/>
          <w:sz w:val="20"/>
          <w:szCs w:val="20"/>
          <w:b w:val="1"/>
          <w:bCs w:val="1"/>
          <w:color w:val="auto"/>
        </w:rPr>
        <w:t xml:space="preserve"> </w:t>
      </w:r>
      <w:r>
        <w:rPr>
          <w:rFonts w:ascii="Arial" w:cs="Arial" w:eastAsia="Arial" w:hAnsi="Arial"/>
          <w:sz w:val="20"/>
          <w:szCs w:val="20"/>
          <w:color w:val="auto"/>
        </w:rPr>
        <w:t>Stock Unit Account and Dividend Equivalent Stock Account shall vest as the Eligible Director’s services (to which the deferred Compensation and deferred Special Meeting Fees relate) are rendered. Accordingly, effective as of the date the Eligible Director ceases to be a member of the Board of Directors, the number of Units credited to the Eligible Director’s Stock Unit Account and Dividend Equivalent Stock Account shall be reduced to the number of Units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00"/>
          </w:cols>
          <w:pgMar w:left="320" w:top="1364" w:right="379" w:bottom="1440" w:gutter="0" w:footer="0" w:header="0"/>
        </w:sectPr>
      </w:pPr>
    </w:p>
    <w:bookmarkStart w:id="134" w:name="page135"/>
    <w:bookmarkEnd w:id="134"/>
    <w:p>
      <w:pPr>
        <w:spacing w:after="0" w:line="226" w:lineRule="auto"/>
        <w:rPr>
          <w:sz w:val="20"/>
          <w:szCs w:val="20"/>
          <w:color w:val="auto"/>
        </w:rPr>
      </w:pPr>
      <w:r>
        <w:rPr>
          <w:rFonts w:ascii="Arial" w:cs="Arial" w:eastAsia="Arial" w:hAnsi="Arial"/>
          <w:sz w:val="20"/>
          <w:szCs w:val="20"/>
          <w:color w:val="auto"/>
        </w:rPr>
        <w:t>have been in such accounts on the date the Eligible Director ceased to serve on the Board of Directors had the Compensation and Special Meeting Fees the Eligible Director elected to defer included only Compensation and Special Meeting Fees payable for the period of actual service as a director, less any vested Units previously distributed as shares of Common Stock pursuant to the Eligible Director’s election to receive installment payments and/or a distribution under Section 5.5(d) or 5.5A(d) or (e). For purposes of calculating the number of Units that would have been credited to the Eligible Director’s Stock Unit Account and Dividend Equivalent Stock Account, the Eligible Director’s annual retainer shall be prorated for the year of cessation on a monthly basis. Notwithstanding the preceding sentence, if an Eligible Director ceases to be a member of the Board of Directors by reason of death or Disability, or upon or following a Change in Control Event, the Eligible Director’s Stock Unit Account and Dividend Equivalent Stock Account shall immediately become fully vested.</w:t>
      </w:r>
    </w:p>
    <w:p>
      <w:pPr>
        <w:spacing w:after="0" w:line="153" w:lineRule="exact"/>
        <w:rPr>
          <w:sz w:val="20"/>
          <w:szCs w:val="20"/>
          <w:color w:val="auto"/>
        </w:rPr>
      </w:pPr>
    </w:p>
    <w:p>
      <w:pPr>
        <w:ind w:left="640" w:hanging="635"/>
        <w:spacing w:after="0"/>
        <w:tabs>
          <w:tab w:leader="none" w:pos="64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Cash Account</w:t>
      </w:r>
      <w:r>
        <w:rPr>
          <w:rFonts w:ascii="Arial" w:cs="Arial" w:eastAsia="Arial" w:hAnsi="Arial"/>
          <w:sz w:val="19"/>
          <w:szCs w:val="19"/>
          <w:color w:val="auto"/>
        </w:rPr>
        <w:t>. The rights of each Eligible Director in respect of his or her Cash Account shall at all times be fully vested.</w:t>
      </w:r>
    </w:p>
    <w:p>
      <w:pPr>
        <w:spacing w:after="0" w:line="203" w:lineRule="exact"/>
        <w:rPr>
          <w:rFonts w:ascii="Arial" w:cs="Arial" w:eastAsia="Arial" w:hAnsi="Arial"/>
          <w:sz w:val="19"/>
          <w:szCs w:val="19"/>
          <w:b w:val="1"/>
          <w:bCs w:val="1"/>
          <w:color w:val="auto"/>
        </w:rPr>
      </w:pPr>
    </w:p>
    <w:p>
      <w:pPr>
        <w:ind w:firstLine="5"/>
        <w:spacing w:after="0" w:line="239" w:lineRule="auto"/>
        <w:tabs>
          <w:tab w:leader="none" w:pos="629"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Cash Account</w:t>
      </w:r>
      <w:r>
        <w:rPr>
          <w:rFonts w:ascii="Arial" w:cs="Arial" w:eastAsia="Arial" w:hAnsi="Arial"/>
          <w:sz w:val="19"/>
          <w:szCs w:val="19"/>
          <w:color w:val="auto"/>
        </w:rPr>
        <w:t>. The rights of each Eligible Director in respect of his or her Dividend Equivalent Cash</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shall vest as the Eligible Director’s services (to which the deferred Compensation and deferred Special Meeting Fees relate) are rendered. Accordingly, effective as of the date the Eligible Director ceases to be a member of the Board of Directors, the Company shall reduce any amount credited to the Eligible Director’s Dividend Equivalent Cash Account by an amount equal to any Dividend Equivalents (together with any related earnings) attributable to any Units which are forfeited in accordance with Section 5.4(a) and/or previously distributed as shares of Common Stock in accordance with the Eligible Director’s election to receive installment payments and/or a distribution under Section 5.5(d) or 5.5A(d) or (e). Notwithstanding the preceding, if an Eligible Director ceases to be a member of the Board of Directors by reason of death or Disability, or upon or following a Change in Control Event, the Eligible Director’s Dividend Equivalent Cash Account shall immediately become fully vested.</w:t>
      </w:r>
    </w:p>
    <w:p>
      <w:pPr>
        <w:spacing w:after="0" w:line="150" w:lineRule="exact"/>
        <w:rPr>
          <w:sz w:val="20"/>
          <w:szCs w:val="20"/>
          <w:color w:val="auto"/>
        </w:rPr>
      </w:pPr>
    </w:p>
    <w:p>
      <w:pPr>
        <w:ind w:right="100"/>
        <w:spacing w:after="0" w:line="251" w:lineRule="auto"/>
        <w:rPr>
          <w:sz w:val="20"/>
          <w:szCs w:val="20"/>
          <w:color w:val="auto"/>
        </w:rPr>
      </w:pPr>
      <w:r>
        <w:rPr>
          <w:rFonts w:ascii="Arial" w:cs="Arial" w:eastAsia="Arial" w:hAnsi="Arial"/>
          <w:sz w:val="19"/>
          <w:szCs w:val="19"/>
          <w:b w:val="1"/>
          <w:bCs w:val="1"/>
          <w:color w:val="auto"/>
        </w:rPr>
        <w:t xml:space="preserve">5.5 </w:t>
      </w:r>
      <w:r>
        <w:rPr>
          <w:rFonts w:ascii="Arial" w:cs="Arial" w:eastAsia="Arial" w:hAnsi="Arial"/>
          <w:sz w:val="19"/>
          <w:szCs w:val="19"/>
          <w:b w:val="1"/>
          <w:bCs w:val="1"/>
          <w:u w:val="single" w:color="auto"/>
          <w:color w:val="auto"/>
        </w:rPr>
        <w:t>Distribution of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this Section 5.5 shall apply only with respect to distributions from Current Cash</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Current Dividend Equivalent Cash Accounts, Current Dividend Equivalent Stock Accounts and Current Stock Unit Accounts. The provisions of Section 5.5A as set forth in Appendix A to this Plan document govern the distribution from Prior Cash Accounts, Prior Dividend Equivalent Cash Accounts, Prior Dividend Equivalent Stock Accounts and Prior Stock Unit Accounts.</w:t>
      </w:r>
    </w:p>
    <w:p>
      <w:pPr>
        <w:spacing w:after="0" w:line="140" w:lineRule="exact"/>
        <w:rPr>
          <w:sz w:val="20"/>
          <w:szCs w:val="20"/>
          <w:color w:val="auto"/>
        </w:rPr>
      </w:pPr>
    </w:p>
    <w:p>
      <w:pPr>
        <w:ind w:left="640" w:hanging="635"/>
        <w:spacing w:after="0"/>
        <w:tabs>
          <w:tab w:leader="none" w:pos="64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Time and Manner of Distribution</w:t>
      </w:r>
      <w:r>
        <w:rPr>
          <w:rFonts w:ascii="Arial" w:cs="Arial" w:eastAsia="Arial" w:hAnsi="Arial"/>
          <w:sz w:val="21"/>
          <w:szCs w:val="21"/>
          <w:color w:val="auto"/>
        </w:rPr>
        <w:t>.</w:t>
      </w:r>
    </w:p>
    <w:p>
      <w:pPr>
        <w:spacing w:after="0" w:line="186" w:lineRule="exact"/>
        <w:rPr>
          <w:sz w:val="20"/>
          <w:szCs w:val="20"/>
          <w:color w:val="auto"/>
        </w:rPr>
      </w:pPr>
    </w:p>
    <w:p>
      <w:pPr>
        <w:ind w:right="120" w:firstLine="5"/>
        <w:spacing w:after="0" w:line="215" w:lineRule="auto"/>
        <w:tabs>
          <w:tab w:leader="none" w:pos="62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vested amounts credited an Eligible Director’s Accounts shall be distributed to the Eligible Director (or, in the event of his or her death, the Eligible Director’s Beneficiary) upon his or her termination from service on the Board of Directors; provided, however, that a termination of service shall not be deemed to have occurred for any purpose under the Plan unless such termination from service constitutes a “separation from service” as defined under Section 409A of the Code and any regulations promulgated thereunder. Notwithstanding the foregoing, on the annual or multiple-year deferral election form that a Participant files in accordance with the provisions of Article IV of the Plan for any Plan Year or series of two or three Plan Years beginning on or after January 1, 2005, an Eligible Director may elect to have the amounts credited to his or her Accounts with respect to such annual or multiple-year deferral period distributed to him or her on any one of the following optional distribution dates: (A) January 1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20"/>
          </w:cols>
          <w:pgMar w:left="320" w:top="1370" w:right="359" w:bottom="1440" w:gutter="0" w:footer="0" w:header="0"/>
        </w:sectPr>
      </w:pPr>
    </w:p>
    <w:bookmarkStart w:id="135" w:name="page136"/>
    <w:bookmarkEnd w:id="135"/>
    <w:p>
      <w:pPr>
        <w:ind w:right="20"/>
        <w:spacing w:after="0" w:line="237" w:lineRule="auto"/>
        <w:rPr>
          <w:sz w:val="20"/>
          <w:szCs w:val="20"/>
          <w:color w:val="auto"/>
        </w:rPr>
      </w:pPr>
      <w:r>
        <w:rPr>
          <w:rFonts w:ascii="Arial" w:cs="Arial" w:eastAsia="Arial" w:hAnsi="Arial"/>
          <w:sz w:val="21"/>
          <w:szCs w:val="21"/>
          <w:color w:val="auto"/>
        </w:rPr>
        <w:t>the Eligible Director’s termination of service, (B) January 1 of a specified year designated by the Eligible Director, which shall be no earlier than 3 years after the Plan Year to which the deferral relates, or (C) the earlier to occur of (A) or (B).</w:t>
      </w:r>
    </w:p>
    <w:p>
      <w:pPr>
        <w:spacing w:after="0" w:line="155" w:lineRule="exact"/>
        <w:rPr>
          <w:sz w:val="20"/>
          <w:szCs w:val="20"/>
          <w:color w:val="auto"/>
        </w:rPr>
      </w:pPr>
    </w:p>
    <w:p>
      <w:pPr>
        <w:ind w:right="40" w:firstLine="5"/>
        <w:spacing w:after="0" w:line="223" w:lineRule="auto"/>
        <w:tabs>
          <w:tab w:leader="none" w:pos="626"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benefits payable under this Plan shall be distributed to the Eligible Director (or, in the event of his or her death, the Eligible Director’s Beneficiary) in a lump sum or, if elected by the Eligible Director in writing on the annual or multiple-year deferral election form that a Participant files in accordance with the provisions of Article IV of the Plan for a Plan Year beginning on or after January 1, 2005, in annual installments for up to 10 years.</w:t>
      </w:r>
    </w:p>
    <w:p>
      <w:pPr>
        <w:spacing w:after="0" w:line="156" w:lineRule="exact"/>
        <w:rPr>
          <w:rFonts w:ascii="Arial" w:cs="Arial" w:eastAsia="Arial" w:hAnsi="Arial"/>
          <w:sz w:val="21"/>
          <w:szCs w:val="21"/>
          <w:color w:val="auto"/>
        </w:rPr>
      </w:pPr>
    </w:p>
    <w:p>
      <w:pPr>
        <w:ind w:right="80" w:firstLine="5"/>
        <w:spacing w:after="0" w:line="226" w:lineRule="auto"/>
        <w:tabs>
          <w:tab w:leader="none" w:pos="632" w:val="left"/>
        </w:tabs>
        <w:numPr>
          <w:ilvl w:val="0"/>
          <w:numId w:val="85"/>
        </w:numPr>
        <w:rPr>
          <w:rFonts w:ascii="Arial" w:cs="Arial" w:eastAsia="Arial" w:hAnsi="Arial"/>
          <w:sz w:val="20"/>
          <w:szCs w:val="20"/>
          <w:color w:val="auto"/>
        </w:rPr>
      </w:pPr>
      <w:r>
        <w:rPr>
          <w:rFonts w:ascii="Arial" w:cs="Arial" w:eastAsia="Arial" w:hAnsi="Arial"/>
          <w:sz w:val="20"/>
          <w:szCs w:val="20"/>
          <w:color w:val="auto"/>
        </w:rPr>
        <w:t>An Eligible Director shall be permitted to make a different election with respect to each annual or multiple-year deferral period as to the time and manner in which his or her benefits shall be distributed. For each Eligible Director who makes one or more distribution elections pursuant to this Section 5.5(a), each of his or her Accounts shall be divided into two or more Distribution Subaccounts as necessary to separately account for deferrals that are payable at different times and/or in different manners. For purposes of calculating installments, the Eligible Director’s vested Accounts (and Distribution Subaccounts if applicable) will be valued as of December 31 of each year, and divided by the number of remaining installments to determine the amount of the installment to be paid in the following year. Subsequent installments will be adjusted accordingly for the next calendar year, according to procedures established by the Committee. Such installment payments shall commence as of the date benefits become distributable under this Section 5.5(a).</w:t>
      </w:r>
    </w:p>
    <w:p>
      <w:pPr>
        <w:spacing w:after="0" w:line="158" w:lineRule="exact"/>
        <w:rPr>
          <w:rFonts w:ascii="Arial" w:cs="Arial" w:eastAsia="Arial" w:hAnsi="Arial"/>
          <w:sz w:val="20"/>
          <w:szCs w:val="20"/>
          <w:color w:val="auto"/>
        </w:rPr>
      </w:pPr>
    </w:p>
    <w:p>
      <w:pPr>
        <w:ind w:firstLine="5"/>
        <w:spacing w:after="0" w:line="223" w:lineRule="auto"/>
        <w:tabs>
          <w:tab w:leader="none" w:pos="620"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Notwithstanding any other provision of this Section 5.5, in the event that an Eligible Director becomes entitled to a credit of Stock Units pursuant to Section 5.2(a)(2) and such Stock Units would otherwise have been payable pursuant to this Section 5.5 prior to the date such Units are credited to the Eligible Director’s Current Stock Unit Account, such Units shall be paid not later than thirty (30) days following the date such Units are credited pursuant to Section 5.2(a)(2).</w:t>
      </w:r>
    </w:p>
    <w:p>
      <w:pPr>
        <w:spacing w:after="0" w:line="150" w:lineRule="exact"/>
        <w:rPr>
          <w:sz w:val="20"/>
          <w:szCs w:val="20"/>
          <w:color w:val="auto"/>
        </w:rPr>
      </w:pPr>
    </w:p>
    <w:p>
      <w:pPr>
        <w:ind w:right="20" w:firstLine="5"/>
        <w:spacing w:after="0"/>
        <w:tabs>
          <w:tab w:leader="none" w:pos="626"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Time or Manner of Distribution</w:t>
      </w:r>
      <w:r>
        <w:rPr>
          <w:rFonts w:ascii="Arial" w:cs="Arial" w:eastAsia="Arial" w:hAnsi="Arial"/>
          <w:sz w:val="19"/>
          <w:szCs w:val="19"/>
          <w:color w:val="auto"/>
        </w:rPr>
        <w:t>. Notwithstanding subsection (a), an Eligible Director may elect to further defer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commencement of any distribution to be made, or change the manner of any distribution election from a lump sum to annual installments made, with respect to benefits payable under this Plan by filing a new written election with the Committee on a form approved by the Committee; provided, however, that (A) no such election shall be effective until one year after the date on which the election is made, (B) the first payment with respect to which such election is made must be deferred for a period of not less than five years from the date such payment would otherwise have been made or payments would have commenced, and (C) any election related to a payment that commences on any date other than the date of the Eligible Director’s termination of service shall only be effective if it is made at least twelve months prior to the date of the first scheduled payment under such election.</w:t>
      </w:r>
    </w:p>
    <w:p>
      <w:pPr>
        <w:spacing w:after="0" w:line="149" w:lineRule="exact"/>
        <w:rPr>
          <w:rFonts w:ascii="Arial" w:cs="Arial" w:eastAsia="Arial" w:hAnsi="Arial"/>
          <w:sz w:val="19"/>
          <w:szCs w:val="19"/>
          <w:b w:val="1"/>
          <w:bCs w:val="1"/>
          <w:color w:val="auto"/>
        </w:rPr>
      </w:pPr>
    </w:p>
    <w:p>
      <w:pPr>
        <w:ind w:right="60" w:firstLine="5"/>
        <w:spacing w:after="0" w:line="292" w:lineRule="auto"/>
        <w:tabs>
          <w:tab w:leader="none" w:pos="629"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 of Change in Control Event</w:t>
      </w:r>
      <w:r>
        <w:rPr>
          <w:rFonts w:ascii="Arial" w:cs="Arial" w:eastAsia="Arial" w:hAnsi="Arial"/>
          <w:sz w:val="19"/>
          <w:szCs w:val="19"/>
          <w:color w:val="auto"/>
        </w:rPr>
        <w:t>. Notwithstanding subsections (a) and (b), if a Change in Control Event and a</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service occurs, the vested portions of an Eligible Director’s Accounts shall be distributed immediately in a lump sum.</w:t>
      </w:r>
    </w:p>
    <w:p>
      <w:pPr>
        <w:spacing w:after="0" w:line="100" w:lineRule="exact"/>
        <w:rPr>
          <w:rFonts w:ascii="Arial" w:cs="Arial" w:eastAsia="Arial" w:hAnsi="Arial"/>
          <w:sz w:val="19"/>
          <w:szCs w:val="19"/>
          <w:b w:val="1"/>
          <w:bCs w:val="1"/>
          <w:color w:val="auto"/>
        </w:rPr>
      </w:pPr>
    </w:p>
    <w:p>
      <w:pPr>
        <w:ind w:right="20" w:firstLine="5"/>
        <w:spacing w:after="0" w:line="225" w:lineRule="auto"/>
        <w:tabs>
          <w:tab w:leader="none" w:pos="626"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Distribution for Unforeseeable Emergencies</w:t>
      </w:r>
      <w:r>
        <w:rPr>
          <w:rFonts w:ascii="Arial" w:cs="Arial" w:eastAsia="Arial" w:hAnsi="Arial"/>
          <w:sz w:val="21"/>
          <w:szCs w:val="21"/>
          <w:color w:val="auto"/>
        </w:rPr>
        <w:t>. An Eligible Director (which for purposes of this Section 5.5(d) includes</w:t>
      </w:r>
      <w:r>
        <w:rPr>
          <w:rFonts w:ascii="Arial" w:cs="Arial" w:eastAsia="Arial" w:hAnsi="Arial"/>
          <w:sz w:val="21"/>
          <w:szCs w:val="21"/>
          <w:b w:val="1"/>
          <w:bCs w:val="1"/>
          <w:color w:val="auto"/>
        </w:rPr>
        <w:t xml:space="preserve"> </w:t>
      </w:r>
      <w:r>
        <w:rPr>
          <w:rFonts w:ascii="Arial" w:cs="Arial" w:eastAsia="Arial" w:hAnsi="Arial"/>
          <w:sz w:val="21"/>
          <w:szCs w:val="21"/>
          <w:color w:val="auto"/>
        </w:rPr>
        <w:t>former Eligible Directors) may request a distribution for an Unforeseeable Emergency without penalty of an amount not greater than the value of the Eligible Director’s vested benefit under this Plan. Such distribution for an Unforeseeable Emergency shall be subject to approval by the Committee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70" w:right="339" w:bottom="1440" w:gutter="0" w:footer="0" w:header="0"/>
        </w:sectPr>
      </w:pPr>
    </w:p>
    <w:bookmarkStart w:id="136" w:name="page137"/>
    <w:bookmarkEnd w:id="136"/>
    <w:p>
      <w:pPr>
        <w:ind w:right="40"/>
        <w:spacing w:after="0" w:line="226" w:lineRule="auto"/>
        <w:rPr>
          <w:sz w:val="20"/>
          <w:szCs w:val="20"/>
          <w:color w:val="auto"/>
        </w:rPr>
      </w:pPr>
      <w:r>
        <w:rPr>
          <w:rFonts w:ascii="Arial" w:cs="Arial" w:eastAsia="Arial" w:hAnsi="Arial"/>
          <w:sz w:val="20"/>
          <w:szCs w:val="20"/>
          <w:color w:val="auto"/>
        </w:rPr>
        <w:t>discretion and may be made only to the extent necessary to satisfy such Unforeseeable Emergency plus amounts necessary to pay taxes reasonably anticipated as a result of the distribution, after taking into account the extent to which such hardship is or may be relieved (1) through reimbursement or compensation by insurance or otherwise or (2) by liquidation of the Eligible Director’s assets, to the extent the liquidation of such assets would not itself cause severe financial hardship. Amounts distributed pursuant to this Section 5.5(d) shall be distributed only from vested amounts credited to his or her Accounts and shall be distributed first from an Eligible Director’s Cash and Dividend Equivalent Cash Accounts, and, to the extent the balance of the Participant’s Cash and Dividend Equivalent Cash Accounts is not sufficient to satisfy the severe financial hardship, next as a distribution of shares of the Company’s Common Stock with a Fair Market Value equal to such deficiency from the vested portion of such Eligible Director’s Stock Unit and Dividend Equivalent Stock Accounts.</w:t>
      </w:r>
    </w:p>
    <w:p>
      <w:pPr>
        <w:spacing w:after="0" w:line="153" w:lineRule="exact"/>
        <w:rPr>
          <w:sz w:val="20"/>
          <w:szCs w:val="20"/>
          <w:color w:val="auto"/>
        </w:rPr>
      </w:pPr>
    </w:p>
    <w:p>
      <w:pPr>
        <w:ind w:right="380" w:firstLine="5"/>
        <w:spacing w:after="0" w:line="225" w:lineRule="auto"/>
        <w:tabs>
          <w:tab w:leader="none" w:pos="629"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Form of Distribution</w:t>
      </w:r>
      <w:r>
        <w:rPr>
          <w:rFonts w:ascii="Arial" w:cs="Arial" w:eastAsia="Arial" w:hAnsi="Arial"/>
          <w:sz w:val="21"/>
          <w:szCs w:val="21"/>
          <w:color w:val="auto"/>
        </w:rPr>
        <w:t>. Stock Units credited to an Eligible Director’s Stock Unit Account and Dividend Equivalent Stock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shall be distributed in an equivalent whole number of shares of the Company’s Common Stock. Fractions shall be disregarded. Amounts credited to an Eligible Director’s Cash Account and vested in the Eligible Director’s Dividend Equivalent Cash Account shall be distributed in cash.</w:t>
      </w:r>
    </w:p>
    <w:p>
      <w:pPr>
        <w:spacing w:after="0" w:line="148" w:lineRule="exact"/>
        <w:rPr>
          <w:rFonts w:ascii="Arial" w:cs="Arial" w:eastAsia="Arial" w:hAnsi="Arial"/>
          <w:sz w:val="21"/>
          <w:szCs w:val="21"/>
          <w:b w:val="1"/>
          <w:bCs w:val="1"/>
          <w:color w:val="auto"/>
        </w:rPr>
      </w:pPr>
    </w:p>
    <w:p>
      <w:pPr>
        <w:ind w:firstLine="5"/>
        <w:spacing w:after="0" w:line="218" w:lineRule="auto"/>
        <w:tabs>
          <w:tab w:leader="none" w:pos="632"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Small Benefit Exception</w:t>
      </w:r>
      <w:r>
        <w:rPr>
          <w:rFonts w:ascii="Arial" w:cs="Arial" w:eastAsia="Arial" w:hAnsi="Arial"/>
          <w:sz w:val="21"/>
          <w:szCs w:val="21"/>
          <w:color w:val="auto"/>
        </w:rPr>
        <w:t>. Notwithstanding any other provision of this Plan to the contrary, if at the time any partial or</w:t>
      </w:r>
      <w:r>
        <w:rPr>
          <w:rFonts w:ascii="Arial" w:cs="Arial" w:eastAsia="Arial" w:hAnsi="Arial"/>
          <w:sz w:val="21"/>
          <w:szCs w:val="21"/>
          <w:b w:val="1"/>
          <w:bCs w:val="1"/>
          <w:color w:val="auto"/>
        </w:rPr>
        <w:t xml:space="preserve"> </w:t>
      </w:r>
      <w:r>
        <w:rPr>
          <w:rFonts w:ascii="Arial" w:cs="Arial" w:eastAsia="Arial" w:hAnsi="Arial"/>
          <w:sz w:val="21"/>
          <w:szCs w:val="21"/>
          <w:color w:val="auto"/>
        </w:rPr>
        <w:t>installment distribution is to be made to an Eligible Director hereunder the total vested balance remaining in the Eligible Director’s Current Cash Account and Current Dividend Equivalent Cash Account is less than $2,000 and the number of vested Units credited to the Eligible Director’s Current Stock Unit Account of Current Dividend Equivalent Stock Account is less than 100, then all such remaining vested balances and vested Units shall be distributed in a lump sum on the date scheduled for such partial or installment distribution. This provision is intended to comply with Treasury Regulations Section 1.409A-2(b)(2)(iii) and shall be interpreted accordingly.</w:t>
      </w:r>
    </w:p>
    <w:p>
      <w:pPr>
        <w:spacing w:after="0" w:line="150" w:lineRule="exact"/>
        <w:rPr>
          <w:rFonts w:ascii="Arial" w:cs="Arial" w:eastAsia="Arial" w:hAnsi="Arial"/>
          <w:sz w:val="21"/>
          <w:szCs w:val="21"/>
          <w:b w:val="1"/>
          <w:bCs w:val="1"/>
          <w:color w:val="auto"/>
        </w:rPr>
      </w:pPr>
    </w:p>
    <w:p>
      <w:pPr>
        <w:ind w:right="40" w:firstLine="5"/>
        <w:spacing w:after="0" w:line="241" w:lineRule="auto"/>
        <w:tabs>
          <w:tab w:leader="none" w:pos="628"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Distributions to Specified Employees</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this Plan to the contrary, and solely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that a delay in payment is required in order to avoid the imposition of any tax under Section 409A of the Code, if an Eligible Director is a “specified employee” for purposes of Section 409A(a)(2)(B) of the Code, and any amounts to be distributed under this Agreement are considered to be non-qualified deferred compensation payable in connection with the Eligible Director’s separation from service with the Company for purposes of Section 409A of the Code, which otherwise would be payable at any time during the six-month period immediately following such separation from service, then such amounts shall not be paid prior to, and shall instead be payable in a lump sum within ten (10) business days following, the expiration of such six-month period.</w:t>
      </w:r>
    </w:p>
    <w:p>
      <w:pPr>
        <w:spacing w:after="0" w:line="150" w:lineRule="exact"/>
        <w:rPr>
          <w:sz w:val="20"/>
          <w:szCs w:val="20"/>
          <w:color w:val="auto"/>
        </w:rPr>
      </w:pPr>
    </w:p>
    <w:p>
      <w:pPr>
        <w:spacing w:after="0" w:line="219" w:lineRule="auto"/>
        <w:rPr>
          <w:sz w:val="20"/>
          <w:szCs w:val="20"/>
          <w:color w:val="auto"/>
        </w:rPr>
      </w:pPr>
      <w:r>
        <w:rPr>
          <w:rFonts w:ascii="Arial" w:cs="Arial" w:eastAsia="Arial" w:hAnsi="Arial"/>
          <w:sz w:val="21"/>
          <w:szCs w:val="21"/>
          <w:b w:val="1"/>
          <w:bCs w:val="1"/>
          <w:color w:val="auto"/>
        </w:rPr>
        <w:t xml:space="preserve">5.6 </w:t>
      </w:r>
      <w:r>
        <w:rPr>
          <w:rFonts w:ascii="Arial" w:cs="Arial" w:eastAsia="Arial" w:hAnsi="Arial"/>
          <w:sz w:val="21"/>
          <w:szCs w:val="21"/>
          <w:b w:val="1"/>
          <w:bCs w:val="1"/>
          <w:u w:val="single" w:color="auto"/>
          <w:color w:val="auto"/>
        </w:rPr>
        <w:t>Adjustments in Case of Changes in Common Stock</w:t>
      </w:r>
      <w:r>
        <w:rPr>
          <w:rFonts w:ascii="Arial" w:cs="Arial" w:eastAsia="Arial" w:hAnsi="Arial"/>
          <w:sz w:val="21"/>
          <w:szCs w:val="21"/>
          <w:color w:val="auto"/>
        </w:rPr>
        <w:t>. If any stock dividend, stock split, recapitalization, merger,</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consolidation, combination or exchange of shares, sale of all or substantially all of the assets of the Company, split-up, split-off, spin-off, liquidation or similar change in capitalization or any similar extraordinary dividend distribution to holders of the Company’s Common Stock (other than Cash or Combination Dividends) shall occur, proportionate and equitable adjustments shall be made in the number and type of shares of Common Stock or other property reserved and of Units (both credited and vested) under this Plan.</w:t>
      </w:r>
    </w:p>
    <w:p>
      <w:pPr>
        <w:spacing w:after="0" w:line="153" w:lineRule="exact"/>
        <w:rPr>
          <w:sz w:val="20"/>
          <w:szCs w:val="20"/>
          <w:color w:val="auto"/>
        </w:rPr>
      </w:pPr>
    </w:p>
    <w:p>
      <w:pPr>
        <w:ind w:right="280"/>
        <w:spacing w:after="0" w:line="241" w:lineRule="auto"/>
        <w:rPr>
          <w:sz w:val="20"/>
          <w:szCs w:val="20"/>
          <w:color w:val="auto"/>
        </w:rPr>
      </w:pPr>
      <w:r>
        <w:rPr>
          <w:rFonts w:ascii="Arial" w:cs="Arial" w:eastAsia="Arial" w:hAnsi="Arial"/>
          <w:sz w:val="21"/>
          <w:szCs w:val="21"/>
          <w:b w:val="1"/>
          <w:bCs w:val="1"/>
          <w:color w:val="auto"/>
        </w:rPr>
        <w:t xml:space="preserve">5.7 </w:t>
      </w:r>
      <w:r>
        <w:rPr>
          <w:rFonts w:ascii="Arial" w:cs="Arial" w:eastAsia="Arial" w:hAnsi="Arial"/>
          <w:sz w:val="21"/>
          <w:szCs w:val="21"/>
          <w:b w:val="1"/>
          <w:bCs w:val="1"/>
          <w:u w:val="single" w:color="auto"/>
          <w:color w:val="auto"/>
        </w:rPr>
        <w:t>Company’s Right to Withhold</w:t>
      </w:r>
      <w:r>
        <w:rPr>
          <w:rFonts w:ascii="Arial" w:cs="Arial" w:eastAsia="Arial" w:hAnsi="Arial"/>
          <w:sz w:val="21"/>
          <w:szCs w:val="21"/>
          <w:color w:val="auto"/>
        </w:rPr>
        <w:t>. The Company shall satisfy any state or federal income tax withholding obligation arising</w:t>
      </w:r>
      <w:r>
        <w:rPr>
          <w:rFonts w:ascii="Arial" w:cs="Arial" w:eastAsia="Arial" w:hAnsi="Arial"/>
          <w:sz w:val="21"/>
          <w:szCs w:val="21"/>
          <w:b w:val="1"/>
          <w:bCs w:val="1"/>
          <w:color w:val="auto"/>
        </w:rPr>
        <w:t xml:space="preserve"> </w:t>
      </w:r>
      <w:r>
        <w:rPr>
          <w:rFonts w:ascii="Arial" w:cs="Arial" w:eastAsia="Arial" w:hAnsi="Arial"/>
          <w:sz w:val="21"/>
          <w:szCs w:val="21"/>
          <w:color w:val="auto"/>
        </w:rPr>
        <w:t>upon distribution of an Eligible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70" w:right="339" w:bottom="1440" w:gutter="0" w:footer="0" w:header="0"/>
        </w:sectPr>
      </w:pPr>
    </w:p>
    <w:bookmarkStart w:id="137" w:name="page138"/>
    <w:bookmarkEnd w:id="137"/>
    <w:p>
      <w:pPr>
        <w:ind w:right="180"/>
        <w:spacing w:after="0" w:line="220" w:lineRule="auto"/>
        <w:rPr>
          <w:sz w:val="20"/>
          <w:szCs w:val="20"/>
          <w:color w:val="auto"/>
        </w:rPr>
      </w:pPr>
      <w:r>
        <w:rPr>
          <w:rFonts w:ascii="Arial" w:cs="Arial" w:eastAsia="Arial" w:hAnsi="Arial"/>
          <w:sz w:val="21"/>
          <w:szCs w:val="21"/>
          <w:color w:val="auto"/>
        </w:rPr>
        <w:t>accounts by reducing the number of shares of Common Stock otherwise deliverable to the Eligible Director by the appropriate number of shares, valued at the Fair Market Value of a share of Common Stock on the date of distribution, required to satisfy such tax withholding obligation. If the Company, for any reason, cannot satisfy the withholding obligation in accordance with the preceding sentence, the Eligible Director shall pay or provide for payment in cash of the amount of any taxes which the Company may be required to withhold with respect to the benefits hereunder.</w:t>
      </w:r>
    </w:p>
    <w:p>
      <w:pPr>
        <w:spacing w:after="0" w:line="152"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b w:val="1"/>
          <w:bCs w:val="1"/>
          <w:color w:val="auto"/>
        </w:rPr>
        <w:t xml:space="preserve">5.8 </w:t>
      </w:r>
      <w:r>
        <w:rPr>
          <w:rFonts w:ascii="Arial" w:cs="Arial" w:eastAsia="Arial" w:hAnsi="Arial"/>
          <w:sz w:val="20"/>
          <w:szCs w:val="20"/>
          <w:b w:val="1"/>
          <w:bCs w:val="1"/>
          <w:u w:val="single" w:color="auto"/>
          <w:color w:val="auto"/>
        </w:rPr>
        <w:t>Stockholder Approval</w:t>
      </w:r>
      <w:r>
        <w:rPr>
          <w:rFonts w:ascii="Arial" w:cs="Arial" w:eastAsia="Arial" w:hAnsi="Arial"/>
          <w:sz w:val="20"/>
          <w:szCs w:val="20"/>
          <w:color w:val="auto"/>
        </w:rPr>
        <w:t>. This Plan, and all the elections, actions and accruals with respect to Stock Units and Dividend</w:t>
      </w:r>
      <w:r>
        <w:rPr>
          <w:rFonts w:ascii="Arial" w:cs="Arial" w:eastAsia="Arial" w:hAnsi="Arial"/>
          <w:sz w:val="20"/>
          <w:szCs w:val="20"/>
          <w:b w:val="1"/>
          <w:bCs w:val="1"/>
          <w:color w:val="auto"/>
        </w:rPr>
        <w:t xml:space="preserve"> </w:t>
      </w:r>
      <w:r>
        <w:rPr>
          <w:rFonts w:ascii="Arial" w:cs="Arial" w:eastAsia="Arial" w:hAnsi="Arial"/>
          <w:sz w:val="20"/>
          <w:szCs w:val="20"/>
          <w:color w:val="auto"/>
        </w:rPr>
        <w:t>Equivalents made prior to stockholder approval, was originally approved by the stockholders of the Company at their 1995 annual meeting. Amendments to the Plan have been approved by the Board of Directors pursuant to Article VII.</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u w:val="single" w:color="auto"/>
          <w:color w:val="auto"/>
        </w:rPr>
        <w:t>ARTICLE VI</w:t>
      </w:r>
    </w:p>
    <w:p>
      <w:pPr>
        <w:jc w:val="center"/>
        <w:ind w:right="-59"/>
        <w:spacing w:after="0"/>
        <w:rPr>
          <w:sz w:val="20"/>
          <w:szCs w:val="20"/>
          <w:color w:val="auto"/>
        </w:rPr>
      </w:pPr>
      <w:r>
        <w:rPr>
          <w:rFonts w:ascii="Arial" w:cs="Arial" w:eastAsia="Arial" w:hAnsi="Arial"/>
          <w:sz w:val="21"/>
          <w:szCs w:val="21"/>
          <w:b w:val="1"/>
          <w:bCs w:val="1"/>
          <w:u w:val="single" w:color="auto"/>
          <w:color w:val="auto"/>
        </w:rPr>
        <w:t>ADMINISTRATION</w:t>
      </w:r>
    </w:p>
    <w:p>
      <w:pPr>
        <w:spacing w:after="0" w:line="156" w:lineRule="exact"/>
        <w:rPr>
          <w:sz w:val="20"/>
          <w:szCs w:val="20"/>
          <w:color w:val="auto"/>
        </w:rPr>
      </w:pPr>
    </w:p>
    <w:p>
      <w:pPr>
        <w:spacing w:after="0" w:line="225" w:lineRule="auto"/>
        <w:rPr>
          <w:sz w:val="20"/>
          <w:szCs w:val="20"/>
          <w:color w:val="auto"/>
        </w:rPr>
      </w:pPr>
      <w:r>
        <w:rPr>
          <w:rFonts w:ascii="Arial" w:cs="Arial" w:eastAsia="Arial" w:hAnsi="Arial"/>
          <w:sz w:val="21"/>
          <w:szCs w:val="21"/>
          <w:b w:val="1"/>
          <w:bCs w:val="1"/>
          <w:color w:val="auto"/>
        </w:rPr>
        <w:t xml:space="preserve">6.1 </w:t>
      </w:r>
      <w:r>
        <w:rPr>
          <w:rFonts w:ascii="Arial" w:cs="Arial" w:eastAsia="Arial" w:hAnsi="Arial"/>
          <w:sz w:val="21"/>
          <w:szCs w:val="21"/>
          <w:b w:val="1"/>
          <w:bCs w:val="1"/>
          <w:u w:val="single" w:color="auto"/>
          <w:color w:val="auto"/>
        </w:rPr>
        <w:t>The Administrator</w:t>
      </w:r>
      <w:r>
        <w:rPr>
          <w:rFonts w:ascii="Arial" w:cs="Arial" w:eastAsia="Arial" w:hAnsi="Arial"/>
          <w:sz w:val="21"/>
          <w:szCs w:val="21"/>
          <w:color w:val="auto"/>
        </w:rPr>
        <w:t>. The Committee hereunder shall consist of two (2) or more Disinterested Directors appointed from time</w:t>
      </w:r>
      <w:r>
        <w:rPr>
          <w:rFonts w:ascii="Arial" w:cs="Arial" w:eastAsia="Arial" w:hAnsi="Arial"/>
          <w:sz w:val="21"/>
          <w:szCs w:val="21"/>
          <w:b w:val="1"/>
          <w:bCs w:val="1"/>
          <w:color w:val="auto"/>
        </w:rPr>
        <w:t xml:space="preserve"> </w:t>
      </w:r>
      <w:r>
        <w:rPr>
          <w:rFonts w:ascii="Arial" w:cs="Arial" w:eastAsia="Arial" w:hAnsi="Arial"/>
          <w:sz w:val="21"/>
          <w:szCs w:val="21"/>
          <w:color w:val="auto"/>
        </w:rPr>
        <w:t>to time by the Board of Directors to serve as the administrator of this Plan at its pleasure. Any member of the Committee may resign by delivering a written resignation to the Board of Directors. Members of the Committee shall not receive any additional compensation for administration of this Plan.</w:t>
      </w:r>
    </w:p>
    <w:p>
      <w:pPr>
        <w:spacing w:after="0" w:line="148"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b w:val="1"/>
          <w:bCs w:val="1"/>
          <w:u w:val="single" w:color="auto"/>
          <w:color w:val="auto"/>
        </w:rPr>
        <w:t>Committee Action</w:t>
      </w:r>
      <w:r>
        <w:rPr>
          <w:rFonts w:ascii="Arial" w:cs="Arial" w:eastAsia="Arial" w:hAnsi="Arial"/>
          <w:sz w:val="20"/>
          <w:szCs w:val="20"/>
          <w:color w:val="auto"/>
        </w:rPr>
        <w:t>. The Committee may, for the purpose of administering this Plan, choose a Secretary who may be, but is</w:t>
      </w:r>
      <w:r>
        <w:rPr>
          <w:rFonts w:ascii="Arial" w:cs="Arial" w:eastAsia="Arial" w:hAnsi="Arial"/>
          <w:sz w:val="20"/>
          <w:szCs w:val="20"/>
          <w:b w:val="1"/>
          <w:bCs w:val="1"/>
          <w:color w:val="auto"/>
        </w:rPr>
        <w:t xml:space="preserve"> </w:t>
      </w:r>
      <w:r>
        <w:rPr>
          <w:rFonts w:ascii="Arial" w:cs="Arial" w:eastAsia="Arial" w:hAnsi="Arial"/>
          <w:sz w:val="20"/>
          <w:szCs w:val="20"/>
          <w:color w:val="auto"/>
        </w:rPr>
        <w:t>not required to be, a member of the Committee, who shall keep minutes of the Committee’s proceedings and all records and documents pertaining to the Committee’s administration of this Plan. A member of the Committee shall not vote or act upon any matter which relates solely to himself or herself as a Participant in this Plan. The Secretary may execute any certificate or other written direction on behalf of the Committee. Action of the Committee with respect to the administration of this Plan shall be taken pursuant to a majority vote or by unanimous written consent of its members.</w:t>
      </w:r>
    </w:p>
    <w:p>
      <w:pPr>
        <w:spacing w:after="0" w:line="153" w:lineRule="exact"/>
        <w:rPr>
          <w:sz w:val="20"/>
          <w:szCs w:val="20"/>
          <w:color w:val="auto"/>
        </w:rPr>
      </w:pPr>
    </w:p>
    <w:p>
      <w:pPr>
        <w:ind w:right="20"/>
        <w:spacing w:after="0" w:line="230"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b w:val="1"/>
          <w:bCs w:val="1"/>
          <w:u w:val="single" w:color="auto"/>
          <w:color w:val="auto"/>
        </w:rPr>
        <w:t>Rights and Duties</w:t>
      </w:r>
      <w:r>
        <w:rPr>
          <w:rFonts w:ascii="Arial" w:cs="Arial" w:eastAsia="Arial" w:hAnsi="Arial"/>
          <w:sz w:val="21"/>
          <w:szCs w:val="21"/>
          <w:color w:val="auto"/>
        </w:rPr>
        <w:t>. Subject to the limitations of this Plan, the Committee shall be charged with the general administration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Plan and the responsibility for carrying out its provisions, and shall have powers necessary to accomplish those purposes, including, but not by way of limitation, the following:</w:t>
      </w:r>
    </w:p>
    <w:p>
      <w:pPr>
        <w:spacing w:after="0" w:line="155" w:lineRule="exact"/>
        <w:rPr>
          <w:sz w:val="20"/>
          <w:szCs w:val="20"/>
          <w:color w:val="auto"/>
        </w:rPr>
      </w:pPr>
    </w:p>
    <w:p>
      <w:pPr>
        <w:ind w:left="640" w:hanging="635"/>
        <w:spacing w:after="0"/>
        <w:tabs>
          <w:tab w:leader="none" w:pos="64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To construe, interpret and administer this Plan;</w:t>
      </w:r>
    </w:p>
    <w:p>
      <w:pPr>
        <w:spacing w:after="0" w:line="180" w:lineRule="exact"/>
        <w:rPr>
          <w:rFonts w:ascii="Arial" w:cs="Arial" w:eastAsia="Arial" w:hAnsi="Arial"/>
          <w:sz w:val="21"/>
          <w:szCs w:val="21"/>
          <w:b w:val="1"/>
          <w:bCs w:val="1"/>
          <w:color w:val="auto"/>
        </w:rPr>
      </w:pPr>
    </w:p>
    <w:p>
      <w:pPr>
        <w:ind w:right="280" w:firstLine="5"/>
        <w:spacing w:after="0" w:line="237" w:lineRule="auto"/>
        <w:tabs>
          <w:tab w:leader="none" w:pos="626"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To resolve any questions concerning the amount of benefits payable to an Eligible Director (except that no member of the Committee shall participate in a decision relating solely to his or her own benefits);</w:t>
      </w:r>
    </w:p>
    <w:p>
      <w:pPr>
        <w:spacing w:after="0" w:line="155" w:lineRule="exact"/>
        <w:rPr>
          <w:rFonts w:ascii="Arial" w:cs="Arial" w:eastAsia="Arial" w:hAnsi="Arial"/>
          <w:sz w:val="21"/>
          <w:szCs w:val="21"/>
          <w:b w:val="1"/>
          <w:bCs w:val="1"/>
          <w:color w:val="auto"/>
        </w:rPr>
      </w:pPr>
    </w:p>
    <w:p>
      <w:pPr>
        <w:ind w:left="640" w:hanging="635"/>
        <w:spacing w:after="0"/>
        <w:tabs>
          <w:tab w:leader="none" w:pos="64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To make all other determinations required by this Plan;</w:t>
      </w:r>
    </w:p>
    <w:p>
      <w:pPr>
        <w:spacing w:after="0" w:line="180" w:lineRule="exact"/>
        <w:rPr>
          <w:rFonts w:ascii="Arial" w:cs="Arial" w:eastAsia="Arial" w:hAnsi="Arial"/>
          <w:sz w:val="21"/>
          <w:szCs w:val="21"/>
          <w:b w:val="1"/>
          <w:bCs w:val="1"/>
          <w:color w:val="auto"/>
        </w:rPr>
      </w:pPr>
    </w:p>
    <w:p>
      <w:pPr>
        <w:ind w:left="640" w:hanging="635"/>
        <w:spacing w:after="0"/>
        <w:tabs>
          <w:tab w:leader="none" w:pos="64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To maintain all the necessary records for the administration of this Plan; and</w:t>
      </w:r>
    </w:p>
    <w:p>
      <w:pPr>
        <w:spacing w:after="0" w:line="180" w:lineRule="exact"/>
        <w:rPr>
          <w:rFonts w:ascii="Arial" w:cs="Arial" w:eastAsia="Arial" w:hAnsi="Arial"/>
          <w:sz w:val="21"/>
          <w:szCs w:val="21"/>
          <w:b w:val="1"/>
          <w:bCs w:val="1"/>
          <w:color w:val="auto"/>
        </w:rPr>
      </w:pPr>
    </w:p>
    <w:p>
      <w:pPr>
        <w:ind w:left="640" w:hanging="635"/>
        <w:spacing w:after="0"/>
        <w:tabs>
          <w:tab w:leader="none" w:pos="640" w:val="left"/>
        </w:tabs>
        <w:numPr>
          <w:ilvl w:val="0"/>
          <w:numId w:val="88"/>
        </w:numPr>
        <w:rPr>
          <w:rFonts w:ascii="Arial" w:cs="Arial" w:eastAsia="Arial" w:hAnsi="Arial"/>
          <w:sz w:val="21"/>
          <w:szCs w:val="21"/>
          <w:b w:val="1"/>
          <w:bCs w:val="1"/>
          <w:color w:val="auto"/>
        </w:rPr>
      </w:pPr>
      <w:r>
        <w:rPr>
          <w:rFonts w:ascii="Arial" w:cs="Arial" w:eastAsia="Arial" w:hAnsi="Arial"/>
          <w:sz w:val="21"/>
          <w:szCs w:val="21"/>
          <w:color w:val="auto"/>
        </w:rPr>
        <w:t>To make and publish forms, rules and procedures for elections under and for the administration of this Plan.</w:t>
      </w:r>
    </w:p>
    <w:p>
      <w:pPr>
        <w:spacing w:after="0" w:line="180" w:lineRule="exact"/>
        <w:rPr>
          <w:sz w:val="20"/>
          <w:szCs w:val="20"/>
          <w:color w:val="auto"/>
        </w:rPr>
      </w:pPr>
    </w:p>
    <w:p>
      <w:pPr>
        <w:ind w:right="340" w:firstLine="1265"/>
        <w:spacing w:after="0" w:line="228" w:lineRule="auto"/>
        <w:rPr>
          <w:sz w:val="20"/>
          <w:szCs w:val="20"/>
          <w:color w:val="auto"/>
        </w:rPr>
      </w:pPr>
      <w:r>
        <w:rPr>
          <w:rFonts w:ascii="Arial" w:cs="Arial" w:eastAsia="Arial" w:hAnsi="Arial"/>
          <w:sz w:val="21"/>
          <w:szCs w:val="21"/>
          <w:color w:val="auto"/>
        </w:rPr>
        <w:t>The determination of the Committee made in good faith as to any disputed question or controversy and the Committee’s determination of benefits payable to Eligible Directors shall be conclusive. In performing its duties, the Committee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180"/>
          </w:cols>
          <w:pgMar w:left="320" w:top="1370" w:right="399" w:bottom="1440" w:gutter="0" w:footer="0" w:header="0"/>
        </w:sectPr>
      </w:pPr>
    </w:p>
    <w:bookmarkStart w:id="138" w:name="page139"/>
    <w:bookmarkEnd w:id="138"/>
    <w:p>
      <w:pPr>
        <w:ind w:right="80"/>
        <w:spacing w:after="0" w:line="229" w:lineRule="auto"/>
        <w:rPr>
          <w:sz w:val="20"/>
          <w:szCs w:val="20"/>
          <w:color w:val="auto"/>
        </w:rPr>
      </w:pPr>
      <w:r>
        <w:rPr>
          <w:rFonts w:ascii="Arial" w:cs="Arial" w:eastAsia="Arial" w:hAnsi="Arial"/>
          <w:sz w:val="20"/>
          <w:szCs w:val="20"/>
          <w:color w:val="auto"/>
        </w:rPr>
        <w:t>entitled to rely on information, opinions, reports or statements prepared or presented by: (1) officers or employees of the Company whom the Committee believes to be reliable and competent as to such matters; and (2) counsel (who may be employees of the Company), independent accountants and other persons as to matters which the Committee believes to be within such persons’ professional or expert competence. The Committee shall be fully protected with respect to any action taken or omitted by it in good faith pursuant to the advice of such persons. The Committee may delegate ministerial, bookkeeping and other non-discretionary functions to individuals who are officers or employees of the Company.</w:t>
      </w:r>
    </w:p>
    <w:p>
      <w:pPr>
        <w:spacing w:after="0" w:line="153" w:lineRule="exact"/>
        <w:rPr>
          <w:sz w:val="20"/>
          <w:szCs w:val="20"/>
          <w:color w:val="auto"/>
        </w:rPr>
      </w:pPr>
    </w:p>
    <w:p>
      <w:pPr>
        <w:ind w:right="60"/>
        <w:spacing w:after="0" w:line="218" w:lineRule="auto"/>
        <w:rPr>
          <w:sz w:val="20"/>
          <w:szCs w:val="20"/>
          <w:color w:val="auto"/>
        </w:rPr>
      </w:pPr>
      <w:r>
        <w:rPr>
          <w:rFonts w:ascii="Arial" w:cs="Arial" w:eastAsia="Arial" w:hAnsi="Arial"/>
          <w:sz w:val="21"/>
          <w:szCs w:val="21"/>
          <w:b w:val="1"/>
          <w:bCs w:val="1"/>
          <w:color w:val="auto"/>
        </w:rPr>
        <w:t xml:space="preserve">6.4 </w:t>
      </w:r>
      <w:r>
        <w:rPr>
          <w:rFonts w:ascii="Arial" w:cs="Arial" w:eastAsia="Arial" w:hAnsi="Arial"/>
          <w:sz w:val="21"/>
          <w:szCs w:val="21"/>
          <w:b w:val="1"/>
          <w:bCs w:val="1"/>
          <w:u w:val="single" w:color="auto"/>
          <w:color w:val="auto"/>
        </w:rPr>
        <w:t>Indemnity and Liability</w:t>
      </w:r>
      <w:r>
        <w:rPr>
          <w:rFonts w:ascii="Arial" w:cs="Arial" w:eastAsia="Arial" w:hAnsi="Arial"/>
          <w:sz w:val="21"/>
          <w:szCs w:val="21"/>
          <w:color w:val="auto"/>
        </w:rPr>
        <w:t>. All expenses of the Committee shall be paid by the Company and the Company shall furnish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with such clerical and other assistance as is necessary in the performance of its duties. No member of the Committee shall be liable for any act or omission of any other member of the Committee nor for any act or omission on his or her own part, excepting only his or her own willful misconduct or gross negligence. To the extent permitted by law, the Company shall indemnify and save harmless each member of the Committee against any and all expenses and liabilities arising out of his or her membership on the Committee, excepting only expenses and liabilities arising out of his or her own willful misconduct or gross negligence, as determined by the Board of Directors.</w:t>
      </w:r>
    </w:p>
    <w:p>
      <w:pPr>
        <w:spacing w:after="0" w:line="144" w:lineRule="exact"/>
        <w:rPr>
          <w:sz w:val="20"/>
          <w:szCs w:val="20"/>
          <w:color w:val="auto"/>
        </w:rPr>
      </w:pPr>
    </w:p>
    <w:p>
      <w:pPr>
        <w:ind w:left="4680"/>
        <w:spacing w:after="0"/>
        <w:rPr>
          <w:sz w:val="20"/>
          <w:szCs w:val="20"/>
          <w:color w:val="auto"/>
        </w:rPr>
      </w:pPr>
      <w:r>
        <w:rPr>
          <w:rFonts w:ascii="Arial" w:cs="Arial" w:eastAsia="Arial" w:hAnsi="Arial"/>
          <w:sz w:val="21"/>
          <w:szCs w:val="21"/>
          <w:b w:val="1"/>
          <w:bCs w:val="1"/>
          <w:u w:val="single" w:color="auto"/>
          <w:color w:val="auto"/>
        </w:rPr>
        <w:t>ARTICLE VII</w:t>
      </w:r>
    </w:p>
    <w:p>
      <w:pPr>
        <w:ind w:left="3740"/>
        <w:spacing w:after="0"/>
        <w:rPr>
          <w:sz w:val="20"/>
          <w:szCs w:val="20"/>
          <w:color w:val="auto"/>
        </w:rPr>
      </w:pPr>
      <w:r>
        <w:rPr>
          <w:rFonts w:ascii="Arial" w:cs="Arial" w:eastAsia="Arial" w:hAnsi="Arial"/>
          <w:sz w:val="21"/>
          <w:szCs w:val="21"/>
          <w:b w:val="1"/>
          <w:bCs w:val="1"/>
          <w:u w:val="single" w:color="auto"/>
          <w:color w:val="auto"/>
        </w:rPr>
        <w:t>PLAN CHANGES AND TERMINATION</w:t>
      </w:r>
    </w:p>
    <w:p>
      <w:pPr>
        <w:spacing w:after="0" w:line="162" w:lineRule="exact"/>
        <w:rPr>
          <w:sz w:val="20"/>
          <w:szCs w:val="20"/>
          <w:color w:val="auto"/>
        </w:rPr>
      </w:pPr>
    </w:p>
    <w:p>
      <w:pPr>
        <w:ind w:right="40" w:firstLine="1265"/>
        <w:spacing w:after="0" w:line="236" w:lineRule="auto"/>
        <w:rPr>
          <w:sz w:val="20"/>
          <w:szCs w:val="20"/>
          <w:color w:val="auto"/>
        </w:rPr>
      </w:pPr>
      <w:r>
        <w:rPr>
          <w:rFonts w:ascii="Arial" w:cs="Arial" w:eastAsia="Arial" w:hAnsi="Arial"/>
          <w:sz w:val="19"/>
          <w:szCs w:val="19"/>
          <w:color w:val="auto"/>
        </w:rPr>
        <w:t>The Board of Directors shall have the right to amend this Plan in whole or in part from time to time or may at any time suspend or terminate this Plan. In addition, The Committee may amend the Plan to (a) ensure that this Plan complies with the requirements of Section 409A of the Code for deferral of taxation on compensation deferred hereunder after December 31, 2004 until the time of distribution and (b) to make other changes to the provisions regarding elections as to the time and manner of distributions that comply with such requirements of Section 409A. Notwithstanding the foregoing, no amendment or termination shall cancel or otherwise adversely affect in any way, without his or her written consent, any Eligible Director’s rights with respect to Stock Units and Dividend Equivalents credited to his or her Stock Unit Account, Dividend Equivalent Cash Account or Dividend Equivalent Stock Account which are then vested (assuming solely for such purposes a voluntary termination of services as of the date of such amendment or termination) or to any amounts previously credited to his or her Cash Account; provided, however, that in no event shall such consent be required for an amendment that is necessary to comply with applicable law, including without limitation, an amendment required under Section 409A of the Code or the regulations thereunder to preserve the deferral of taxation on compensation deferred hereunder until the time of distribution. Any amendments authorized hereby shall be stated in an instrument in writing, and all Eligible Directors shall be bound thereby upon receipt of notice thereof.</w:t>
      </w:r>
    </w:p>
    <w:p>
      <w:pPr>
        <w:spacing w:after="0" w:line="158" w:lineRule="exact"/>
        <w:rPr>
          <w:sz w:val="20"/>
          <w:szCs w:val="20"/>
          <w:color w:val="auto"/>
        </w:rPr>
      </w:pPr>
    </w:p>
    <w:p>
      <w:pPr>
        <w:ind w:firstLine="1265"/>
        <w:spacing w:after="0" w:line="218" w:lineRule="auto"/>
        <w:rPr>
          <w:sz w:val="20"/>
          <w:szCs w:val="20"/>
          <w:color w:val="auto"/>
        </w:rPr>
      </w:pPr>
      <w:r>
        <w:rPr>
          <w:rFonts w:ascii="Arial" w:cs="Arial" w:eastAsia="Arial" w:hAnsi="Arial"/>
          <w:sz w:val="21"/>
          <w:szCs w:val="21"/>
          <w:color w:val="auto"/>
        </w:rPr>
        <w:t>It is the current expectation of the Company that this Plan shall be continued until August 1, 2029, but continuance of this Plan is not assumed as a contractual obligation of the Company. In the event that the Board of Directors decides to discontinue or terminate this Plan, it shall notify the Committee and participants in this Plan of its action in an instrument in writing, and this Plan shall be terminated at the time therein set forth, and all participants shall be bound thereby. In such event, the then vested benefits of an Eligible Director shall be distributed in accordance with the time and manner of distribution elected by him or her under Section 5.5 and/or 5.5A.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180"/>
          </w:cols>
          <w:pgMar w:left="320" w:top="1369" w:right="399" w:bottom="1440" w:gutter="0" w:footer="0" w:header="0"/>
        </w:sectPr>
      </w:pPr>
    </w:p>
    <w:bookmarkStart w:id="139" w:name="page140"/>
    <w:bookmarkEnd w:id="139"/>
    <w:p>
      <w:pPr>
        <w:ind w:left="4680"/>
        <w:spacing w:after="0"/>
        <w:rPr>
          <w:sz w:val="20"/>
          <w:szCs w:val="20"/>
          <w:color w:val="auto"/>
        </w:rPr>
      </w:pPr>
      <w:r>
        <w:rPr>
          <w:rFonts w:ascii="Arial" w:cs="Arial" w:eastAsia="Arial" w:hAnsi="Arial"/>
          <w:sz w:val="21"/>
          <w:szCs w:val="21"/>
          <w:b w:val="1"/>
          <w:bCs w:val="1"/>
          <w:u w:val="single" w:color="auto"/>
          <w:color w:val="auto"/>
        </w:rPr>
        <w:t>ARTICLE VIII</w:t>
      </w:r>
    </w:p>
    <w:p>
      <w:pPr>
        <w:ind w:left="4700"/>
        <w:spacing w:after="0"/>
        <w:rPr>
          <w:sz w:val="20"/>
          <w:szCs w:val="20"/>
          <w:color w:val="auto"/>
        </w:rPr>
      </w:pPr>
      <w:r>
        <w:rPr>
          <w:rFonts w:ascii="Arial" w:cs="Arial" w:eastAsia="Arial" w:hAnsi="Arial"/>
          <w:sz w:val="21"/>
          <w:szCs w:val="21"/>
          <w:b w:val="1"/>
          <w:bCs w:val="1"/>
          <w:u w:val="single" w:color="auto"/>
          <w:color w:val="auto"/>
        </w:rPr>
        <w:t>MISCELLANEOUS</w:t>
      </w:r>
    </w:p>
    <w:p>
      <w:pPr>
        <w:spacing w:after="0" w:line="156"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b w:val="1"/>
          <w:bCs w:val="1"/>
          <w:color w:val="auto"/>
        </w:rPr>
        <w:t xml:space="preserve">8.1 </w:t>
      </w:r>
      <w:r>
        <w:rPr>
          <w:rFonts w:ascii="Arial" w:cs="Arial" w:eastAsia="Arial" w:hAnsi="Arial"/>
          <w:sz w:val="20"/>
          <w:szCs w:val="20"/>
          <w:b w:val="1"/>
          <w:bCs w:val="1"/>
          <w:u w:val="single" w:color="auto"/>
          <w:color w:val="auto"/>
        </w:rPr>
        <w:t>Limitation on Eligible Directors’ Rights</w:t>
      </w:r>
      <w:r>
        <w:rPr>
          <w:rFonts w:ascii="Arial" w:cs="Arial" w:eastAsia="Arial" w:hAnsi="Arial"/>
          <w:sz w:val="20"/>
          <w:szCs w:val="20"/>
          <w:color w:val="auto"/>
        </w:rPr>
        <w:t>. Participation in this Plan shall not give any Eligible Director the right to continue</w:t>
      </w:r>
      <w:r>
        <w:rPr>
          <w:rFonts w:ascii="Arial" w:cs="Arial" w:eastAsia="Arial" w:hAnsi="Arial"/>
          <w:sz w:val="20"/>
          <w:szCs w:val="20"/>
          <w:b w:val="1"/>
          <w:bCs w:val="1"/>
          <w:color w:val="auto"/>
        </w:rPr>
        <w:t xml:space="preserve"> </w:t>
      </w:r>
      <w:r>
        <w:rPr>
          <w:rFonts w:ascii="Arial" w:cs="Arial" w:eastAsia="Arial" w:hAnsi="Arial"/>
          <w:sz w:val="20"/>
          <w:szCs w:val="20"/>
          <w:color w:val="auto"/>
        </w:rPr>
        <w:t>to serve as a member of the Board of Directors or any rights or interests other than as herein provided. No Eligible Director shall have any right to any payment or benefit hereunder except to the extent provided in this Plan. This Plan shall create only a contractual obligation on the part of the Company as to such amounts and shall not be construed as creating a trust. This Plan, in and of itself, has no assets. Eligible Directors shall have only the rights of general unsecured creditors of the Company with respect to amounts credited or vested and benefits payable, if any, on their Accounts.</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8.2</w:t>
      </w:r>
      <w:r>
        <w:rPr>
          <w:sz w:val="20"/>
          <w:szCs w:val="20"/>
          <w:color w:val="auto"/>
        </w:rPr>
        <w:tab/>
      </w:r>
      <w:r>
        <w:rPr>
          <w:rFonts w:ascii="Arial" w:cs="Arial" w:eastAsia="Arial" w:hAnsi="Arial"/>
          <w:sz w:val="18"/>
          <w:szCs w:val="18"/>
          <w:b w:val="1"/>
          <w:bCs w:val="1"/>
          <w:u w:val="single" w:color="auto"/>
          <w:color w:val="auto"/>
        </w:rPr>
        <w:t>Beneficiaries</w:t>
      </w:r>
      <w:r>
        <w:rPr>
          <w:rFonts w:ascii="Arial" w:cs="Arial" w:eastAsia="Arial" w:hAnsi="Arial"/>
          <w:sz w:val="18"/>
          <w:szCs w:val="18"/>
          <w:color w:val="auto"/>
        </w:rPr>
        <w:t>.</w:t>
      </w:r>
    </w:p>
    <w:p>
      <w:pPr>
        <w:spacing w:after="0" w:line="180" w:lineRule="exact"/>
        <w:rPr>
          <w:sz w:val="20"/>
          <w:szCs w:val="20"/>
          <w:color w:val="auto"/>
        </w:rPr>
      </w:pPr>
    </w:p>
    <w:p>
      <w:pPr>
        <w:ind w:right="20" w:firstLine="5"/>
        <w:spacing w:after="0" w:line="238" w:lineRule="auto"/>
        <w:tabs>
          <w:tab w:leader="none" w:pos="628"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Beneficiary Designation</w:t>
      </w:r>
      <w:r>
        <w:rPr>
          <w:rFonts w:ascii="Arial" w:cs="Arial" w:eastAsia="Arial" w:hAnsi="Arial"/>
          <w:sz w:val="19"/>
          <w:szCs w:val="19"/>
          <w:color w:val="auto"/>
        </w:rPr>
        <w:t>. Upon forms provided by the Company each Eligible Director may designate in writing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Beneficiary or Beneficiaries (as defined in Section 8.2(b)) whom such Eligible Director desires to receive any amounts payable under this Plan after his or her death. An Eligible Director from may from time to time change his or her designated Beneficiary or Beneficiaries without the consent of such Beneficiary or Beneficiaries by filing a new designation in writing with the Committee. However, if a married Eligible Director wishes to designate a person other than his or her spouse as Beneficiary, such designation shall be consented to in writing by the spouse. The Eligible Director may change any election designating a Beneficiary or Beneficiaries without any requirement of further spousal consent if the spouse’s consent so provides. Notwithstanding the foregoing, spousal consent shall not be necessary if it is established that the required consent cannot be obtained because the spouse cannot be located or because of other circumstances prescribed by the Committee. The Company and the Committee may rely on the Eligible Director’s designation of a Beneficiary or Beneficiaries last filed in accordance with the terms of this Plan.</w:t>
      </w:r>
    </w:p>
    <w:p>
      <w:pPr>
        <w:spacing w:after="0" w:line="151" w:lineRule="exact"/>
        <w:rPr>
          <w:rFonts w:ascii="Arial" w:cs="Arial" w:eastAsia="Arial" w:hAnsi="Arial"/>
          <w:sz w:val="19"/>
          <w:szCs w:val="19"/>
          <w:b w:val="1"/>
          <w:bCs w:val="1"/>
          <w:color w:val="auto"/>
        </w:rPr>
      </w:pPr>
    </w:p>
    <w:p>
      <w:pPr>
        <w:ind w:firstLine="5"/>
        <w:spacing w:after="0" w:line="251" w:lineRule="auto"/>
        <w:tabs>
          <w:tab w:leader="none" w:pos="626"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 of Beneficiary</w:t>
      </w:r>
      <w:r>
        <w:rPr>
          <w:rFonts w:ascii="Arial" w:cs="Arial" w:eastAsia="Arial" w:hAnsi="Arial"/>
          <w:sz w:val="19"/>
          <w:szCs w:val="19"/>
          <w:color w:val="auto"/>
        </w:rPr>
        <w:t>. An Eligible Director’s “Beneficiary” or “Beneficiaries” shall be the person, persons, trust or trusts</w:t>
      </w:r>
      <w:r>
        <w:rPr>
          <w:rFonts w:ascii="Arial" w:cs="Arial" w:eastAsia="Arial" w:hAnsi="Arial"/>
          <w:sz w:val="19"/>
          <w:szCs w:val="19"/>
          <w:b w:val="1"/>
          <w:bCs w:val="1"/>
          <w:color w:val="auto"/>
        </w:rPr>
        <w:t xml:space="preserve"> </w:t>
      </w:r>
      <w:r>
        <w:rPr>
          <w:rFonts w:ascii="Arial" w:cs="Arial" w:eastAsia="Arial" w:hAnsi="Arial"/>
          <w:sz w:val="19"/>
          <w:szCs w:val="19"/>
          <w:color w:val="auto"/>
        </w:rPr>
        <w:t>so designated by the Eligible Director or, in the absence of such designation, entitled by will or the laws of descent and distribution to receive the Eligible Director’s benefits under this Plan in the event of the Eligible Director’s death, and shall mean the Eligible Director’s executor or administrator if no other Beneficiary is identified and able to act under the circumstances.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19"/>
          <w:szCs w:val="19"/>
          <w:b w:val="1"/>
          <w:bCs w:val="1"/>
          <w:u w:val="single" w:color="auto"/>
          <w:color w:val="auto"/>
        </w:rPr>
        <w:t>Benefits Not Assignable; Obligations Binding Upon Successors</w:t>
      </w:r>
      <w:r>
        <w:rPr>
          <w:rFonts w:ascii="Arial" w:cs="Arial" w:eastAsia="Arial" w:hAnsi="Arial"/>
          <w:sz w:val="19"/>
          <w:szCs w:val="19"/>
          <w:color w:val="auto"/>
        </w:rPr>
        <w:t>. Benefits of an Eligible Director under this Plan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assignable or transferable and any purported transfer, assignment, pledge or other encumbrance or attachment of any payments or benefits under this Plan, or any interest therein, other than by operation of law or pursuant to Section 8.2, shall not be permitted or recognized. Obligations of the Company under this Plan shall be binding upon successors of the Company.</w:t>
      </w:r>
    </w:p>
    <w:p>
      <w:pPr>
        <w:spacing w:after="0" w:line="140" w:lineRule="exact"/>
        <w:rPr>
          <w:sz w:val="20"/>
          <w:szCs w:val="20"/>
          <w:color w:val="auto"/>
        </w:rPr>
      </w:pPr>
    </w:p>
    <w:p>
      <w:pPr>
        <w:spacing w:after="0" w:line="225" w:lineRule="auto"/>
        <w:rPr>
          <w:sz w:val="20"/>
          <w:szCs w:val="20"/>
          <w:color w:val="auto"/>
        </w:rPr>
      </w:pPr>
      <w:r>
        <w:rPr>
          <w:rFonts w:ascii="Arial" w:cs="Arial" w:eastAsia="Arial" w:hAnsi="Arial"/>
          <w:sz w:val="21"/>
          <w:szCs w:val="21"/>
          <w:b w:val="1"/>
          <w:bCs w:val="1"/>
          <w:color w:val="auto"/>
        </w:rPr>
        <w:t xml:space="preserve">8.4 </w:t>
      </w:r>
      <w:r>
        <w:rPr>
          <w:rFonts w:ascii="Arial" w:cs="Arial" w:eastAsia="Arial" w:hAnsi="Arial"/>
          <w:sz w:val="21"/>
          <w:szCs w:val="21"/>
          <w:b w:val="1"/>
          <w:bCs w:val="1"/>
          <w:u w:val="single" w:color="auto"/>
          <w:color w:val="auto"/>
        </w:rPr>
        <w:t>Governing Law; 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validity of this Plan or any of its provisions shall be construed, administered and</w:t>
      </w:r>
      <w:r>
        <w:rPr>
          <w:rFonts w:ascii="Arial" w:cs="Arial" w:eastAsia="Arial" w:hAnsi="Arial"/>
          <w:sz w:val="21"/>
          <w:szCs w:val="21"/>
          <w:b w:val="1"/>
          <w:bCs w:val="1"/>
          <w:color w:val="auto"/>
        </w:rPr>
        <w:t xml:space="preserve"> </w:t>
      </w:r>
      <w:r>
        <w:rPr>
          <w:rFonts w:ascii="Arial" w:cs="Arial" w:eastAsia="Arial" w:hAnsi="Arial"/>
          <w:sz w:val="21"/>
          <w:szCs w:val="21"/>
          <w:color w:val="auto"/>
        </w:rPr>
        <w:t>governed in all respects under and by the laws of the state of incorporation of the Company. If any provisions of this instrument shall be held by a court of competent jurisdiction to be invalid or unenforceable, the remaining provisions hereof shall continue to be fully effective.</w:t>
      </w:r>
    </w:p>
    <w:p>
      <w:pPr>
        <w:spacing w:after="0" w:line="148" w:lineRule="exact"/>
        <w:rPr>
          <w:sz w:val="20"/>
          <w:szCs w:val="20"/>
          <w:color w:val="auto"/>
        </w:rPr>
      </w:pPr>
    </w:p>
    <w:p>
      <w:pPr>
        <w:ind w:right="200"/>
        <w:spacing w:after="0" w:line="230" w:lineRule="auto"/>
        <w:rPr>
          <w:sz w:val="20"/>
          <w:szCs w:val="20"/>
          <w:color w:val="auto"/>
        </w:rPr>
      </w:pPr>
      <w:r>
        <w:rPr>
          <w:rFonts w:ascii="Arial" w:cs="Arial" w:eastAsia="Arial" w:hAnsi="Arial"/>
          <w:sz w:val="21"/>
          <w:szCs w:val="21"/>
          <w:b w:val="1"/>
          <w:bCs w:val="1"/>
          <w:color w:val="auto"/>
        </w:rPr>
        <w:t xml:space="preserve">8.5 </w:t>
      </w:r>
      <w:r>
        <w:rPr>
          <w:rFonts w:ascii="Arial" w:cs="Arial" w:eastAsia="Arial" w:hAnsi="Arial"/>
          <w:sz w:val="21"/>
          <w:szCs w:val="21"/>
          <w:b w:val="1"/>
          <w:bCs w:val="1"/>
          <w:u w:val="single" w:color="auto"/>
          <w:color w:val="auto"/>
        </w:rPr>
        <w:t>Compliance With Laws</w:t>
      </w:r>
      <w:r>
        <w:rPr>
          <w:rFonts w:ascii="Arial" w:cs="Arial" w:eastAsia="Arial" w:hAnsi="Arial"/>
          <w:sz w:val="21"/>
          <w:szCs w:val="21"/>
          <w:color w:val="auto"/>
        </w:rPr>
        <w:t>. This Plan and the offer, issuance and delivery of shares of Common Stock and/or the payment of</w:t>
      </w:r>
      <w:r>
        <w:rPr>
          <w:rFonts w:ascii="Arial" w:cs="Arial" w:eastAsia="Arial" w:hAnsi="Arial"/>
          <w:sz w:val="21"/>
          <w:szCs w:val="21"/>
          <w:b w:val="1"/>
          <w:bCs w:val="1"/>
          <w:color w:val="auto"/>
        </w:rPr>
        <w:t xml:space="preserve"> </w:t>
      </w:r>
      <w:r>
        <w:rPr>
          <w:rFonts w:ascii="Arial" w:cs="Arial" w:eastAsia="Arial" w:hAnsi="Arial"/>
          <w:sz w:val="21"/>
          <w:szCs w:val="21"/>
          <w:color w:val="auto"/>
        </w:rPr>
        <w:t>money through the deferral of compensation under this Plan are subject to compliance with all applicable federal and state laws,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20"/>
          </w:cols>
          <w:pgMar w:left="320" w:top="1357" w:right="359" w:bottom="1440" w:gutter="0" w:footer="0" w:header="0"/>
        </w:sectPr>
      </w:pPr>
    </w:p>
    <w:bookmarkStart w:id="140" w:name="page141"/>
    <w:bookmarkEnd w:id="140"/>
    <w:p>
      <w:pPr>
        <w:spacing w:after="0" w:line="231" w:lineRule="auto"/>
        <w:rPr>
          <w:sz w:val="20"/>
          <w:szCs w:val="20"/>
          <w:color w:val="auto"/>
        </w:rPr>
      </w:pPr>
      <w:r>
        <w:rPr>
          <w:rFonts w:ascii="Arial" w:cs="Arial" w:eastAsia="Arial" w:hAnsi="Arial"/>
          <w:sz w:val="20"/>
          <w:szCs w:val="20"/>
          <w:color w:val="auto"/>
        </w:rPr>
        <w:t>and regulations (including but not limited to state and federal securities law) and to such approvals by any listing, agency or any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w:t>
      </w:r>
    </w:p>
    <w:p>
      <w:pPr>
        <w:spacing w:after="0" w:line="152" w:lineRule="exact"/>
        <w:rPr>
          <w:sz w:val="20"/>
          <w:szCs w:val="20"/>
          <w:color w:val="auto"/>
        </w:rPr>
      </w:pPr>
    </w:p>
    <w:p>
      <w:pPr>
        <w:ind w:right="480"/>
        <w:spacing w:after="0" w:line="241" w:lineRule="auto"/>
        <w:rPr>
          <w:sz w:val="20"/>
          <w:szCs w:val="20"/>
          <w:color w:val="auto"/>
        </w:rPr>
      </w:pPr>
      <w:r>
        <w:rPr>
          <w:rFonts w:ascii="Arial" w:cs="Arial" w:eastAsia="Arial" w:hAnsi="Arial"/>
          <w:sz w:val="21"/>
          <w:szCs w:val="21"/>
          <w:b w:val="1"/>
          <w:bCs w:val="1"/>
          <w:color w:val="auto"/>
        </w:rPr>
        <w:t xml:space="preserve">8.6 </w:t>
      </w:r>
      <w:r>
        <w:rPr>
          <w:rFonts w:ascii="Arial" w:cs="Arial" w:eastAsia="Arial" w:hAnsi="Arial"/>
          <w:sz w:val="21"/>
          <w:szCs w:val="21"/>
          <w:b w:val="1"/>
          <w:bCs w:val="1"/>
          <w:u w:val="single" w:color="auto"/>
          <w:color w:val="auto"/>
        </w:rPr>
        <w:t>Headings Not Part of Plan</w:t>
      </w:r>
      <w:r>
        <w:rPr>
          <w:rFonts w:ascii="Arial" w:cs="Arial" w:eastAsia="Arial" w:hAnsi="Arial"/>
          <w:sz w:val="21"/>
          <w:szCs w:val="21"/>
          <w:color w:val="auto"/>
        </w:rPr>
        <w:t>. Headings and subheadings in this Plan are inserted for reference only and are not to be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considered in the construction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0880"/>
          </w:cols>
          <w:pgMar w:left="320" w:top="1370" w:right="69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1"/>
          <w:szCs w:val="21"/>
          <w:b w:val="1"/>
          <w:bCs w:val="1"/>
          <w:color w:val="auto"/>
        </w:rPr>
        <w:t>APPENDIX A</w:t>
      </w:r>
    </w:p>
    <w:p>
      <w:pPr>
        <w:spacing w:after="0" w:line="186" w:lineRule="exact"/>
        <w:rPr>
          <w:sz w:val="20"/>
          <w:szCs w:val="20"/>
          <w:color w:val="auto"/>
        </w:rPr>
      </w:pPr>
    </w:p>
    <w:p>
      <w:pPr>
        <w:ind w:right="120" w:firstLine="207"/>
        <w:spacing w:after="0" w:line="228" w:lineRule="auto"/>
        <w:rPr>
          <w:sz w:val="20"/>
          <w:szCs w:val="20"/>
          <w:color w:val="auto"/>
        </w:rPr>
      </w:pPr>
      <w:r>
        <w:rPr>
          <w:rFonts w:ascii="Arial" w:cs="Arial" w:eastAsia="Arial" w:hAnsi="Arial"/>
          <w:sz w:val="21"/>
          <w:szCs w:val="21"/>
          <w:color w:val="auto"/>
        </w:rPr>
        <w:t>The provisions set forth in this Appendix A set forth the provisions of Section 5.5A of the Plan which apply to the distribution of amounts deferred prior to January 1, 2005 and credited to Prior Cash Accounts, Prior Dividend Equivalent Cash Accounts, Prior Dividend Equivalent Stock Accounts and Prior Stock Unit Accounts.</w:t>
      </w:r>
    </w:p>
    <w:p>
      <w:pPr>
        <w:spacing w:after="0" w:line="149"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21"/>
          <w:szCs w:val="21"/>
          <w:b w:val="1"/>
          <w:bCs w:val="1"/>
          <w:color w:val="auto"/>
        </w:rPr>
        <w:t>5.5A</w:t>
      </w:r>
      <w:r>
        <w:rPr>
          <w:sz w:val="20"/>
          <w:szCs w:val="20"/>
          <w:color w:val="auto"/>
        </w:rPr>
        <w:tab/>
      </w:r>
      <w:r>
        <w:rPr>
          <w:rFonts w:ascii="Arial" w:cs="Arial" w:eastAsia="Arial" w:hAnsi="Arial"/>
          <w:sz w:val="19"/>
          <w:szCs w:val="19"/>
          <w:b w:val="1"/>
          <w:bCs w:val="1"/>
          <w:u w:val="single" w:color="auto"/>
          <w:color w:val="auto"/>
        </w:rPr>
        <w:t>Distribution of Benefits</w:t>
      </w:r>
      <w:r>
        <w:rPr>
          <w:rFonts w:ascii="Arial" w:cs="Arial" w:eastAsia="Arial" w:hAnsi="Arial"/>
          <w:sz w:val="19"/>
          <w:szCs w:val="19"/>
          <w:color w:val="auto"/>
        </w:rPr>
        <w:t>.</w:t>
      </w:r>
    </w:p>
    <w:p>
      <w:pPr>
        <w:spacing w:after="0" w:line="180" w:lineRule="exact"/>
        <w:rPr>
          <w:sz w:val="20"/>
          <w:szCs w:val="20"/>
          <w:color w:val="auto"/>
        </w:rPr>
      </w:pPr>
    </w:p>
    <w:p>
      <w:pPr>
        <w:ind w:firstLine="1270"/>
        <w:spacing w:after="0" w:line="224" w:lineRule="auto"/>
        <w:tabs>
          <w:tab w:leader="none" w:pos="1721"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Time and Manner of Distribution</w:t>
      </w:r>
      <w:r>
        <w:rPr>
          <w:rFonts w:ascii="Arial" w:cs="Arial" w:eastAsia="Arial" w:hAnsi="Arial"/>
          <w:sz w:val="20"/>
          <w:szCs w:val="20"/>
          <w:color w:val="auto"/>
        </w:rPr>
        <w:t>. Each Eligible Director shall be entitled to receive a distribution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vested portion of his or her Accounts upon his or her termination from service on the Board of Directors or at such time as may be elected by the Eligible Director at the time of an election under Article IV and set forth in writing on forms provided by the Company. The benefits payable under this Plan shall be distributed to the Eligible Director (or, in the event of his or her death, the Eligible Director’s Beneficiary) in a lump sum or, if elected by the Eligible Director in writing on forms provided by the Company at least 12 months in advance of the date benefits become distributable under subsection (a), in annual installments for up to 10 years. An Eligible Director shall be permitted to make a different election with respect to each annual deferral period as to the time and manner in which his or her benefits shall be distributed. For each Eligible Director who makes one or more distribution elections pursuant to this Section 5.5A(a), each of his or her Accounts shall be divided into two or more Distribution Subaccounts as necessary to separately account for deferrals which are payable at different times and/or in different manners. For purposes of calculating installments, the Eligible Director’s vested Accounts (and Distribution Subaccounts if applicable) will be valued as of December 31 of each year, and divided by the number of remaining installments to determine the amount of the installment to be paid in the following year. Subsequent installments will be adjusted accordingly for the next calendar year, according to procedures established by the Committee. Such installment payments shall commence as of the date benefits become distributable under this Section 5.5A(a).</w:t>
      </w:r>
    </w:p>
    <w:p>
      <w:pPr>
        <w:spacing w:after="0" w:line="152" w:lineRule="exact"/>
        <w:rPr>
          <w:rFonts w:ascii="Arial" w:cs="Arial" w:eastAsia="Arial" w:hAnsi="Arial"/>
          <w:sz w:val="20"/>
          <w:szCs w:val="20"/>
          <w:b w:val="1"/>
          <w:bCs w:val="1"/>
          <w:color w:val="auto"/>
        </w:rPr>
      </w:pPr>
    </w:p>
    <w:p>
      <w:pPr>
        <w:ind w:left="1740" w:hanging="470"/>
        <w:spacing w:after="0"/>
        <w:tabs>
          <w:tab w:leader="none" w:pos="174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Change in Time or Manner of Distribution</w:t>
      </w:r>
      <w:r>
        <w:rPr>
          <w:rFonts w:ascii="Arial" w:cs="Arial" w:eastAsia="Arial" w:hAnsi="Arial"/>
          <w:sz w:val="21"/>
          <w:szCs w:val="21"/>
          <w:color w:val="auto"/>
        </w:rPr>
        <w:t>. Notwithstanding subsection (a):</w:t>
      </w:r>
    </w:p>
    <w:p>
      <w:pPr>
        <w:spacing w:after="0" w:line="186" w:lineRule="exact"/>
        <w:rPr>
          <w:rFonts w:ascii="Arial" w:cs="Arial" w:eastAsia="Arial" w:hAnsi="Arial"/>
          <w:sz w:val="21"/>
          <w:szCs w:val="21"/>
          <w:b w:val="1"/>
          <w:bCs w:val="1"/>
          <w:color w:val="auto"/>
        </w:rPr>
      </w:pPr>
    </w:p>
    <w:p>
      <w:pPr>
        <w:ind w:left="1280" w:firstLine="622"/>
        <w:spacing w:after="0" w:line="239" w:lineRule="auto"/>
        <w:tabs>
          <w:tab w:leader="none" w:pos="2357"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 Eligible Director may elect to further defer the commencement of any distribution to be made with respect to benefits payable under this Plan by filing a new written election with the Committee on a form approved by the Committee; provided, however, that (A) no such new election shall be effective until 12 months after such election is filed with the Committee, (B) no such new election shall be effective with respect to any Account(s) after the distribution of benefits with respect to such Account(s) shall have commenced, and (C) no more than three new elections with respect to each annual deferral period shall be valid as to any Eligible Director. An election made pursuant to this Section 5.5A(b)(1) shall not affect the manner of distribution (i.e., lump sum versus installments), the terms of which shall be subject to Section 5.5A(a) above or Section 5.5A(b)(2) below.</w:t>
      </w:r>
    </w:p>
    <w:p>
      <w:pPr>
        <w:spacing w:after="0" w:line="156" w:lineRule="exact"/>
        <w:rPr>
          <w:rFonts w:ascii="Arial" w:cs="Arial" w:eastAsia="Arial" w:hAnsi="Arial"/>
          <w:sz w:val="19"/>
          <w:szCs w:val="19"/>
          <w:color w:val="auto"/>
        </w:rPr>
      </w:pPr>
    </w:p>
    <w:p>
      <w:pPr>
        <w:ind w:left="1280" w:right="80" w:firstLine="622"/>
        <w:spacing w:after="0" w:line="223" w:lineRule="auto"/>
        <w:tabs>
          <w:tab w:leader="none" w:pos="2357" w:val="left"/>
        </w:tabs>
        <w:numPr>
          <w:ilvl w:val="1"/>
          <w:numId w:val="90"/>
        </w:numPr>
        <w:rPr>
          <w:rFonts w:ascii="Arial" w:cs="Arial" w:eastAsia="Arial" w:hAnsi="Arial"/>
          <w:sz w:val="21"/>
          <w:szCs w:val="21"/>
          <w:color w:val="auto"/>
        </w:rPr>
      </w:pPr>
      <w:r>
        <w:rPr>
          <w:rFonts w:ascii="Arial" w:cs="Arial" w:eastAsia="Arial" w:hAnsi="Arial"/>
          <w:sz w:val="21"/>
          <w:szCs w:val="21"/>
          <w:color w:val="auto"/>
        </w:rPr>
        <w:t>An Eligible Director may change the manner of any distribution election from a lump sum to annual installments (or vice versa) made with respect to amounts credited under his or her Accounts by filing a written election with the Committee on a form provided by the Committee; provided, however, that no such election shall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1220"/>
          </w:cols>
          <w:pgMar w:left="320" w:top="1364" w:right="359" w:bottom="1440" w:gutter="0" w:footer="0" w:header="0"/>
        </w:sectPr>
      </w:pPr>
    </w:p>
    <w:bookmarkStart w:id="142" w:name="page143"/>
    <w:bookmarkEnd w:id="142"/>
    <w:p>
      <w:pPr>
        <w:ind w:left="1280" w:right="60"/>
        <w:spacing w:after="0" w:line="258" w:lineRule="auto"/>
        <w:rPr>
          <w:sz w:val="20"/>
          <w:szCs w:val="20"/>
          <w:color w:val="auto"/>
        </w:rPr>
      </w:pPr>
      <w:r>
        <w:rPr>
          <w:rFonts w:ascii="Arial" w:cs="Arial" w:eastAsia="Arial" w:hAnsi="Arial"/>
          <w:sz w:val="19"/>
          <w:szCs w:val="19"/>
          <w:color w:val="auto"/>
        </w:rPr>
        <w:t>until 12 months after such election is filed with the Committee, and no such election shall be effective if it is made with respect to any Account(s) after the distribution of benefits with respect to such Account(s) have commenced. An election made pursuant to this Section 5.5A(b)(2) shall not affect the date of the commencement of benefits.</w:t>
      </w:r>
    </w:p>
    <w:p>
      <w:pPr>
        <w:spacing w:after="0" w:line="138" w:lineRule="exact"/>
        <w:rPr>
          <w:sz w:val="20"/>
          <w:szCs w:val="20"/>
          <w:color w:val="auto"/>
        </w:rPr>
      </w:pPr>
    </w:p>
    <w:p>
      <w:pPr>
        <w:ind w:left="1280" w:firstLine="622"/>
        <w:spacing w:after="0" w:line="215" w:lineRule="auto"/>
        <w:tabs>
          <w:tab w:leader="none" w:pos="2369" w:val="left"/>
        </w:tabs>
        <w:numPr>
          <w:ilvl w:val="1"/>
          <w:numId w:val="91"/>
        </w:numPr>
        <w:rPr>
          <w:rFonts w:ascii="Arial" w:cs="Arial" w:eastAsia="Arial" w:hAnsi="Arial"/>
          <w:sz w:val="21"/>
          <w:szCs w:val="21"/>
          <w:color w:val="auto"/>
        </w:rPr>
      </w:pPr>
      <w:r>
        <w:rPr>
          <w:rFonts w:ascii="Arial" w:cs="Arial" w:eastAsia="Arial" w:hAnsi="Arial"/>
          <w:sz w:val="21"/>
          <w:szCs w:val="21"/>
          <w:color w:val="auto"/>
        </w:rPr>
        <w:t>On or before September 30, 2000, an Eligible Director may make a one-time, irrevocable election (subject to other express provisions of this Plan), on forms provided for this purpose, to receive a distribution of his or her accumulated balances under this Plan as of September 30, 2000 on: (A) a date elected by the Eligible Director, but in no event before 2003, or (B) the earlier of a date elected by the Eligible Director, but in no event before 2003, or the date of his or her termination of service from the Board of Directors. The benefits payable under such an election shall be distributed to the Eligible Director (or in the event of his or her death, the Eligible Director’s Beneficiary) in a lump sum or, if elected by the Eligible Director in writing on forms provided by the Company at least 12 months in advance of the date benefits become distributable under Section 5.5A(a) above, in annual installments for up to 10 years, as so elected.</w:t>
      </w:r>
    </w:p>
    <w:p>
      <w:pPr>
        <w:spacing w:after="0" w:line="154" w:lineRule="exact"/>
        <w:rPr>
          <w:rFonts w:ascii="Arial" w:cs="Arial" w:eastAsia="Arial" w:hAnsi="Arial"/>
          <w:sz w:val="21"/>
          <w:szCs w:val="21"/>
          <w:color w:val="auto"/>
        </w:rPr>
      </w:pPr>
    </w:p>
    <w:p>
      <w:pPr>
        <w:ind w:right="80" w:firstLine="1270"/>
        <w:spacing w:after="0" w:line="230" w:lineRule="auto"/>
        <w:tabs>
          <w:tab w:leader="none" w:pos="1709"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Change in Control Event</w:t>
      </w:r>
      <w:r>
        <w:rPr>
          <w:rFonts w:ascii="Arial" w:cs="Arial" w:eastAsia="Arial" w:hAnsi="Arial"/>
          <w:sz w:val="21"/>
          <w:szCs w:val="21"/>
          <w:color w:val="auto"/>
        </w:rPr>
        <w:t>. Notwithstanding subsections (a) and (b), if a Change in Control Event and</w:t>
      </w:r>
      <w:r>
        <w:rPr>
          <w:rFonts w:ascii="Arial" w:cs="Arial" w:eastAsia="Arial" w:hAnsi="Arial"/>
          <w:sz w:val="21"/>
          <w:szCs w:val="21"/>
          <w:b w:val="1"/>
          <w:bCs w:val="1"/>
          <w:color w:val="auto"/>
        </w:rPr>
        <w:t xml:space="preserve"> </w:t>
      </w:r>
      <w:r>
        <w:rPr>
          <w:rFonts w:ascii="Arial" w:cs="Arial" w:eastAsia="Arial" w:hAnsi="Arial"/>
          <w:sz w:val="21"/>
          <w:szCs w:val="21"/>
          <w:color w:val="auto"/>
        </w:rPr>
        <w:t>a termination of service occurs, the vested portions of an Eligible Director’s Accounts shall be distributed immediately in a lump sum.</w:t>
      </w:r>
    </w:p>
    <w:p>
      <w:pPr>
        <w:spacing w:after="0" w:line="148" w:lineRule="exact"/>
        <w:rPr>
          <w:rFonts w:ascii="Arial" w:cs="Arial" w:eastAsia="Arial" w:hAnsi="Arial"/>
          <w:sz w:val="21"/>
          <w:szCs w:val="21"/>
          <w:b w:val="1"/>
          <w:bCs w:val="1"/>
          <w:color w:val="auto"/>
        </w:rPr>
      </w:pPr>
    </w:p>
    <w:p>
      <w:pPr>
        <w:ind w:right="60" w:firstLine="1270"/>
        <w:spacing w:after="0" w:line="225" w:lineRule="auto"/>
        <w:tabs>
          <w:tab w:leader="none" w:pos="1733"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Early Distributions</w:t>
      </w:r>
      <w:r>
        <w:rPr>
          <w:rFonts w:ascii="Arial" w:cs="Arial" w:eastAsia="Arial" w:hAnsi="Arial"/>
          <w:sz w:val="21"/>
          <w:szCs w:val="21"/>
          <w:color w:val="auto"/>
        </w:rPr>
        <w:t>. Each Eligible Director (which for purposes of this Section 5.5A(d) includes former</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Directors) shall be permitted to elect to withdraw not less than 50% of the vested portion of his or her Accounts, reduced by the withdrawal penalty described below, prior to the applicable payment date(s) or payment commencement date(s) (“Early Distributions”), subject to the following restrictions:</w:t>
      </w:r>
    </w:p>
    <w:p>
      <w:pPr>
        <w:spacing w:after="0" w:line="154" w:lineRule="exact"/>
        <w:rPr>
          <w:rFonts w:ascii="Arial" w:cs="Arial" w:eastAsia="Arial" w:hAnsi="Arial"/>
          <w:sz w:val="21"/>
          <w:szCs w:val="21"/>
          <w:b w:val="1"/>
          <w:bCs w:val="1"/>
          <w:color w:val="auto"/>
        </w:rPr>
      </w:pPr>
    </w:p>
    <w:p>
      <w:pPr>
        <w:ind w:left="1280" w:right="140" w:firstLine="622"/>
        <w:spacing w:after="0" w:line="237" w:lineRule="auto"/>
        <w:tabs>
          <w:tab w:leader="none" w:pos="2365"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election to take an Early Distribution shall be made in writing on a form provided by and filed with the Committee;</w:t>
      </w:r>
    </w:p>
    <w:p>
      <w:pPr>
        <w:spacing w:after="0" w:line="155" w:lineRule="exact"/>
        <w:rPr>
          <w:rFonts w:ascii="Arial" w:cs="Arial" w:eastAsia="Arial" w:hAnsi="Arial"/>
          <w:sz w:val="21"/>
          <w:szCs w:val="21"/>
          <w:color w:val="auto"/>
        </w:rPr>
      </w:pPr>
    </w:p>
    <w:p>
      <w:pPr>
        <w:ind w:left="1280" w:right="140" w:firstLine="622"/>
        <w:spacing w:after="0" w:line="237" w:lineRule="auto"/>
        <w:tabs>
          <w:tab w:leader="none" w:pos="2365"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amount of the Early Distribution shall equal 90% of the amount the Eligible Director has elected to withdraw; and</w:t>
      </w:r>
    </w:p>
    <w:p>
      <w:pPr>
        <w:spacing w:after="0" w:line="155" w:lineRule="exact"/>
        <w:rPr>
          <w:rFonts w:ascii="Arial" w:cs="Arial" w:eastAsia="Arial" w:hAnsi="Arial"/>
          <w:sz w:val="21"/>
          <w:szCs w:val="21"/>
          <w:color w:val="auto"/>
        </w:rPr>
      </w:pPr>
    </w:p>
    <w:p>
      <w:pPr>
        <w:ind w:left="1280" w:right="340" w:firstLine="622"/>
        <w:spacing w:after="0" w:line="228" w:lineRule="auto"/>
        <w:tabs>
          <w:tab w:leader="none" w:pos="2365"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remaining 10% of the amount the Eligible Director has elected to withdraw shall be permanently forfeited, and the Eligible Director or his or her Beneficiary shall have no rights with respect to such forfeited amounts.</w:t>
      </w:r>
    </w:p>
    <w:p>
      <w:pPr>
        <w:spacing w:after="0" w:line="155" w:lineRule="exact"/>
        <w:rPr>
          <w:sz w:val="20"/>
          <w:szCs w:val="20"/>
          <w:color w:val="auto"/>
        </w:rPr>
      </w:pPr>
    </w:p>
    <w:p>
      <w:pPr>
        <w:jc w:val="both"/>
        <w:ind w:right="40" w:firstLine="1265"/>
        <w:spacing w:after="0" w:line="228" w:lineRule="auto"/>
        <w:rPr>
          <w:sz w:val="20"/>
          <w:szCs w:val="20"/>
          <w:color w:val="auto"/>
        </w:rPr>
      </w:pPr>
      <w:r>
        <w:rPr>
          <w:rFonts w:ascii="Arial" w:cs="Arial" w:eastAsia="Arial" w:hAnsi="Arial"/>
          <w:sz w:val="21"/>
          <w:szCs w:val="21"/>
          <w:color w:val="auto"/>
        </w:rPr>
        <w:t>Notwithstanding the foregoing, the Eligible Director’s Accounts will continue to vest in accordance with Section 5.4 and the Dividend Equivalent Stock Account and/or Dividend Equivalent Cash Account of such Eligible Director shall continue to be credited with Dividend Equivalents in accordance with Section 5.3.</w:t>
      </w:r>
    </w:p>
    <w:p>
      <w:pPr>
        <w:spacing w:after="0" w:line="149" w:lineRule="exact"/>
        <w:rPr>
          <w:sz w:val="20"/>
          <w:szCs w:val="20"/>
          <w:color w:val="auto"/>
        </w:rPr>
      </w:pPr>
    </w:p>
    <w:p>
      <w:pPr>
        <w:ind w:right="20" w:firstLine="1270"/>
        <w:spacing w:after="0" w:line="251" w:lineRule="auto"/>
        <w:tabs>
          <w:tab w:leader="none" w:pos="1709"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Distribution for Unforeseeable Emergencies</w:t>
      </w:r>
      <w:r>
        <w:rPr>
          <w:rFonts w:ascii="Arial" w:cs="Arial" w:eastAsia="Arial" w:hAnsi="Arial"/>
          <w:sz w:val="19"/>
          <w:szCs w:val="19"/>
          <w:color w:val="auto"/>
        </w:rPr>
        <w:t>. An Eligible Director (which for purposes of this Section 5.5A(e)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includes former Eligible Directors) may request a distribution for an Unforeseeable Emergency without penalty of an amount not greater than the value of the Eligible Director’s vested benefit under this Plan. Such distribution for an Unforeseeable Emergency shall be subject to approval by the Committee in its sole discretion and may be made only to the extent necessary to satisfy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A-2</w:t>
      </w:r>
    </w:p>
    <w:p>
      <w:pPr>
        <w:sectPr>
          <w:pgSz w:w="11900" w:h="16838" w:orient="portrait"/>
          <w:cols w:equalWidth="0" w:num="1">
            <w:col w:w="11240"/>
          </w:cols>
          <w:pgMar w:left="320" w:top="1370" w:right="339" w:bottom="1440" w:gutter="0" w:footer="0" w:header="0"/>
        </w:sectPr>
      </w:pPr>
    </w:p>
    <w:bookmarkStart w:id="143" w:name="page144"/>
    <w:bookmarkEnd w:id="143"/>
    <w:p>
      <w:pPr>
        <w:jc w:val="both"/>
        <w:ind w:right="100"/>
        <w:spacing w:after="0" w:line="238" w:lineRule="auto"/>
        <w:rPr>
          <w:sz w:val="20"/>
          <w:szCs w:val="20"/>
          <w:color w:val="auto"/>
        </w:rPr>
      </w:pPr>
      <w:r>
        <w:rPr>
          <w:rFonts w:ascii="Arial" w:cs="Arial" w:eastAsia="Arial" w:hAnsi="Arial"/>
          <w:sz w:val="19"/>
          <w:szCs w:val="19"/>
          <w:color w:val="auto"/>
        </w:rPr>
        <w:t>the hardship and only from vested amounts credited to his or her Accounts. The Committee may treat a distribution as necessary for an Unforeseeable Emergency if it relies on the Eligible Director’s written representation, without actual knowledge to the contrary, that the hardship cannot reasonably be relieved (1) through timely reimbursement or compensation by insurance or otherwise or</w:t>
      </w:r>
    </w:p>
    <w:p>
      <w:pPr>
        <w:ind w:right="120" w:firstLine="5"/>
        <w:spacing w:after="0" w:line="215" w:lineRule="auto"/>
        <w:tabs>
          <w:tab w:leader="none" w:pos="298" w:val="left"/>
        </w:tabs>
        <w:numPr>
          <w:ilvl w:val="0"/>
          <w:numId w:val="94"/>
        </w:numPr>
        <w:rPr>
          <w:rFonts w:ascii="Arial" w:cs="Arial" w:eastAsia="Arial" w:hAnsi="Arial"/>
          <w:sz w:val="21"/>
          <w:szCs w:val="21"/>
          <w:color w:val="auto"/>
        </w:rPr>
      </w:pPr>
      <w:r>
        <w:rPr>
          <w:rFonts w:ascii="Arial" w:cs="Arial" w:eastAsia="Arial" w:hAnsi="Arial"/>
          <w:sz w:val="21"/>
          <w:szCs w:val="21"/>
          <w:color w:val="auto"/>
        </w:rPr>
        <w:t>by liquidation of the Eligible Director’s assets, to the extent the liquidation of such assets would not itself cause severe financial hardship. Amounts distributed pursuant to this Section 5.5A(e) shall be distributed first from an Eligible Director’s Cash and Dividend Equivalent Cash Accounts, and, to the extent the balance of the Participant’s Cash and Dividend Equivalent Cash Accounts is not sufficient to satisfy the severe financial hardship, next as a distribution of shares of the Company’s Common Stock with a Fair Market Value equal to such deficiency from the vested portion of such Eligible Director’s Stock Unit and Dividend Equivalent Stock Accounts.</w:t>
      </w:r>
    </w:p>
    <w:p>
      <w:pPr>
        <w:spacing w:after="0" w:line="153" w:lineRule="exact"/>
        <w:rPr>
          <w:rFonts w:ascii="Arial" w:cs="Arial" w:eastAsia="Arial" w:hAnsi="Arial"/>
          <w:sz w:val="21"/>
          <w:szCs w:val="21"/>
          <w:color w:val="auto"/>
        </w:rPr>
      </w:pPr>
    </w:p>
    <w:p>
      <w:pPr>
        <w:ind w:right="60" w:firstLine="1270"/>
        <w:spacing w:after="0" w:line="225" w:lineRule="auto"/>
        <w:tabs>
          <w:tab w:leader="none" w:pos="1686" w:val="left"/>
        </w:tabs>
        <w:numPr>
          <w:ilvl w:val="1"/>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Form of Distribution</w:t>
      </w:r>
      <w:r>
        <w:rPr>
          <w:rFonts w:ascii="Arial" w:cs="Arial" w:eastAsia="Arial" w:hAnsi="Arial"/>
          <w:sz w:val="21"/>
          <w:szCs w:val="21"/>
          <w:color w:val="auto"/>
        </w:rPr>
        <w:t>. Stock Units credited to an Eligible Director’s Stock Unit Account and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Equivalent Stock Account shall be distributed in an equivalent whole number of shares of the Company’s Common Stock. Fractions shall be disregarded. Amounts credited to an Eligible Director’s Cash Account and vested in the Eligible Director’s Dividend Equivalent Cash Account shall be distributed in cash.</w:t>
      </w:r>
    </w:p>
    <w:p>
      <w:pPr>
        <w:spacing w:after="0" w:line="148" w:lineRule="exact"/>
        <w:rPr>
          <w:rFonts w:ascii="Arial" w:cs="Arial" w:eastAsia="Arial" w:hAnsi="Arial"/>
          <w:sz w:val="21"/>
          <w:szCs w:val="21"/>
          <w:b w:val="1"/>
          <w:bCs w:val="1"/>
          <w:color w:val="auto"/>
        </w:rPr>
      </w:pPr>
    </w:p>
    <w:p>
      <w:pPr>
        <w:ind w:firstLine="1270"/>
        <w:spacing w:after="0" w:line="236" w:lineRule="auto"/>
        <w:tabs>
          <w:tab w:leader="none" w:pos="1721" w:val="left"/>
        </w:tabs>
        <w:numPr>
          <w:ilvl w:val="1"/>
          <w:numId w:val="9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Small Benefit Exception</w:t>
      </w:r>
      <w:r>
        <w:rPr>
          <w:rFonts w:ascii="Arial" w:cs="Arial" w:eastAsia="Arial" w:hAnsi="Arial"/>
          <w:sz w:val="20"/>
          <w:szCs w:val="20"/>
          <w:color w:val="auto"/>
        </w:rPr>
        <w:t>. Notwithstanding any other provision of this Plan to the contrary, if at the time of any</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distribution the vested balance remaining in an Eligible Director’s Prior Cash Account or Prior Dividend Equivalent Cash Account is less than $2,000 or, if the number of vested Units credited to the Eligible Director’s Prior Stock Unit Account or Prior Dividend Equivalent Stock Account is less than 100, then such remaining vested balances shall be distributed in a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A-3</w:t>
      </w:r>
    </w:p>
    <w:p>
      <w:pPr>
        <w:sectPr>
          <w:pgSz w:w="11900" w:h="16838" w:orient="portrait"/>
          <w:cols w:equalWidth="0" w:num="1">
            <w:col w:w="11220"/>
          </w:cols>
          <w:pgMar w:left="320" w:top="1370" w:right="3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9"/>
          <w:szCs w:val="19"/>
          <w:b w:val="1"/>
          <w:bCs w:val="1"/>
          <w:color w:val="auto"/>
        </w:rPr>
        <w:t>Exhibit 21.1</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LIST OF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801-GALLERY ASSOCIATES, L.P., a Pennsylvania 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801-GALLERY C-3 ASSOCIATES, L.P., a Delaware limited partnership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801-GALLERY GP, LLC, a Pennsylvania limited liability company</w:t>
      </w:r>
    </w:p>
    <w:p>
      <w:pPr>
        <w:spacing w:after="0" w:line="124" w:lineRule="exact"/>
        <w:rPr>
          <w:sz w:val="20"/>
          <w:szCs w:val="20"/>
          <w:color w:val="auto"/>
        </w:rPr>
      </w:pPr>
    </w:p>
    <w:p>
      <w:pPr>
        <w:ind w:right="5460"/>
        <w:spacing w:after="0" w:line="369" w:lineRule="auto"/>
        <w:rPr>
          <w:sz w:val="20"/>
          <w:szCs w:val="20"/>
          <w:color w:val="auto"/>
        </w:rPr>
      </w:pPr>
      <w:r>
        <w:rPr>
          <w:rFonts w:ascii="Arial" w:cs="Arial" w:eastAsia="Arial" w:hAnsi="Arial"/>
          <w:sz w:val="19"/>
          <w:szCs w:val="19"/>
          <w:color w:val="auto"/>
        </w:rPr>
        <w:t>801 MARKET VENTURE GP LLC, a Delaware limited liability company AM TYSONS LLC, a Delaware limited liability company</w:t>
      </w:r>
    </w:p>
    <w:p>
      <w:pPr>
        <w:spacing w:after="0"/>
        <w:rPr>
          <w:sz w:val="20"/>
          <w:szCs w:val="20"/>
          <w:color w:val="auto"/>
        </w:rPr>
      </w:pPr>
      <w:r>
        <w:rPr>
          <w:rFonts w:ascii="Arial" w:cs="Arial" w:eastAsia="Arial" w:hAnsi="Arial"/>
          <w:sz w:val="19"/>
          <w:szCs w:val="19"/>
          <w:color w:val="auto"/>
        </w:rPr>
        <w:t>BILTMORE SHOPPING CENTER PARTNERS LLC, an Arizona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BROOKLYN KINGS PLAZA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CAM-CARSON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COOLIDGE HOLDING LLC, an Arizona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CORTE MADERA VILLAGE,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COUNTRY CLUB PLAZA KC PARTNERS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DANBURY MALL,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DESERT SKY MALL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EAST MESA MALL,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FASHION OUTLETS II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FASHION OUTLETS OF CHICAGO EXPANSION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FASHION OUTLETS OF CHICAGO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FIFTH WALL VENTURES, L.P., a Delaware limited partnership</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FIFTH WALL VENTURES II, L.P., a Cayman Islands limited partnership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FIFTH WALL VENTURES RETAIL FUND, L.P., a Delaware 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FOC ADJACENT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FREE RACE MALL REST., L.P., a New Jersey limited partnership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FREEHOLD CHANDLER HOLDINGS LP, a Delaware 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GOODYEAR PERIPHERAL LLC, an Arizona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GREEN ACRES ADJACENT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HPP-MAC WSP, LLC, a Delaware limited liability company</w:t>
      </w:r>
    </w:p>
    <w:p>
      <w:pPr>
        <w:spacing w:after="0" w:line="111" w:lineRule="exact"/>
        <w:rPr>
          <w:sz w:val="20"/>
          <w:szCs w:val="20"/>
          <w:color w:val="auto"/>
        </w:rPr>
      </w:pPr>
    </w:p>
    <w:p>
      <w:pPr>
        <w:ind w:right="4540"/>
        <w:spacing w:after="0" w:line="347" w:lineRule="auto"/>
        <w:rPr>
          <w:sz w:val="20"/>
          <w:szCs w:val="20"/>
          <w:color w:val="auto"/>
        </w:rPr>
      </w:pPr>
      <w:r>
        <w:rPr>
          <w:rFonts w:ascii="Arial" w:cs="Arial" w:eastAsia="Arial" w:hAnsi="Arial"/>
          <w:sz w:val="19"/>
          <w:szCs w:val="19"/>
          <w:color w:val="auto"/>
        </w:rPr>
        <w:t>KIERLAND COMMONS INVESTMENT LLC, a Delaware limited liability company KINGS PLAZA ENERGY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KINGS PLAZA GROUND LEASE LLC, a Delaware limited liability company</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MACERICH ARIZONA MANAGEMENT LLC, a Delaware limited liability company</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MACERICH ARIZONA PARTNERS LLC, an Arizona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BUENAVENTURA LIMITED PARTNERSHIP, a Delaware limited partnership</w:t>
      </w:r>
    </w:p>
    <w:p>
      <w:pPr>
        <w:sectPr>
          <w:pgSz w:w="11900" w:h="16838" w:orient="portrait"/>
          <w:cols w:equalWidth="0" w:num="1">
            <w:col w:w="11240"/>
          </w:cols>
          <w:pgMar w:left="320" w:top="1381" w:right="339" w:bottom="1440" w:gutter="0" w:footer="0" w:header="0"/>
        </w:sectPr>
      </w:pPr>
    </w:p>
    <w:bookmarkStart w:id="145" w:name="page146"/>
    <w:bookmarkEnd w:id="145"/>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MACERICH FARGO ASSOCIATES, a California general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DEPTFORD ADJACENT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FRESNO ADJACENT LP, a Delaware 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FRESNO LIMITED PARTNERSHIP, a California limited partnership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HHF BROADWAY PLAZA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HHF CENTERS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HOLDINGS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INLAND LP, a Delaware limited partnership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INVESTMENTS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JANSS MARKETPLACE HOLDINGS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LA CUMBRE 9.45 AC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LA CUMBRE GP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LA CUMBRE LP, a Delaware 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MANAGEMENT COMPANY, a California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NB FREEHOLD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NIAGARA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NORTH PARK MALL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OAKS LP, a Delaware limited partnership</w:t>
      </w:r>
    </w:p>
    <w:p>
      <w:pPr>
        <w:spacing w:after="0" w:line="111" w:lineRule="exact"/>
        <w:rPr>
          <w:sz w:val="20"/>
          <w:szCs w:val="20"/>
          <w:color w:val="auto"/>
        </w:rPr>
      </w:pPr>
    </w:p>
    <w:p>
      <w:pPr>
        <w:ind w:right="3339"/>
        <w:spacing w:after="0" w:line="369" w:lineRule="auto"/>
        <w:rPr>
          <w:sz w:val="20"/>
          <w:szCs w:val="20"/>
          <w:color w:val="auto"/>
        </w:rPr>
      </w:pPr>
      <w:r>
        <w:rPr>
          <w:rFonts w:ascii="Arial" w:cs="Arial" w:eastAsia="Arial" w:hAnsi="Arial"/>
          <w:sz w:val="19"/>
          <w:szCs w:val="19"/>
          <w:color w:val="auto"/>
        </w:rPr>
        <w:t>MACERICH PARTNERS OF COLORADO LLC, a Colorado limited liability company MACERICH PPR CORP., a Maryland corporation</w:t>
      </w:r>
    </w:p>
    <w:p>
      <w:pPr>
        <w:ind w:right="2239"/>
        <w:spacing w:after="0" w:line="369" w:lineRule="auto"/>
        <w:rPr>
          <w:sz w:val="20"/>
          <w:szCs w:val="20"/>
          <w:color w:val="auto"/>
        </w:rPr>
      </w:pPr>
      <w:r>
        <w:rPr>
          <w:rFonts w:ascii="Arial" w:cs="Arial" w:eastAsia="Arial" w:hAnsi="Arial"/>
          <w:sz w:val="19"/>
          <w:szCs w:val="19"/>
          <w:color w:val="auto"/>
        </w:rPr>
        <w:t>MACERICH PROPERTY MANAGEMENT COMPANY, LLC, a Delaware limited liability company MACERICH SMP LP, a Delaware limited partnership</w:t>
      </w:r>
    </w:p>
    <w:p>
      <w:pPr>
        <w:spacing w:after="0"/>
        <w:rPr>
          <w:sz w:val="20"/>
          <w:szCs w:val="20"/>
          <w:color w:val="auto"/>
        </w:rPr>
      </w:pPr>
      <w:r>
        <w:rPr>
          <w:rFonts w:ascii="Arial" w:cs="Arial" w:eastAsia="Arial" w:hAnsi="Arial"/>
          <w:sz w:val="19"/>
          <w:szCs w:val="19"/>
          <w:color w:val="auto"/>
        </w:rPr>
        <w:t>MACERICH SOUTH PARK MALL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SOUTHRIDGE MALL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MACERICH STONEWOOD,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STONEWOOD CORP., a Delaware corporation</w:t>
      </w:r>
    </w:p>
    <w:p>
      <w:pPr>
        <w:spacing w:after="0" w:line="111" w:lineRule="exact"/>
        <w:rPr>
          <w:sz w:val="20"/>
          <w:szCs w:val="20"/>
          <w:color w:val="auto"/>
        </w:rPr>
      </w:pPr>
    </w:p>
    <w:p>
      <w:pPr>
        <w:ind w:right="1959"/>
        <w:spacing w:after="0" w:line="369" w:lineRule="auto"/>
        <w:rPr>
          <w:sz w:val="20"/>
          <w:szCs w:val="20"/>
          <w:color w:val="auto"/>
        </w:rPr>
      </w:pPr>
      <w:r>
        <w:rPr>
          <w:rFonts w:ascii="Arial" w:cs="Arial" w:eastAsia="Arial" w:hAnsi="Arial"/>
          <w:sz w:val="19"/>
          <w:szCs w:val="19"/>
          <w:color w:val="auto"/>
        </w:rPr>
        <w:t>MACERICH SUPERSTITION SPRINGS POWER CENTER LLC, a Delaware limited liability company MACERICH TYSONS LLC, a Delaware limited liability company</w:t>
      </w:r>
    </w:p>
    <w:p>
      <w:pPr>
        <w:ind w:right="3519"/>
        <w:spacing w:after="0" w:line="369" w:lineRule="auto"/>
        <w:rPr>
          <w:sz w:val="20"/>
          <w:szCs w:val="20"/>
          <w:color w:val="auto"/>
        </w:rPr>
      </w:pPr>
      <w:r>
        <w:rPr>
          <w:rFonts w:ascii="Arial" w:cs="Arial" w:eastAsia="Arial" w:hAnsi="Arial"/>
          <w:sz w:val="19"/>
          <w:szCs w:val="19"/>
          <w:color w:val="auto"/>
        </w:rPr>
        <w:t>MACERICH VALLEY RIVER CENTER LLC, a Delaware limited liability company MACERICH VICTOR VALLEY LP, a Delaware limited partnership</w:t>
      </w:r>
    </w:p>
    <w:p>
      <w:pPr>
        <w:spacing w:after="0"/>
        <w:rPr>
          <w:sz w:val="20"/>
          <w:szCs w:val="20"/>
          <w:color w:val="auto"/>
        </w:rPr>
      </w:pPr>
      <w:r>
        <w:rPr>
          <w:rFonts w:ascii="Arial" w:cs="Arial" w:eastAsia="Arial" w:hAnsi="Arial"/>
          <w:sz w:val="19"/>
          <w:szCs w:val="19"/>
          <w:color w:val="auto"/>
        </w:rPr>
        <w:t>MACERICH VINTAGE FAIRE ADJACENT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MACERICH VINTAGE FAIRE LIMITED PARTNERSHIP, a Delaware 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MACJ,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MACPT LLC, a Delaware limited liability company</w:t>
      </w:r>
    </w:p>
    <w:p>
      <w:pPr>
        <w:sectPr>
          <w:pgSz w:w="11900" w:h="16838" w:orient="portrait"/>
          <w:cols w:equalWidth="0" w:num="1">
            <w:col w:w="10139"/>
          </w:cols>
          <w:pgMar w:left="320" w:top="1440" w:right="1440" w:bottom="1440" w:gutter="0" w:footer="0" w:header="0"/>
        </w:sectPr>
      </w:pPr>
    </w:p>
    <w:bookmarkStart w:id="146" w:name="page147"/>
    <w:bookmarkEnd w:id="146"/>
    <w:p>
      <w:pPr>
        <w:ind w:right="5019"/>
        <w:spacing w:after="0" w:line="369" w:lineRule="auto"/>
        <w:rPr>
          <w:sz w:val="20"/>
          <w:szCs w:val="20"/>
          <w:color w:val="auto"/>
        </w:rPr>
      </w:pPr>
      <w:r>
        <w:rPr>
          <w:rFonts w:ascii="Arial" w:cs="Arial" w:eastAsia="Arial" w:hAnsi="Arial"/>
          <w:sz w:val="19"/>
          <w:szCs w:val="19"/>
          <w:color w:val="auto"/>
        </w:rPr>
        <w:t>MACW FREEHOLD, LLC, a Delaware limited liability company MACWH, LP, a Delaware limited partnership</w:t>
      </w:r>
    </w:p>
    <w:p>
      <w:pPr>
        <w:spacing w:after="0"/>
        <w:rPr>
          <w:sz w:val="20"/>
          <w:szCs w:val="20"/>
          <w:color w:val="auto"/>
        </w:rPr>
      </w:pPr>
      <w:r>
        <w:rPr>
          <w:rFonts w:ascii="Arial" w:cs="Arial" w:eastAsia="Arial" w:hAnsi="Arial"/>
          <w:sz w:val="19"/>
          <w:szCs w:val="19"/>
          <w:color w:val="auto"/>
        </w:rPr>
        <w:t>MACW MALL MANAGEMENT, INC., a New York corporation</w:t>
      </w:r>
    </w:p>
    <w:p>
      <w:pPr>
        <w:spacing w:after="0" w:line="124" w:lineRule="exact"/>
        <w:rPr>
          <w:sz w:val="20"/>
          <w:szCs w:val="20"/>
          <w:color w:val="auto"/>
        </w:rPr>
      </w:pPr>
    </w:p>
    <w:p>
      <w:pPr>
        <w:ind w:right="3579"/>
        <w:spacing w:after="0" w:line="369" w:lineRule="auto"/>
        <w:rPr>
          <w:sz w:val="20"/>
          <w:szCs w:val="20"/>
          <w:color w:val="auto"/>
        </w:rPr>
      </w:pPr>
      <w:r>
        <w:rPr>
          <w:rFonts w:ascii="Arial" w:cs="Arial" w:eastAsia="Arial" w:hAnsi="Arial"/>
          <w:sz w:val="19"/>
          <w:szCs w:val="19"/>
          <w:color w:val="auto"/>
        </w:rPr>
        <w:t>MACW PROPERTY MANAGEMENT, LLC, a New York limited liability company MACW TYSONS, LLC, a Delaware limited liability company</w:t>
      </w:r>
    </w:p>
    <w:p>
      <w:pPr>
        <w:spacing w:after="0"/>
        <w:rPr>
          <w:sz w:val="20"/>
          <w:szCs w:val="20"/>
          <w:color w:val="auto"/>
        </w:rPr>
      </w:pPr>
      <w:r>
        <w:rPr>
          <w:rFonts w:ascii="Arial" w:cs="Arial" w:eastAsia="Arial" w:hAnsi="Arial"/>
          <w:sz w:val="19"/>
          <w:szCs w:val="19"/>
          <w:color w:val="auto"/>
        </w:rPr>
        <w:t>MP PS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MS PORTFOLIO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MVRC HOLDING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NEW RIVER ASSOCIATES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ONE SCOTTSDALE INVESTORS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PACIFIC PREMIER RETAIL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PM GALLERY LP, a Delaware limited partnership</w:t>
      </w:r>
    </w:p>
    <w:p>
      <w:pPr>
        <w:spacing w:after="0" w:line="111" w:lineRule="exact"/>
        <w:rPr>
          <w:sz w:val="20"/>
          <w:szCs w:val="20"/>
          <w:color w:val="auto"/>
        </w:rPr>
      </w:pPr>
    </w:p>
    <w:p>
      <w:pPr>
        <w:ind w:right="4479"/>
        <w:spacing w:after="0" w:line="369" w:lineRule="auto"/>
        <w:rPr>
          <w:sz w:val="20"/>
          <w:szCs w:val="20"/>
          <w:color w:val="auto"/>
        </w:rPr>
      </w:pPr>
      <w:r>
        <w:rPr>
          <w:rFonts w:ascii="Arial" w:cs="Arial" w:eastAsia="Arial" w:hAnsi="Arial"/>
          <w:sz w:val="19"/>
          <w:szCs w:val="19"/>
          <w:color w:val="auto"/>
        </w:rPr>
        <w:t>PROPCOR II ASSOCIATES, LLC, an Arizona limited liability company PV LAND SPE, LLC, a Delaware limited liability company</w:t>
      </w:r>
    </w:p>
    <w:p>
      <w:pPr>
        <w:spacing w:after="0"/>
        <w:rPr>
          <w:sz w:val="20"/>
          <w:szCs w:val="20"/>
          <w:color w:val="auto"/>
        </w:rPr>
      </w:pPr>
      <w:r>
        <w:rPr>
          <w:rFonts w:ascii="Arial" w:cs="Arial" w:eastAsia="Arial" w:hAnsi="Arial"/>
          <w:sz w:val="19"/>
          <w:szCs w:val="19"/>
          <w:color w:val="auto"/>
        </w:rPr>
        <w:t>PV RESIDENTIAL I SPE,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PV RETAIL I SPE,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QUEENS CENTER REIT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QUEENS CENTER SPE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RAILHEAD ASSOCIATES, L.L.C., an Arizona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SCOTTSDALE FASHION SQUARE PARTNERSHIP, an Arizona general partnership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SM EASTLAND MALL,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SM VALLEY MALL,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THE MACERICH PARTNERSHIP, L.P., a Delaware 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WESTCOR COMPANY LIMITED PARTNERSHIP, an Arizona limited partnership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WESTCOR COMPANY II LIMITED PARTNERSHIP, an Arizona limited partnership</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color w:val="auto"/>
        </w:rPr>
        <w:t>TM TRS HOLDING COMPANY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TOWNE MALL,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TYSONS CORNER LLC, a Virginia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TYSONS CORNER HOTEL I LLC, a Delaware limited liability company</w:t>
      </w:r>
    </w:p>
    <w:p>
      <w:pPr>
        <w:spacing w:after="0" w:line="124" w:lineRule="exact"/>
        <w:rPr>
          <w:sz w:val="20"/>
          <w:szCs w:val="20"/>
          <w:color w:val="auto"/>
        </w:rPr>
      </w:pPr>
    </w:p>
    <w:p>
      <w:pPr>
        <w:ind w:right="2939"/>
        <w:spacing w:after="0" w:line="369" w:lineRule="auto"/>
        <w:rPr>
          <w:sz w:val="20"/>
          <w:szCs w:val="20"/>
          <w:color w:val="auto"/>
        </w:rPr>
      </w:pPr>
      <w:r>
        <w:rPr>
          <w:rFonts w:ascii="Arial" w:cs="Arial" w:eastAsia="Arial" w:hAnsi="Arial"/>
          <w:sz w:val="19"/>
          <w:szCs w:val="19"/>
          <w:color w:val="auto"/>
        </w:rPr>
        <w:t>TYSONS CORNER PROPERTY HOLDINGS II LLC, a Delaware limited liability company TYSONS CORNER PROPERTY LLC, a Virginia limited liability company</w:t>
      </w:r>
    </w:p>
    <w:p>
      <w:pPr>
        <w:spacing w:after="0"/>
        <w:rPr>
          <w:sz w:val="20"/>
          <w:szCs w:val="20"/>
          <w:color w:val="auto"/>
        </w:rPr>
      </w:pPr>
      <w:r>
        <w:rPr>
          <w:rFonts w:ascii="Arial" w:cs="Arial" w:eastAsia="Arial" w:hAnsi="Arial"/>
          <w:sz w:val="19"/>
          <w:szCs w:val="19"/>
          <w:color w:val="auto"/>
        </w:rPr>
        <w:t>VALLEY STREAM GREEN ACRES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WESTCOR/GOODYEAR, L.L.C., an Arizona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WESTCOR/PARADISE RIDGE, L.L.C., an Arizona limited liability company</w:t>
      </w:r>
    </w:p>
    <w:p>
      <w:pPr>
        <w:sectPr>
          <w:pgSz w:w="11900" w:h="16838" w:orient="portrait"/>
          <w:cols w:equalWidth="0" w:num="1">
            <w:col w:w="10139"/>
          </w:cols>
          <w:pgMar w:left="320" w:top="1440" w:right="1440" w:bottom="1440" w:gutter="0" w:footer="0" w:header="0"/>
        </w:sectPr>
      </w:pPr>
    </w:p>
    <w:bookmarkStart w:id="147" w:name="page148"/>
    <w:bookmarkEnd w:id="147"/>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WESTCOR REALTY LIMITED PARTNERSHIP, a Delaware limited partnership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WESTCOR SANTAN ADJACENT LLC, a Delaware limited liability company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WESTCOR SANTAN VILLAGE LLC, a Delaware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WESTCOR SURPRISE RSC LLC, an Arizona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WESTCOR SURPRISE RSC II LLC, an Arizona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WESTCOR SURPRISE WCW LLC, an Arizona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WESTCOR/SURPRISE LLC, an Arizona limited liability company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WILTON MALL, LLC, a Delaware limited liability company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WMAP, L.L.C., a Delaware limited liability company</w:t>
      </w:r>
    </w:p>
    <w:p>
      <w:pPr>
        <w:sectPr>
          <w:pgSz w:w="11900" w:h="16838" w:orient="portrait"/>
          <w:cols w:equalWidth="0" w:num="1">
            <w:col w:w="10139"/>
          </w:cols>
          <w:pgMar w:left="320" w:top="1440"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24" w:lineRule="exact"/>
        <w:rPr>
          <w:sz w:val="20"/>
          <w:szCs w:val="20"/>
          <w:color w:val="auto"/>
        </w:rPr>
      </w:pPr>
    </w:p>
    <w:p>
      <w:pPr>
        <w:ind w:right="120" w:firstLine="435"/>
        <w:spacing w:after="0" w:line="250" w:lineRule="auto"/>
        <w:rPr>
          <w:sz w:val="20"/>
          <w:szCs w:val="20"/>
          <w:color w:val="auto"/>
        </w:rPr>
      </w:pPr>
      <w:r>
        <w:rPr>
          <w:rFonts w:ascii="Arial" w:cs="Arial" w:eastAsia="Arial" w:hAnsi="Arial"/>
          <w:sz w:val="18"/>
          <w:szCs w:val="18"/>
          <w:color w:val="auto"/>
        </w:rPr>
        <w:t>We consent to the incorporation by reference in the registration statements (No. 333-240975, 333-107063 and 333-121630) on Form S-3 and (Nos. 333-00584, 333-42309, 333-42303, 333-69995, 333-108193, 333-120585, 333-161371, 333-186915, 333-211816, and 333-256832) on Form S-8 of our reports dated February 24, 2023, with respect to the consolidated financial statements and financial statement schedule III of The Macerich Company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386"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136" w:lineRule="exact"/>
        <w:rPr>
          <w:sz w:val="20"/>
          <w:szCs w:val="20"/>
          <w:color w:val="auto"/>
        </w:rPr>
      </w:pPr>
    </w:p>
    <w:p>
      <w:pPr>
        <w:ind w:left="560" w:hanging="555"/>
        <w:spacing w:after="0"/>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2022 of The Macerich Company;</w:t>
      </w:r>
    </w:p>
    <w:p>
      <w:pPr>
        <w:spacing w:after="0" w:line="148" w:lineRule="exact"/>
        <w:rPr>
          <w:rFonts w:ascii="Arial" w:cs="Arial" w:eastAsia="Arial" w:hAnsi="Arial"/>
          <w:sz w:val="18"/>
          <w:szCs w:val="18"/>
          <w:color w:val="auto"/>
        </w:rPr>
      </w:pPr>
    </w:p>
    <w:p>
      <w:pPr>
        <w:jc w:val="both"/>
        <w:ind w:left="560" w:right="460" w:hanging="555"/>
        <w:spacing w:after="0" w:line="253" w:lineRule="auto"/>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60" w:right="440" w:hanging="555"/>
        <w:spacing w:after="0" w:line="325" w:lineRule="auto"/>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6"/>
          <w:szCs w:val="16"/>
          <w:color w:val="auto"/>
        </w:rPr>
      </w:pPr>
    </w:p>
    <w:p>
      <w:pPr>
        <w:ind w:left="560" w:right="60" w:hanging="555"/>
        <w:spacing w:after="0" w:line="253" w:lineRule="auto"/>
        <w:tabs>
          <w:tab w:leader="none" w:pos="5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120" w:right="160" w:hanging="561"/>
        <w:spacing w:after="0" w:line="253" w:lineRule="auto"/>
        <w:tabs>
          <w:tab w:leader="none" w:pos="1117"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120" w:right="480" w:hanging="561"/>
        <w:spacing w:after="0" w:line="253" w:lineRule="auto"/>
        <w:tabs>
          <w:tab w:leader="none" w:pos="1114"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120" w:right="640" w:hanging="561"/>
        <w:spacing w:after="0" w:line="362" w:lineRule="auto"/>
        <w:tabs>
          <w:tab w:leader="none" w:pos="1117" w:val="left"/>
        </w:tabs>
        <w:numPr>
          <w:ilvl w:val="1"/>
          <w:numId w:val="9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1120" w:right="200" w:hanging="561"/>
        <w:spacing w:after="0" w:line="253" w:lineRule="auto"/>
        <w:tabs>
          <w:tab w:leader="none" w:pos="1114"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60" w:right="200" w:hanging="555"/>
        <w:spacing w:after="0" w:line="325" w:lineRule="auto"/>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1120" w:right="80" w:hanging="561"/>
        <w:spacing w:after="0" w:line="325" w:lineRule="auto"/>
        <w:tabs>
          <w:tab w:leader="none" w:pos="1117"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6"/>
          <w:szCs w:val="16"/>
          <w:color w:val="auto"/>
        </w:rPr>
      </w:pPr>
    </w:p>
    <w:p>
      <w:pPr>
        <w:ind w:left="1120" w:right="60" w:hanging="561"/>
        <w:spacing w:after="0" w:line="262" w:lineRule="auto"/>
        <w:tabs>
          <w:tab w:leader="none" w:pos="111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10160</wp:posOffset>
            </wp:positionV>
            <wp:extent cx="30784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1">
                      <a:extLst>
                        <a:ext uri="{28A0092B-C50C-407E-A947-70E740481C1C}"/>
                      </a:extLst>
                    </a:blip>
                    <a:srcRect/>
                    <a:stretch>
                      <a:fillRect/>
                    </a:stretch>
                  </pic:blipFill>
                  <pic:spPr bwMode="auto">
                    <a:xfrm>
                      <a:off x="0" y="0"/>
                      <a:ext cx="3078480" cy="8255"/>
                    </a:xfrm>
                    <a:prstGeom prst="rect">
                      <a:avLst/>
                    </a:prstGeom>
                    <a:noFill/>
                  </pic:spPr>
                </pic:pic>
              </a:graphicData>
            </a:graphic>
          </wp:anchor>
        </w:drawing>
      </w:r>
    </w:p>
    <w:p>
      <w:pPr>
        <w:spacing w:after="0" w:line="10" w:lineRule="exact"/>
        <w:rPr>
          <w:sz w:val="20"/>
          <w:szCs w:val="20"/>
          <w:color w:val="auto"/>
        </w:rPr>
      </w:pPr>
    </w:p>
    <w:p>
      <w:pPr>
        <w:ind w:left="440"/>
        <w:spacing w:after="0"/>
        <w:tabs>
          <w:tab w:leader="none" w:pos="1240" w:val="left"/>
          <w:tab w:leader="none" w:pos="5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2023</w:t>
      </w:r>
      <w:r>
        <w:rPr>
          <w:sz w:val="20"/>
          <w:szCs w:val="20"/>
          <w:color w:val="auto"/>
        </w:rPr>
        <w:tab/>
      </w:r>
      <w:r>
        <w:rPr>
          <w:rFonts w:ascii="Arial" w:cs="Arial" w:eastAsia="Arial" w:hAnsi="Arial"/>
          <w:sz w:val="16"/>
          <w:szCs w:val="16"/>
          <w:i w:val="1"/>
          <w:iCs w:val="1"/>
          <w:color w:val="auto"/>
        </w:rPr>
        <w:t>Chief Executive Officer and Director</w:t>
      </w:r>
    </w:p>
    <w:p>
      <w:pPr>
        <w:sectPr>
          <w:pgSz w:w="11900" w:h="16838" w:orient="portrait"/>
          <w:cols w:equalWidth="0" w:num="1">
            <w:col w:w="11240"/>
          </w:cols>
          <w:pgMar w:left="320" w:top="1017"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136" w:lineRule="exact"/>
        <w:rPr>
          <w:sz w:val="20"/>
          <w:szCs w:val="20"/>
          <w:color w:val="auto"/>
        </w:rPr>
      </w:pPr>
    </w:p>
    <w:p>
      <w:pPr>
        <w:ind w:left="640" w:hanging="635"/>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2022 of The Macerich Company;</w:t>
      </w:r>
    </w:p>
    <w:p>
      <w:pPr>
        <w:spacing w:after="0" w:line="148" w:lineRule="exact"/>
        <w:rPr>
          <w:rFonts w:ascii="Arial" w:cs="Arial" w:eastAsia="Arial" w:hAnsi="Arial"/>
          <w:sz w:val="18"/>
          <w:szCs w:val="18"/>
          <w:color w:val="auto"/>
        </w:rPr>
      </w:pPr>
    </w:p>
    <w:p>
      <w:pPr>
        <w:jc w:val="both"/>
        <w:ind w:left="640" w:right="380" w:hanging="635"/>
        <w:spacing w:after="0" w:line="253"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40" w:right="360" w:hanging="635"/>
        <w:spacing w:after="0" w:line="325" w:lineRule="auto"/>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Arial" w:cs="Arial" w:eastAsia="Arial" w:hAnsi="Arial"/>
          <w:sz w:val="16"/>
          <w:szCs w:val="16"/>
          <w:color w:val="auto"/>
        </w:rPr>
      </w:pPr>
    </w:p>
    <w:p>
      <w:pPr>
        <w:jc w:val="both"/>
        <w:ind w:left="640" w:right="380" w:hanging="635"/>
        <w:spacing w:after="0" w:line="253" w:lineRule="auto"/>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200" w:right="100" w:hanging="562"/>
        <w:spacing w:after="0" w:line="253" w:lineRule="auto"/>
        <w:tabs>
          <w:tab w:leader="none" w:pos="119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200" w:right="400" w:hanging="562"/>
        <w:spacing w:after="0" w:line="253" w:lineRule="auto"/>
        <w:tabs>
          <w:tab w:leader="none" w:pos="11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200" w:right="560" w:hanging="562"/>
        <w:spacing w:after="0" w:line="362" w:lineRule="auto"/>
        <w:tabs>
          <w:tab w:leader="none" w:pos="1197" w:val="left"/>
        </w:tabs>
        <w:numPr>
          <w:ilvl w:val="1"/>
          <w:numId w:val="9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ind w:left="1200" w:right="120" w:hanging="562"/>
        <w:spacing w:after="0" w:line="253" w:lineRule="auto"/>
        <w:tabs>
          <w:tab w:leader="none" w:pos="11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40" w:right="120" w:hanging="635"/>
        <w:spacing w:after="0" w:line="325" w:lineRule="auto"/>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1200" w:right="800" w:hanging="562"/>
        <w:spacing w:after="0" w:line="325" w:lineRule="auto"/>
        <w:tabs>
          <w:tab w:leader="none" w:pos="11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6"/>
          <w:szCs w:val="16"/>
          <w:color w:val="auto"/>
        </w:rPr>
      </w:pPr>
    </w:p>
    <w:p>
      <w:pPr>
        <w:ind w:left="1200" w:right="520" w:hanging="562"/>
        <w:spacing w:after="0" w:line="262" w:lineRule="auto"/>
        <w:tabs>
          <w:tab w:leader="none" w:pos="1194"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10160</wp:posOffset>
            </wp:positionV>
            <wp:extent cx="34880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2">
                      <a:extLst>
                        <a:ext uri="{28A0092B-C50C-407E-A947-70E740481C1C}"/>
                      </a:extLst>
                    </a:blip>
                    <a:srcRect/>
                    <a:stretch>
                      <a:fillRect/>
                    </a:stretch>
                  </pic:blipFill>
                  <pic:spPr bwMode="auto">
                    <a:xfrm>
                      <a:off x="0" y="0"/>
                      <a:ext cx="3488055" cy="8255"/>
                    </a:xfrm>
                    <a:prstGeom prst="rect">
                      <a:avLst/>
                    </a:prstGeom>
                    <a:noFill/>
                  </pic:spPr>
                </pic:pic>
              </a:graphicData>
            </a:graphic>
          </wp:anchor>
        </w:drawing>
      </w:r>
    </w:p>
    <w:p>
      <w:pPr>
        <w:spacing w:after="0" w:line="10" w:lineRule="exact"/>
        <w:rPr>
          <w:sz w:val="20"/>
          <w:szCs w:val="20"/>
          <w:color w:val="auto"/>
        </w:rPr>
      </w:pPr>
    </w:p>
    <w:p>
      <w:pPr>
        <w:ind w:left="380"/>
        <w:spacing w:after="0"/>
        <w:tabs>
          <w:tab w:leader="none" w:pos="118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24, 2023</w:t>
      </w:r>
      <w:r>
        <w:rPr>
          <w:sz w:val="20"/>
          <w:szCs w:val="20"/>
          <w:color w:val="auto"/>
        </w:rPr>
        <w:tab/>
      </w:r>
      <w:r>
        <w:rPr>
          <w:rFonts w:ascii="Arial" w:cs="Arial" w:eastAsia="Arial" w:hAnsi="Arial"/>
          <w:sz w:val="16"/>
          <w:szCs w:val="16"/>
          <w:i w:val="1"/>
          <w:iCs w:val="1"/>
          <w:color w:val="auto"/>
        </w:rPr>
        <w:t>Senior Executive Vice President and Chief Financial Officer</w:t>
      </w:r>
    </w:p>
    <w:p>
      <w:pPr>
        <w:sectPr>
          <w:pgSz w:w="11900" w:h="16838" w:orient="portrait"/>
          <w:cols w:equalWidth="0" w:num="1">
            <w:col w:w="11240"/>
          </w:cols>
          <w:pgMar w:left="320" w:top="1017"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 (The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PURSUANT TO 18 U.S.C. SECTION 1350</w:t>
      </w:r>
    </w:p>
    <w:p>
      <w:pPr>
        <w:spacing w:after="0" w:line="137" w:lineRule="exact"/>
        <w:rPr>
          <w:sz w:val="20"/>
          <w:szCs w:val="20"/>
          <w:color w:val="auto"/>
        </w:rPr>
      </w:pPr>
    </w:p>
    <w:p>
      <w:pPr>
        <w:ind w:right="280" w:firstLine="435"/>
        <w:spacing w:after="0" w:line="262"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certify that, to the best of his knowledge:</w:t>
      </w:r>
    </w:p>
    <w:p>
      <w:pPr>
        <w:spacing w:after="0" w:line="115" w:lineRule="exact"/>
        <w:rPr>
          <w:sz w:val="20"/>
          <w:szCs w:val="20"/>
          <w:color w:val="auto"/>
        </w:rPr>
      </w:pPr>
    </w:p>
    <w:p>
      <w:pPr>
        <w:ind w:left="1280" w:right="40" w:hanging="563"/>
        <w:spacing w:after="0" w:line="262" w:lineRule="auto"/>
        <w:tabs>
          <w:tab w:leader="none" w:pos="12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Annual Report on Form 10-K for the year ended December 31, 2022 of the Company (the "Report") fully complies with the requirements of Section 13(a) and 15(d) of the Securities Exchange Act of 1934; and</w:t>
      </w:r>
    </w:p>
    <w:p>
      <w:pPr>
        <w:spacing w:after="0" w:line="101" w:lineRule="exact"/>
        <w:rPr>
          <w:rFonts w:ascii="Arial" w:cs="Arial" w:eastAsia="Arial" w:hAnsi="Arial"/>
          <w:sz w:val="18"/>
          <w:szCs w:val="18"/>
          <w:color w:val="auto"/>
        </w:rPr>
      </w:pPr>
    </w:p>
    <w:p>
      <w:pPr>
        <w:ind w:left="1280" w:right="600" w:hanging="563"/>
        <w:spacing w:after="0" w:line="262" w:lineRule="auto"/>
        <w:tabs>
          <w:tab w:leader="none" w:pos="1271"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10160</wp:posOffset>
            </wp:positionV>
            <wp:extent cx="35801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3">
                      <a:extLst>
                        <a:ext uri="{28A0092B-C50C-407E-A947-70E740481C1C}"/>
                      </a:extLst>
                    </a:blip>
                    <a:srcRect/>
                    <a:stretch>
                      <a:fillRect/>
                    </a:stretch>
                  </pic:blipFill>
                  <pic:spPr bwMode="auto">
                    <a:xfrm>
                      <a:off x="0" y="0"/>
                      <a:ext cx="3580130" cy="825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10160</wp:posOffset>
            </wp:positionV>
            <wp:extent cx="35801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4">
                      <a:extLst>
                        <a:ext uri="{28A0092B-C50C-407E-A947-70E740481C1C}"/>
                      </a:extLst>
                    </a:blip>
                    <a:srcRect/>
                    <a:stretch>
                      <a:fillRect/>
                    </a:stretch>
                  </pic:blipFill>
                  <pic:spPr bwMode="auto">
                    <a:xfrm>
                      <a:off x="0" y="0"/>
                      <a:ext cx="3580130" cy="8255"/>
                    </a:xfrm>
                    <a:prstGeom prst="rect">
                      <a:avLst/>
                    </a:prstGeom>
                    <a:noFill/>
                  </pic:spPr>
                </pic:pic>
              </a:graphicData>
            </a:graphic>
          </wp:anchor>
        </w:drawing>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240"/>
      </w:cols>
      <w:pgMar w:left="320" w:top="10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lowerRoman"/>
      <w:start w:val="1"/>
    </w:lvl>
  </w:abstractNum>
  <w:abstractNum w:abstractNumId="8">
    <w:nsid w:val="70C6A529"/>
    <w:multiLevelType w:val="hybridMultilevel"/>
    <w:lvl w:ilvl="0">
      <w:lvlJc w:val="left"/>
      <w:lvlText w:val="(%1)"/>
      <w:numFmt w:val="lowerRoman"/>
      <w:start w:val="2"/>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lvl>
    <w:lvl w:ilvl="1">
      <w:lvlJc w:val="left"/>
      <w:lvlText w:val="$"/>
      <w:numFmt w:val="bullet"/>
      <w:start w:val="1"/>
    </w:lvl>
  </w:abstractNum>
  <w:abstractNum w:abstractNumId="22">
    <w:nsid w:val="741226BB"/>
    <w:multiLevelType w:val="hybridMultilevel"/>
    <w:lvl w:ilvl="0">
      <w:lvlJc w:val="left"/>
      <w:lvlText w:val="(%1)"/>
      <w:numFmt w:val="decimal"/>
      <w:start w:val="2"/>
    </w:lvl>
  </w:abstractNum>
  <w:abstractNum w:abstractNumId="23">
    <w:nsid w:val="D34B6A8"/>
    <w:multiLevelType w:val="hybridMultilevel"/>
    <w:lvl w:ilvl="0">
      <w:lvlJc w:val="left"/>
      <w:lvlText w:val="(%1)"/>
      <w:numFmt w:val="decimal"/>
      <w:start w:val="8"/>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decimal"/>
      <w:start w:val="2"/>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1)"/>
      <w:numFmt w:val="decimal"/>
      <w:start w:val="1"/>
    </w:lvl>
  </w:abstractNum>
  <w:abstractNum w:abstractNumId="37">
    <w:nsid w:val="1381823A"/>
    <w:multiLevelType w:val="hybridMultilevel"/>
    <w:lvl w:ilvl="0">
      <w:lvlJc w:val="left"/>
      <w:lvlText w:val="(%1)"/>
      <w:numFmt w:val="decimal"/>
      <w:start w:val="2"/>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1)"/>
      <w:numFmt w:val="decimal"/>
      <w:start w:val="1"/>
    </w:lvl>
  </w:abstractNum>
  <w:abstractNum w:abstractNumId="40">
    <w:nsid w:val="6590700B"/>
    <w:multiLevelType w:val="hybridMultilevel"/>
    <w:lvl w:ilvl="0">
      <w:lvlJc w:val="left"/>
      <w:lvlText w:val="%1."/>
      <w:numFmt w:val="decimal"/>
      <w:start w:val="10"/>
    </w:lvl>
    <w:lvl w:ilvl="1">
      <w:lvlJc w:val="left"/>
      <w:lvlText w:val="(%2)"/>
      <w:numFmt w:val="decimal"/>
      <w:start w:val="9"/>
    </w:lvl>
  </w:abstractNum>
  <w:abstractNum w:abstractNumId="41">
    <w:nsid w:val="15014ACB"/>
    <w:multiLevelType w:val="hybridMultilevel"/>
    <w:lvl w:ilvl="0">
      <w:lvlJc w:val="left"/>
      <w:lvlText w:val="%1."/>
      <w:numFmt w:val="decimal"/>
      <w:start w:val="15"/>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19"/>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19"/>
    </w:lvl>
  </w:abstractNum>
  <w:abstractNum w:abstractNumId="46">
    <w:nsid w:val="42C296BD"/>
    <w:multiLevelType w:val="hybridMultilevel"/>
    <w:lvl w:ilvl="0">
      <w:lvlJc w:val="left"/>
      <w:lvlText w:val="%1."/>
      <w:numFmt w:val="decimal"/>
      <w:start w:val="20"/>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
      <w:numFmt w:val="bullet"/>
      <w:start w:val="1"/>
    </w:lvl>
    <w:lvl w:ilvl="1">
      <w:lvlJc w:val="left"/>
      <w:lvlText w:val="%2"/>
      <w:numFmt w:val="decimal"/>
      <w:start w:val="104"/>
    </w:lvl>
  </w:abstractNum>
  <w:abstractNum w:abstractNumId="49">
    <w:nsid w:val="661E3F1E"/>
    <w:multiLevelType w:val="hybridMultilevel"/>
    <w:lvl w:ilvl="0">
      <w:lvlJc w:val="left"/>
      <w:lvlText w:val="**"/>
      <w:numFmt w:val="bullet"/>
      <w:start w:val="1"/>
    </w:lvl>
    <w:lvl w:ilvl="1">
      <w:lvlJc w:val="left"/>
      <w:lvlText w:val="%2"/>
      <w:numFmt w:val="decimal"/>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lowerRoman"/>
      <w:start w:val="2"/>
    </w:lvl>
  </w:abstractNum>
  <w:abstractNum w:abstractNumId="58">
    <w:nsid w:val="A0382C5"/>
    <w:multiLevelType w:val="hybridMultilevel"/>
    <w:lvl w:ilvl="0">
      <w:lvlJc w:val="left"/>
      <w:lvlText w:val="(%1)"/>
      <w:numFmt w:val="lowerLetter"/>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3"/>
    </w:lvl>
  </w:abstractNum>
  <w:abstractNum w:abstractNumId="61">
    <w:nsid w:val="3B0FD379"/>
    <w:multiLevelType w:val="hybridMultilevel"/>
    <w:lvl w:ilvl="0">
      <w:lvlJc w:val="left"/>
      <w:lvlText w:val="(%1)"/>
      <w:numFmt w:val="lowerRoman"/>
      <w:start w:val="1"/>
    </w:lvl>
  </w:abstractNum>
  <w:abstractNum w:abstractNumId="62">
    <w:nsid w:val="68EB2F63"/>
    <w:multiLevelType w:val="hybridMultilevel"/>
    <w:lvl w:ilvl="0">
      <w:lvlJc w:val="left"/>
      <w:lvlText w:val="(%1)"/>
      <w:numFmt w:val="lowerLetter"/>
      <w:start w:val="1"/>
    </w:lvl>
  </w:abstractNum>
  <w:abstractNum w:abstractNumId="63">
    <w:nsid w:val="4962813B"/>
    <w:multiLevelType w:val="hybridMultilevel"/>
    <w:lvl w:ilvl="0">
      <w:lvlJc w:val="left"/>
      <w:lvlText w:val="(%1)"/>
      <w:numFmt w:val="lowerLetter"/>
      <w:start w:val="2"/>
    </w:lvl>
  </w:abstractNum>
  <w:abstractNum w:abstractNumId="64">
    <w:nsid w:val="60B6DF70"/>
    <w:multiLevelType w:val="hybridMultilevel"/>
    <w:lvl w:ilvl="0">
      <w:lvlJc w:val="left"/>
      <w:lvlText w:val="(%1)"/>
      <w:numFmt w:val="lowerLetter"/>
      <w:start w:val="2"/>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3"/>
    </w:lvl>
  </w:abstractNum>
  <w:abstractNum w:abstractNumId="68">
    <w:nsid w:val="1A27709E"/>
    <w:multiLevelType w:val="hybridMultilevel"/>
    <w:lvl w:ilvl="0">
      <w:lvlJc w:val="left"/>
      <w:lvlText w:val="(%1)"/>
      <w:numFmt w:val="lowerLetter"/>
      <w:start w:val="2"/>
    </w:lvl>
  </w:abstractNum>
  <w:abstractNum w:abstractNumId="69">
    <w:nsid w:val="71EA1109"/>
    <w:multiLevelType w:val="hybridMultilevel"/>
    <w:lvl w:ilvl="0">
      <w:lvlJc w:val="left"/>
      <w:lvlText w:val="(%1)"/>
      <w:numFmt w:val="lowerLetter"/>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3"/>
    </w:lvl>
  </w:abstractNum>
  <w:abstractNum w:abstractNumId="72">
    <w:nsid w:val="6EB5BD4"/>
    <w:multiLevelType w:val="hybridMultilevel"/>
    <w:lvl w:ilvl="0">
      <w:lvlJc w:val="left"/>
      <w:lvlText w:val="(%1)"/>
      <w:numFmt w:val="lowerLetter"/>
      <w:start w:val="2"/>
    </w:lvl>
  </w:abstractNum>
  <w:abstractNum w:abstractNumId="73">
    <w:nsid w:val="6F6DD9AC"/>
    <w:multiLevelType w:val="hybridMultilevel"/>
    <w:lvl w:ilvl="0">
      <w:lvlJc w:val="left"/>
      <w:lvlText w:val="(%1)"/>
      <w:numFmt w:val="lowerLetter"/>
      <w:start w:val="5"/>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1)"/>
      <w:numFmt w:val="decimal"/>
      <w:start w:val="3"/>
    </w:lvl>
  </w:abstractNum>
  <w:abstractNum w:abstractNumId="77">
    <w:nsid w:val="4C04A8AF"/>
    <w:multiLevelType w:val="hybridMultilevel"/>
    <w:lvl w:ilvl="0">
      <w:lvlJc w:val="left"/>
      <w:lvlText w:val="(%1)"/>
      <w:numFmt w:val="lowerLetter"/>
      <w:start w:val="3"/>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lowerLetter"/>
      <w:start w:val="4"/>
    </w:lvl>
  </w:abstractNum>
  <w:abstractNum w:abstractNumId="80">
    <w:nsid w:val="3222E7CD"/>
    <w:multiLevelType w:val="hybridMultilevel"/>
    <w:lvl w:ilvl="0">
      <w:lvlJc w:val="left"/>
      <w:lvlText w:val="(%1)"/>
      <w:numFmt w:val="lowerLetter"/>
      <w:start w:val="1"/>
    </w:lvl>
  </w:abstractNum>
  <w:abstractNum w:abstractNumId="81">
    <w:nsid w:val="74DE0EE3"/>
    <w:multiLevelType w:val="hybridMultilevel"/>
    <w:lvl w:ilvl="0">
      <w:lvlJc w:val="left"/>
      <w:lvlText w:val="(%1)"/>
      <w:numFmt w:val="lowerLetter"/>
      <w:start w:val="2"/>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lowerRoman"/>
      <w:start w:val="1"/>
    </w:lvl>
  </w:abstractNum>
  <w:abstractNum w:abstractNumId="84">
    <w:nsid w:val="46B7D447"/>
    <w:multiLevelType w:val="hybridMultilevel"/>
    <w:lvl w:ilvl="0">
      <w:lvlJc w:val="left"/>
      <w:lvlText w:val="(%1)"/>
      <w:numFmt w:val="lowerRoman"/>
      <w:start w:val="2"/>
    </w:lvl>
  </w:abstractNum>
  <w:abstractNum w:abstractNumId="85">
    <w:nsid w:val="4A2AC315"/>
    <w:multiLevelType w:val="hybridMultilevel"/>
    <w:lvl w:ilvl="0">
      <w:lvlJc w:val="left"/>
      <w:lvlText w:val="(%1)"/>
      <w:numFmt w:val="lowerLetter"/>
      <w:start w:val="2"/>
    </w:lvl>
  </w:abstractNum>
  <w:abstractNum w:abstractNumId="86">
    <w:nsid w:val="39EE015C"/>
    <w:multiLevelType w:val="hybridMultilevel"/>
    <w:lvl w:ilvl="0">
      <w:lvlJc w:val="left"/>
      <w:lvlText w:val="(%1)"/>
      <w:numFmt w:val="lowerLetter"/>
      <w:start w:val="5"/>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lowerLetter"/>
      <w:start w:val="1"/>
    </w:lvl>
    <w:lvl w:ilvl="1">
      <w:lvlJc w:val="left"/>
      <w:lvlText w:val="(%2)"/>
      <w:numFmt w:val="decimal"/>
      <w:start w:val="1"/>
    </w:lvl>
  </w:abstractNum>
  <w:abstractNum w:abstractNumId="90">
    <w:nsid w:val="60EF0119"/>
    <w:multiLevelType w:val="hybridMultilevel"/>
    <w:lvl w:ilvl="0">
      <w:lvlJc w:val="left"/>
      <w:lvlText w:val="%1"/>
      <w:numFmt w:val="lowerLetter"/>
      <w:start w:val="1"/>
    </w:lvl>
    <w:lvl w:ilvl="1">
      <w:lvlJc w:val="left"/>
      <w:lvlText w:val="(%2)"/>
      <w:numFmt w:val="decimal"/>
      <w:start w:val="3"/>
    </w:lvl>
  </w:abstractNum>
  <w:abstractNum w:abstractNumId="91">
    <w:nsid w:val="26F324BA"/>
    <w:multiLevelType w:val="hybridMultilevel"/>
    <w:lvl w:ilvl="0">
      <w:lvlJc w:val="left"/>
      <w:lvlText w:val="(%1)"/>
      <w:numFmt w:val="lowerLetter"/>
      <w:start w:val="3"/>
    </w:lvl>
    <w:lvl w:ilvl="1">
      <w:lvlJc w:val="left"/>
      <w:lvlText w:val="(%2)"/>
      <w:numFmt w:val="decimal"/>
      <w:start w:val="1"/>
    </w:lvl>
  </w:abstractNum>
  <w:abstractNum w:abstractNumId="92">
    <w:nsid w:val="7F01579B"/>
    <w:multiLevelType w:val="hybridMultilevel"/>
    <w:lvl w:ilvl="0">
      <w:lvlJc w:val="left"/>
      <w:lvlText w:val="(%1)"/>
      <w:numFmt w:val="lowerLetter"/>
      <w:start w:val="5"/>
    </w:lvl>
  </w:abstractNum>
  <w:abstractNum w:abstractNumId="93">
    <w:nsid w:val="49DA307D"/>
    <w:multiLevelType w:val="hybridMultilevel"/>
    <w:lvl w:ilvl="0">
      <w:lvlJc w:val="left"/>
      <w:lvlText w:val="(%1)"/>
      <w:numFmt w:val="decimal"/>
      <w:start w:val="2"/>
    </w:lvl>
    <w:lvl w:ilvl="1">
      <w:lvlJc w:val="left"/>
      <w:lvlText w:val="(%2)"/>
      <w:numFmt w:val="lowerLetter"/>
      <w:start w:val="6"/>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3" Type="http://schemas.openxmlformats.org/officeDocument/2006/relationships/image" Target="media/image113.png"/><Relationship Id="rId145" Type="http://schemas.openxmlformats.org/officeDocument/2006/relationships/image" Target="media/image114.png"/><Relationship Id="rId159" Type="http://schemas.openxmlformats.org/officeDocument/2006/relationships/image" Target="media/image115.png"/><Relationship Id="rId166" Type="http://schemas.openxmlformats.org/officeDocument/2006/relationships/image" Target="media/image116.png"/><Relationship Id="rId178" Type="http://schemas.openxmlformats.org/officeDocument/2006/relationships/image" Target="media/image117.png"/><Relationship Id="rId179" Type="http://schemas.openxmlformats.org/officeDocument/2006/relationships/image" Target="media/image118.png"/><Relationship Id="rId180"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85" Type="http://schemas.openxmlformats.org/officeDocument/2006/relationships/image" Target="media/image124.png"/><Relationship Id="rId186" Type="http://schemas.openxmlformats.org/officeDocument/2006/relationships/image" Target="media/image125.png"/><Relationship Id="rId187" Type="http://schemas.openxmlformats.org/officeDocument/2006/relationships/image" Target="media/image126.png"/><Relationship Id="rId188" Type="http://schemas.openxmlformats.org/officeDocument/2006/relationships/image" Target="media/image127.png"/><Relationship Id="rId189" Type="http://schemas.openxmlformats.org/officeDocument/2006/relationships/image" Target="media/image128.png"/><Relationship Id="rId190" Type="http://schemas.openxmlformats.org/officeDocument/2006/relationships/image" Target="media/image129.png"/><Relationship Id="rId191" Type="http://schemas.openxmlformats.org/officeDocument/2006/relationships/image" Target="media/image130.png"/><Relationship Id="rId192" Type="http://schemas.openxmlformats.org/officeDocument/2006/relationships/image" Target="media/image131.png"/><Relationship Id="rId193" Type="http://schemas.openxmlformats.org/officeDocument/2006/relationships/image" Target="media/image132.png"/><Relationship Id="rId194" Type="http://schemas.openxmlformats.org/officeDocument/2006/relationships/image" Target="media/image133.png"/><Relationship Id="rId120" Type="http://schemas.openxmlformats.org/officeDocument/2006/relationships/hyperlink" Target="http://www.sec.gov/Archives/edgar/data/912242/000110465914081468/a14-24669_1ex2d1.htm" TargetMode="External"/><Relationship Id="rId121" Type="http://schemas.openxmlformats.org/officeDocument/2006/relationships/hyperlink" Target="http://www.sec.gov/Archives/edgar/data/912242/0001047469-99-012492.txt" TargetMode="External"/><Relationship Id="rId122" Type="http://schemas.openxmlformats.org/officeDocument/2006/relationships/hyperlink" Target="http://www.sec.gov/Archives/edgar/data/912242/000091205702030706/a2086079zex-3_1.htm" TargetMode="External"/><Relationship Id="rId123" Type="http://schemas.openxmlformats.org/officeDocument/2006/relationships/hyperlink" Target="http://www.sec.gov/Archives/edgar/data/912242/000091205702021417/a2080342zex-4_6.htm" TargetMode="External"/><Relationship Id="rId124" Type="http://schemas.openxmlformats.org/officeDocument/2006/relationships/hyperlink" Target="http://www.sec.gov/Archives/edgar/data/912242/000104746909001981/a2189901zex-3_15.htm" TargetMode="External"/><Relationship Id="rId125" Type="http://schemas.openxmlformats.org/officeDocument/2006/relationships/hyperlink" Target="http://www.sec.gov/Archives/edgar/data/912242/000110465909008348/a09-5253_1ex3d1.htm" TargetMode="External"/><Relationship Id="rId126" Type="http://schemas.openxmlformats.org/officeDocument/2006/relationships/hyperlink" Target="http://www.sec.gov/Archives/edgar/data/912242/000104746909007391/a2193924zex-3_17.htm" TargetMode="External"/><Relationship Id="rId127" Type="http://schemas.openxmlformats.org/officeDocument/2006/relationships/hyperlink" Target="http://www.sec.gov/Archives/edgar/data/912242/000110465914043330/a14-14485_1ex3d1.htm" TargetMode="External"/><Relationship Id="rId128" Type="http://schemas.openxmlformats.org/officeDocument/2006/relationships/hyperlink" Target="http://www.sec.gov/Archives/edgar/data/912242/000110465915020412/a15-6870_1ex3d1.htm" TargetMode="External"/><Relationship Id="rId129" Type="http://schemas.openxmlformats.org/officeDocument/2006/relationships/hyperlink" Target="http://www.sec.gov/Archives/edgar/data/912242/000110465915020810/a15-6873_1ex3d1.htm" TargetMode="External"/><Relationship Id="rId130" Type="http://schemas.openxmlformats.org/officeDocument/2006/relationships/hyperlink" Target="http://www.sec.gov/Archives/edgar/data/912242/000110465915037228/a15-11185_1ex3d1.htm" TargetMode="External"/><Relationship Id="rId131" Type="http://schemas.openxmlformats.org/officeDocument/2006/relationships/hyperlink" Target="http://www.sec.gov/Archives/edgar/data/912242/000110465915042631/a15-13305_1ex3d1.htm" TargetMode="External"/><Relationship Id="rId132" Type="http://schemas.openxmlformats.org/officeDocument/2006/relationships/hyperlink" Target="http://www.sec.gov/Archives/edgar/data/912242/000119312519129272/d731295dex31.htm" TargetMode="External"/><Relationship Id="rId134" Type="http://schemas.openxmlformats.org/officeDocument/2006/relationships/hyperlink" Target="https://www.sec.gov/Archives/edgar/data/912242/000119312521182973/d417870dex31.htm" TargetMode="External"/><Relationship Id="rId135" Type="http://schemas.openxmlformats.org/officeDocument/2006/relationships/hyperlink" Target="http://www.sec.gov/Archives/edgar/data/912242/000119312519129272/d731295dex32.htm" TargetMode="External"/><Relationship Id="rId136" Type="http://schemas.openxmlformats.org/officeDocument/2006/relationships/hyperlink" Target="http://www.sec.gov/Archives/edgar/data/912242/0000898822-98-001027.txt" TargetMode="External"/><Relationship Id="rId137" Type="http://schemas.openxmlformats.org/officeDocument/2006/relationships/hyperlink" Target="http://www.sec.gov/Archives/edgar/data/912242/000104746903024203/a2114547zex-4_13.htm" TargetMode="External"/><Relationship Id="rId138" Type="http://schemas.openxmlformats.org/officeDocument/2006/relationships/hyperlink" Target="http://www.sec.gov/Archives/edgar/data/912242/0000912242-97-000007.txt" TargetMode="External"/><Relationship Id="rId139" Type="http://schemas.openxmlformats.org/officeDocument/2006/relationships/hyperlink" Target="http://www.sec.gov/Archives/edgar/data/912242/0000912057-97-023459.txt" TargetMode="External"/><Relationship Id="rId140" Type="http://schemas.openxmlformats.org/officeDocument/2006/relationships/hyperlink" Target="http://www.sec.gov/Archives/edgar/data/912242/0001047469-98-011649.txt" TargetMode="External"/><Relationship Id="rId141" Type="http://schemas.openxmlformats.org/officeDocument/2006/relationships/hyperlink" Target="http://www.sec.gov/Archives/edgar/data/912242/000091205701505482/a2042811zex-10_17.htm" TargetMode="External"/><Relationship Id="rId142" Type="http://schemas.openxmlformats.org/officeDocument/2006/relationships/hyperlink" Target="http://www.sec.gov/Archives/edgar/data/912242/000091205702030706/a2086079zex-10_1.htm" TargetMode="External"/><Relationship Id="rId143" Type="http://schemas.openxmlformats.org/officeDocument/2006/relationships/hyperlink" Target="http://www.sec.gov/Archives/edgar/data/912242/000104746907001438/a2175451zex-10_19.htm" TargetMode="External"/><Relationship Id="rId144" Type="http://schemas.openxmlformats.org/officeDocument/2006/relationships/hyperlink" Target="http://www.sec.gov/Archives/edgar/data/912242/000110465907021619/a07-8493_1ex10d1.htm" TargetMode="External"/><Relationship Id="rId146" Type="http://schemas.openxmlformats.org/officeDocument/2006/relationships/hyperlink" Target="http://www.sec.gov/Archives/edgar/data/912242/000104746909007391/a2193924zex-10_1.htm" TargetMode="External"/><Relationship Id="rId147" Type="http://schemas.openxmlformats.org/officeDocument/2006/relationships/hyperlink" Target="http://www.sec.gov/Archives/edgar/data/912242/000104746910001497/a2196442zex-10_112.htm" TargetMode="External"/><Relationship Id="rId148" Type="http://schemas.openxmlformats.org/officeDocument/2006/relationships/hyperlink" Target="https://www.sec.gov/Archives/edgar/data/912242/000091224222000003/mac-20211231x10kex10113.htm" TargetMode="External"/><Relationship Id="rId149" Type="http://schemas.openxmlformats.org/officeDocument/2006/relationships/hyperlink" Target="http://www.sec.gov/Archives/edgar/data/912242/000110465905019358/a05-7552_1ex10d2.htm" TargetMode="External"/><Relationship Id="rId150" Type="http://schemas.openxmlformats.org/officeDocument/2006/relationships/hyperlink" Target="http://www.sec.gov/Archives/edgar/data/912242/000104746904007699/a2130493zex-10_5.htm" TargetMode="External"/><Relationship Id="rId151" Type="http://schemas.openxmlformats.org/officeDocument/2006/relationships/hyperlink" Target="http://www.sec.gov/Archives/edgar/data/912242/000104746909001981/a2189901zex-10_51.htm" TargetMode="External"/><Relationship Id="rId152" Type="http://schemas.openxmlformats.org/officeDocument/2006/relationships/hyperlink" Target="http://www.sec.gov/Archives/edgar/data/912242/000104746911006998/a2204925zex-10_1.htm" TargetMode="External"/><Relationship Id="rId153" Type="http://schemas.openxmlformats.org/officeDocument/2006/relationships/hyperlink" Target="http://www.sec.gov/Archives/edgar/data/912242/000104746912010061/a2211558zex-10_1.htm" TargetMode="External"/><Relationship Id="rId154" Type="http://schemas.openxmlformats.org/officeDocument/2006/relationships/hyperlink" Target="http://www.sec.gov/Archives/edgar/data/912242/000104746904007699/a2130493zex-10_6.htm" TargetMode="External"/><Relationship Id="rId155" Type="http://schemas.openxmlformats.org/officeDocument/2006/relationships/hyperlink" Target="http://www.sec.gov/Archives/edgar/data/912242/000104746909001981/a2189901zex-10_61.htm" TargetMode="External"/><Relationship Id="rId156" Type="http://schemas.openxmlformats.org/officeDocument/2006/relationships/hyperlink" Target="http://www.sec.gov/Archives/edgar/data/912242/000104746911006998/a2204925zex-10_3.htm" TargetMode="External"/><Relationship Id="rId157" Type="http://schemas.openxmlformats.org/officeDocument/2006/relationships/hyperlink" Target="http://www.sec.gov/Archives/edgar/data/912242/000104746912010061/a2211558zex-10_2.htm" TargetMode="External"/><Relationship Id="rId158" Type="http://schemas.openxmlformats.org/officeDocument/2006/relationships/hyperlink" Target="http://www.sec.gov/Archives/edgar/data/912242/000091224216000020/mac-2015x12x31x10kxex108.htm" TargetMode="External"/><Relationship Id="rId160" Type="http://schemas.openxmlformats.org/officeDocument/2006/relationships/hyperlink" Target="http://www.sec.gov/Archives/edgar/data/912242/000091224219000013/mac-6302019xexhibit101.htm" TargetMode="External"/><Relationship Id="rId161" Type="http://schemas.openxmlformats.org/officeDocument/2006/relationships/hyperlink" Target="http://www.sec.gov/Archives/edgar/data/912242/000104746904007699/a2130493zex-10_48.htm" TargetMode="External"/><Relationship Id="rId162" Type="http://schemas.openxmlformats.org/officeDocument/2006/relationships/hyperlink" Target="http://www.sec.gov/Archives/edgar/data/912242/000104746909001981/a2189901zex-10_19.htm" TargetMode="External"/><Relationship Id="rId163" Type="http://schemas.openxmlformats.org/officeDocument/2006/relationships/hyperlink" Target="http://www.sec.gov/Archives/edgar/data/912242/000091205702030706/a2086079zex-10_2.htm" TargetMode="External"/><Relationship Id="rId164" Type="http://schemas.openxmlformats.org/officeDocument/2006/relationships/hyperlink" Target="http://www.sec.gov/Archives/edgar/data/912242/000091205702030706/a2086079zex-10_3.htm" TargetMode="External"/><Relationship Id="rId165" Type="http://schemas.openxmlformats.org/officeDocument/2006/relationships/hyperlink" Target="https://www.sec.gov/Archives/edgar/data/912242/000119312521121303/d28419dex101.htm" TargetMode="External"/><Relationship Id="rId167" Type="http://schemas.openxmlformats.org/officeDocument/2006/relationships/hyperlink" Target="https://www.sec.gov/Archives/edgar/data/912242/000091224221000014/mac-20210630x10qexhibit1011.htm" TargetMode="External"/><Relationship Id="rId168" Type="http://schemas.openxmlformats.org/officeDocument/2006/relationships/hyperlink" Target="https://www.sec.gov/Archives/edgar/data/912242/000119312521121303/d28419dex102.htm" TargetMode="External"/><Relationship Id="rId169" Type="http://schemas.openxmlformats.org/officeDocument/2006/relationships/hyperlink" Target="http://www.sec.gov/Archives/edgar/data/912242/000110465905019358/a05-7552_1ex10d3.htm" TargetMode="External"/><Relationship Id="rId170" Type="http://schemas.openxmlformats.org/officeDocument/2006/relationships/hyperlink" Target="http://www.sec.gov/Archives/edgar/data/912242/000110465916124837/a16-12376_1ex10d1.htm" TargetMode="External"/><Relationship Id="rId171" Type="http://schemas.openxmlformats.org/officeDocument/2006/relationships/hyperlink" Target="http://www.sec.gov/Archives/edgar/data/912242/000104746911001377/a2201763zex-10_271.htm" TargetMode="External"/><Relationship Id="rId172" Type="http://schemas.openxmlformats.org/officeDocument/2006/relationships/hyperlink" Target="https://www.sec.gov/Archives/edgar/data/912242/000119312521182973/d417870dex101.htm" TargetMode="External"/><Relationship Id="rId173" Type="http://schemas.openxmlformats.org/officeDocument/2006/relationships/hyperlink" Target="http://www.sec.gov/Archives/edgar/data/912242/000091224219000007/mac-3312019xexhibit103.htm" TargetMode="External"/><Relationship Id="rId174" Type="http://schemas.openxmlformats.org/officeDocument/2006/relationships/hyperlink" Target="http://www.sec.gov/Archives/edgar/data/912242/000091224217000017/mac-9302017xexhibit101.htm" TargetMode="External"/><Relationship Id="rId175" Type="http://schemas.openxmlformats.org/officeDocument/2006/relationships/hyperlink" Target="https://www.sec.gov/Archives/edgar/data/912242/000119312521191224/d77146dex101.htm" TargetMode="External"/><Relationship Id="rId176" Type="http://schemas.openxmlformats.org/officeDocument/2006/relationships/hyperlink" Target="http://www.sec.gov/Archives/edgar/data/912242/000110465905019358/a05-7552_1ex10d1.htm" TargetMode="External"/><Relationship Id="rId177" Type="http://schemas.openxmlformats.org/officeDocument/2006/relationships/hyperlink" Target="http://www.sec.gov/Archives/edgar/data/912242/000110465905019358/a05-7552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2023-02-24T11:29:00Z</dcterms:created>
  <dcterms:modified xsi:type="dcterms:W3CDTF">2023-02-24T11:29:00Z</dcterms:modified>
</cp:coreProperties>
</file>