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1392555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9"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0"/>
          <w:szCs w:val="20"/>
          <w:color w:val="auto"/>
        </w:rPr>
      </w:pPr>
    </w:p>
    <w:p>
      <w:pPr>
        <w:ind w:left="6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90"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8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4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1440" w:right="459" w:bottom="1440" w:gutter="0" w:footer="0" w:header="0"/>
        </w:sectPr>
      </w:pPr>
    </w:p>
    <w:p>
      <w:pPr>
        <w:spacing w:after="0" w:line="3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5"/>
          <w:szCs w:val="15"/>
          <w:color w:val="auto"/>
        </w:rPr>
        <w:t>Maryland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95-4448705</w:t>
      </w:r>
    </w:p>
    <w:p>
      <w:pPr>
        <w:spacing w:after="0" w:line="30" w:lineRule="exact"/>
        <w:rPr>
          <w:sz w:val="24"/>
          <w:szCs w:val="24"/>
          <w:color w:val="auto"/>
        </w:rPr>
      </w:pPr>
    </w:p>
    <w:p>
      <w:pPr>
        <w:sectPr>
          <w:pgSz w:w="11900" w:h="16838" w:orient="portrait"/>
          <w:cols w:equalWidth="0" w:num="2">
            <w:col w:w="7320" w:space="720"/>
            <w:col w:w="3080"/>
          </w:cols>
          <w:pgMar w:left="320" w:top="1440" w:right="45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92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Number)</w:t>
      </w:r>
    </w:p>
    <w:p>
      <w:pPr>
        <w:spacing w:after="0" w:line="195" w:lineRule="exact"/>
        <w:rPr>
          <w:sz w:val="24"/>
          <w:szCs w:val="24"/>
          <w:color w:val="auto"/>
        </w:rPr>
      </w:pPr>
    </w:p>
    <w:p>
      <w:pPr>
        <w:sectPr>
          <w:pgSz w:w="11900" w:h="16838" w:orient="portrait"/>
          <w:cols w:equalWidth="0" w:num="2">
            <w:col w:w="6420" w:space="720"/>
            <w:col w:w="3980"/>
          </w:cols>
          <w:pgMar w:left="320" w:top="1440" w:right="459" w:bottom="1440" w:gutter="0" w:footer="0" w:header="0"/>
          <w:type w:val="continuous"/>
        </w:sectPr>
      </w:pPr>
    </w:p>
    <w:p>
      <w:pPr>
        <w:jc w:val="center"/>
        <w:ind w:left="420"/>
        <w:spacing w:after="0"/>
        <w:rPr>
          <w:sz w:val="20"/>
          <w:szCs w:val="20"/>
          <w:color w:val="auto"/>
        </w:rPr>
      </w:pPr>
      <w:r>
        <w:rPr>
          <w:rFonts w:ascii="Times New Roman" w:cs="Times New Roman" w:eastAsia="Times New Roman" w:hAnsi="Times New Roman"/>
          <w:sz w:val="15"/>
          <w:szCs w:val="15"/>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90401</w:t>
      </w:r>
    </w:p>
    <w:p>
      <w:pPr>
        <w:spacing w:after="0" w:line="27" w:lineRule="exact"/>
        <w:rPr>
          <w:sz w:val="24"/>
          <w:szCs w:val="24"/>
          <w:color w:val="auto"/>
        </w:rPr>
      </w:pPr>
    </w:p>
    <w:p>
      <w:pPr>
        <w:sectPr>
          <w:pgSz w:w="11900" w:h="16838" w:orient="portrait"/>
          <w:cols w:equalWidth="0" w:num="5">
            <w:col w:w="1980" w:space="440"/>
            <w:col w:w="640" w:space="360"/>
            <w:col w:w="920" w:space="420"/>
            <w:col w:w="2740" w:space="720"/>
            <w:col w:w="2900"/>
          </w:cols>
          <w:pgMar w:left="320" w:top="1440" w:right="4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38" w:lineRule="exact"/>
        <w:rPr>
          <w:sz w:val="24"/>
          <w:szCs w:val="24"/>
          <w:color w:val="auto"/>
        </w:rPr>
      </w:pPr>
    </w:p>
    <w:p>
      <w:pPr>
        <w:sectPr>
          <w:pgSz w:w="11900" w:h="16838" w:orient="portrait"/>
          <w:cols w:equalWidth="0" w:num="2">
            <w:col w:w="7360" w:space="720"/>
            <w:col w:w="3040"/>
          </w:cols>
          <w:pgMar w:left="320" w:top="1440" w:right="45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20"/>
          </w:cols>
          <w:pgMar w:left="320" w:top="1440" w:right="459" w:bottom="1440" w:gutter="0" w:footer="0" w:header="0"/>
          <w:type w:val="continuous"/>
        </w:sectPr>
      </w:pP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3060"/>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20"/>
          </w:cols>
          <w:pgMar w:left="320" w:top="1440" w:right="459" w:bottom="1440" w:gutter="0" w:footer="0" w:header="0"/>
          <w:type w:val="continuous"/>
        </w:sectPr>
      </w:pPr>
    </w:p>
    <w:p>
      <w:pPr>
        <w:spacing w:after="0" w:line="4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color w:val="auto"/>
        </w:rPr>
        <w:t>Trading symbol</w:t>
      </w:r>
    </w:p>
    <w:p>
      <w:pPr>
        <w:spacing w:after="0" w:line="4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60" w:space="720"/>
            <w:col w:w="2040" w:space="720"/>
            <w:col w:w="3580"/>
          </w:cols>
          <w:pgMar w:left="320" w:top="1440" w:right="459" w:bottom="1440" w:gutter="0" w:footer="0" w:header="0"/>
          <w:type w:val="continuous"/>
        </w:sectPr>
      </w:pPr>
    </w:p>
    <w:p>
      <w:pPr>
        <w:spacing w:after="0" w:line="40" w:lineRule="exact"/>
        <w:rPr>
          <w:sz w:val="24"/>
          <w:szCs w:val="24"/>
          <w:color w:val="auto"/>
        </w:rPr>
      </w:pPr>
    </w:p>
    <w:p>
      <w:pPr>
        <w:ind w:right="160" w:firstLine="434"/>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firstLine="434"/>
        <w:spacing w:after="0" w:line="22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ind w:firstLine="434"/>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20"/>
          </w:cols>
          <w:pgMar w:left="320" w:top="1440" w:right="459" w:bottom="1440" w:gutter="0" w:footer="0" w:header="0"/>
          <w:type w:val="continuous"/>
        </w:sectPr>
      </w:pPr>
    </w:p>
    <w:p>
      <w:pPr>
        <w:spacing w:after="0" w:line="1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both"/>
        <w:ind w:hanging="19"/>
        <w:spacing w:after="0" w:line="340" w:lineRule="auto"/>
        <w:rPr>
          <w:sz w:val="20"/>
          <w:szCs w:val="20"/>
          <w:color w:val="auto"/>
        </w:rPr>
      </w:pPr>
      <w:r>
        <w:rPr>
          <w:rFonts w:ascii="Times New Roman" w:cs="Times New Roman" w:eastAsia="Times New Roman" w:hAnsi="Times New Roman"/>
          <w:sz w:val="15"/>
          <w:szCs w:val="15"/>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8">
            <w:col w:w="1900" w:space="440"/>
            <w:col w:w="180" w:space="480"/>
            <w:col w:w="1100" w:space="460"/>
            <w:col w:w="140" w:space="580"/>
            <w:col w:w="1400" w:space="580"/>
            <w:col w:w="600" w:space="720"/>
            <w:col w:w="1800" w:space="140"/>
            <w:col w:w="600"/>
          </w:cols>
          <w:pgMar w:left="320" w:top="1440" w:right="459" w:bottom="1440" w:gutter="0" w:footer="0" w:header="0"/>
          <w:type w:val="continuous"/>
        </w:sectPr>
      </w:pPr>
    </w:p>
    <w:p>
      <w:pPr>
        <w:ind w:right="300" w:firstLine="434"/>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left="440"/>
        <w:spacing w:after="0" w:line="196" w:lineRule="exact"/>
        <w:tabs>
          <w:tab w:leader="none" w:pos="83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20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shares outstanding as of August 8, 2025 of the registrant's common stock, par value $0.01 per share: 252,751,307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739775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0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7"/>
              </w:rPr>
              <w:t>THE MACERICH COMPANY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0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6"/>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6800" w:type="dxa"/>
            <w:vAlign w:val="bottom"/>
            <w:gridSpan w:val="9"/>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June 30, 2025 and December 31, 2024</w:t>
            </w:r>
          </w:p>
        </w:tc>
        <w:tc>
          <w:tcPr>
            <w:tcW w:w="4000" w:type="dxa"/>
            <w:vAlign w:val="bottom"/>
            <w:gridSpan w:val="5"/>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2025 and 2024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(Loss) Income for the three and six months ended June 30, 2025 and 2024</w:t>
            </w:r>
          </w:p>
        </w:tc>
        <w:tc>
          <w:tcPr>
            <w:tcW w:w="8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three and six months ended June 30, 2025 and 2024</w:t>
            </w:r>
          </w:p>
        </w:tc>
        <w:tc>
          <w:tcPr>
            <w:tcW w:w="8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 for the six months ended June 30, 2025 and 2024</w:t>
            </w:r>
          </w:p>
        </w:tc>
        <w:tc>
          <w:tcPr>
            <w:tcW w:w="320" w:type="dxa"/>
            <w:vAlign w:val="bottom"/>
          </w:tcPr>
          <w:p>
            <w:pPr>
              <w:spacing w:after="0"/>
              <w:rPr>
                <w:sz w:val="22"/>
                <w:szCs w:val="22"/>
                <w:color w:val="auto"/>
              </w:rPr>
            </w:pPr>
          </w:p>
        </w:tc>
        <w:tc>
          <w:tcPr>
            <w:tcW w:w="2540" w:type="dxa"/>
            <w:vAlign w:val="bottom"/>
            <w:gridSpan w:val="3"/>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60" w:type="dxa"/>
            <w:vAlign w:val="bottom"/>
            <w:gridSpan w:val="4"/>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520" w:type="dxa"/>
            <w:vAlign w:val="bottom"/>
            <w:gridSpan w:val="3"/>
          </w:tcPr>
          <w:p>
            <w:pPr>
              <w:spacing w:after="0"/>
              <w:rPr>
                <w:sz w:val="22"/>
                <w:szCs w:val="22"/>
                <w:color w:val="auto"/>
              </w:rPr>
            </w:pPr>
          </w:p>
        </w:tc>
        <w:tc>
          <w:tcPr>
            <w:tcW w:w="63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860" w:type="dxa"/>
            <w:vAlign w:val="bottom"/>
            <w:gridSpan w:val="4"/>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900" w:type="dxa"/>
            <w:vAlign w:val="bottom"/>
            <w:gridSpan w:val="6"/>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520" w:type="dxa"/>
            <w:vAlign w:val="bottom"/>
            <w:gridSpan w:val="3"/>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860" w:type="dxa"/>
            <w:vAlign w:val="bottom"/>
            <w:gridSpan w:val="12"/>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5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920" w:type="dxa"/>
            <w:vAlign w:val="bottom"/>
            <w:gridSpan w:val="7"/>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56"/>
        </w:trPr>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900" w:type="dxa"/>
            <w:vAlign w:val="bottom"/>
            <w:gridSpan w:val="10"/>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56"/>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tcBorders>
              <w:top w:val="single" w:sz="8" w:color="0000FF"/>
            </w:tcBorders>
            <w:gridSpan w:val="2"/>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Borders>
              <w:top w:val="single" w:sz="8" w:color="0000FF"/>
            </w:tcBorders>
            <w:gridSpan w:val="2"/>
          </w:tcPr>
          <w:p>
            <w:pPr>
              <w:spacing w:after="0"/>
              <w:rPr>
                <w:sz w:val="22"/>
                <w:szCs w:val="22"/>
                <w:color w:val="auto"/>
              </w:rPr>
            </w:pPr>
          </w:p>
        </w:tc>
        <w:tc>
          <w:tcPr>
            <w:tcW w:w="7440" w:type="dxa"/>
            <w:vAlign w:val="bottom"/>
            <w:gridSpan w:val="11"/>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520" w:type="dxa"/>
            <w:vAlign w:val="bottom"/>
            <w:gridSpan w:val="3"/>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7,165,363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7,097,113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87,621</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111,037</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654,667</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8,729,251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8,567,039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5,229,832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4,894,525</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6,066,436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5,724,614</w:t>
            </w:r>
          </w:p>
        </w:tc>
      </w:tr>
      <w:tr>
        <w:trPr>
          <w:trHeight w:val="204"/>
        </w:trPr>
        <w:tc>
          <w:tcPr>
            <w:tcW w:w="82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9"/>
              </w:rPr>
              <w:t>Common stock, $0.01 par value, 500,000,000 shares authorized at June 30, 2025 and December 31, 2024, and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253,199,243 and 252,925,496 shares issued and outstanding at June 30, 2025 and December 31, 2024,</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6,160,780</w:t>
            </w: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(3,406,786)</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2,756,487</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85,938</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2,662,815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2,842,425</w:t>
            </w:r>
          </w:p>
        </w:tc>
      </w:tr>
      <w:tr>
        <w:trPr>
          <w:trHeight w:val="242"/>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80" w:type="dxa"/>
            <w:vAlign w:val="bottom"/>
          </w:tcPr>
          <w:p>
            <w:pPr>
              <w:spacing w:after="0"/>
              <w:rPr>
                <w:sz w:val="13"/>
                <w:szCs w:val="13"/>
                <w:color w:val="auto"/>
              </w:rPr>
            </w:pPr>
          </w:p>
        </w:tc>
        <w:tc>
          <w:tcPr>
            <w:tcW w:w="20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232,725</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197,961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468,372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389,613</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10,781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19,683</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6,779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15,008</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215,521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424,304</w:t>
            </w:r>
          </w:p>
        </w:tc>
        <w:tc>
          <w:tcPr>
            <w:tcW w:w="0" w:type="dxa"/>
            <w:vAlign w:val="bottom"/>
          </w:tcPr>
          <w:p>
            <w:pPr>
              <w:spacing w:after="0"/>
              <w:rPr>
                <w:sz w:val="1"/>
                <w:szCs w:val="1"/>
                <w:color w:val="auto"/>
              </w:rPr>
            </w:pPr>
          </w:p>
        </w:tc>
      </w:tr>
      <w:tr>
        <w:trPr>
          <w:trHeight w:val="16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70,446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144,633</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20,112</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19,450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38,649</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14,639</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71,676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181,062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140,027</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208,641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178,158</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425,980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358,060</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55,466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140,999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103,219</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39,765</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140,999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91,955</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217,923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450,015</w:t>
            </w:r>
          </w:p>
        </w:tc>
        <w:tc>
          <w:tcPr>
            <w:tcW w:w="0" w:type="dxa"/>
            <w:vAlign w:val="bottom"/>
          </w:tcPr>
          <w:p>
            <w:pPr>
              <w:spacing w:after="0"/>
              <w:rPr>
                <w:sz w:val="1"/>
                <w:szCs w:val="1"/>
                <w:color w:val="auto"/>
              </w:rPr>
            </w:pPr>
          </w:p>
        </w:tc>
      </w:tr>
      <w:tr>
        <w:trPr>
          <w:trHeight w:val="19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(130,113)</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324,996</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288,911</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265,499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134,053</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13,492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8,774</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the Company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252,007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125,279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share—attributable to common stockholders: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253,085,000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216,180,000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253,039,000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216,108,000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253,085,000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216,180,000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253,039,000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216,108,000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00" w:type="dxa"/>
            <w:vAlign w:val="bottom"/>
          </w:tcPr>
          <w:p>
            <w:pPr>
              <w:spacing w:after="0"/>
              <w:rPr>
                <w:sz w:val="13"/>
                <w:szCs w:val="13"/>
                <w:color w:val="auto"/>
              </w:rPr>
            </w:pPr>
          </w:p>
        </w:tc>
        <w:tc>
          <w:tcPr>
            <w:tcW w:w="20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r>
      <w:tr>
        <w:trPr>
          <w:trHeight w:val="191"/>
        </w:trPr>
        <w:tc>
          <w:tcPr>
            <w:tcW w:w="5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1"/>
        </w:trPr>
        <w:tc>
          <w:tcPr>
            <w:tcW w:w="57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134,053</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r>
      <w:tr>
        <w:trPr>
          <w:trHeight w:val="18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134,973</w:t>
            </w: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r>
      <w:tr>
        <w:trPr>
          <w:trHeight w:val="19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the Company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252,312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126,199</w:t>
            </w: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June 30, 2025 and 2024</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3"/>
                <w:szCs w:val="3"/>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April 1, 2025</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253,030,425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6,161,896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(3,500,838)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2,663,572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80,351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2,743,923</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(41,544)</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76,828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5,138</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91,990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(42,999)</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(2,734)</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2025</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253,199,243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6,167,547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(3,584,742)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2,585,322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77,493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2,662,815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60"/>
              <w:spacing w:after="0" w:line="73"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tcPr>
          <w:p>
            <w:pPr>
              <w:jc w:val="center"/>
              <w:ind w:right="300"/>
              <w:spacing w:after="0" w:line="73"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6"/>
                <w:szCs w:val="6"/>
                <w:color w:val="auto"/>
              </w:rPr>
            </w:pPr>
          </w:p>
        </w:tc>
        <w:tc>
          <w:tcPr>
            <w:tcW w:w="1140" w:type="dxa"/>
            <w:vAlign w:val="bottom"/>
            <w:gridSpan w:val="2"/>
          </w:tcPr>
          <w:p>
            <w:pPr>
              <w:jc w:val="center"/>
              <w:ind w:right="280"/>
              <w:spacing w:after="0" w:line="73"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April 1, 2024</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216,091,693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5,512,628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(3,227,312)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2,287,138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73,477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2,360,615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252,007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13,492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265,499</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113,765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105,240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92,523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6,614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216,403,221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5,515,333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2,505,434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83,306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2,588,740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Six Months Ended June 30, 2025 and 2024</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252,925,496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6,160,780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(3,406,786)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2,756,487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85,938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2,842,425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(92,698)</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175,657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8,620</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91,990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($0.34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(86,927)</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(9,238)</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6,100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2,580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2025</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253,199,243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6,167,547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(3,584,742)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2,585,322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77,493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2,662,815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tcPr>
          <w:p>
            <w:pPr>
              <w:jc w:val="center"/>
              <w:ind w:right="30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40" w:type="dxa"/>
            <w:vAlign w:val="bottom"/>
          </w:tcPr>
          <w:p>
            <w:pPr>
              <w:spacing w:after="0"/>
              <w:rPr>
                <w:sz w:val="4"/>
                <w:szCs w:val="4"/>
                <w:color w:val="auto"/>
              </w:rPr>
            </w:pPr>
          </w:p>
        </w:tc>
        <w:tc>
          <w:tcPr>
            <w:tcW w:w="114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2024</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2,527,601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125,279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8,774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134,053</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228,844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5,443</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105,240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($0.34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(6,713)</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92,523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6,634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216,403,221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5,515,333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2,505,434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83,306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2,588,740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8440" w:type="dxa"/>
            <w:vAlign w:val="bottom"/>
          </w:tcPr>
          <w:p>
            <w:pPr>
              <w:jc w:val="center"/>
              <w:ind w:left="24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2640" w:type="dxa"/>
            <w:vAlign w:val="bottom"/>
            <w:gridSpan w:val="6"/>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For the Six Months Ended June</w:t>
            </w:r>
          </w:p>
        </w:tc>
      </w:tr>
      <w:tr>
        <w:trPr>
          <w:trHeight w:val="234"/>
        </w:trPr>
        <w:tc>
          <w:tcPr>
            <w:tcW w:w="1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0"/>
        </w:trPr>
        <w:tc>
          <w:tcPr>
            <w:tcW w:w="16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or write down of assets,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(288,911)</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145,789</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discount on mortgage notes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loss of unconsolidated joint ventures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128,526</w:t>
            </w:r>
          </w:p>
        </w:tc>
        <w:tc>
          <w:tcPr>
            <w:tcW w:w="140" w:type="dxa"/>
            <w:vAlign w:val="bottom"/>
          </w:tcPr>
          <w:p>
            <w:pPr>
              <w:spacing w:after="0"/>
              <w:rPr>
                <w:sz w:val="18"/>
                <w:szCs w:val="18"/>
                <w:color w:val="auto"/>
              </w:rPr>
            </w:pPr>
          </w:p>
        </w:tc>
      </w:tr>
      <w:tr>
        <w:trPr>
          <w:trHeight w:val="217"/>
        </w:trPr>
        <w:tc>
          <w:tcPr>
            <w:tcW w:w="16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property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 from acquisition of unconsolidated joint ventures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Derecognition of cash previously held by a consolidated joint venture to an unconsolidated joint venture</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(314,660)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40" w:type="dxa"/>
            <w:vAlign w:val="bottom"/>
          </w:tcPr>
          <w:p>
            <w:pPr>
              <w:spacing w:after="0"/>
              <w:rPr>
                <w:sz w:val="18"/>
                <w:szCs w:val="18"/>
                <w:color w:val="auto"/>
              </w:rPr>
            </w:pPr>
          </w:p>
        </w:tc>
      </w:tr>
      <w:tr>
        <w:trPr>
          <w:trHeight w:val="874"/>
        </w:trPr>
        <w:tc>
          <w:tcPr>
            <w:tcW w:w="8600" w:type="dxa"/>
            <w:vAlign w:val="bottom"/>
            <w:gridSpan w:val="2"/>
          </w:tcPr>
          <w:p>
            <w:pPr>
              <w:jc w:val="right"/>
              <w:ind w:right="2852"/>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2"/>
        </w:trPr>
        <w:tc>
          <w:tcPr>
            <w:tcW w:w="16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44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5"/>
        </w:trPr>
        <w:tc>
          <w:tcPr>
            <w:tcW w:w="8440" w:type="dxa"/>
            <w:vAlign w:val="bottom"/>
          </w:tcPr>
          <w:p>
            <w:pPr>
              <w:spacing w:after="0"/>
              <w:rPr>
                <w:sz w:val="16"/>
                <w:szCs w:val="16"/>
                <w:color w:val="auto"/>
              </w:rPr>
            </w:pPr>
          </w:p>
        </w:tc>
        <w:tc>
          <w:tcPr>
            <w:tcW w:w="250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w w:val="98"/>
              </w:rPr>
              <w:t>For the Six Months Ended June</w:t>
            </w:r>
          </w:p>
        </w:tc>
      </w:tr>
      <w:tr>
        <w:trPr>
          <w:trHeight w:val="234"/>
        </w:trPr>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r>
      <w:tr>
        <w:trPr>
          <w:trHeight w:val="220"/>
        </w:trPr>
        <w:tc>
          <w:tcPr>
            <w:tcW w:w="8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289,996</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(257,922)</w:t>
            </w: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from stock offerings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4"/>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(80,232)</w:t>
            </w:r>
          </w:p>
        </w:tc>
      </w:tr>
      <w:tr>
        <w:trPr>
          <w:trHeight w:val="21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w:t>
            </w:r>
          </w:p>
        </w:tc>
      </w:tr>
      <w:tr>
        <w:trPr>
          <w:trHeight w:val="217"/>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190,294</w:t>
            </w: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84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260" w:type="dxa"/>
            <w:vAlign w:val="bottom"/>
            <w:tcBorders>
              <w:bottom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43,059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39,686</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5"/>
        </w:trPr>
        <w:tc>
          <w:tcPr>
            <w:tcW w:w="8440" w:type="dxa"/>
            <w:vAlign w:val="bottom"/>
            <w:tcBorders>
              <w:bottom w:val="single" w:sz="8" w:color="CCEEFF"/>
            </w:tcBorders>
            <w:shd w:val="clear" w:color="auto" w:fill="CCEEFF"/>
          </w:tcPr>
          <w:p>
            <w:pPr>
              <w:ind w:left="140"/>
              <w:spacing w:after="0" w:line="190" w:lineRule="exact"/>
              <w:rPr>
                <w:sz w:val="20"/>
                <w:szCs w:val="20"/>
                <w:color w:val="auto"/>
              </w:rPr>
            </w:pPr>
            <w:r>
              <w:rPr>
                <w:rFonts w:ascii="Times New Roman" w:cs="Times New Roman" w:eastAsia="Times New Roman" w:hAnsi="Times New Roman"/>
                <w:sz w:val="18"/>
                <w:szCs w:val="18"/>
                <w:color w:val="auto"/>
                <w:w w:val="97"/>
              </w:rPr>
              <w:t>Derecognition of previously consolidated property and related liabilities to investment in unconsolidated joint venture</w:t>
            </w:r>
          </w:p>
        </w:tc>
        <w:tc>
          <w:tcPr>
            <w:tcW w:w="260" w:type="dxa"/>
            <w:vAlign w:val="bottom"/>
            <w:tcBorders>
              <w:bottom w:val="single" w:sz="8" w:color="auto"/>
            </w:tcBorders>
            <w:shd w:val="clear" w:color="auto" w:fill="CCEEFF"/>
          </w:tcPr>
          <w:p>
            <w:pPr>
              <w:jc w:val="right"/>
              <w:ind w:right="7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347,290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5,970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acquired from unconsolidated joint venture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621,701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196"/>
        </w:trPr>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Liabilities assumed from unconsolidated joint venture</w:t>
            </w:r>
          </w:p>
        </w:tc>
        <w:tc>
          <w:tcPr>
            <w:tcW w:w="260" w:type="dxa"/>
            <w:vAlign w:val="bottom"/>
            <w:tcBorders>
              <w:top w:val="single" w:sz="8" w:color="auto"/>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558,439</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retail centers and community/power shopping centers (the "Centers") located throughout the United States.</w:t>
      </w:r>
    </w:p>
    <w:p>
      <w:pPr>
        <w:spacing w:after="0" w:line="90"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June 30, 2025,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14"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9"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88" w:lineRule="exact"/>
        <w:rPr>
          <w:sz w:val="20"/>
          <w:szCs w:val="20"/>
          <w:color w:val="auto"/>
        </w:rPr>
      </w:pPr>
    </w:p>
    <w:p>
      <w:pPr>
        <w:ind w:left="400" w:right="7660" w:hanging="395"/>
        <w:spacing w:after="0" w:line="413" w:lineRule="auto"/>
        <w:tabs>
          <w:tab w:leader="none" w:pos="1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122,102</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219,642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219,595</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71,268</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290,863</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63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42" w:lineRule="exact"/>
        <w:rPr>
          <w:sz w:val="20"/>
          <w:szCs w:val="20"/>
          <w:color w:val="auto"/>
        </w:rPr>
      </w:pPr>
    </w:p>
    <w:p>
      <w:pPr>
        <w:ind w:right="80" w:firstLine="434"/>
        <w:spacing w:after="0" w:line="284" w:lineRule="auto"/>
        <w:rPr>
          <w:sz w:val="20"/>
          <w:szCs w:val="20"/>
          <w:color w:val="auto"/>
        </w:rPr>
      </w:pPr>
      <w:r>
        <w:rPr>
          <w:rFonts w:ascii="Times New Roman" w:cs="Times New Roman" w:eastAsia="Times New Roman" w:hAnsi="Times New Roman"/>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2024.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2024 has been derived from the audited financial statements but does not include all disclosures required by GAAP.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94,936</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95,358</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85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70,692</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110,962</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225,473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181,654</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37"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Improvements to Income Tax Disclosures. This ASU requires disaggregated information about a reporting entity's effective tax rate reconciliation as well as information on income taxes paid and will be effective for annual periods beginning after December 15, 2024. The new requirements should be applied on a prospective basis with an option to apply them retrospectively. Early adoption is permitted. The Company has determined that ASU 2023-09 will not have a material impact on its consolidated financial statements and related disclosures.</w:t>
      </w:r>
    </w:p>
    <w:p>
      <w:pPr>
        <w:spacing w:after="0" w:line="21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spacing w:after="0" w:line="21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Induced Conversions of Convertible Debt Instruments.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is currently evaluating the potential impact of adopting ASU 2024-04.</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50"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and six months ended June 30, 2025 and 2024 (shares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(41,544)</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1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134,053</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0" w:type="dxa"/>
            <w:vAlign w:val="bottom"/>
          </w:tcPr>
          <w:p>
            <w:pPr>
              <w:spacing w:after="0"/>
              <w:rPr>
                <w:sz w:val="1"/>
                <w:szCs w:val="1"/>
                <w:color w:val="auto"/>
              </w:rPr>
            </w:pPr>
          </w:p>
        </w:tc>
      </w:tr>
      <w:tr>
        <w:trPr>
          <w:trHeight w:val="21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the Company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125,279</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51"/>
        </w:trPr>
        <w:tc>
          <w:tcPr>
            <w:tcW w:w="628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Numerator for basic and diluted EPS—net (loss) income attributable to common</w:t>
            </w:r>
          </w:p>
        </w:tc>
        <w:tc>
          <w:tcPr>
            <w:tcW w:w="260" w:type="dxa"/>
            <w:vAlign w:val="bottom"/>
            <w:vMerge w:val="restart"/>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8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251,610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(91,418)</w:t>
            </w:r>
          </w:p>
        </w:tc>
        <w:tc>
          <w:tcPr>
            <w:tcW w:w="16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124,839</w:t>
            </w: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 shares</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253,085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216,180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253,039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216,108</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income attributable to common stockholders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40" w:right="140" w:hanging="319"/>
        <w:spacing w:after="0" w:line="271" w:lineRule="auto"/>
        <w:tabs>
          <w:tab w:leader="none" w:pos="628"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convertible preferred partnership units for each of the three and six months ended June 30, 2025 and 2024, as their impact was antidilutive. Diluted EPS also excludes 10,881,462 and 10,090,429 Operating Partnership units ("OP Units") for the three months ended June 30, 2025 and 2024, respectively, and 10,883,552 and 10,097,546 OP Units for the six months ended June 30, 2025 and 2024, respectively, as their impact was antidilutive.</w:t>
      </w:r>
    </w:p>
    <w:p>
      <w:pPr>
        <w:spacing w:after="0" w:line="312"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within its unconsolidated joint ventures:</w:t>
      </w:r>
    </w:p>
    <w:p>
      <w:pPr>
        <w:spacing w:after="0" w:line="148"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spacing w:after="0" w:line="114" w:lineRule="exact"/>
        <w:rPr>
          <w:sz w:val="20"/>
          <w:szCs w:val="20"/>
          <w:color w:val="auto"/>
        </w:rPr>
      </w:pPr>
    </w:p>
    <w:p>
      <w:pPr>
        <w:ind w:right="180" w:firstLine="434"/>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06" w:lineRule="exact"/>
        <w:rPr>
          <w:sz w:val="20"/>
          <w:szCs w:val="20"/>
          <w:color w:val="auto"/>
        </w:rPr>
      </w:pPr>
    </w:p>
    <w:p>
      <w:pPr>
        <w:ind w:right="360" w:firstLine="434"/>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spacing w:after="0" w:line="80" w:lineRule="exact"/>
        <w:rPr>
          <w:sz w:val="20"/>
          <w:szCs w:val="20"/>
          <w:color w:val="auto"/>
        </w:rPr>
      </w:pPr>
    </w:p>
    <w:p>
      <w:pPr>
        <w:jc w:val="both"/>
        <w:ind w:right="4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spacing w:after="0" w:line="114"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50"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18"/>
          <w:szCs w:val="18"/>
          <w:color w:val="auto"/>
        </w:rPr>
        <w:t>June 13, 2024, the Company accounts for its investment in Chandler Fashion Center under the equity method of accounting (See Note 12—Financing Arrangement and Note 16—Dispositions).</w:t>
      </w:r>
    </w:p>
    <w:p>
      <w:pPr>
        <w:spacing w:after="0" w:line="104"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spacing w:after="0" w:line="101"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July 31, 2024, the Company sold its 50% interest in Biltmore Fashion Park, a 611,000 square foot regional retail center in Phoenix, Arizona, for</w:t>
      </w:r>
    </w:p>
    <w:p>
      <w:pPr>
        <w:spacing w:after="0" w:line="2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$110,000. The Company used the net proceeds to pay down debt. The Company recognized a gain of approximately $42,815 in connection with this transaction (See Note 6—Property, net).</w:t>
      </w:r>
    </w:p>
    <w:p>
      <w:pPr>
        <w:spacing w:after="0" w:line="120"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includes Los Cerritos Center, Washington Square and Lakewood Center, for a net purchase price of approximately $122,132, which includes the assumption of the partner's share of property level indebtedness. As a result of this transaction and the shortening of holding periods, an impairment loss was recorded by the joint venture. The Company's share of the impairment loss was $117,031. The Company now owns and consolidates its 100% interests in these properties (See Note 15— Acquisitions).</w:t>
      </w:r>
    </w:p>
    <w:p>
      <w:pPr>
        <w:spacing w:after="0" w:line="106"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On February 7, 2025, the Company's joint venture in Flatiron Crossing repaid in full the $14,532 mezzanine loan and $14,532 of the first mortgage, and obtained a 90-day extension for the remaining $140,479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$140,479 ($71,644 at the Company's pro rata share) of the first mortgage.</w:t>
      </w:r>
    </w:p>
    <w:p>
      <w:pPr>
        <w:spacing w:after="0" w:line="119" w:lineRule="exact"/>
        <w:rPr>
          <w:sz w:val="20"/>
          <w:szCs w:val="20"/>
          <w:color w:val="auto"/>
        </w:rPr>
      </w:pPr>
    </w:p>
    <w:p>
      <w:pPr>
        <w:jc w:val="both"/>
        <w:ind w:right="120" w:firstLine="434"/>
        <w:spacing w:after="0" w:line="256" w:lineRule="auto"/>
        <w:rPr>
          <w:sz w:val="20"/>
          <w:szCs w:val="20"/>
          <w:color w:val="auto"/>
        </w:rPr>
      </w:pPr>
      <w:r>
        <w:rPr>
          <w:rFonts w:ascii="Times New Roman" w:cs="Times New Roman" w:eastAsia="Times New Roman" w:hAnsi="Times New Roman"/>
          <w:sz w:val="18"/>
          <w:szCs w:val="18"/>
          <w:color w:val="auto"/>
        </w:rPr>
        <w:t>On June 30, 2025, the Company sold its remaining 5% effective interest in Paradise Valley Mall in Phoenix, Arizona for $5,532. The Company used the proceeds for general corporate purposes. The Company recognized a loss of approximately $1,157 in connection with this transaction (See Note 6 – Property, net).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ectPr>
          <w:pgSz w:w="11900" w:h="16838" w:orient="portrait"/>
          <w:cols w:equalWidth="0" w:num="1">
            <w:col w:w="11240"/>
          </w:cols>
          <w:pgMar w:left="320" w:top="2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3,294,977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3,519,602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459,468</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3,726,333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3,221,712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3,461,032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324,799</w:t>
            </w: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92,555</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3,726,333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adjustment(1)</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361,303</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654,667</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56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41" w:lineRule="exact"/>
        <w:rPr>
          <w:sz w:val="20"/>
          <w:szCs w:val="20"/>
          <w:color w:val="auto"/>
        </w:rPr>
      </w:pPr>
    </w:p>
    <w:p>
      <w:pPr>
        <w:ind w:left="340" w:hanging="335"/>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and adjusts the basis adjustment for</w:t>
      </w:r>
    </w:p>
    <w:p>
      <w:pPr>
        <w:spacing w:after="0" w:line="22" w:lineRule="exact"/>
        <w:rPr>
          <w:sz w:val="20"/>
          <w:szCs w:val="20"/>
          <w:color w:val="auto"/>
        </w:rPr>
      </w:pPr>
    </w:p>
    <w:p>
      <w:pPr>
        <w:ind w:left="400"/>
        <w:spacing w:after="0" w:line="277" w:lineRule="auto"/>
        <w:rPr>
          <w:sz w:val="20"/>
          <w:szCs w:val="20"/>
          <w:color w:val="auto"/>
        </w:rPr>
      </w:pPr>
      <w:r>
        <w:rPr>
          <w:rFonts w:ascii="Times New Roman" w:cs="Times New Roman" w:eastAsia="Times New Roman" w:hAnsi="Times New Roman"/>
          <w:sz w:val="14"/>
          <w:szCs w:val="14"/>
          <w:color w:val="auto"/>
        </w:rPr>
        <w:t xml:space="preserve">impairment and disposition transactions that may occur, into the Company's share of net (loss) income. The amortization of this difference was $5,314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$107,378 for the three months ended June 30, 2025 and 2024, respectively, and $10,662 and $182,561 for the six months ended June 30, 2025 and 2024, respectively.</w:t>
      </w:r>
    </w:p>
    <w:p>
      <w:pPr>
        <w:sectPr>
          <w:pgSz w:w="11900" w:h="16838" w:orient="portrait"/>
          <w:cols w:equalWidth="0" w:num="1">
            <w:col w:w="11240"/>
          </w:cols>
          <w:pgMar w:left="320" w:top="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76"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PPR Portfolio(1)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w:t>
            </w:r>
          </w:p>
        </w:tc>
        <w:tc>
          <w:tcPr>
            <w:tcW w:w="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199,417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70,547</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73,210</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212,460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or write down of assets, net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(218,242)</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(231,285)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loss(2)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020" w:hanging="38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its joint venture partner's 40% interest in the PPR Portfolio as described above.</w:t>
      </w:r>
    </w:p>
    <w:p>
      <w:pPr>
        <w:spacing w:after="0" w:line="154"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impairment losses at the Company's share of $53,690 for the three months ended June 30, 2024.</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2" w:right="879" w:bottom="1440" w:gutter="0" w:footer="0" w:header="0"/>
        </w:sectPr>
      </w:pPr>
    </w:p>
    <w:bookmarkStart w:id="15" w:name="page16"/>
    <w:bookmarkEnd w:id="15"/>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76"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2025</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Company's equity in net loss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PPR Portfolio(1)</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Joint</w:t>
            </w: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385,334</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393,472</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135,835</w:t>
            </w: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144,210</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151,364</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434,748</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(439,708)</w:t>
            </w: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(480,984)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Company's equity in net loss(2)</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(69,843)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(130,113)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1020" w:hanging="383"/>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its joint venture partner's 40% interest in the PPR Portfolio as described above.</w:t>
      </w:r>
    </w:p>
    <w:p>
      <w:pPr>
        <w:spacing w:after="0" w:line="154"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impairment losses at the Company's share of $111,376 for the six months ended June 30, 2024.</w:t>
      </w:r>
    </w:p>
    <w:p>
      <w:pPr>
        <w:sectPr>
          <w:pgSz w:w="11900" w:h="16838" w:orient="portrait"/>
          <w:cols w:equalWidth="0" w:num="1">
            <w:col w:w="10140"/>
          </w:cols>
          <w:pgMar w:left="320" w:top="26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40"/>
          </w:cols>
          <w:pgMar w:left="320" w:top="264" w:right="1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income related to the marking-to-market of derivative instruments of $1 and $305 for the three months ended June 30, 2025 and 2024, respectively, and $21 and $920 for the six months ended June 30, 2025 and 2024, respectively. The amounts in other comprehensive income represent the Company's pro rata share of hedged derivative instruments from certain unconsolidated joint ventures.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1,713,296</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6,608,217</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617,007</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170,570</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335,890</w:t>
            </w:r>
          </w:p>
        </w:tc>
      </w:tr>
      <w:tr>
        <w:trPr>
          <w:trHeight w:val="217"/>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9,444,980</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(2,347,867)</w:t>
            </w:r>
          </w:p>
        </w:tc>
      </w:tr>
      <w:tr>
        <w:trPr>
          <w:trHeight w:val="217"/>
        </w:trPr>
        <w:tc>
          <w:tcPr>
            <w:tcW w:w="66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7,165,363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7,097,113</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40" w:hanging="483"/>
        <w:spacing w:after="0" w:line="287"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December 31, 2024 (See Note 8—Leases). The Company's finance leases matured during the three months ended March 31, 2025.</w:t>
      </w:r>
    </w:p>
    <w:p>
      <w:pPr>
        <w:spacing w:after="0" w:line="106"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Depreciation expense was $73,250 and $67,421 for the three months ended June 30, 2025 and 2024, respectively, and $146,696 and $132,180 for the six months ended June 30, 2025 and 2024, respectively.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gain on sale or write-down of assets, net for the three and six months ended June 30, 2025 and 2024 consist of the following:</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5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property sales, net(1)</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337,405</w:t>
            </w: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write-down of assets(2)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(48,783)</w:t>
            </w: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land sales, net(3)</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7"/>
        </w:trPr>
        <w:tc>
          <w:tcPr>
            <w:tcW w:w="5360" w:type="dxa"/>
            <w:vAlign w:val="bottom"/>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288,911</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20" w:hanging="483"/>
        <w:spacing w:after="0" w:line="235" w:lineRule="auto"/>
        <w:tabs>
          <w:tab w:leader="none" w:pos="95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gain of $334,285 for the three and six months ended June 30, 2024, as a result of the Company no longer recognizing its investment in Chandler Fashion Center as a financing arrangement. Effective June 13, 2024, the Company accounts for its investment under the equity method of accounting (See Note 12—Financing Arrangement and Note 16—Dispositions). For the three and six months ended June 30, 2025, includes gains related to the sale of 1010-1016 Market Street parcels and a former department store parcel located in Petaluma, California offset in part by losses related to the sale of Wilton Mall and the Company's partnership's interest in Paradise Valley Mall (See Note 4—Investments in Unconsolidated Joint Ventures and Note 16—Dispositions).</w:t>
      </w:r>
    </w:p>
    <w:p>
      <w:pPr>
        <w:spacing w:after="0" w:line="198" w:lineRule="exact"/>
        <w:rPr>
          <w:rFonts w:ascii="Times New Roman" w:cs="Times New Roman" w:eastAsia="Times New Roman" w:hAnsi="Times New Roman"/>
          <w:sz w:val="14"/>
          <w:szCs w:val="14"/>
          <w:color w:val="auto"/>
        </w:rPr>
      </w:pPr>
    </w:p>
    <w:p>
      <w:pPr>
        <w:ind w:left="1120" w:hanging="483"/>
        <w:spacing w:after="0" w:line="241" w:lineRule="auto"/>
        <w:tabs>
          <w:tab w:leader="none" w:pos="95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losses of $12,942 and $26,285 for the three and six months ended June 30, 2025, respectively, due to the reduction of the estimated holding periods of certain properties, including SouthPark Mall and Valley Mall. Includes impairment losses of $12,692 and $48,679 for the three and six months ended June 30, 2024, due to the reduction of the estimated holding periods of certain properties, including Santa Monica Place (See Note 10—Mortgage Notes Payable).</w:t>
      </w:r>
    </w:p>
    <w:p>
      <w:pPr>
        <w:spacing w:after="0" w:line="107"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1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and six months ended June 30, 2025 and 2024, as described above:</w:t>
      </w: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160" w:type="dxa"/>
            <w:vAlign w:val="bottom"/>
          </w:tcPr>
          <w:p>
            <w:pPr>
              <w:spacing w:after="0"/>
              <w:rPr>
                <w:sz w:val="17"/>
                <w:szCs w:val="17"/>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Significant Other</w:t>
            </w:r>
          </w:p>
        </w:tc>
        <w:tc>
          <w:tcPr>
            <w:tcW w:w="280" w:type="dxa"/>
            <w:vAlign w:val="bottom"/>
          </w:tcPr>
          <w:p>
            <w:pPr>
              <w:spacing w:after="0"/>
              <w:rPr>
                <w:sz w:val="17"/>
                <w:szCs w:val="17"/>
                <w:color w:val="auto"/>
              </w:rPr>
            </w:pPr>
          </w:p>
        </w:tc>
        <w:tc>
          <w:tcPr>
            <w:tcW w:w="14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Significant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Active Markets for</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Total Fair Value</w:t>
            </w:r>
          </w:p>
        </w:tc>
        <w:tc>
          <w:tcPr>
            <w:tcW w:w="12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1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Unobservable Inputs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Unobservable Inputs</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
                <w:szCs w:val="2"/>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
                <w:szCs w:val="2"/>
                <w:color w:val="auto"/>
              </w:rPr>
            </w:pPr>
          </w:p>
        </w:tc>
        <w:tc>
          <w:tcPr>
            <w:tcW w:w="14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4"/>
              </w:rPr>
              <w:t>(Level 3)</w:t>
            </w:r>
          </w:p>
        </w:tc>
        <w:tc>
          <w:tcPr>
            <w:tcW w:w="0" w:type="dxa"/>
            <w:vAlign w:val="bottom"/>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2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314,010</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The fair value (Level 2 measurement) related to the 2025 impairments are based on sales contracts and are classified within level 2 of the hierarchy. The fair value (Level 3 measurement) related to the 2024 impairment was based upon an income approach, using an estimated terminal capitalization rate of 7.3%, a discount rate of 9.0% and market rents per square foot of $20 to $200. The fair value is sensitive to these significant unobservable inputs.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37" w:lineRule="exact"/>
        <w:rPr>
          <w:sz w:val="20"/>
          <w:szCs w:val="20"/>
          <w:color w:val="auto"/>
        </w:rPr>
      </w:pPr>
    </w:p>
    <w:p>
      <w:pPr>
        <w:ind w:right="140" w:firstLine="434"/>
        <w:spacing w:after="0" w:line="303" w:lineRule="auto"/>
        <w:rPr>
          <w:sz w:val="20"/>
          <w:szCs w:val="20"/>
          <w:color w:val="auto"/>
        </w:rPr>
      </w:pPr>
      <w:r>
        <w:rPr>
          <w:rFonts w:ascii="Times New Roman" w:cs="Times New Roman" w:eastAsia="Times New Roman" w:hAnsi="Times New Roman"/>
          <w:sz w:val="16"/>
          <w:szCs w:val="16"/>
          <w:color w:val="auto"/>
        </w:rPr>
        <w:t>Included in tenant and other receivables, net is an allowance for doubtful accounts of $6,349 and $7,146 at June 30, 2025 and December 31, 2024, respectively. Also included in tenant and other receivables, net are accrued percentage rents of $1,125 and $17,214 at June 30, 2025 and December 31, 2024, respectively, and a deferred rent receivable due to straight-line rent adjustments of $92,415 and $94,445 at June 30, 2025 and December 31, 2024,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37" w:lineRule="exact"/>
        <w:rPr>
          <w:sz w:val="20"/>
          <w:szCs w:val="20"/>
          <w:color w:val="auto"/>
        </w:rPr>
      </w:pPr>
    </w:p>
    <w:p>
      <w:pPr>
        <w:ind w:right="120" w:firstLine="434"/>
        <w:spacing w:after="0" w:line="247"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and six months ended June 30, 2025 and 2024:</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3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1"/>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r>
      <w:tr>
        <w:trPr>
          <w:trHeight w:val="191"/>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357,037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297,591</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113,691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96,454</w:t>
            </w: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(2,356)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17"/>
        </w:trPr>
        <w:tc>
          <w:tcPr>
            <w:tcW w:w="444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468,372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389,613</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262"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7240" w:type="dxa"/>
            <w:vAlign w:val="bottom"/>
            <w:gridSpan w:val="2"/>
          </w:tcPr>
          <w:p>
            <w:pPr>
              <w:ind w:left="47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5"/>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24"/>
        </w:trPr>
        <w:tc>
          <w:tcPr>
            <w:tcW w:w="4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5"/>
        </w:trPr>
        <w:tc>
          <w:tcPr>
            <w:tcW w:w="440" w:type="dxa"/>
            <w:vAlign w:val="bottom"/>
          </w:tcPr>
          <w:p>
            <w:pPr>
              <w:spacing w:after="0"/>
              <w:rPr>
                <w:sz w:val="24"/>
                <w:szCs w:val="24"/>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June 30,</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44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619,104</w:t>
            </w:r>
          </w:p>
        </w:tc>
      </w:tr>
      <w:tr>
        <w:trPr>
          <w:trHeight w:val="224"/>
        </w:trPr>
        <w:tc>
          <w:tcPr>
            <w:tcW w:w="44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527,302</w:t>
            </w:r>
          </w:p>
        </w:tc>
      </w:tr>
      <w:tr>
        <w:trPr>
          <w:trHeight w:val="224"/>
        </w:trPr>
        <w:tc>
          <w:tcPr>
            <w:tcW w:w="44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433,702</w:t>
            </w:r>
          </w:p>
        </w:tc>
      </w:tr>
      <w:tr>
        <w:trPr>
          <w:trHeight w:val="224"/>
        </w:trPr>
        <w:tc>
          <w:tcPr>
            <w:tcW w:w="44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353,449</w:t>
            </w:r>
          </w:p>
        </w:tc>
      </w:tr>
      <w:tr>
        <w:trPr>
          <w:trHeight w:val="224"/>
        </w:trPr>
        <w:tc>
          <w:tcPr>
            <w:tcW w:w="44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268,603</w:t>
            </w:r>
          </w:p>
        </w:tc>
      </w:tr>
      <w:tr>
        <w:trPr>
          <w:trHeight w:val="224"/>
        </w:trPr>
        <w:tc>
          <w:tcPr>
            <w:tcW w:w="440" w:type="dxa"/>
            <w:vAlign w:val="bottom"/>
          </w:tcPr>
          <w:p>
            <w:pPr>
              <w:spacing w:after="0"/>
              <w:rPr>
                <w:sz w:val="19"/>
                <w:szCs w:val="19"/>
                <w:color w:val="auto"/>
              </w:rPr>
            </w:pPr>
          </w:p>
        </w:tc>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963,751</w:t>
            </w:r>
          </w:p>
        </w:tc>
      </w:tr>
      <w:tr>
        <w:trPr>
          <w:trHeight w:val="242"/>
        </w:trPr>
        <w:tc>
          <w:tcPr>
            <w:tcW w:w="440" w:type="dxa"/>
            <w:vAlign w:val="bottom"/>
          </w:tcPr>
          <w:p>
            <w:pPr>
              <w:spacing w:after="0"/>
              <w:rPr>
                <w:sz w:val="20"/>
                <w:szCs w:val="20"/>
                <w:color w:val="auto"/>
              </w:rPr>
            </w:pPr>
          </w:p>
        </w:tc>
        <w:tc>
          <w:tcPr>
            <w:tcW w:w="67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3,165,911</w:t>
            </w:r>
          </w:p>
        </w:tc>
      </w:tr>
      <w:tr>
        <w:trPr>
          <w:trHeight w:val="20"/>
        </w:trPr>
        <w:tc>
          <w:tcPr>
            <w:tcW w:w="44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and six months ended June 30, 2025 and 2024:</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2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00" w:type="dxa"/>
            <w:vAlign w:val="bottom"/>
          </w:tcPr>
          <w:p>
            <w:pPr>
              <w:spacing w:after="0"/>
              <w:rPr>
                <w:sz w:val="13"/>
                <w:szCs w:val="13"/>
                <w:color w:val="auto"/>
              </w:rPr>
            </w:pPr>
          </w:p>
        </w:tc>
        <w:tc>
          <w:tcPr>
            <w:tcW w:w="204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r>
      <w:tr>
        <w:trPr>
          <w:trHeight w:val="190"/>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4"/>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1"/>
                <w:szCs w:val="11"/>
                <w:color w:val="auto"/>
              </w:rPr>
            </w:pPr>
          </w:p>
        </w:tc>
        <w:tc>
          <w:tcPr>
            <w:tcW w:w="1340" w:type="dxa"/>
            <w:vAlign w:val="bottom"/>
          </w:tcPr>
          <w:p>
            <w:pPr>
              <w:jc w:val="center"/>
              <w:ind w:right="196"/>
              <w:spacing w:after="0" w:line="12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0"/>
        </w:trPr>
        <w:tc>
          <w:tcPr>
            <w:tcW w:w="4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2"/>
        </w:trPr>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12,116</w:t>
            </w:r>
          </w:p>
        </w:tc>
        <w:tc>
          <w:tcPr>
            <w:tcW w:w="0" w:type="dxa"/>
            <w:vAlign w:val="bottom"/>
          </w:tcPr>
          <w:p>
            <w:pPr>
              <w:spacing w:after="0"/>
              <w:rPr>
                <w:sz w:val="1"/>
                <w:szCs w:val="1"/>
                <w:color w:val="auto"/>
              </w:rPr>
            </w:pP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9,106</w:t>
            </w:r>
          </w:p>
        </w:tc>
        <w:tc>
          <w:tcPr>
            <w:tcW w:w="0" w:type="dxa"/>
            <w:vAlign w:val="bottom"/>
          </w:tcPr>
          <w:p>
            <w:pPr>
              <w:spacing w:after="0"/>
              <w:rPr>
                <w:sz w:val="1"/>
                <w:szCs w:val="1"/>
                <w:color w:val="auto"/>
              </w:rPr>
            </w:pP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r>
        <w:trPr>
          <w:trHeight w:val="224"/>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76,408</w:t>
            </w:r>
          </w:p>
        </w:tc>
        <w:tc>
          <w:tcPr>
            <w:tcW w:w="0" w:type="dxa"/>
            <w:vAlign w:val="bottom"/>
          </w:tcPr>
          <w:p>
            <w:pPr>
              <w:spacing w:after="0"/>
              <w:rPr>
                <w:sz w:val="1"/>
                <w:szCs w:val="1"/>
                <w:color w:val="auto"/>
              </w:rPr>
            </w:pPr>
          </w:p>
        </w:tc>
      </w:tr>
      <w:tr>
        <w:trPr>
          <w:trHeight w:val="217"/>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60" w:type="dxa"/>
            <w:vAlign w:val="bottom"/>
          </w:tcPr>
          <w:p>
            <w:pPr>
              <w:spacing w:after="0"/>
              <w:rPr>
                <w:sz w:val="18"/>
                <w:szCs w:val="18"/>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122,843</w:t>
            </w:r>
          </w:p>
        </w:tc>
        <w:tc>
          <w:tcPr>
            <w:tcW w:w="0" w:type="dxa"/>
            <w:vAlign w:val="bottom"/>
          </w:tcPr>
          <w:p>
            <w:pPr>
              <w:spacing w:after="0"/>
              <w:rPr>
                <w:sz w:val="1"/>
                <w:szCs w:val="1"/>
                <w:color w:val="auto"/>
              </w:rPr>
            </w:pPr>
          </w:p>
        </w:tc>
      </w:tr>
      <w:tr>
        <w:trPr>
          <w:trHeight w:val="224"/>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(51,301)</w:t>
            </w:r>
          </w:p>
        </w:tc>
        <w:tc>
          <w:tcPr>
            <w:tcW w:w="0" w:type="dxa"/>
            <w:vAlign w:val="bottom"/>
          </w:tcPr>
          <w:p>
            <w:pPr>
              <w:spacing w:after="0"/>
              <w:rPr>
                <w:sz w:val="1"/>
                <w:szCs w:val="1"/>
                <w:color w:val="auto"/>
              </w:rPr>
            </w:pPr>
          </w:p>
        </w:tc>
      </w:tr>
      <w:tr>
        <w:trPr>
          <w:trHeight w:val="217"/>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71,542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years</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26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69,077</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142,979</w:t>
            </w:r>
          </w:p>
        </w:tc>
      </w:tr>
      <w:tr>
        <w:trPr>
          <w:trHeight w:val="22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r>
      <w:tr>
        <w:trPr>
          <w:trHeight w:val="2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74,712</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69,031</w:t>
            </w:r>
          </w:p>
        </w:tc>
      </w:tr>
      <w:tr>
        <w:trPr>
          <w:trHeight w:val="22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48,771</w:t>
            </w:r>
          </w:p>
        </w:tc>
      </w:tr>
      <w:tr>
        <w:trPr>
          <w:trHeight w:val="217"/>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457,570</w:t>
            </w:r>
          </w:p>
        </w:tc>
      </w:tr>
      <w:tr>
        <w:trPr>
          <w:trHeight w:val="22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(88,017)</w:t>
            </w:r>
          </w:p>
        </w:tc>
      </w:tr>
      <w:tr>
        <w:trPr>
          <w:trHeight w:val="242"/>
        </w:trPr>
        <w:tc>
          <w:tcPr>
            <w:tcW w:w="67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960" w:hanging="323"/>
        <w:spacing w:after="0" w:line="265" w:lineRule="auto"/>
        <w:tabs>
          <w:tab w:leader="none" w:pos="90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Accumulated amortization includes $52,135 and $33,883 relating to in-place lease values, leasing commissions and legal costs at June 30, 2025 and December 31, 2024, respectively. Amortization expense of in-place lease values, leasing commissions and legal costs was $13,806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$2,384 for the three months ended June 30, 2025 and 2024, respectively, and $31,447 and $4,160 for the six months ended June 30, 2025 and 2024, respectively.</w:t>
      </w: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21"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74,712</w:t>
            </w:r>
          </w:p>
        </w:tc>
      </w:tr>
      <w:tr>
        <w:trPr>
          <w:trHeight w:val="22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r>
      <w:tr>
        <w:trPr>
          <w:trHeight w:val="217"/>
        </w:trPr>
        <w:tc>
          <w:tcPr>
            <w:tcW w:w="6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48,539</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r>
      <w:tr>
        <w:trPr>
          <w:trHeight w:val="22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r>
      <w:tr>
        <w:trPr>
          <w:trHeight w:val="217"/>
        </w:trPr>
        <w:tc>
          <w:tcPr>
            <w:tcW w:w="6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77,812</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Below-market leases are included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26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notes payable at June 30, 2025 and December 31, 2024 consist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960" w:type="dxa"/>
            <w:vAlign w:val="bottom"/>
            <w:gridSpan w:val="2"/>
            <w:vMerge w:val="restart"/>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3"/>
        </w:trPr>
        <w:tc>
          <w:tcPr>
            <w:tcW w:w="3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2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Rate(2)</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Arrowhead Towne Center(5)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351,905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537,471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Lakewood Center(8)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 Cerritos Center(9)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Queens Center(10)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522,945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Monica Place(11)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Plains Mall(12)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 Valley, Mall of(13)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Washington Square(14)</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42"/>
        </w:trPr>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5,229,832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4,894,525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both"/>
        <w:ind w:left="800" w:hanging="400"/>
        <w:spacing w:after="0" w:line="271" w:lineRule="auto"/>
        <w:tabs>
          <w:tab w:leader="none" w:pos="7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June 30, 2025 and December 31, 2024 consisted of the following:</w:t>
      </w:r>
    </w:p>
    <w:p>
      <w:pPr>
        <w:spacing w:after="0" w:line="12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w:t>
            </w:r>
          </w:p>
        </w:tc>
        <w:tc>
          <w:tcPr>
            <w:tcW w:w="0" w:type="dxa"/>
            <w:vAlign w:val="bottom"/>
          </w:tcPr>
          <w:p>
            <w:pPr>
              <w:spacing w:after="0"/>
              <w:rPr>
                <w:sz w:val="1"/>
                <w:szCs w:val="1"/>
                <w:color w:val="auto"/>
              </w:rPr>
            </w:pPr>
          </w:p>
        </w:tc>
      </w:tr>
      <w:tr>
        <w:trPr>
          <w:trHeight w:val="19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Lakewood Center</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19,723</w:t>
            </w:r>
          </w:p>
        </w:tc>
        <w:tc>
          <w:tcPr>
            <w:tcW w:w="0" w:type="dxa"/>
            <w:vAlign w:val="bottom"/>
          </w:tcPr>
          <w:p>
            <w:pPr>
              <w:spacing w:after="0"/>
              <w:rPr>
                <w:sz w:val="1"/>
                <w:szCs w:val="1"/>
                <w:color w:val="auto"/>
              </w:rPr>
            </w:pPr>
          </w:p>
        </w:tc>
      </w:tr>
      <w:tr>
        <w:trPr>
          <w:trHeight w:val="20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191"/>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0" w:type="dxa"/>
            <w:vAlign w:val="bottom"/>
          </w:tcPr>
          <w:p>
            <w:pPr>
              <w:spacing w:after="0"/>
              <w:rPr>
                <w:sz w:val="1"/>
                <w:szCs w:val="1"/>
                <w:color w:val="auto"/>
              </w:rPr>
            </w:pPr>
          </w:p>
        </w:tc>
      </w:tr>
      <w:tr>
        <w:trPr>
          <w:trHeight w:val="22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800" w:right="520" w:hanging="78"/>
        <w:spacing w:after="0" w:line="287" w:lineRule="auto"/>
        <w:rPr>
          <w:sz w:val="20"/>
          <w:szCs w:val="20"/>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$20,309 and $22,042 at June 30, 2025 and December 31, 2024, respectively.</w:t>
      </w:r>
    </w:p>
    <w:p>
      <w:pPr>
        <w:spacing w:after="0" w:line="102" w:lineRule="exact"/>
        <w:rPr>
          <w:sz w:val="20"/>
          <w:szCs w:val="20"/>
          <w:color w:val="auto"/>
        </w:rPr>
      </w:pPr>
    </w:p>
    <w:p>
      <w:pPr>
        <w:ind w:left="780" w:hanging="380"/>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1"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26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01" w:lineRule="exact"/>
        <w:rPr>
          <w:rFonts w:ascii="Times New Roman" w:cs="Times New Roman" w:eastAsia="Times New Roman" w:hAnsi="Times New Roman"/>
          <w:sz w:val="18"/>
          <w:szCs w:val="18"/>
          <w:b w:val="1"/>
          <w:bCs w:val="1"/>
          <w:color w:val="auto"/>
        </w:rPr>
      </w:pPr>
    </w:p>
    <w:p>
      <w:pPr>
        <w:ind w:left="800" w:right="200" w:hanging="400"/>
        <w:spacing w:after="0" w:line="287" w:lineRule="auto"/>
        <w:tabs>
          <w:tab w:leader="none" w:pos="79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1" w:lineRule="exact"/>
        <w:rPr>
          <w:rFonts w:ascii="Times New Roman" w:cs="Times New Roman" w:eastAsia="Times New Roman" w:hAnsi="Times New Roman"/>
          <w:sz w:val="14"/>
          <w:szCs w:val="14"/>
          <w:color w:val="auto"/>
        </w:rPr>
      </w:pPr>
    </w:p>
    <w:p>
      <w:pPr>
        <w:ind w:left="800" w:right="160" w:hanging="400"/>
        <w:spacing w:after="0" w:line="268" w:lineRule="auto"/>
        <w:tabs>
          <w:tab w:leader="none" w:pos="79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114" w:lineRule="exact"/>
        <w:rPr>
          <w:rFonts w:ascii="Times New Roman" w:cs="Times New Roman" w:eastAsia="Times New Roman" w:hAnsi="Times New Roman"/>
          <w:sz w:val="14"/>
          <w:szCs w:val="14"/>
          <w:color w:val="auto"/>
        </w:rPr>
      </w:pPr>
    </w:p>
    <w:p>
      <w:pPr>
        <w:ind w:left="800" w:right="220" w:hanging="400"/>
        <w:spacing w:after="0" w:line="287" w:lineRule="auto"/>
        <w:tabs>
          <w:tab w:leader="none" w:pos="79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88"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2024, the Company closed on a three-year extension of the loan to October 6, 2026. The interest rate remained unchanged at 5.90%.</w:t>
      </w:r>
    </w:p>
    <w:p>
      <w:pPr>
        <w:spacing w:after="0" w:line="154" w:lineRule="exact"/>
        <w:rPr>
          <w:rFonts w:ascii="Times New Roman" w:cs="Times New Roman" w:eastAsia="Times New Roman" w:hAnsi="Times New Roman"/>
          <w:sz w:val="14"/>
          <w:szCs w:val="14"/>
          <w:color w:val="auto"/>
        </w:rPr>
      </w:pPr>
    </w:p>
    <w:p>
      <w:pPr>
        <w:ind w:left="800" w:right="120" w:hanging="400"/>
        <w:spacing w:after="0" w:line="268" w:lineRule="auto"/>
        <w:tabs>
          <w:tab w:leader="none" w:pos="79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Lakewood Center that it did not previously own and has consolidated its 100% interest (See Note 15—Acquisitions). In connection with the acquisition, the Company assumed the partner's share of the loan on the property.</w:t>
      </w:r>
    </w:p>
    <w:p>
      <w:pPr>
        <w:spacing w:after="0" w:line="114" w:lineRule="exact"/>
        <w:rPr>
          <w:rFonts w:ascii="Times New Roman" w:cs="Times New Roman" w:eastAsia="Times New Roman" w:hAnsi="Times New Roman"/>
          <w:sz w:val="14"/>
          <w:szCs w:val="14"/>
          <w:color w:val="auto"/>
        </w:rPr>
      </w:pPr>
    </w:p>
    <w:p>
      <w:pPr>
        <w:ind w:left="800" w:right="100" w:hanging="400"/>
        <w:spacing w:after="0" w:line="287" w:lineRule="auto"/>
        <w:tabs>
          <w:tab w:leader="none" w:pos="79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that it did not previously own and has consolidated its 100% interest (See Note 15— Acquisitions). In connection with the acquisition, the Company assumed the partner's share of the loan on the property.</w:t>
      </w:r>
    </w:p>
    <w:p>
      <w:pPr>
        <w:spacing w:after="0" w:line="88" w:lineRule="exact"/>
        <w:rPr>
          <w:rFonts w:ascii="Times New Roman" w:cs="Times New Roman" w:eastAsia="Times New Roman" w:hAnsi="Times New Roman"/>
          <w:sz w:val="14"/>
          <w:szCs w:val="14"/>
          <w:color w:val="auto"/>
        </w:rPr>
      </w:pPr>
    </w:p>
    <w:p>
      <w:pPr>
        <w:ind w:left="800" w:right="120" w:hanging="400"/>
        <w:spacing w:after="0" w:line="287" w:lineRule="auto"/>
        <w:tabs>
          <w:tab w:leader="none" w:pos="79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$525,000, five-year refinance of the loan on Queens Center. The new loan bears interest at a fixed rate of 5.37%, is interest only during the entire loan term and matures November 6, 2029.</w:t>
      </w:r>
    </w:p>
    <w:p>
      <w:pPr>
        <w:spacing w:after="0" w:line="88" w:lineRule="exact"/>
        <w:rPr>
          <w:rFonts w:ascii="Times New Roman" w:cs="Times New Roman" w:eastAsia="Times New Roman" w:hAnsi="Times New Roman"/>
          <w:sz w:val="14"/>
          <w:szCs w:val="14"/>
          <w:color w:val="auto"/>
        </w:rPr>
      </w:pPr>
    </w:p>
    <w:p>
      <w:pPr>
        <w:ind w:left="800" w:right="60" w:hanging="400"/>
        <w:spacing w:after="0" w:line="258" w:lineRule="auto"/>
        <w:tabs>
          <w:tab w:leader="none" w:pos="791"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9, 2024, the loan is in default and accrues incremental default interest of 4%. On March 18, 2025, a court 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Center is transferred, the Company will remove the net assets and liabilities from the Company's consolidated balance sheets. The loan is non-recourse to the Company.</w:t>
      </w:r>
    </w:p>
    <w:p>
      <w:pPr>
        <w:spacing w:after="0" w:line="121" w:lineRule="exact"/>
        <w:rPr>
          <w:rFonts w:ascii="Times New Roman" w:cs="Times New Roman" w:eastAsia="Times New Roman" w:hAnsi="Times New Roman"/>
          <w:sz w:val="14"/>
          <w:szCs w:val="14"/>
          <w:color w:val="auto"/>
        </w:rPr>
      </w:pPr>
    </w:p>
    <w:p>
      <w:pPr>
        <w:ind w:left="800" w:right="120" w:hanging="400"/>
        <w:spacing w:after="0" w:line="287" w:lineRule="auto"/>
        <w:tabs>
          <w:tab w:leader="none" w:pos="79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w:t>
      </w:r>
    </w:p>
    <w:p>
      <w:pPr>
        <w:spacing w:after="0" w:line="88" w:lineRule="exact"/>
        <w:rPr>
          <w:rFonts w:ascii="Times New Roman" w:cs="Times New Roman" w:eastAsia="Times New Roman" w:hAnsi="Times New Roman"/>
          <w:sz w:val="14"/>
          <w:szCs w:val="14"/>
          <w:color w:val="auto"/>
        </w:rPr>
      </w:pPr>
    </w:p>
    <w:p>
      <w:pPr>
        <w:ind w:left="800" w:right="100" w:hanging="400"/>
        <w:spacing w:after="0" w:line="287" w:lineRule="auto"/>
        <w:tabs>
          <w:tab w:leader="none" w:pos="79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$85,000 loan that bears interest at a fixed rate of 6.72%, is interest only during the entire loan term and matures on September 6, 2034.</w:t>
      </w:r>
    </w:p>
    <w:p>
      <w:pPr>
        <w:spacing w:after="0" w:line="88" w:lineRule="exact"/>
        <w:rPr>
          <w:rFonts w:ascii="Times New Roman" w:cs="Times New Roman" w:eastAsia="Times New Roman" w:hAnsi="Times New Roman"/>
          <w:sz w:val="14"/>
          <w:szCs w:val="14"/>
          <w:color w:val="auto"/>
        </w:rPr>
      </w:pPr>
    </w:p>
    <w:p>
      <w:pPr>
        <w:ind w:left="800" w:hanging="400"/>
        <w:spacing w:after="0" w:line="287" w:lineRule="auto"/>
        <w:tabs>
          <w:tab w:leader="none" w:pos="79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the Company closed a $340,000, ten-year loan on Washington Square, which matures on April 6, 2035. The loan bears interest at a fixed rate of 5.58% and is interest only during the entire loan term.</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48" w:lineRule="exact"/>
        <w:rPr>
          <w:sz w:val="20"/>
          <w:szCs w:val="20"/>
          <w:color w:val="auto"/>
        </w:rPr>
      </w:pPr>
    </w:p>
    <w:p>
      <w:pPr>
        <w:ind w:right="760" w:firstLine="434"/>
        <w:spacing w:after="0" w:line="268"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revolving loan facility or with cash on hand, with the exception of Santa Monica Place as noted above.</w:t>
      </w:r>
    </w:p>
    <w:p>
      <w:pPr>
        <w:spacing w:after="0" w:line="104"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Total interest expense capitalized was $4,696 and $5,313 for the three months ended June 30, 2025 and 2024, respectively, and $9,465 and $10,389 for the six months ended June 30, 2025 and 2024, respectively.</w:t>
      </w:r>
    </w:p>
    <w:p>
      <w:pPr>
        <w:spacing w:after="0" w:line="90" w:lineRule="exact"/>
        <w:rPr>
          <w:sz w:val="20"/>
          <w:szCs w:val="20"/>
          <w:color w:val="auto"/>
        </w:rPr>
      </w:pPr>
    </w:p>
    <w:p>
      <w:pPr>
        <w:jc w:val="both"/>
        <w:ind w:right="30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June 30, 2025 and December 31, 2024 was $5,085,043 and $4,726,227,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50"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On September 11, 2023, the Company and the Operating Partnership entered into an amended and restated credit agreement, which amended and restated their prior credit agreement, and provides for an aggregate $650,000 revolving credit facility that matures on February 1, 2027, with a one-year extension option. The revolving credit facility can be expanded up to $950,000,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the borrowing rate was SOFR plus a spread of 2.10%. As of June 30, 2025, borrowings under the revolving credit facility were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 less unamortized deferred finance costs of $9,784 for the revolving credit facility at a total effective interest rate of 7.17%. As of June 30, 2025,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availability under the revolving credit facility for additional borrowings was $549,409. The estimated fair value (Level 2 measurement)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revolving credit facility at June 30, 2025 was $101,794 for the revolving credit facility based on a present value model using a credit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spread offered to the Company for comparable debt. On August 8, 2025, the outstanding borrowings of $100,000 under the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paid in full from the loan proceeds of the Crabtree Mall financing (See Note 22—Subsequent Events).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and December 31, 2024, the Company was in compliance with all applicable financial loan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37"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1,401,000 square foot regional shopping center in Chandler, Arizona, and Freehold Raceway Mall, a 1,537,000 square foot regional shopping center in Freehold, New Jersey (collectively referred to herein as "Chandler Freehold"). As a result of the Company having certain rights under the agreement to repurchase the assets of Chandler Freehold, the transaction did not qualify for sale treatment. The Company, however, was not obligated to repurchase the assets. The Company accounted for its investment in Chandler Freehold as a financing arrangement.</w:t>
      </w:r>
    </w:p>
    <w:p>
      <w:pPr>
        <w:spacing w:after="0" w:line="119" w:lineRule="exact"/>
        <w:rPr>
          <w:sz w:val="20"/>
          <w:szCs w:val="20"/>
          <w:color w:val="auto"/>
        </w:rPr>
      </w:pPr>
    </w:p>
    <w:p>
      <w:pPr>
        <w:jc w:val="both"/>
        <w:ind w:right="180" w:firstLine="434"/>
        <w:spacing w:after="0" w:line="256" w:lineRule="auto"/>
        <w:rPr>
          <w:sz w:val="20"/>
          <w:szCs w:val="20"/>
          <w:color w:val="auto"/>
        </w:rPr>
      </w:pPr>
      <w:r>
        <w:rPr>
          <w:rFonts w:ascii="Times New Roman" w:cs="Times New Roman" w:eastAsia="Times New Roman" w:hAnsi="Times New Roman"/>
          <w:sz w:val="18"/>
          <w:szCs w:val="18"/>
          <w:color w:val="auto"/>
        </w:rPr>
        <w:t>On November 16, 2023, the Company acquired the remaining 49.9% ownership interest in Freehold Raceway Mall that it previously did not own. As a result, Freehold Raceway Mall is no longer part of the financing arrangement and is 100% owned by the Company. In connection with the acquisition of the 49.9% ownership interest, the Company recorded the $5,587 purchase amount as a reduction to the financing arrangement obligation.</w:t>
      </w:r>
    </w:p>
    <w:p>
      <w:pPr>
        <w:spacing w:after="0" w:line="114" w:lineRule="exact"/>
        <w:rPr>
          <w:sz w:val="20"/>
          <w:szCs w:val="20"/>
          <w:color w:val="auto"/>
        </w:rPr>
      </w:pPr>
    </w:p>
    <w:p>
      <w:pPr>
        <w:ind w:right="160" w:firstLine="434"/>
        <w:spacing w:after="0" w:line="250"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spacing w:after="0" w:line="106"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June 13, 2024 was based upon a terminal capitalization rate of 7.00%, a discount rate of 8.25% and market rents per square foot of $45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expense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30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related party interest expense in the Company's consolidated statements of operations in connection with the financing arrangement as follows:</w:t>
      </w:r>
    </w:p>
    <w:p>
      <w:pPr>
        <w:spacing w:after="0" w:line="1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For the Three Months</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120" w:type="dxa"/>
            <w:vAlign w:val="bottom"/>
          </w:tcPr>
          <w:p>
            <w:pPr>
              <w:spacing w:after="0"/>
              <w:rPr>
                <w:sz w:val="16"/>
                <w:szCs w:val="16"/>
                <w:color w:val="auto"/>
              </w:rPr>
            </w:pPr>
          </w:p>
        </w:tc>
        <w:tc>
          <w:tcPr>
            <w:tcW w:w="11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9"/>
              </w:rPr>
              <w:t>Ended June 30,</w:t>
            </w:r>
          </w:p>
        </w:tc>
      </w:tr>
      <w:tr>
        <w:trPr>
          <w:trHeight w:val="190"/>
        </w:trPr>
        <w:tc>
          <w:tcPr>
            <w:tcW w:w="6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r>
      <w:tr>
        <w:trPr>
          <w:trHeight w:val="217"/>
        </w:trPr>
        <w:tc>
          <w:tcPr>
            <w:tcW w:w="6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50" w:lineRule="exact"/>
        <w:rPr>
          <w:sz w:val="20"/>
          <w:szCs w:val="20"/>
          <w:color w:val="auto"/>
        </w:rPr>
      </w:pPr>
    </w:p>
    <w:p>
      <w:pPr>
        <w:ind w:firstLine="434"/>
        <w:spacing w:after="0" w:line="281" w:lineRule="auto"/>
        <w:rPr>
          <w:sz w:val="20"/>
          <w:szCs w:val="20"/>
          <w:color w:val="auto"/>
        </w:rPr>
      </w:pPr>
      <w:r>
        <w:rPr>
          <w:rFonts w:ascii="Times New Roman" w:cs="Times New Roman" w:eastAsia="Times New Roman" w:hAnsi="Times New Roman"/>
          <w:sz w:val="16"/>
          <w:szCs w:val="16"/>
          <w:color w:val="auto"/>
        </w:rPr>
        <w:t>The Company allocates net loss of the Operating Partnership based on the weighted average ownership interest during the period. The net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June 30, 2025 and December 31, 2024. The remaining 4% limited partnership interest as of June 30, 2025 and December 31, 2024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2025 and December 31, 2024, the aggregate redemption value of the then-outstanding OP Units not owned by the Company was $174,974 and $218,988, respectively.</w:t>
      </w:r>
    </w:p>
    <w:p>
      <w:pPr>
        <w:spacing w:after="0" w:line="101"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1"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137" w:lineRule="exact"/>
        <w:rPr>
          <w:sz w:val="20"/>
          <w:szCs w:val="20"/>
          <w:color w:val="auto"/>
        </w:rPr>
      </w:pPr>
    </w:p>
    <w:p>
      <w:pPr>
        <w:ind w:firstLine="434"/>
        <w:spacing w:after="0" w:line="293" w:lineRule="auto"/>
        <w:rPr>
          <w:sz w:val="20"/>
          <w:szCs w:val="20"/>
          <w:color w:val="auto"/>
        </w:rPr>
      </w:pPr>
      <w:r>
        <w:rPr>
          <w:rFonts w:ascii="Times New Roman" w:cs="Times New Roman" w:eastAsia="Times New Roman" w:hAnsi="Times New Roman"/>
          <w:sz w:val="16"/>
          <w:szCs w:val="16"/>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$500,000 under the 2021 ATM Program. During the six months ended June 30, 2024, the Company did not issue any shares of common stock under the 2021 ATM Program. As of December 31, 2024, the 2021 ATM Program was fully utilized and is no longer 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50" w:lineRule="exact"/>
        <w:rPr>
          <w:sz w:val="20"/>
          <w:szCs w:val="20"/>
          <w:color w:val="auto"/>
        </w:rPr>
      </w:pPr>
    </w:p>
    <w:p>
      <w:pPr>
        <w:ind w:firstLine="434"/>
        <w:spacing w:after="0" w:line="286" w:lineRule="auto"/>
        <w:rPr>
          <w:sz w:val="20"/>
          <w:szCs w:val="20"/>
          <w:color w:val="auto"/>
        </w:rPr>
      </w:pPr>
      <w:r>
        <w:rPr>
          <w:rFonts w:ascii="Times New Roman" w:cs="Times New Roman" w:eastAsia="Times New Roman" w:hAnsi="Times New Roman"/>
          <w:sz w:val="16"/>
          <w:szCs w:val="16"/>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six months ended June 30, 2025, the Company did not issue any shares of common stock under the ATM Program. As of June 30, 2025, $429,294 remained available to be sold under the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w:t>
      </w:r>
    </w:p>
    <w:p>
      <w:pPr>
        <w:spacing w:after="0" w:line="92"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23,000,000 shares of its common stock at a price per share of $19.75, which includes the underwriters' full exercise of their option to purchase an additional 3,000,000 shares, for gross proceeds of approximately $454,250. The net proceeds of the offering were approximately $439,410 after deducting the underwriting discount and offering costs of approximately $14,840. The Company used the proceeds from the offering, together with cash on hand, to repay the mortgage loan secured by its Washington Square property.</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50"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six months ended June 30, 2025 or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Arrowhead Towne Center:</w:t>
      </w:r>
    </w:p>
    <w:p>
      <w:pPr>
        <w:spacing w:after="0" w:line="150" w:lineRule="exact"/>
        <w:rPr>
          <w:sz w:val="20"/>
          <w:szCs w:val="20"/>
          <w:color w:val="auto"/>
        </w:rPr>
      </w:pPr>
    </w:p>
    <w:p>
      <w:pPr>
        <w:jc w:val="both"/>
        <w:ind w:right="12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spacing w:after="0" w:line="101"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Arrowhead Towne Center: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426,097</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451,377</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360,258</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left="400" w:right="140"/>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26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 (Continued)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South Plains Mall:</w:t>
      </w:r>
    </w:p>
    <w:p>
      <w:pPr>
        <w:spacing w:after="0" w:line="150"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spacing w:after="0" w:line="101"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South Plains Mall:</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183,434</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206,771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198,181</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0" w:right="220"/>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South Plains Mall were initially recorded at their relative fair values as shown in the table above. The carrying value of the property was then reduced by the remaining negative basis of $80,750 from the equity method investment previously held by the Company.</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Sears parcel at Inland Center: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$5,382.</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Pacific Premier Retail LLC:</w:t>
      </w:r>
    </w:p>
    <w:p>
      <w:pPr>
        <w:spacing w:after="0" w:line="150"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the remaining 40% ownership interest in the Pacific Premier Retail LLC joint venture that owns Lakewood Center, Los Cerritos Center and Washington Square that it did not previously own for a total purchase price of $129,000 less the assumption of the partner's share of certain cash balances of $6,868 for a net purchase price of $122,132, and the assumption of its joint venture partner's share of debt on the properties. Effective as of October 24, 2024, the Company now owns and has consolidated its 100% interest in Lakewood Center, Los Cerritos Center and Washington Square.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Lakewood Center, Los Cerritos Center and Washington Square: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1,526,515</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1,631,811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1,312,718</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1,309,310</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62"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 (Continued)</w:t>
      </w:r>
    </w:p>
    <w:p>
      <w:pPr>
        <w:spacing w:after="0" w:line="150"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Lakewood Center, Los Cerritos Center and Washington Square were initially recorded at their relative fair values as shown in the table above. The carrying value of the property was then reduced by the remaining negative basis of $98,800 from the equity method investment previously held by the Company.</w:t>
      </w:r>
    </w:p>
    <w:p>
      <w:pPr>
        <w:spacing w:after="0" w:line="11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December 2, 2024, the Company paid off the remaining loan balance assumed on Washington Square with the proceeds from the Company's public offering on November 27, 2024 (See Note 14 – Stockholders' Equity) and recognized a gain on extinguishment of debt of $14,403 for the year ended December 31, 2024.</w:t>
      </w:r>
    </w:p>
    <w:p>
      <w:pPr>
        <w:spacing w:after="0" w:line="101"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On March 27, 2025, the Company closed a $340,000, ten-year loan on Washington Square, which matures on April 6, 2035. The loan bears interest at a fixed rate of 5.58% and is interest only during the entire loan term (See Note 10 – Mortgage Notes Payable). The Company used a portion of the net proceeds from this refinancing to repay the remaining first mortgage on Flatiron Crossing, which was $71,644 at the Company’s share (See Note 4 – Investments in Unconsolidated Joint Ventures), and to repay the balance outstanding on the Company’s credit facility of $110,000.</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Crabtree Mall:</w:t>
      </w:r>
    </w:p>
    <w:p>
      <w:pPr>
        <w:spacing w:after="0" w:line="150"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On June 23, 2025, the Company acquired Crabtree Mall, a regional retail center totaling approximately 1.3 million square feet in Raleigh, North Carolina, for a total purchase price of $290,000, excluding transaction costs and credits received at closing. The acquisition was initially funded with cash on hand and $100,000 of borrowings on the Company's credit facility (See Note 22 – Subsequent Events).</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Crabtree Mall, exclusive of closing costs and credits received: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252,011</w:t>
            </w:r>
          </w:p>
        </w:tc>
        <w:tc>
          <w:tcPr>
            <w:tcW w:w="0" w:type="dxa"/>
            <w:vAlign w:val="bottom"/>
          </w:tcPr>
          <w:p>
            <w:pPr>
              <w:spacing w:after="0"/>
              <w:rPr>
                <w:sz w:val="1"/>
                <w:szCs w:val="1"/>
                <w:color w:val="auto"/>
              </w:rPr>
            </w:pP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0" w:type="dxa"/>
            <w:vAlign w:val="bottom"/>
          </w:tcPr>
          <w:p>
            <w:pPr>
              <w:spacing w:after="0"/>
              <w:rPr>
                <w:sz w:val="1"/>
                <w:szCs w:val="1"/>
                <w:color w:val="auto"/>
              </w:rPr>
            </w:pP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299,123</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a reconciliation of the allocation of the fair value of acquired net assets to total cash paid:</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7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received at closing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(24,612)</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and other transaction costs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7"/>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paid</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266,926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150"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w:t>
      </w:r>
    </w:p>
    <w:p>
      <w:pPr>
        <w:spacing w:after="0" w:line="114"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recognized the following gain on sale of assets on Chandler Fashion Center: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59"/>
        </w:trPr>
        <w:tc>
          <w:tcPr>
            <w:tcW w:w="7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investment in unconsolidated joint ventures - Chandler Fashion Center</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the financing arrangement obligation</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Chandler Fashion Center - liabilities in excess of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104,273</w:t>
            </w:r>
          </w:p>
        </w:tc>
      </w:tr>
      <w:tr>
        <w:trPr>
          <w:trHeight w:val="217"/>
        </w:trPr>
        <w:tc>
          <w:tcPr>
            <w:tcW w:w="778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334,285</w:t>
            </w: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$7,100, which resulted in a gain on sale of assets of $756. The Company used the net proceeds to pay down debt.</w:t>
      </w:r>
    </w:p>
    <w:p>
      <w:pPr>
        <w:spacing w:after="0" w:line="77" w:lineRule="exact"/>
        <w:rPr>
          <w:sz w:val="20"/>
          <w:szCs w:val="20"/>
          <w:color w:val="auto"/>
        </w:rPr>
      </w:pPr>
    </w:p>
    <w:p>
      <w:pPr>
        <w:ind w:right="280" w:firstLine="434"/>
        <w:spacing w:after="0" w:line="253"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$4,000, which resulted in a loss on sale or write down of assets of $911. The Company used the net proceeds to pay down debt.</w:t>
      </w:r>
    </w:p>
    <w:p>
      <w:pPr>
        <w:spacing w:after="0" w:line="116"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On December 10, 2024, the Company sold The Oaks, a 1,206,000 square foot regional retail center in Thousand Oaks, California, for $157,000, which resulted in a loss on sale or write down of assets of $6,932. The Company used the net proceeds to pay off the $147,751 loan on the property.</w:t>
      </w:r>
    </w:p>
    <w:p>
      <w:pPr>
        <w:spacing w:after="0" w:line="77" w:lineRule="exact"/>
        <w:rPr>
          <w:sz w:val="20"/>
          <w:szCs w:val="20"/>
          <w:color w:val="auto"/>
        </w:rPr>
      </w:pPr>
    </w:p>
    <w:p>
      <w:pPr>
        <w:ind w:right="420" w:firstLine="434"/>
        <w:spacing w:after="0" w:line="253" w:lineRule="auto"/>
        <w:rPr>
          <w:sz w:val="20"/>
          <w:szCs w:val="20"/>
          <w:color w:val="auto"/>
        </w:rPr>
      </w:pPr>
      <w:r>
        <w:rPr>
          <w:rFonts w:ascii="Times New Roman" w:cs="Times New Roman" w:eastAsia="Times New Roman" w:hAnsi="Times New Roman"/>
          <w:sz w:val="18"/>
          <w:szCs w:val="18"/>
          <w:color w:val="auto"/>
        </w:rPr>
        <w:t>On March 27, 2025, the Company sold Wilton Mall, a 740,000 square foot regional retail center in Saratoga Springs, New York, for $24,800, which resulted in a loss on sale or write down of assets of $2,932. The Company used the net proceeds to pay down debt.</w:t>
      </w:r>
    </w:p>
    <w:p>
      <w:pPr>
        <w:spacing w:after="0" w:line="90" w:lineRule="exact"/>
        <w:rPr>
          <w:sz w:val="20"/>
          <w:szCs w:val="20"/>
          <w:color w:val="auto"/>
        </w:rPr>
      </w:pPr>
    </w:p>
    <w:p>
      <w:pPr>
        <w:jc w:val="both"/>
        <w:ind w:right="60" w:firstLine="434"/>
        <w:spacing w:after="0" w:line="230" w:lineRule="auto"/>
        <w:rPr>
          <w:sz w:val="20"/>
          <w:szCs w:val="20"/>
          <w:color w:val="auto"/>
        </w:rPr>
      </w:pPr>
      <w:r>
        <w:rPr>
          <w:rFonts w:ascii="Times New Roman" w:cs="Times New Roman" w:eastAsia="Times New Roman" w:hAnsi="Times New Roman"/>
          <w:sz w:val="18"/>
          <w:szCs w:val="18"/>
          <w:color w:val="auto"/>
        </w:rPr>
        <w:t>On April 16, 2025, the Company sold a parcel at SanTan Adjacent in Gilbert, Arizona for $3,000, which resulted in a loss on sale or write down of assets of $247. On April 28, 2025, the Company sold various parcels at SanTan Adjacent in Gilbert, Arizona for $24,500, which resulted in a gain on sale of assets of $108. The Company used the proceeds from these sales to pay down debt and for other general corporate purposes.</w:t>
      </w:r>
    </w:p>
    <w:p>
      <w:pPr>
        <w:spacing w:after="0" w:line="102" w:lineRule="exact"/>
        <w:rPr>
          <w:sz w:val="20"/>
          <w:szCs w:val="20"/>
          <w:color w:val="auto"/>
        </w:rPr>
      </w:pPr>
    </w:p>
    <w:p>
      <w:pPr>
        <w:ind w:right="180" w:firstLine="434"/>
        <w:spacing w:after="0" w:line="239" w:lineRule="auto"/>
        <w:rPr>
          <w:sz w:val="20"/>
          <w:szCs w:val="20"/>
          <w:color w:val="auto"/>
        </w:rPr>
      </w:pPr>
      <w:r>
        <w:rPr>
          <w:rFonts w:ascii="Times New Roman" w:cs="Times New Roman" w:eastAsia="Times New Roman" w:hAnsi="Times New Roman"/>
          <w:sz w:val="18"/>
          <w:szCs w:val="18"/>
          <w:color w:val="auto"/>
        </w:rPr>
        <w:t>On April 30, 2025, the Company sold SouthPark Mall, an 802,000 square foot regional retail center in Moline, Illinois, for $10,500, which resulted in a loss on sale or write down of assets of $4,267. The Company used the net proceeds for general corporate purposes. This asset was unencumbered.</w:t>
      </w:r>
    </w:p>
    <w:p>
      <w:pPr>
        <w:spacing w:after="0" w:line="101" w:lineRule="exact"/>
        <w:rPr>
          <w:sz w:val="20"/>
          <w:szCs w:val="20"/>
          <w:color w:val="auto"/>
        </w:rPr>
      </w:pPr>
    </w:p>
    <w:p>
      <w:pPr>
        <w:ind w:right="440" w:firstLine="434"/>
        <w:spacing w:after="0" w:line="239" w:lineRule="auto"/>
        <w:rPr>
          <w:sz w:val="20"/>
          <w:szCs w:val="20"/>
          <w:color w:val="auto"/>
        </w:rPr>
      </w:pPr>
      <w:r>
        <w:rPr>
          <w:rFonts w:ascii="Times New Roman" w:cs="Times New Roman" w:eastAsia="Times New Roman" w:hAnsi="Times New Roman"/>
          <w:sz w:val="18"/>
          <w:szCs w:val="18"/>
          <w:color w:val="auto"/>
        </w:rPr>
        <w:t>On May 28, 2025, the Company sold Paradise Village Office Park in Phoenix, Arizona for $6,200, which resulted in a loss on sale or write down of assets of $643. The Company used the net proceeds for general corporate purposes.</w:t>
      </w:r>
    </w:p>
    <w:p>
      <w:pPr>
        <w:spacing w:after="0" w:line="101" w:lineRule="exact"/>
        <w:rPr>
          <w:sz w:val="20"/>
          <w:szCs w:val="20"/>
          <w:color w:val="auto"/>
        </w:rPr>
      </w:pPr>
    </w:p>
    <w:p>
      <w:pPr>
        <w:ind w:right="340" w:firstLine="434"/>
        <w:spacing w:after="0" w:line="253" w:lineRule="auto"/>
        <w:rPr>
          <w:sz w:val="20"/>
          <w:szCs w:val="20"/>
          <w:color w:val="auto"/>
        </w:rPr>
      </w:pPr>
      <w:r>
        <w:rPr>
          <w:rFonts w:ascii="Times New Roman" w:cs="Times New Roman" w:eastAsia="Times New Roman" w:hAnsi="Times New Roman"/>
          <w:sz w:val="18"/>
          <w:szCs w:val="18"/>
          <w:color w:val="auto"/>
        </w:rPr>
        <w:t>On June 11, 2025, the Company sold a former department store parcel located in Petaluma, California, for $2,625, which resulted in a gain on sale of assets of $1,953. The Company used the net proceeds for general corporate purposes.</w:t>
      </w:r>
    </w:p>
    <w:p>
      <w:pPr>
        <w:spacing w:after="0" w:line="90" w:lineRule="exact"/>
        <w:rPr>
          <w:sz w:val="20"/>
          <w:szCs w:val="20"/>
          <w:color w:val="auto"/>
        </w:rPr>
      </w:pPr>
    </w:p>
    <w:p>
      <w:pPr>
        <w:ind w:right="80" w:firstLine="434"/>
        <w:spacing w:after="0" w:line="239" w:lineRule="auto"/>
        <w:rPr>
          <w:sz w:val="20"/>
          <w:szCs w:val="20"/>
          <w:color w:val="auto"/>
        </w:rPr>
      </w:pPr>
      <w:r>
        <w:rPr>
          <w:rFonts w:ascii="Times New Roman" w:cs="Times New Roman" w:eastAsia="Times New Roman" w:hAnsi="Times New Roman"/>
          <w:sz w:val="18"/>
          <w:szCs w:val="18"/>
          <w:color w:val="auto"/>
        </w:rPr>
        <w:t>On June 30, 2025, the Company sold 1010-1016 Market Street parcels at Fashion District Philadelphia in Philadelphia, Pennsylvania for $10,750, which resulted in a gain on sale of assets of $2,378. The Company used the net proceeds for general corporate purposes.</w:t>
      </w:r>
    </w:p>
    <w:p>
      <w:pPr>
        <w:spacing w:after="0" w:line="101" w:lineRule="exact"/>
        <w:rPr>
          <w:sz w:val="20"/>
          <w:szCs w:val="20"/>
          <w:color w:val="auto"/>
        </w:rPr>
      </w:pPr>
    </w:p>
    <w:p>
      <w:pPr>
        <w:jc w:val="both"/>
        <w:ind w:right="200" w:firstLine="434"/>
        <w:spacing w:after="0" w:line="230"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sold various land parcels in separate transactions, resulting in gains on sale of land of $157 and $1,080, respectively. For the three and six months ended June 30, 2024, the Company sold a land parcel, resulting in a gain on sale of land of $289. The Company used its share of the proceeds from these sales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00" w:lineRule="exact"/>
        <w:rPr>
          <w:sz w:val="20"/>
          <w:szCs w:val="20"/>
          <w:color w:val="auto"/>
        </w:rPr>
      </w:pPr>
    </w:p>
    <w:p>
      <w:pPr>
        <w:spacing w:after="0" w:line="213"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As of June 30, 2025, the Company was contingently liable for $6,484 in letters of credit guaranteeing performance by the Company of certain obligations relating to the Centers. The Company does not believe that these letters of credit will result in a liability to the Company.</w:t>
      </w:r>
    </w:p>
    <w:p>
      <w:pPr>
        <w:spacing w:after="0" w:line="104"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June 30, 2025, the Company had $67,437 in outstanding obligations, which it believes will be settled in the next twelve months.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37"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040" w:type="dxa"/>
            <w:vAlign w:val="bottom"/>
            <w:gridSpan w:val="5"/>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r>
      <w:tr>
        <w:trPr>
          <w:trHeight w:val="190"/>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0"/>
        </w:trPr>
        <w:tc>
          <w:tcPr>
            <w:tcW w:w="3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r>
      <w:tr>
        <w:trPr>
          <w:trHeight w:val="2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r>
      <w:tr>
        <w:trPr>
          <w:trHeight w:val="242"/>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80" w:firstLine="434"/>
        <w:spacing w:after="0" w:line="256" w:lineRule="auto"/>
        <w:rPr>
          <w:sz w:val="20"/>
          <w:szCs w:val="20"/>
          <w:color w:val="auto"/>
        </w:rPr>
      </w:pPr>
      <w:r>
        <w:rPr>
          <w:rFonts w:ascii="Times New Roman" w:cs="Times New Roman" w:eastAsia="Times New Roman" w:hAnsi="Times New Roman"/>
          <w:sz w:val="18"/>
          <w:szCs w:val="18"/>
          <w:color w:val="auto"/>
        </w:rPr>
        <w:t>Interest expense from related party transactions was $0 and $(15,701) for the three months ended June 30, 2025 and 2024, respectively, and $0 and $(11,264) for the six months ended June 30, 2025 and 2024, respectively, in connection with the financing arrangement (See Note 12—Financing Arrangement).</w:t>
      </w:r>
    </w:p>
    <w:p>
      <w:pPr>
        <w:spacing w:after="0" w:line="114"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Due from affiliates includes $3,481 and $1,840 of unreimbursed costs and fees from unconsolidated joint ventures due to the Management Companies at June 30, 2025 and December 31, 2024,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37"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19"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2025 performance-based LTI Units are all market-indexed awards.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June 30, 2025, the Company granted the following LTI Units:</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Fair Value per</w:t>
            </w:r>
          </w:p>
        </w:tc>
        <w:tc>
          <w:tcPr>
            <w:tcW w:w="130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0"/>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LTI 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2/21/2025</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193,776</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2/21/2025</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504,780</w:t>
            </w: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698,556</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06" w:lineRule="exact"/>
        <w:rPr>
          <w:sz w:val="20"/>
          <w:szCs w:val="20"/>
          <w:color w:val="auto"/>
        </w:rPr>
      </w:pPr>
    </w:p>
    <w:p>
      <w:pPr>
        <w:jc w:val="both"/>
        <w:ind w:right="200" w:firstLine="434"/>
        <w:spacing w:after="0" w:line="256"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February 21, 2025 was estimated on the date of grant using a Monte Carlo Simulation model that assumed an approximate three-year risk-free interest rate of 4.10% and an expected volatility of 42.25%.</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2720" w:type="dxa"/>
            <w:vAlign w:val="bottom"/>
          </w:tcPr>
          <w:p>
            <w:pPr>
              <w:spacing w:after="0"/>
              <w:rPr>
                <w:sz w:val="18"/>
                <w:szCs w:val="18"/>
                <w:color w:val="auto"/>
              </w:rPr>
            </w:pPr>
          </w:p>
        </w:tc>
        <w:tc>
          <w:tcPr>
            <w:tcW w:w="22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05"/>
        </w:trPr>
        <w:tc>
          <w:tcPr>
            <w:tcW w:w="27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9"/>
              </w:rPr>
              <w:t>240,547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19"/>
                <w:szCs w:val="19"/>
                <w:color w:val="auto"/>
              </w:rPr>
            </w:pPr>
          </w:p>
        </w:tc>
        <w:tc>
          <w:tcPr>
            <w:tcW w:w="104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9"/>
              </w:rPr>
              <w:t>137,829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4"/>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6"/>
              </w:rPr>
              <w:t>(157,748)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9"/>
              </w:rPr>
              <w:t>220,628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2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activity of the vested stock options outstanding:</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05"/>
        </w:trPr>
        <w:tc>
          <w:tcPr>
            <w:tcW w:w="3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4"/>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150495</wp:posOffset>
            </wp:positionV>
            <wp:extent cx="19215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1"/>
        </w:trPr>
        <w:tc>
          <w:tcPr>
            <w:tcW w:w="4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r>
      <w:tr>
        <w:trPr>
          <w:trHeight w:val="191"/>
        </w:trPr>
        <w:tc>
          <w:tcPr>
            <w:tcW w:w="49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7"/>
        </w:trPr>
        <w:tc>
          <w:tcPr>
            <w:tcW w:w="4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$161 and $(62) for the three months ended June 30, 2025 and 2024, respectively, and $(115) and $254 for the six months ended June 30, 2025 and 2024, respectively. Unrecognized compensation costs of share and unit-based plans at June 30, 2025 consisted of $27,371 from LTI Units, $2,265 from stock units and $78 from phantom stock units.</w:t>
      </w:r>
    </w:p>
    <w:p>
      <w:pPr>
        <w:sectPr>
          <w:pgSz w:w="11900" w:h="16838" w:orient="portrait"/>
          <w:cols w:equalWidth="0" w:num="1">
            <w:col w:w="11240"/>
          </w:cols>
          <w:pgMar w:left="320" w:top="2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50"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34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3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42"/>
        </w:trPr>
        <w:tc>
          <w:tcPr>
            <w:tcW w:w="4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60" w:firstLine="434"/>
        <w:spacing w:after="0" w:line="293" w:lineRule="auto"/>
        <w:rPr>
          <w:sz w:val="20"/>
          <w:szCs w:val="20"/>
          <w:color w:val="auto"/>
        </w:rPr>
      </w:pPr>
      <w:r>
        <w:rPr>
          <w:rFonts w:ascii="Times New Roman" w:cs="Times New Roman" w:eastAsia="Times New Roman" w:hAnsi="Times New Roman"/>
          <w:sz w:val="16"/>
          <w:szCs w:val="16"/>
          <w:color w:val="auto"/>
        </w:rPr>
        <w:t>The net operating loss ("NOL") carryforwards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$26,334 and $25,324 were included in deferred charges and other assets, net at June 30, 2025 and December 31, 2024, respectively.</w:t>
      </w:r>
    </w:p>
    <w:p>
      <w:pPr>
        <w:spacing w:after="0" w:line="88"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June 30, 2025, the Company had no valuation allowance recorded.</w:t>
      </w:r>
    </w:p>
    <w:p>
      <w:pPr>
        <w:spacing w:after="0" w:line="104"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The tax years 2021 through 2023 remain open to examination by the taxing jurisdictions to which the Company is subject. The Company does not expect that the total amount of unrecognized tax benefit will materially change within the next twelve months.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150"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The Company operates as one operating segment and is involved in the acquisition, ownership, development, redevelopment, management and leasing of regional and community/power shopping centers located throughout the United States. The Company's Chief Operating Decision Maker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spacing w:after="0" w:line="106"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income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50"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On July 30, 2025, the Company’s joint venture closed on the sale of Atlas Park for $72,000. Concurrent with the sale, the $65,000 loan ($32,500 at the Company’s share) owed by the joint venture was paid off in full. The Company used its share of net proceeds for general corporate purposes.</w:t>
      </w:r>
    </w:p>
    <w:p>
      <w:pPr>
        <w:spacing w:after="0" w:line="104" w:lineRule="exact"/>
        <w:rPr>
          <w:sz w:val="20"/>
          <w:szCs w:val="20"/>
          <w:color w:val="auto"/>
        </w:rPr>
      </w:pPr>
    </w:p>
    <w:p>
      <w:pPr>
        <w:ind w:right="640" w:firstLine="434"/>
        <w:spacing w:after="0" w:line="268" w:lineRule="auto"/>
        <w:rPr>
          <w:sz w:val="20"/>
          <w:szCs w:val="20"/>
          <w:color w:val="auto"/>
        </w:rPr>
      </w:pPr>
      <w:r>
        <w:rPr>
          <w:rFonts w:ascii="Times New Roman" w:cs="Times New Roman" w:eastAsia="Times New Roman" w:hAnsi="Times New Roman"/>
          <w:sz w:val="18"/>
          <w:szCs w:val="18"/>
          <w:color w:val="auto"/>
        </w:rPr>
        <w:t>On July 31, 2025, the Company announced a dividend/distribution of $0.17 per share for common stockholders and OP Unitholders of record on September 9, 2025. All dividends/distributions will be paid in cash on September 23, 2025.</w:t>
      </w:r>
    </w:p>
    <w:p>
      <w:pPr>
        <w:spacing w:after="0" w:line="90"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On August 7, 2025, the Company closed on an initial $159,100 two-year term loan with two one-year extension options on Crabtree Mall. The term loan also allows for additional requested advances of up to $51,180 based on defined conditions for capital expenditures and leasing costs for a maximum total term loan of $210,280. The new term loan bears interest at a rate of SOFR plus 2.50% (SOFR at the term loan closing date was 4.35%). The Company has purchased a SOFR interest rate cap for the initial term loan advance with a strike rate of 5.0% for the two-year base term of the term loan. The Company used a portion of the net proceeds to fully repay borrowings on the revolving credit facility (See Note 15 – Acquisitions and Note 11 – Bank and Other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880"/>
        <w:spacing w:after="0" w:line="456"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IMPORTANT INFORMATION RELATED TO FORWARD-LOOKING STATEMENTS</w:t>
      </w: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9" w:lineRule="exact"/>
        <w:rPr>
          <w:sz w:val="20"/>
          <w:szCs w:val="20"/>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Path Forward Plan and its ability to meet the goals established under such plan;</w:t>
      </w:r>
    </w:p>
    <w:p>
      <w:pPr>
        <w:spacing w:after="0" w:line="56" w:lineRule="exact"/>
        <w:rPr>
          <w:rFonts w:ascii="Times New Roman" w:cs="Times New Roman" w:eastAsia="Times New Roman" w:hAnsi="Times New Roman"/>
          <w:sz w:val="18"/>
          <w:szCs w:val="18"/>
          <w:color w:val="auto"/>
        </w:rPr>
      </w:pPr>
    </w:p>
    <w:p>
      <w:pPr>
        <w:ind w:left="1260" w:right="160" w:hanging="623"/>
        <w:spacing w:after="0" w:line="268"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56" w:lineRule="exact"/>
        <w:rPr>
          <w:rFonts w:ascii="Times New Roman" w:cs="Times New Roman" w:eastAsia="Times New Roman" w:hAnsi="Times New Roman"/>
          <w:sz w:val="18"/>
          <w:szCs w:val="18"/>
          <w:color w:val="auto"/>
        </w:rPr>
      </w:pPr>
    </w:p>
    <w:p>
      <w:pPr>
        <w:ind w:left="1260" w:right="460" w:hanging="623"/>
        <w:spacing w:after="0" w:line="268"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90" w:lineRule="exact"/>
        <w:rPr>
          <w:sz w:val="20"/>
          <w:szCs w:val="20"/>
          <w:color w:val="auto"/>
        </w:rPr>
      </w:pPr>
    </w:p>
    <w:p>
      <w:pPr>
        <w:ind w:firstLine="434"/>
        <w:spacing w:after="0" w:line="278" w:lineRule="auto"/>
        <w:rPr>
          <w:sz w:val="20"/>
          <w:szCs w:val="20"/>
          <w:color w:val="auto"/>
        </w:rPr>
      </w:pPr>
      <w:r>
        <w:rPr>
          <w:rFonts w:ascii="Times New Roman" w:cs="Times New Roman" w:eastAsia="Times New Roman" w:hAnsi="Times New Roman"/>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including the impact of tariffs and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its impact on the financial condition and results of operations of the Company, including as a result of any increased borrowing costs on the Company's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2024,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50" w:lineRule="exact"/>
        <w:rPr>
          <w:sz w:val="20"/>
          <w:szCs w:val="20"/>
          <w:color w:val="auto"/>
        </w:rPr>
      </w:pPr>
    </w:p>
    <w:p>
      <w:pPr>
        <w:ind w:right="100" w:firstLine="434"/>
        <w:spacing w:after="0" w:line="249"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2025, the Operating Partnership owned or had an ownership interest in 39 regional retail centers (including office, hotel and residential space adjacent to these shopping centers) and two community/power shopping centers. These 41 regional retail centers and community/power shopping centers consist of approximately 42 million square feet of gross leasable area ("GLA") and are referred to herein as the "Centers". The Centers consist of consolidated Centers ("Consolidated Centers")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104"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and six months ended June 30, 2025 and 2024. It compares the results of operations for the three months ended June 30, 2025 to the results of operations for the three months ended June 30, 2024. It also compares the results of operations and cash flows for the six months ended June 30, 2025 to the results of operations and cash flows for the six months ended June 30, 2024.</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80" w:firstLine="434"/>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80"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$5.4 million (See Note 15—Acquisitions in the Notes to the Consolidated Financial Statements).</w:t>
      </w:r>
    </w:p>
    <w:p>
      <w:pPr>
        <w:spacing w:after="0" w:line="104"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included Los Cerritos Center, Washington Square and Lakewood Center, for a net purchase price of approximately $122.1 million, which included the assumption of the partner's share of property level indebtedness. The Company now owns and has consolidated its 100% interests in these properties in its consolidated financial statements (See Note 15—Acquisitions in the Notes to the Consolidated Financial Statements).</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23, 2025, the Company acquired Crabtree Mall, a 1,325,000 square foot regional retail center in Raleigh, North Carolina, for a total purchase price of $290.0 million. The acquisition was initially funded with cash on hand and $100.0 million of borrowings on the Company's credit facility (See Note 15 —Acquisitions in the Notes to the Consolidated Financial Statements).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50"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spacing w:after="0" w:line="114"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 million. The Company used the net proceeds to pay down debt. The Company recognized a gain on sale of assets of $0.8 million (See Note 16—Dispositions in the Notes to the Consolidated Financial Statements).</w:t>
      </w:r>
    </w:p>
    <w:p>
      <w:pPr>
        <w:spacing w:after="0" w:line="101" w:lineRule="exact"/>
        <w:rPr>
          <w:sz w:val="20"/>
          <w:szCs w:val="20"/>
          <w:color w:val="auto"/>
        </w:rPr>
      </w:pPr>
    </w:p>
    <w:p>
      <w:pPr>
        <w:ind w:right="300" w:firstLine="434"/>
        <w:spacing w:after="0" w:line="269" w:lineRule="auto"/>
        <w:rPr>
          <w:sz w:val="20"/>
          <w:szCs w:val="20"/>
          <w:color w:val="auto"/>
        </w:rPr>
      </w:pPr>
      <w:r>
        <w:rPr>
          <w:rFonts w:ascii="Times New Roman" w:cs="Times New Roman" w:eastAsia="Times New Roman" w:hAnsi="Times New Roman"/>
          <w:sz w:val="16"/>
          <w:szCs w:val="16"/>
          <w:color w:val="auto"/>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spacing w:after="0" w:line="79" w:lineRule="exact"/>
        <w:rPr>
          <w:sz w:val="20"/>
          <w:szCs w:val="20"/>
          <w:color w:val="auto"/>
        </w:rPr>
      </w:pPr>
    </w:p>
    <w:p>
      <w:pPr>
        <w:ind w:firstLine="434"/>
        <w:spacing w:after="0" w:line="239"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 million, which resulted in a loss on sale of assets of $0.9 million. The Company used the net proceeds to pay down debt.</w:t>
      </w:r>
    </w:p>
    <w:p>
      <w:pPr>
        <w:spacing w:after="0" w:line="101" w:lineRule="exact"/>
        <w:rPr>
          <w:sz w:val="20"/>
          <w:szCs w:val="20"/>
          <w:color w:val="auto"/>
        </w:rPr>
      </w:pPr>
    </w:p>
    <w:p>
      <w:pPr>
        <w:ind w:right="280" w:firstLine="434"/>
        <w:spacing w:after="0" w:line="298" w:lineRule="auto"/>
        <w:rPr>
          <w:sz w:val="20"/>
          <w:szCs w:val="20"/>
          <w:color w:val="auto"/>
        </w:rPr>
      </w:pPr>
      <w:r>
        <w:rPr>
          <w:rFonts w:ascii="Times New Roman" w:cs="Times New Roman" w:eastAsia="Times New Roman" w:hAnsi="Times New Roman"/>
          <w:sz w:val="16"/>
          <w:szCs w:val="16"/>
          <w:color w:val="auto"/>
        </w:rPr>
        <w:t>On December 10, 2024, the Company sold The Oaks, a 1,206,000 square foot regional retail center in Thousand Oaks, California, for $157.0 million, which resulted in a loss on sale of assets of $6.9 million. The Company used the net proceeds to pay off the $147.8 million loan on the property.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434"/>
        <w:spacing w:after="0" w:line="230" w:lineRule="auto"/>
        <w:rPr>
          <w:sz w:val="20"/>
          <w:szCs w:val="20"/>
          <w:color w:val="auto"/>
        </w:rPr>
      </w:pPr>
      <w:r>
        <w:rPr>
          <w:rFonts w:ascii="Times New Roman" w:cs="Times New Roman" w:eastAsia="Times New Roman" w:hAnsi="Times New Roman"/>
          <w:sz w:val="18"/>
          <w:szCs w:val="18"/>
          <w:color w:val="auto"/>
        </w:rPr>
        <w:t>For the twelve months ended December 31, 2024, the Company and certain joint venture partners sold various land parcels in separate transactions, resulting in the Company's share of the gain on sale of land of $2.8 million. The Company used its share of the proceeds from these sales of $6.1 million to pay down debt and for other general corporate purposes.</w:t>
      </w:r>
    </w:p>
    <w:p>
      <w:pPr>
        <w:spacing w:after="0" w:line="102" w:lineRule="exact"/>
        <w:rPr>
          <w:sz w:val="20"/>
          <w:szCs w:val="20"/>
          <w:color w:val="auto"/>
        </w:rPr>
      </w:pPr>
    </w:p>
    <w:p>
      <w:pPr>
        <w:ind w:firstLine="434"/>
        <w:spacing w:after="0" w:line="239" w:lineRule="auto"/>
        <w:rPr>
          <w:sz w:val="20"/>
          <w:szCs w:val="20"/>
          <w:color w:val="auto"/>
        </w:rPr>
      </w:pPr>
      <w:r>
        <w:rPr>
          <w:rFonts w:ascii="Times New Roman" w:cs="Times New Roman" w:eastAsia="Times New Roman" w:hAnsi="Times New Roman"/>
          <w:sz w:val="18"/>
          <w:szCs w:val="18"/>
          <w:color w:val="auto"/>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spacing w:after="0" w:line="101" w:lineRule="exact"/>
        <w:rPr>
          <w:sz w:val="20"/>
          <w:szCs w:val="20"/>
          <w:color w:val="auto"/>
        </w:rPr>
      </w:pPr>
    </w:p>
    <w:p>
      <w:pPr>
        <w:ind w:right="120" w:firstLine="434"/>
        <w:spacing w:after="0" w:line="235" w:lineRule="auto"/>
        <w:rPr>
          <w:sz w:val="20"/>
          <w:szCs w:val="20"/>
          <w:color w:val="auto"/>
        </w:rPr>
      </w:pPr>
      <w:r>
        <w:rPr>
          <w:rFonts w:ascii="Times New Roman" w:cs="Times New Roman" w:eastAsia="Times New Roman" w:hAnsi="Times New Roman"/>
          <w:sz w:val="18"/>
          <w:szCs w:val="18"/>
          <w:color w:val="auto"/>
        </w:rPr>
        <w:t>On April 16, 2025, the Company sold a parcel at SanTan Adjacent in Gilbert, Arizona for $3.0 million, which resulted in a loss on sale of assets of $0.2 million. On April 28, 2025, the Company sold various parcels at SanTan Adjacent in Gilbert, Arizona for $24.5 million, which resulted in a gain on sale of assets of $0.1 million. The Company used the net proceeds from these sales to pay down debt and for other general corporate purposes.</w:t>
      </w:r>
    </w:p>
    <w:p>
      <w:pPr>
        <w:spacing w:after="0" w:line="103" w:lineRule="exact"/>
        <w:rPr>
          <w:sz w:val="20"/>
          <w:szCs w:val="20"/>
          <w:color w:val="auto"/>
        </w:rPr>
      </w:pPr>
    </w:p>
    <w:p>
      <w:pPr>
        <w:ind w:right="60" w:firstLine="434"/>
        <w:spacing w:after="0" w:line="239" w:lineRule="auto"/>
        <w:rPr>
          <w:sz w:val="20"/>
          <w:szCs w:val="20"/>
          <w:color w:val="auto"/>
        </w:rPr>
      </w:pPr>
      <w:r>
        <w:rPr>
          <w:rFonts w:ascii="Times New Roman" w:cs="Times New Roman" w:eastAsia="Times New Roman" w:hAnsi="Times New Roman"/>
          <w:sz w:val="18"/>
          <w:szCs w:val="18"/>
          <w:color w:val="auto"/>
        </w:rPr>
        <w:t>On April 30, 2025, the Company sold SouthPark Mall, an 802,000 square foot regional retail center in Moline, Illinois, for $10.5 million, which resulted in a loss on sale of assets of $4.3 million. The Company used the net proceeds for general corporate purposes. This asset was unencumbered.</w:t>
      </w:r>
    </w:p>
    <w:p>
      <w:pPr>
        <w:spacing w:after="0" w:line="101" w:lineRule="exact"/>
        <w:rPr>
          <w:sz w:val="20"/>
          <w:szCs w:val="20"/>
          <w:color w:val="auto"/>
        </w:rPr>
      </w:pPr>
    </w:p>
    <w:p>
      <w:pPr>
        <w:ind w:right="60" w:firstLine="434"/>
        <w:spacing w:after="0" w:line="239" w:lineRule="auto"/>
        <w:rPr>
          <w:sz w:val="20"/>
          <w:szCs w:val="20"/>
          <w:color w:val="auto"/>
        </w:rPr>
      </w:pPr>
      <w:r>
        <w:rPr>
          <w:rFonts w:ascii="Times New Roman" w:cs="Times New Roman" w:eastAsia="Times New Roman" w:hAnsi="Times New Roman"/>
          <w:sz w:val="18"/>
          <w:szCs w:val="18"/>
          <w:color w:val="auto"/>
        </w:rPr>
        <w:t>On May 28, 2025, the Company sold Paradise Village Office Park in Phoenix, Arizona for $6.2 million, which resulted in a loss on sale of assets of $0.6 million. The Company used the net proceeds for general corporate purposes.</w:t>
      </w:r>
    </w:p>
    <w:p>
      <w:pPr>
        <w:spacing w:after="0" w:line="101" w:lineRule="exact"/>
        <w:rPr>
          <w:sz w:val="20"/>
          <w:szCs w:val="20"/>
          <w:color w:val="auto"/>
        </w:rPr>
      </w:pPr>
    </w:p>
    <w:p>
      <w:pPr>
        <w:ind w:right="120" w:firstLine="434"/>
        <w:spacing w:after="0" w:line="239" w:lineRule="auto"/>
        <w:rPr>
          <w:sz w:val="20"/>
          <w:szCs w:val="20"/>
          <w:color w:val="auto"/>
        </w:rPr>
      </w:pPr>
      <w:r>
        <w:rPr>
          <w:rFonts w:ascii="Times New Roman" w:cs="Times New Roman" w:eastAsia="Times New Roman" w:hAnsi="Times New Roman"/>
          <w:sz w:val="18"/>
          <w:szCs w:val="18"/>
          <w:color w:val="auto"/>
        </w:rPr>
        <w:t>On June 11, 2025, the Company sold a former department store parcel located in Petaluma, California, for $2.6 million, which resulted in a gain on sale of assets of $2.0 million. The Company used the net proceeds for general corporate purposes.</w:t>
      </w:r>
    </w:p>
    <w:p>
      <w:pPr>
        <w:spacing w:after="0" w:line="101" w:lineRule="exact"/>
        <w:rPr>
          <w:sz w:val="20"/>
          <w:szCs w:val="20"/>
          <w:color w:val="auto"/>
        </w:rPr>
      </w:pPr>
    </w:p>
    <w:p>
      <w:pPr>
        <w:ind w:right="140" w:firstLine="434"/>
        <w:spacing w:after="0" w:line="253" w:lineRule="auto"/>
        <w:rPr>
          <w:sz w:val="20"/>
          <w:szCs w:val="20"/>
          <w:color w:val="auto"/>
        </w:rPr>
      </w:pPr>
      <w:r>
        <w:rPr>
          <w:rFonts w:ascii="Times New Roman" w:cs="Times New Roman" w:eastAsia="Times New Roman" w:hAnsi="Times New Roman"/>
          <w:sz w:val="18"/>
          <w:szCs w:val="18"/>
          <w:color w:val="auto"/>
        </w:rPr>
        <w:t>On June 30, 2025, the Company sold 1010-1016 Market Street parcels at Fashion District Philadelphia in Philadelphia, Pennsylvania for $10.8 million, which resulted in a gain on sale of assets of $2.4 million. The Company used the net proceeds for general corporate purposes.</w:t>
      </w:r>
    </w:p>
    <w:p>
      <w:pPr>
        <w:spacing w:after="0" w:line="90" w:lineRule="exact"/>
        <w:rPr>
          <w:sz w:val="20"/>
          <w:szCs w:val="20"/>
          <w:color w:val="auto"/>
        </w:rPr>
      </w:pPr>
    </w:p>
    <w:p>
      <w:pPr>
        <w:ind w:firstLine="434"/>
        <w:spacing w:after="0" w:line="239" w:lineRule="auto"/>
        <w:rPr>
          <w:sz w:val="20"/>
          <w:szCs w:val="20"/>
          <w:color w:val="auto"/>
        </w:rPr>
      </w:pPr>
      <w:r>
        <w:rPr>
          <w:rFonts w:ascii="Times New Roman" w:cs="Times New Roman" w:eastAsia="Times New Roman" w:hAnsi="Times New Roman"/>
          <w:sz w:val="18"/>
          <w:szCs w:val="18"/>
          <w:color w:val="auto"/>
        </w:rPr>
        <w:t>On June 30, 2025, the Company sold its remaining 5% effective interest in Paradise Valley Mall in Phoenix, Arizona for $5.5 million, which resulted in a loss on sale of assets of $1.2 million. The Company used the proceeds for general corporate purposes.</w:t>
      </w:r>
    </w:p>
    <w:p>
      <w:pPr>
        <w:spacing w:after="0" w:line="101" w:lineRule="exact"/>
        <w:rPr>
          <w:sz w:val="20"/>
          <w:szCs w:val="20"/>
          <w:color w:val="auto"/>
        </w:rPr>
      </w:pPr>
    </w:p>
    <w:p>
      <w:pPr>
        <w:ind w:right="200" w:firstLine="434"/>
        <w:spacing w:after="0" w:line="230" w:lineRule="auto"/>
        <w:rPr>
          <w:sz w:val="20"/>
          <w:szCs w:val="20"/>
          <w:color w:val="auto"/>
        </w:rPr>
      </w:pPr>
      <w:r>
        <w:rPr>
          <w:rFonts w:ascii="Times New Roman" w:cs="Times New Roman" w:eastAsia="Times New Roman" w:hAnsi="Times New Roman"/>
          <w:sz w:val="18"/>
          <w:szCs w:val="18"/>
          <w:color w:val="auto"/>
        </w:rPr>
        <w:t>On July 30, 2025, the Company's joint venture sold Atlas Park, a 374,000 square foot community center in Queens, New York, for $72.0 million. Concurrent with the sale, the $65.0 million loan ($32.5 million at the Company's share) owed by the joint venture was paid off in full. The Company used its share of the net proceeds for general corporate purposes.</w:t>
      </w:r>
    </w:p>
    <w:p>
      <w:pPr>
        <w:spacing w:after="0" w:line="102" w:lineRule="exact"/>
        <w:rPr>
          <w:sz w:val="20"/>
          <w:szCs w:val="20"/>
          <w:color w:val="auto"/>
        </w:rPr>
      </w:pPr>
    </w:p>
    <w:p>
      <w:pPr>
        <w:ind w:right="220" w:firstLine="434"/>
        <w:spacing w:after="0" w:line="230"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and certain joint venture partners sold various land parcels in separate transactions, resulting in the Company’s share of the gains on sale of land of $0.1 million and $0.8 million, respectively. The Company’s proceeds from these sales in the three and six months ended June 30, 2025 were $4.0 million and $12.3 million, respectively. The Company used its share of the proceeds from these sales to pay down debt and for other general corporate purposes.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1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104"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90"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has completed transition of the property to a receiver but is still the owner of record.</w:t>
      </w:r>
    </w:p>
    <w:p>
      <w:pPr>
        <w:spacing w:after="0" w:line="104" w:lineRule="exact"/>
        <w:rPr>
          <w:sz w:val="20"/>
          <w:szCs w:val="20"/>
          <w:color w:val="auto"/>
        </w:rPr>
      </w:pPr>
    </w:p>
    <w:p>
      <w:pPr>
        <w:ind w:right="200" w:firstLine="434"/>
        <w:spacing w:after="0" w:line="303" w:lineRule="auto"/>
        <w:rPr>
          <w:sz w:val="20"/>
          <w:szCs w:val="20"/>
          <w:color w:val="auto"/>
        </w:rPr>
      </w:pPr>
      <w:r>
        <w:rPr>
          <w:rFonts w:ascii="Times New Roman" w:cs="Times New Roman" w:eastAsia="Times New Roman" w:hAnsi="Times New Roman"/>
          <w:sz w:val="16"/>
          <w:szCs w:val="16"/>
          <w:color w:val="auto"/>
        </w:rPr>
        <w:t>On May 24, 2024, the Company closed a two-year extension of the $149.9 million loan on The Oaks, which was scheduled to mature on June 5, 2026. The interest rate during the first year of the extended term was 7.5% and would have increased to 8.5% during the second year of the extended term. On December 10, 2024, the Company repaid in full the $147.8 million loan with the net proceeds from the sale of the property (See "Dispositions").</w:t>
      </w:r>
    </w:p>
    <w:p>
      <w:pPr>
        <w:spacing w:after="0" w:line="80"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On August 22, 2024, the Company closed an $85.0 million, ten-year refinance of the loan on The Mall of Victor Valley. The new loan bears interest at a fixed rate of 6.72%, is interest only during the entire loan term and matures on September 6, 2034.</w:t>
      </w:r>
    </w:p>
    <w:p>
      <w:pPr>
        <w:spacing w:after="0" w:line="90"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On October 28, 2024, the Company closed a $525.0 million, five-year refinance of the loan on Queens Center, which matures on November 6, 2029. The new loan replaced the existing $600.0 million loan, bears interest at a fixed rate of 5.37% and is interest only during the entire loan term.</w:t>
      </w:r>
    </w:p>
    <w:p>
      <w:pPr>
        <w:spacing w:after="0" w:line="104"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On December 2, 2024, the Company repaid in full the $478.0 million loan on Washington Square with the net proceeds received from the Company’s public stock offering, which closed on November 27, 2024, together with cash on hand (See “Other Transactions and Events”). The mortgage loan on the property was scheduled to mature on November 1, 2026. The Company recognized a gain on extinguishment of debt of $14.4 million upon the repayment of the loan.</w:t>
      </w:r>
    </w:p>
    <w:p>
      <w:pPr>
        <w:spacing w:after="0" w:line="118" w:lineRule="exact"/>
        <w:rPr>
          <w:sz w:val="20"/>
          <w:szCs w:val="20"/>
          <w:color w:val="auto"/>
        </w:rPr>
      </w:pPr>
    </w:p>
    <w:p>
      <w:pPr>
        <w:ind w:right="440" w:firstLine="434"/>
        <w:spacing w:after="0" w:line="286" w:lineRule="auto"/>
        <w:rPr>
          <w:sz w:val="20"/>
          <w:szCs w:val="20"/>
          <w:color w:val="auto"/>
        </w:rPr>
      </w:pPr>
      <w:r>
        <w:rPr>
          <w:rFonts w:ascii="Times New Roman" w:cs="Times New Roman" w:eastAsia="Times New Roman" w:hAnsi="Times New Roman"/>
          <w:sz w:val="16"/>
          <w:szCs w:val="16"/>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ind w:right="40"/>
        <w:spacing w:after="0" w:line="246" w:lineRule="auto"/>
        <w:rPr>
          <w:sz w:val="20"/>
          <w:szCs w:val="20"/>
          <w:color w:val="auto"/>
        </w:rPr>
      </w:pPr>
      <w:r>
        <w:rPr>
          <w:rFonts w:ascii="Times New Roman" w:cs="Times New Roman" w:eastAsia="Times New Roman" w:hAnsi="Times New Roman"/>
          <w:sz w:val="18"/>
          <w:szCs w:val="18"/>
          <w:color w:val="auto"/>
        </w:rPr>
        <w:t>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spacing w:after="0" w:line="109"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w:t>
      </w:r>
    </w:p>
    <w:p>
      <w:pPr>
        <w:spacing w:after="0" w:line="118" w:lineRule="exact"/>
        <w:rPr>
          <w:sz w:val="20"/>
          <w:szCs w:val="20"/>
          <w:color w:val="auto"/>
        </w:rPr>
      </w:pPr>
    </w:p>
    <w:p>
      <w:pPr>
        <w:ind w:right="660" w:firstLine="434"/>
        <w:spacing w:after="0" w:line="268" w:lineRule="auto"/>
        <w:rPr>
          <w:sz w:val="20"/>
          <w:szCs w:val="20"/>
          <w:color w:val="auto"/>
        </w:rPr>
      </w:pPr>
      <w:r>
        <w:rPr>
          <w:rFonts w:ascii="Times New Roman" w:cs="Times New Roman" w:eastAsia="Times New Roman" w:hAnsi="Times New Roman"/>
          <w:sz w:val="18"/>
          <w:szCs w:val="18"/>
          <w:color w:val="auto"/>
        </w:rPr>
        <w:t>On July 30, 2025, the Company's joint venture in Atlas Park repaid in full the $65.0 million loan ($32.5 million at the Company's pro rata share) concurrent with the sale of the property (See "Dispositions").</w:t>
      </w:r>
    </w:p>
    <w:p>
      <w:pPr>
        <w:spacing w:after="0" w:line="104"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new term loan bears interest at a rate of SOFR plus 2.50% (SOFR at the term loan closing date was 4.35%). The Company has purchased a SOFR interest rate cap for the initial term loan advance with a strike rate of 5.0% for the two-year base term of the term loan. The Company used a portion of the net proceeds to fully repay borrowings on the revolving credit facility (See Note 15 – Acquisitions and Note 11 – Bank and Other Notes Payable).</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50" w:lineRule="exact"/>
        <w:rPr>
          <w:sz w:val="20"/>
          <w:szCs w:val="20"/>
          <w:color w:val="auto"/>
        </w:rPr>
      </w:pPr>
    </w:p>
    <w:p>
      <w:pPr>
        <w:ind w:right="100" w:firstLine="434"/>
        <w:spacing w:after="0" w:line="250"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1,877,000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approximately $31.0 million of the total $62.1 million incurred by the joint venture as of June 30, 2025. The opening will be in phases which began in 2024, with anticipated completion in the fourth quarter of 2025.</w:t>
      </w:r>
    </w:p>
    <w:p>
      <w:pPr>
        <w:spacing w:after="0" w:line="119" w:lineRule="exact"/>
        <w:rPr>
          <w:sz w:val="20"/>
          <w:szCs w:val="20"/>
          <w:color w:val="auto"/>
        </w:rPr>
      </w:pPr>
    </w:p>
    <w:p>
      <w:pPr>
        <w:jc w:val="both"/>
        <w:ind w:right="220" w:firstLine="434"/>
        <w:spacing w:after="0" w:line="250" w:lineRule="auto"/>
        <w:rPr>
          <w:sz w:val="20"/>
          <w:szCs w:val="20"/>
          <w:color w:val="auto"/>
        </w:rPr>
      </w:pPr>
      <w:r>
        <w:rPr>
          <w:rFonts w:ascii="Times New Roman" w:cs="Times New Roman" w:eastAsia="Times New Roman" w:hAnsi="Times New Roman"/>
          <w:sz w:val="18"/>
          <w:szCs w:val="18"/>
          <w:color w:val="auto"/>
        </w:rPr>
        <w:t>The Company is redeveloping the northeast quadrant of Green Acres Mall, a 2,073,000 square foot regional retail center in Valley Stream, New York. The project will include new exterior shops and facade totaling approximately 375,000 square feet of leasing, including new grocery use, redevelopment of a vacant anchor building and demolition of another vacant anchor building. The total cost of the project is estimated to be between $130.0 million and $150.0 million. The Company has incurred approximately $25.9 million as of June 30, 2025. The anticipated opening is in 2026 for the majority of the tenants, with one anchor tenant expected to open in 2027.</w:t>
      </w:r>
    </w:p>
    <w:p>
      <w:pPr>
        <w:spacing w:after="0" w:line="106"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Company’s joint venture in FlatIron Crossing, a 1,396,000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expected to be 43.4% in the residential portion of the development and 51.0% in the remainder of the property. The total cost of the project is estimated to be between $245.0 million and $265.0 million, with $125.0 million to $135.0 million estimated to be the Company’s pro rata share. The Company has incurred approximately $14.9 million of the total $29.2 million incurred by the joint venture as of June 30, 2025. The anticipated opening will be in phases beginning in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37"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of 2024 and the first two quarters of 2025. On July 31, 2025, the Company announced a third quarter cash dividend of $0.17 per share of its common stock, which will be paid on September 23, 2025 to stockholders of record on September 9, 2025. The dividend amount will be reviewed by the Board on a quarterly basis.</w:t>
      </w:r>
    </w:p>
    <w:p>
      <w:pPr>
        <w:spacing w:after="0" w:line="114"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9.4 million shares of common stock for approximately $148.6 million of net proceeds through the 2021 ATM Program at a weighted average share price of $15.81. The 2021 ATM Program was fully utilized as of September 30, 2024 and is no longer active.</w:t>
      </w:r>
    </w:p>
    <w:p>
      <w:pPr>
        <w:spacing w:after="0" w:line="119" w:lineRule="exact"/>
        <w:rPr>
          <w:sz w:val="20"/>
          <w:szCs w:val="20"/>
          <w:color w:val="auto"/>
        </w:rPr>
      </w:pPr>
    </w:p>
    <w:p>
      <w:pPr>
        <w:ind w:right="60" w:firstLine="434"/>
        <w:spacing w:after="0" w:line="249" w:lineRule="auto"/>
        <w:rPr>
          <w:sz w:val="20"/>
          <w:szCs w:val="20"/>
          <w:color w:val="auto"/>
        </w:rPr>
      </w:pPr>
      <w:r>
        <w:rPr>
          <w:rFonts w:ascii="Times New Roman" w:cs="Times New Roman" w:eastAsia="Times New Roman" w:hAnsi="Times New Roman"/>
          <w:sz w:val="18"/>
          <w:szCs w:val="18"/>
          <w:color w:val="auto"/>
        </w:rPr>
        <w:t>In connection with the commencement of a separate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3.7 million shares of common stock for approximately $69.1 million of net proceeds through the 2024 ATM Program at a weighted average price of $18.68. During the three and six months ended June 30, 2025, the Company did not issue any shares of common stock under the 2024 ATM Program. As of June 30, 2025, the Company had approximately $429.3 million of gross sales of its common stock available under the 2024 ATM Program.</w:t>
      </w:r>
    </w:p>
    <w:p>
      <w:pPr>
        <w:spacing w:after="0" w:line="106" w:lineRule="exact"/>
        <w:rPr>
          <w:sz w:val="20"/>
          <w:szCs w:val="20"/>
          <w:color w:val="auto"/>
        </w:rPr>
      </w:pPr>
    </w:p>
    <w:p>
      <w:pPr>
        <w:ind w:right="40" w:firstLine="434"/>
        <w:spacing w:after="0" w:line="293" w:lineRule="auto"/>
        <w:rPr>
          <w:sz w:val="20"/>
          <w:szCs w:val="20"/>
          <w:color w:val="auto"/>
        </w:rPr>
      </w:pPr>
      <w:r>
        <w:rPr>
          <w:rFonts w:ascii="Times New Roman" w:cs="Times New Roman" w:eastAsia="Times New Roman" w:hAnsi="Times New Roman"/>
          <w:sz w:val="16"/>
          <w:szCs w:val="16"/>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88"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37" w:lineRule="exact"/>
        <w:rPr>
          <w:sz w:val="20"/>
          <w:szCs w:val="20"/>
          <w:color w:val="auto"/>
        </w:rPr>
      </w:pPr>
    </w:p>
    <w:p>
      <w:pPr>
        <w:ind w:right="200" w:firstLine="434"/>
        <w:spacing w:after="0" w:line="286" w:lineRule="auto"/>
        <w:rPr>
          <w:sz w:val="20"/>
          <w:szCs w:val="20"/>
          <w:color w:val="auto"/>
        </w:rPr>
      </w:pPr>
      <w:r>
        <w:rPr>
          <w:rFonts w:ascii="Times New Roman" w:cs="Times New Roman" w:eastAsia="Times New Roman" w:hAnsi="Times New Roman"/>
          <w:sz w:val="16"/>
          <w:szCs w:val="16"/>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Material United States Federal Income Tax Considerations</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following discussion supplements and updates the disclosures under the heading “Material United States Federal Income Tax Considerations” in the prospectus dated August 4, 2023, contained in the Company's Registration Statement on Form S-3 (File No. 333-273707) filed with the SEC on August 4, 2023 (the “Existing Tax Disclosure”). Capitalized terms herein that are not otherwise defined shall have the same meaning as when used in the Existing Tax Disclosure.</w:t>
      </w:r>
    </w:p>
    <w:p>
      <w:pPr>
        <w:spacing w:after="0" w:line="104"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On July 4, 2025, H.R. 1, informally known as the One Big Beautiful Bill Act (the “OBBB”), was enacted. The OBBB makes major changes to the Code, including some provisions of the Code that affect the taxation of REITs and their investors. In particular,</w:t>
      </w:r>
    </w:p>
    <w:p>
      <w:pPr>
        <w:spacing w:after="0" w:line="104" w:lineRule="exact"/>
        <w:rPr>
          <w:sz w:val="20"/>
          <w:szCs w:val="20"/>
          <w:color w:val="auto"/>
        </w:rPr>
      </w:pPr>
    </w:p>
    <w:p>
      <w:pPr>
        <w:ind w:left="1260" w:right="120" w:hanging="623"/>
        <w:spacing w:after="0" w:line="256"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taxable years beginning on or after January 1, 2026, the OBBB relaxed the REIT asset test requirement with respect to taxable REIT subsidiaries, providing that not more than 25% (relaxed from 20%) of the gross value of a REIT’s assets may be represented by securities of one or more taxable REIT subsidiaries.</w:t>
      </w:r>
    </w:p>
    <w:p>
      <w:pPr>
        <w:spacing w:after="0" w:line="21"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OBBB permanently extended the pass-through qualified business income deduction, generally allowing individuals to deduct 20% of the aggregate amount of ordinary REIT dividends distributed by a REIT. This deduction was due to expire for tax years beginning after December 31, 2025.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120" w:firstLine="434"/>
        <w:spacing w:after="0" w:line="303" w:lineRule="auto"/>
        <w:rPr>
          <w:sz w:val="20"/>
          <w:szCs w:val="20"/>
          <w:color w:val="auto"/>
        </w:rPr>
      </w:pPr>
      <w:r>
        <w:rPr>
          <w:rFonts w:ascii="Times New Roman" w:cs="Times New Roman" w:eastAsia="Times New Roman" w:hAnsi="Times New Roman"/>
          <w:sz w:val="16"/>
          <w:szCs w:val="16"/>
          <w:color w:val="auto"/>
        </w:rPr>
        <w:t>To the extent the information set forth in the Existing Tax Disclosure is inconsistent with this supplemental information, this supplemental information supersedes the information in the Existing Tax Disclosure. This supplemental information is provided on the same basis and subject to the same qualifications as are set forth in the first four paragraphs of the Existing Tax Disclosure as if those paragraphs were set forth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8" w:lineRule="exact"/>
        <w:rPr>
          <w:sz w:val="20"/>
          <w:szCs w:val="20"/>
          <w:color w:val="auto"/>
        </w:rPr>
      </w:pPr>
    </w:p>
    <w:p>
      <w:pPr>
        <w:ind w:firstLine="434"/>
        <w:spacing w:after="0" w:line="293" w:lineRule="auto"/>
        <w:rPr>
          <w:sz w:val="20"/>
          <w:szCs w:val="20"/>
          <w:color w:val="auto"/>
        </w:rPr>
      </w:pPr>
      <w:r>
        <w:rPr>
          <w:rFonts w:ascii="Times New Roman" w:cs="Times New Roman" w:eastAsia="Times New Roman" w:hAnsi="Times New Roman"/>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0" w:lineRule="exact"/>
        <w:rPr>
          <w:sz w:val="20"/>
          <w:szCs w:val="20"/>
          <w:color w:val="auto"/>
        </w:rPr>
      </w:pPr>
    </w:p>
    <w:p>
      <w:pPr>
        <w:ind w:right="20" w:firstLine="434"/>
        <w:spacing w:after="0" w:line="277"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321"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50" w:lineRule="exact"/>
        <w:rPr>
          <w:sz w:val="20"/>
          <w:szCs w:val="20"/>
          <w:color w:val="auto"/>
        </w:rPr>
      </w:pPr>
    </w:p>
    <w:p>
      <w:pPr>
        <w:ind w:right="40" w:firstLine="434"/>
        <w:spacing w:after="0" w:line="293"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100"/>
        <w:spacing w:after="0" w:line="303" w:lineRule="auto"/>
        <w:rPr>
          <w:sz w:val="20"/>
          <w:szCs w:val="20"/>
          <w:color w:val="auto"/>
        </w:rPr>
      </w:pPr>
      <w:r>
        <w:rPr>
          <w:rFonts w:ascii="Times New Roman" w:cs="Times New Roman" w:eastAsia="Times New Roman" w:hAnsi="Times New Roman"/>
          <w:sz w:val="16"/>
          <w:szCs w:val="16"/>
          <w:color w:val="auto"/>
        </w:rPr>
        <w:t>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66" w:lineRule="exact"/>
        <w:rPr>
          <w:sz w:val="20"/>
          <w:szCs w:val="20"/>
          <w:color w:val="auto"/>
        </w:rPr>
      </w:pPr>
    </w:p>
    <w:p>
      <w:pPr>
        <w:ind w:right="42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114"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7"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those related to the Redevelopment Properties, the Acquisition Property, the JV Transition Centers and the Disposition Properties (each as defined below).</w:t>
      </w:r>
    </w:p>
    <w:p>
      <w:pPr>
        <w:spacing w:after="0" w:line="114" w:lineRule="exact"/>
        <w:rPr>
          <w:sz w:val="20"/>
          <w:szCs w:val="20"/>
          <w:color w:val="auto"/>
        </w:rPr>
      </w:pPr>
    </w:p>
    <w:p>
      <w:pPr>
        <w:ind w:right="60" w:firstLine="434"/>
        <w:spacing w:after="0" w:line="247"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includes a recently acquired property ("Acquisition Property"),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 and the completion of the transition of the property to a receiver during the first quarter of 2025. The Company is still the owner of record of the property.</w:t>
      </w:r>
    </w:p>
    <w:p>
      <w:pPr>
        <w:spacing w:after="0" w:line="122" w:lineRule="exact"/>
        <w:rPr>
          <w:sz w:val="20"/>
          <w:szCs w:val="20"/>
          <w:color w:val="auto"/>
        </w:rPr>
      </w:pPr>
    </w:p>
    <w:p>
      <w:pPr>
        <w:ind w:right="60" w:firstLine="434"/>
        <w:spacing w:after="0" w:line="249" w:lineRule="auto"/>
        <w:rPr>
          <w:sz w:val="20"/>
          <w:szCs w:val="20"/>
          <w:color w:val="auto"/>
        </w:rPr>
      </w:pPr>
      <w:r>
        <w:rPr>
          <w:rFonts w:ascii="Times New Roman" w:cs="Times New Roman" w:eastAsia="Times New Roman" w:hAnsi="Times New Roman"/>
          <w:sz w:val="18"/>
          <w:szCs w:val="18"/>
          <w:color w:val="auto"/>
        </w:rPr>
        <w:t>For the comparison of the three and six months ended June 30, 2025 to the three and six months ended June 30, 2024, the Acquisition Property is Crabtree Mall (See “Acquisitions” in Management’s Overview and Summary). The JV Transition Centers are Arrowhead Towne Center, Chandler Fashion Center, Lakewood Center, Los Cerritos Center, Washington Square and South Plains Mall (See “Acquisitions” in Management’s Overview and Summary). The Disposition Properties are The Oaks, Southridge Mall, Wilton Mall, Southpark Mall, and former department store parcels at Valle Vista Mall in Harlingen, Texas and in Petaluma, California (See "Dispositions" in Management’s Overview and Summary). For the comparison of the three and six months ended June 30, 2025 to the three and six months ended June 30, 2024, there are no Redevelopment Properties.</w:t>
      </w:r>
    </w:p>
    <w:p>
      <w:pPr>
        <w:spacing w:after="0" w:line="106"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104" w:lineRule="exact"/>
        <w:rPr>
          <w:sz w:val="20"/>
          <w:szCs w:val="20"/>
          <w:color w:val="auto"/>
        </w:rPr>
      </w:pPr>
    </w:p>
    <w:p>
      <w:pPr>
        <w:ind w:right="300" w:firstLine="434"/>
        <w:spacing w:after="0" w:line="252"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8" w:lineRule="exact"/>
        <w:rPr>
          <w:sz w:val="20"/>
          <w:szCs w:val="20"/>
          <w:color w:val="auto"/>
        </w:rPr>
      </w:pPr>
    </w:p>
    <w:p>
      <w:pPr>
        <w:jc w:val="both"/>
        <w:ind w:right="40" w:firstLine="434"/>
        <w:spacing w:after="0" w:line="286" w:lineRule="auto"/>
        <w:rPr>
          <w:sz w:val="20"/>
          <w:szCs w:val="20"/>
          <w:color w:val="auto"/>
        </w:rPr>
      </w:pPr>
      <w:r>
        <w:rPr>
          <w:rFonts w:ascii="Times New Roman" w:cs="Times New Roman" w:eastAsia="Times New Roman" w:hAnsi="Times New Roman"/>
          <w:sz w:val="16"/>
          <w:szCs w:val="16"/>
          <w:color w:val="auto"/>
        </w:rPr>
        <w:t>During the trailing twelve months ended June 30, 2025, comparable tenant sales for spaces less than 10,000 square feet across the portfolio decreased by 0.5% relative to the same period of 2024. The leased occupancy rate of 92.0% at June 30, 2025 represented a 1.3% decrease from 93.3% at June 30, 2024 and a</w:t>
      </w:r>
    </w:p>
    <w:p>
      <w:pPr>
        <w:jc w:val="both"/>
        <w:ind w:right="40"/>
        <w:spacing w:after="0" w:line="291" w:lineRule="auto"/>
        <w:rPr>
          <w:sz w:val="20"/>
          <w:szCs w:val="20"/>
          <w:color w:val="auto"/>
        </w:rPr>
      </w:pPr>
      <w:r>
        <w:rPr>
          <w:rFonts w:ascii="Times New Roman" w:cs="Times New Roman" w:eastAsia="Times New Roman" w:hAnsi="Times New Roman"/>
          <w:sz w:val="16"/>
          <w:szCs w:val="16"/>
          <w:color w:val="auto"/>
        </w:rPr>
        <w:t>0.6% sequential decrease compared to the 92.6% occupancy rate at March 31, 2025. Releasing spreads increased as the Company executed leases at an average rent of $70.57 for new and renewal leases executed compared to $63.85 on leases expiring, resulting in a releasing spread increase of $6.73 per square foot, or 10.5%, for the trailing twelve months ended June 30, 2025. This was the Company’s fifteenth consecutive quarter of positive base rent leasing spreads.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has executed renewal leases or commitments on 89% of its square footage expiring in 2025, which leases are expected to commence throughout 2025 and 2026 and another 9% of such expiring space is in the letter of intent stage. Excluding those leases, the remaining leases expiring in 2025, which represent approximately 51,000 square feet of the Centers, are in the prospecting stage.</w:t>
      </w:r>
    </w:p>
    <w:p>
      <w:pPr>
        <w:spacing w:after="0" w:line="101"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The Company has entered into 144 leases for new stores totaling approximately 814,000 square feet that have opened or are planned for opening in 2025, and another 51 leases for new stores totaling approximately 791,000 square feet opening after 2025. In total, through 2028, new store leases are expected to produce total gross revenue of approximately $87 million (at the Company’s pro rata share) in excess of the revenue generated in 2024 from prior uses in the same spaces. This new store leasing pipeline represents a cumulative and incremental estimate and includes open stores, leases signed not yet open, and leases in documentation that will or have commenced from 2024 through 2028. While there may be additional new space openings in 2025, any such leases are not yet executed.</w:t>
      </w:r>
    </w:p>
    <w:p>
      <w:pPr>
        <w:spacing w:after="0" w:line="119"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During the quarter ended June 30, 2025, the Company signed 118 new leases and 213 renewal leases comprising approximately 1.7 million square feet of GLA. The average tenant allowance was $28.27 per square foot.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37" w:lineRule="exact"/>
        <w:rPr>
          <w:sz w:val="20"/>
          <w:szCs w:val="20"/>
          <w:color w:val="auto"/>
        </w:rPr>
      </w:pPr>
    </w:p>
    <w:p>
      <w:pPr>
        <w:ind w:right="240" w:firstLine="43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114" w:lineRule="exact"/>
        <w:rPr>
          <w:sz w:val="20"/>
          <w:szCs w:val="20"/>
          <w:color w:val="auto"/>
        </w:rPr>
      </w:pPr>
    </w:p>
    <w:p>
      <w:pPr>
        <w:ind w:left="1260" w:right="80" w:hanging="623"/>
        <w:spacing w:after="0" w:line="268" w:lineRule="auto"/>
        <w:tabs>
          <w:tab w:leader="none" w:pos="12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Deleverage the capital structure, with a focus on reducing the Company's Net Debt to Adjusted EBITDA leverage ratio over the next three to four years;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and fortify the Company's key assets in the portfolio;</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consolidate selected joint venture assets over time that are core to the Company's overall strategy;</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post-deleveraging Funds From Operations ("FFO") launch point goal over the next three to four years;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outstanding operational results through rigorous internal process improvements; and</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the Company to take an offensive stance on acquisitions, reinvestment and selected development.</w:t>
      </w:r>
    </w:p>
    <w:p>
      <w:pPr>
        <w:spacing w:after="0" w:line="148" w:lineRule="exact"/>
        <w:rPr>
          <w:sz w:val="20"/>
          <w:szCs w:val="20"/>
          <w:color w:val="auto"/>
        </w:rPr>
      </w:pPr>
    </w:p>
    <w:p>
      <w:pPr>
        <w:ind w:right="120" w:firstLine="434"/>
        <w:spacing w:after="0" w:line="247" w:lineRule="auto"/>
        <w:rPr>
          <w:sz w:val="20"/>
          <w:szCs w:val="20"/>
          <w:color w:val="auto"/>
        </w:rPr>
      </w:pPr>
      <w:r>
        <w:rPr>
          <w:rFonts w:ascii="Times New Roman" w:cs="Times New Roman" w:eastAsia="Times New Roman" w:hAnsi="Times New Roman"/>
          <w:sz w:val="18"/>
          <w:szCs w:val="18"/>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 The Company also began acquiring properties in June 2025 with the acquisition of Crabtree Mall and will continue to look for other strategic acquisition opportunities that would compliment the Company's portfolio.</w:t>
      </w:r>
    </w:p>
    <w:p>
      <w:pPr>
        <w:spacing w:after="0" w:line="112" w:lineRule="exact"/>
        <w:rPr>
          <w:sz w:val="20"/>
          <w:szCs w:val="20"/>
          <w:color w:val="auto"/>
        </w:rPr>
      </w:pPr>
    </w:p>
    <w:p>
      <w:pPr>
        <w:jc w:val="both"/>
        <w:ind w:right="200" w:firstLine="434"/>
        <w:spacing w:after="0" w:line="256" w:lineRule="auto"/>
        <w:rPr>
          <w:sz w:val="20"/>
          <w:szCs w:val="20"/>
          <w:color w:val="auto"/>
        </w:rPr>
      </w:pPr>
      <w:r>
        <w:rPr>
          <w:rFonts w:ascii="Times New Roman" w:cs="Times New Roman" w:eastAsia="Times New Roman" w:hAnsi="Times New Roman"/>
          <w:sz w:val="18"/>
          <w:szCs w:val="18"/>
          <w:color w:val="auto"/>
        </w:rPr>
        <w:t>In May 2025, as a further update to the Company’s Path Forward Plan and to provide a strategic disposition plan that refines the portfolio and creates a more focused platform for growth, the Company identified the following Centers as the go-forward portfolio Centers (the “Go-Forward Portfolio Centers”). The Go-Forward Portfolio Centers are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Arrowhead Towne Center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Kierland Commons (b)</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Broadway Plaza (b)</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Kings Plaza Shopping Center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Chandler Fashion Center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Los Cerritos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Corte Madera, The Village at (b)</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NorthPark Mall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Crabtree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Pacific View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Danbury Fair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Queens Center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Deptford Mall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SanTan Village Regional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Desert Sky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Scottsdale Fashion Square (b)</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Eastland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South Plains Mall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Fashion District Philadelphia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Stonewood Center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Fashion Outlets of Chicago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Superstition Springs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Flatiron Crossing (b)</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Tysons Corner Center (b)</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Freehold Raceway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Valley River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Fresno Fashion Fair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Victor Valley, Mall of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Green Acres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Vintage Faire Mall (a)</w:t>
            </w:r>
          </w:p>
        </w:tc>
      </w:tr>
      <w:tr>
        <w:trPr>
          <w:trHeight w:val="228"/>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Inland Center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Washington Square (a)</w:t>
            </w:r>
          </w:p>
        </w:tc>
      </w:tr>
    </w:tbl>
    <w:p>
      <w:pPr>
        <w:spacing w:after="0" w:line="258" w:lineRule="exact"/>
        <w:rPr>
          <w:sz w:val="20"/>
          <w:szCs w:val="20"/>
          <w:color w:val="auto"/>
        </w:rPr>
      </w:pPr>
    </w:p>
    <w:p>
      <w:pPr>
        <w:ind w:left="720" w:hanging="22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Consolidated Centers</w:t>
      </w:r>
    </w:p>
    <w:p>
      <w:pPr>
        <w:spacing w:after="0" w:line="26" w:lineRule="exact"/>
        <w:rPr>
          <w:rFonts w:ascii="Times New Roman" w:cs="Times New Roman" w:eastAsia="Times New Roman" w:hAnsi="Times New Roman"/>
          <w:sz w:val="16"/>
          <w:szCs w:val="16"/>
          <w:color w:val="auto"/>
        </w:rPr>
      </w:pPr>
    </w:p>
    <w:p>
      <w:pPr>
        <w:ind w:left="720" w:hanging="22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Unconsolidated Joint Venture Centers</w:t>
      </w:r>
    </w:p>
    <w:p>
      <w:pPr>
        <w:spacing w:after="0" w:line="233" w:lineRule="exact"/>
        <w:rPr>
          <w:sz w:val="20"/>
          <w:szCs w:val="20"/>
          <w:color w:val="auto"/>
        </w:rPr>
      </w:pPr>
    </w:p>
    <w:p>
      <w:pPr>
        <w:ind w:right="160" w:firstLine="434"/>
        <w:spacing w:after="0" w:line="250" w:lineRule="auto"/>
        <w:rPr>
          <w:sz w:val="20"/>
          <w:szCs w:val="20"/>
          <w:color w:val="auto"/>
        </w:rPr>
      </w:pPr>
      <w:r>
        <w:rPr>
          <w:rFonts w:ascii="Times New Roman" w:cs="Times New Roman" w:eastAsia="Times New Roman" w:hAnsi="Times New Roman"/>
          <w:sz w:val="18"/>
          <w:szCs w:val="18"/>
          <w:color w:val="auto"/>
        </w:rPr>
        <w:t>Further, the Company has a long-term four-pronged business strategy that focuses on the acquisition, leasing and management, redevelopment and development of regional retail centers. Although some of the key performance indicators at the Centers continued to improve during 2024 and the first half of 2025, including a strong start to 2025 leasing volume and leasing spreads, operating results in 2025 have been and are expected to continue to be negatively impacted by certain external factors, including sustained inflation, tariffs and elevated interest rates, as well as the impact from the bankruptcies of Express, Forever 21 and Claire's and any future tenant bankruptcies.</w:t>
      </w:r>
    </w:p>
    <w:p>
      <w:pPr>
        <w:spacing w:after="0" w:line="119"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Traffic levels at the Company’s Centers for the first half of 2025 increased by 1.6% from 2024 levels for the same time period. Portfolio tenant sales per square foot from spaces less than 10,000 square feet for the trailing twelve months ended June 30, 2025 were $849 compared to $837 for the year ended December 31, 2024. Comparable tenant sales from spaces less than 10,000 square feet across the portfolio for the quarter ended June 30, 2025 decreased by 0.3% compared to the same period in 2024.</w:t>
      </w:r>
    </w:p>
    <w:p>
      <w:pPr>
        <w:spacing w:after="0" w:line="118" w:lineRule="exact"/>
        <w:rPr>
          <w:sz w:val="20"/>
          <w:szCs w:val="20"/>
          <w:color w:val="auto"/>
        </w:rPr>
      </w:pPr>
    </w:p>
    <w:p>
      <w:pPr>
        <w:ind w:right="260" w:firstLine="434"/>
        <w:spacing w:after="0" w:line="256" w:lineRule="auto"/>
        <w:rPr>
          <w:sz w:val="20"/>
          <w:szCs w:val="20"/>
          <w:color w:val="auto"/>
        </w:rPr>
      </w:pPr>
      <w:r>
        <w:rPr>
          <w:rFonts w:ascii="Times New Roman" w:cs="Times New Roman" w:eastAsia="Times New Roman" w:hAnsi="Times New Roman"/>
          <w:sz w:val="18"/>
          <w:szCs w:val="18"/>
          <w:color w:val="auto"/>
        </w:rPr>
        <w:t>During the first half of 2025, the Company signed 650 leases for approximately 4.3 million square feet, compared to 459 leases and 2.4 million square feet leased during the same period in 2024, representing a 76% increase in the amount of square footage leased and a 42% increase in the number of leases signed on a comparable center basis.</w:t>
      </w:r>
    </w:p>
    <w:p>
      <w:pPr>
        <w:spacing w:after="0" w:line="101" w:lineRule="exact"/>
        <w:rPr>
          <w:sz w:val="20"/>
          <w:szCs w:val="20"/>
          <w:color w:val="auto"/>
        </w:rPr>
      </w:pPr>
    </w:p>
    <w:p>
      <w:pPr>
        <w:ind w:right="60" w:firstLine="434"/>
        <w:spacing w:after="0" w:line="293" w:lineRule="auto"/>
        <w:rPr>
          <w:sz w:val="20"/>
          <w:szCs w:val="20"/>
          <w:color w:val="auto"/>
        </w:rPr>
      </w:pPr>
      <w:r>
        <w:rPr>
          <w:rFonts w:ascii="Times New Roman" w:cs="Times New Roman" w:eastAsia="Times New Roman" w:hAnsi="Times New Roman"/>
          <w:sz w:val="16"/>
          <w:szCs w:val="16"/>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June 30, 2025, the Company signed leases for new stores with new-to-Macerich portfolio uses for 138,000 square feet, with another 280,000 square feet of such new-to-Macerich portfolio leases currently in negotiation as of the date of this Quarterly Report on Form 10-Q.</w:t>
      </w:r>
    </w:p>
    <w:p>
      <w:pPr>
        <w:spacing w:after="0" w:line="88"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As of June 30, 2025, the leased occupancy rate was 92.0%, a 1.3% decrease compared to the leased occupancy rate at June 30, 2024 of 93.3% and a 0.6% sequential decrease compared to the 92.6% occupancy rate at March 31, 2025. The decrease was driven primarily by Forever 21 closures.</w:t>
      </w:r>
    </w:p>
    <w:p>
      <w:pPr>
        <w:spacing w:after="0" w:line="104" w:lineRule="exact"/>
        <w:rPr>
          <w:sz w:val="20"/>
          <w:szCs w:val="20"/>
          <w:color w:val="auto"/>
        </w:rPr>
      </w:pPr>
    </w:p>
    <w:p>
      <w:pPr>
        <w:ind w:right="180" w:firstLine="434"/>
        <w:spacing w:after="0" w:line="332" w:lineRule="auto"/>
        <w:rPr>
          <w:sz w:val="20"/>
          <w:szCs w:val="20"/>
          <w:color w:val="auto"/>
        </w:rPr>
      </w:pPr>
      <w:r>
        <w:rPr>
          <w:rFonts w:ascii="Times New Roman" w:cs="Times New Roman" w:eastAsia="Times New Roman" w:hAnsi="Times New Roman"/>
          <w:sz w:val="16"/>
          <w:szCs w:val="16"/>
          <w:color w:val="auto"/>
        </w:rPr>
        <w:t>Many of the Company’s leases contain co-tenancy clauses. Certain Anchor or small tenant closures have become vacant, and co-tenancy clauses within certain leases may be triggered as a result. The Company does not anticipate that the negative impact of such clauses on lease revenue will be significant.</w:t>
      </w:r>
    </w:p>
    <w:p>
      <w:pPr>
        <w:spacing w:after="0" w:line="44" w:lineRule="exact"/>
        <w:rPr>
          <w:sz w:val="20"/>
          <w:szCs w:val="20"/>
          <w:color w:val="auto"/>
        </w:rPr>
      </w:pPr>
    </w:p>
    <w:p>
      <w:pPr>
        <w:ind w:right="100" w:firstLine="434"/>
        <w:spacing w:after="0" w:line="293" w:lineRule="auto"/>
        <w:rPr>
          <w:sz w:val="20"/>
          <w:szCs w:val="20"/>
          <w:color w:val="auto"/>
        </w:rPr>
      </w:pPr>
      <w:r>
        <w:rPr>
          <w:rFonts w:ascii="Times New Roman" w:cs="Times New Roman" w:eastAsia="Times New Roman" w:hAnsi="Times New Roman"/>
          <w:sz w:val="16"/>
          <w:szCs w:val="16"/>
          <w:color w:val="auto"/>
        </w:rPr>
        <w:t>The pace of bankruptcy filings involving the Company’s tenants has remained steady in recent years but is substantially lower than 2021 levels. For the year ended December 31, 2024, there were 13 bankruptcy filings involving the Company’s tenants, including the bankruptcy of Express, totaling 54 leases and representing approximately 369,000 square feet of leased space and $21.7 million of annual leasing revenue at the Company’s share. Year-to-date 2025, there were five bankruptcy filings involving the Company’s tenants, including the bankruptcies of Forever 21 and Claire's, totaling 62 leases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180"/>
        <w:spacing w:after="0" w:line="303" w:lineRule="auto"/>
        <w:rPr>
          <w:sz w:val="20"/>
          <w:szCs w:val="20"/>
          <w:color w:val="auto"/>
        </w:rPr>
      </w:pPr>
      <w:r>
        <w:rPr>
          <w:rFonts w:ascii="Times New Roman" w:cs="Times New Roman" w:eastAsia="Times New Roman" w:hAnsi="Times New Roman"/>
          <w:sz w:val="16"/>
          <w:szCs w:val="16"/>
          <w:color w:val="auto"/>
        </w:rPr>
        <w:t>representing approximately 795,000 square feet of leased space and approximately $11.3 million of annual leasing revenue at the Company’s share. Based on current information and market data, the Company expects that the pace of bankruptcy filings in 2025 will be lower than the average bankruptcy rate over the last decade but the Company will continue to monitor the impact of tariffs and other economic conditions on the Company's tenants.</w:t>
      </w:r>
    </w:p>
    <w:p>
      <w:pPr>
        <w:spacing w:after="0" w:line="66" w:lineRule="exact"/>
        <w:rPr>
          <w:sz w:val="20"/>
          <w:szCs w:val="20"/>
          <w:color w:val="auto"/>
        </w:rPr>
      </w:pPr>
    </w:p>
    <w:p>
      <w:pPr>
        <w:ind w:right="180" w:firstLine="434"/>
        <w:spacing w:after="0" w:line="252" w:lineRule="auto"/>
        <w:rPr>
          <w:sz w:val="20"/>
          <w:szCs w:val="20"/>
          <w:color w:val="auto"/>
        </w:rPr>
      </w:pPr>
      <w:r>
        <w:rPr>
          <w:rFonts w:ascii="Times New Roman" w:cs="Times New Roman" w:eastAsia="Times New Roman" w:hAnsi="Times New Roman"/>
          <w:sz w:val="18"/>
          <w:szCs w:val="18"/>
          <w:color w:val="auto"/>
        </w:rPr>
        <w:t>During 2025,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and/or de-lever the Company’s balance sheet.</w:t>
      </w:r>
    </w:p>
    <w:p>
      <w:pPr>
        <w:spacing w:after="0" w:line="118"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nine completed transactions from the beginning of 2024 through the first half of 2025, totaling approximately $1.8 billion, or approximately $1.6 billion at the Company’s pro rata share. For additional information on the Company’s financing transactions in the year ended 2024 through the date of this Quarterly Report on Form 10-Q, see “Financing Activities” in Management’s Overview and Summary.</w:t>
      </w:r>
    </w:p>
    <w:p>
      <w:pPr>
        <w:spacing w:after="0" w:line="118"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On April 9, 2024, the Company defaulted on the $300.0 million non-recourse loan on Santa Monica Place and during the first quarter of 2025, completed the transition of the property to a receiver. The Company is still the owner of record of the property.</w:t>
      </w:r>
    </w:p>
    <w:p>
      <w:pPr>
        <w:spacing w:after="0" w:line="90"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2025 and 2024</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37"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Leasing revenue increased by $34.8 million, or 17.6%, from 2024 to 2025. The increase in leasing revenue is attributed to increases of $41.2 million from the JV Transition Centers, $4.0 million from the Same Centers and $1.0 million from the Acquisition Property offset in part by decreases of $10.2 million from the Disposition Properties. Leasing revenue includes the amortization of above and below-market leases, the amortization of straight-line rents, lease termination income, percentage rent and the recovery of bad debts. The amortization of above and below-market leases decreased from $2.5 million in 2024 to $2.0 million in 2025. The amortization of straight-line rents increased from $(0.5) million in 2024 to $0.8 million in 2025. Lease termination income increased from $0.0 million in 2024 to $0.6 million in 2025. Percentage rent increased from $2.9 million in 2024 to $4.1 million in 2025. Provisions for (recovery of) bad debts increased from $(1.5) million in 2024 to $0.8 million in 2025.</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50"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Shopping center and operating expenses increased $9.4 million, or 13.3%, from 2024 to 2025. The increase in shopping center and operating expenses is attributed to increases of $8.0 million from the JV Transition Centers, $4.7 million from the Same Centers and $0.1 million from the Acquisition Property offset in part by a decrease of $3.8 million from the Disposition Properties.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$9.6 million in 2024 to $10.6 million in 2025 primarily due to an increase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operating expenses increased $2.4 million from 2024 to 2025 due to an increase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0"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Depreciation and amortization increased $16.8 million from 2024 to 2025. The increase in depreciation and amortization is attributed to an increase of $19.1 million from the JV Transition Centers, $1.5 million from the Same Centers and $0.8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million from the Acquisition Property offset in part by a decrease of $3.9 million from the Disposition Properties. Additionally, the increase is further offset by $0.7 million attributable to Santa Monica Place.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0" w:lineRule="exact"/>
        <w:rPr>
          <w:sz w:val="20"/>
          <w:szCs w:val="20"/>
          <w:color w:val="auto"/>
        </w:rPr>
      </w:pPr>
    </w:p>
    <w:p>
      <w:pPr>
        <w:ind w:right="20" w:firstLine="434"/>
        <w:spacing w:after="0" w:line="286" w:lineRule="auto"/>
        <w:rPr>
          <w:sz w:val="20"/>
          <w:szCs w:val="20"/>
          <w:color w:val="auto"/>
        </w:rPr>
      </w:pPr>
      <w:r>
        <w:rPr>
          <w:rFonts w:ascii="Times New Roman" w:cs="Times New Roman" w:eastAsia="Times New Roman" w:hAnsi="Times New Roman"/>
          <w:sz w:val="16"/>
          <w:szCs w:val="16"/>
          <w:color w:val="auto"/>
        </w:rPr>
        <w:t>Interest expense increased $32.2 million from 2024 to 2025. The increase in interest expense is attributed to increases of $19.6 million from the JV Transition Centers, $15.7 million from the financing arrangement (See Note 12—Financing Arrangement in the Company's Notes to the Consolidated Financial Statements) and $3.2 million from the Same Centers offset in part by decreases of $3.7 million from lower outstanding balances on the Company's revolving credit facility and $2.3 million from the Disposition Properties. The increase in interest expense from the financing arrangement is primarily due to the change in fair value of the underlying properties and the mortgage notes payable on the underlying properties and Chandler Fashion Center no longer being accounted for as a financing arrangement (See Note 12—Financing Arrangement in the Notes to the Consolidated Financial Statements).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37"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Equity in loss of unconsolidated joint ventures decreased $56.4 million from 2024 to 2025. The decrease in equity in loss of unconsolidated joint ventures is primarily due to impairment losses of $53.7 million recognized in 2024 as a result of the reduction in the estimated holding period of properties held by certain unconsolidated joint ventures.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(Loss) gain on Sale or Write Down of Assets, net:</w:t>
      </w:r>
    </w:p>
    <w:p>
      <w:pPr>
        <w:spacing w:after="0" w:line="150" w:lineRule="exact"/>
        <w:rPr>
          <w:sz w:val="20"/>
          <w:szCs w:val="20"/>
          <w:color w:val="auto"/>
        </w:rPr>
      </w:pPr>
    </w:p>
    <w:p>
      <w:pPr>
        <w:jc w:val="both"/>
        <w:ind w:right="420" w:firstLine="434"/>
        <w:spacing w:after="0" w:line="256" w:lineRule="auto"/>
        <w:rPr>
          <w:sz w:val="20"/>
          <w:szCs w:val="20"/>
          <w:color w:val="auto"/>
        </w:rPr>
      </w:pPr>
      <w:r>
        <w:rPr>
          <w:rFonts w:ascii="Times New Roman" w:cs="Times New Roman" w:eastAsia="Times New Roman" w:hAnsi="Times New Roman"/>
          <w:sz w:val="18"/>
          <w:szCs w:val="18"/>
          <w:color w:val="auto"/>
        </w:rPr>
        <w:t>(Loss) gain on sale or write down of assets, net increased $335.5 million from 2024 to 2025 primarily due to the gains recognized in 2024 of $334.3 million relating to the Company no longer accounting for its investment in Chandler Fashion Center as a financing arrangement (See Note 12—Financing Arrangement and Note 16—Dispositions in the Company's Notes to the Consolidated Financial Statements).</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50" w:lineRule="exact"/>
        <w:rPr>
          <w:sz w:val="20"/>
          <w:szCs w:val="20"/>
          <w:color w:val="auto"/>
        </w:rPr>
      </w:pPr>
    </w:p>
    <w:p>
      <w:pPr>
        <w:ind w:right="440" w:firstLine="434"/>
        <w:spacing w:after="0" w:line="268" w:lineRule="auto"/>
        <w:rPr>
          <w:sz w:val="20"/>
          <w:szCs w:val="20"/>
          <w:color w:val="auto"/>
        </w:rPr>
      </w:pPr>
      <w:r>
        <w:rPr>
          <w:rFonts w:ascii="Times New Roman" w:cs="Times New Roman" w:eastAsia="Times New Roman" w:hAnsi="Times New Roman"/>
          <w:sz w:val="18"/>
          <w:szCs w:val="18"/>
          <w:color w:val="auto"/>
        </w:rPr>
        <w:t>Net (loss) income decreased $307.0 million from 2024 to 2025. The decrease in net (loss) income is primarily due to the gain recognized in 2024 of $334.3 million relating to Chandler Fashion Center as discussed above.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37"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decreased from $88.1 million in 2024 to $87.3 million in 2025. For a reconciliation of net (loss) income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2025 and 2024</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37"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Leasing revenue increased by $78.8 million, or 20.2%, from 2024 to 2025. The increase in leasing revenue is attributed to increases of $88.3 million from the JV Transition Centers, $10.7 million from the Same Centers and $1.0 million from the Acquisition Property offset in part by decreases of $18.8 million from the Disposition Properties and $2.4 million from Santa Monica Place. Leasing revenue includes the amortization of above and below-market leases, the amortization of straight-line rents, lease termination income, percentage rent and the recovery of bad debts. The amortization of above and below-market leases increased from $2.5 million in 2024 to $3.0 million in 2025. Straight-line rents increased from $(3.7) million in 2024 to $0.5 million in 2025. Lease termination income increased from $1.2 million in 2024 to $5.5 million in 2025. Percentage rent increased from $5.5 million in 2024 to $8.4 million in 2025. Provisions for bad debts decreased from $4.4 million in 2024 to $2.4 million in 2025.</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Management Companies' revenue decreased 27.6% from $15.0 million in 2024 to $10.9 million in 2025 primarily due to a decrease in management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37"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Shopping center and operating expenses increased $20.4 million, or 14.1%, from 2024 to 2025. The increase in shopping center and operating expenses is attributed to an increase of $8.2 million from the Same Centers, which is primarily due to increased property taxes, maintenance and utilities costs, $18.2 million from the JV Transition Centers and $0.1 million from the Acquisition Property offset in part by a decrease of $6.6 million from the Disposition Properties.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$20.1 million in 2024 to $21.8 million in 2025 due primarily to an increase in compensation expense.</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50"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Management Companies' operating expenses increased $4.0 million from 2024 to 2025 due primarily to an increase in compensation expense, including employee severance costs increase of $1.4 million.</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increased $41.0 million from 2024 to 2025. The increase in depreciation and amortization is attributed to increases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$43.1 million from the JV Transition Centers, $4.5 million from the Same Centers and $0.8 million from the Acquisition Property offset in part by a decrease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million from the Disposition Properties.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0" w:lineRule="exact"/>
        <w:rPr>
          <w:sz w:val="20"/>
          <w:szCs w:val="20"/>
          <w:color w:val="auto"/>
        </w:rPr>
      </w:pPr>
    </w:p>
    <w:p>
      <w:pPr>
        <w:ind w:right="60" w:firstLine="434"/>
        <w:spacing w:after="0" w:line="248" w:lineRule="auto"/>
        <w:rPr>
          <w:sz w:val="20"/>
          <w:szCs w:val="20"/>
          <w:color w:val="auto"/>
        </w:rPr>
      </w:pPr>
      <w:r>
        <w:rPr>
          <w:rFonts w:ascii="Times New Roman" w:cs="Times New Roman" w:eastAsia="Times New Roman" w:hAnsi="Times New Roman"/>
          <w:sz w:val="18"/>
          <w:szCs w:val="18"/>
          <w:color w:val="auto"/>
        </w:rPr>
        <w:t>Interest expense increased $49.0 million from 2024 to 2025. The increase in interest expense is attributed to increases of $39.2 million from the JV Transition Centers, $11.3 million from the financing arrangement discussed in Note 12 in the Company's Notes to the Consolidated Financial Statements and $5.4 million from the Same Centers offset in part by decreases of $5.8 million from lower outstanding balances on the Company's revolving credit facility and $4.5 million from the Disposition Properties. Additionally, $3.4 million of the increase is attributable to Santa Monica Place, which includes default interest expense of $6.0 million. The increase in interest expense from the financing arrangement is primarily due to the change in fair value of the underlying properties and the mortgage notes payable on the underlying properties and Chandler Fashion Center no longer being accounted for as a financing arrangement (See Note 12—Financing Arrangement in the Notes to the Consolidated Financial Statements).</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50"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Equity in loss of unconsolidated joint ventures decreased $128.8 million from 2024 to 2025. The decrease in equity in loss of unconsolidated joint ventures is primarily due to the write-down of the Company's investment in Los Angeles Premium Outlets of $57.7 million during the first quarter of 2024 and impairment losses of $53.7 million recognized in 2024 as a result of the reduction in the estimated holding period of properties held by certain unconsolidated joint ventures.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(Loss) Gain on Sale or Write Down of Assets, net:</w:t>
      </w:r>
    </w:p>
    <w:p>
      <w:pPr>
        <w:spacing w:after="0" w:line="137"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(Loss) gain on sale or write down of assets, net increased $313.4 million from 2024 to 2025. The increase is primarily due to the gains recognized in 2024 of $334.3 million relating to the Company no longer accounting for its investment in Chandler Fashion Center as a financing arrangement (See Note 12— Financing Arrangement and Note 16—Dispositions in the Company's Notes to the Consolidated Financial Statements).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50"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Net (loss) income decreased $226.8 million from 2024 to 2025. The decrease in net (loss) income is primarily due to the gains recognized in 2024 of $334.3 million relating to Chandler Fashion Center along with the other variances noted above.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50"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increased 7.4% from $162.7 million in 2024 to $174.7 million in 2025. For a reconciliation of net (loss) income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Cash provided by operating activities increased $30.5 million from 2024 to 2025. The increase is primarily due to the changes in assets and liabilities and the results, as discussed above.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increased $231.3 million from 2024 to 2025. The increase in cash used in investing activities is primarily attributed to increases in acquisitions of property of $225.1 million and contributions to unconsolidated joint ventures of $80.3 million offset in part by increases in proceeds from sale of assets of $77.6 million. The increase in acquisitions of property is due to the acquisition of Crabtree Mall (See "Acquisitions" in Management's Overview and Summary). The increase in contributions to unconsolidated joint ventures is primarily due to contributions to Flatiron Crossing in 2025 to payoff the remaining loan balance (See “Financing Activities” in Management’s Overview and Summary).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0"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Cash provided by (used in) financing activities increased $257.5 million from 2024 to 2025. The increase in cash provided by (used in) financing activities is primarily due to a decrease in payments on mortgages, bank and other notes payable of $123.3 million and an increase in proceeds from mortgages, bank and other notes payable of $150.0 million offset in part by an increase in dividends and distributions of $15.9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7"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credit facility.</w:t>
      </w:r>
    </w:p>
    <w:p>
      <w:pPr>
        <w:spacing w:after="0" w:line="114" w:lineRule="exact"/>
        <w:rPr>
          <w:sz w:val="20"/>
          <w:szCs w:val="20"/>
          <w:color w:val="auto"/>
        </w:rPr>
      </w:pPr>
    </w:p>
    <w:p>
      <w:pPr>
        <w:ind w:right="220" w:firstLine="434"/>
        <w:spacing w:after="0" w:line="248" w:lineRule="auto"/>
        <w:rPr>
          <w:sz w:val="20"/>
          <w:szCs w:val="20"/>
          <w:color w:val="auto"/>
        </w:rPr>
      </w:pPr>
      <w:r>
        <w:rPr>
          <w:rFonts w:ascii="Times New Roman" w:cs="Times New Roman" w:eastAsia="Times New Roman" w:hAnsi="Times New Roman"/>
          <w:sz w:val="18"/>
          <w:szCs w:val="18"/>
          <w:color w:val="auto"/>
        </w:rPr>
        <w:t>Additionally, the Company is focused on implementing the Path Forward Plan, including its goal to reduce its Net Debt to Adjusted EBITDA leverage ratio to a lower level over the next three to four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41,852</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 Centers: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20" w:hanging="315"/>
        <w:spacing w:after="0" w:line="255" w:lineRule="auto"/>
        <w:tabs>
          <w:tab w:leader="none" w:pos="17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2025, this includes the $290.0 million acquisition of Crabtree Mall, excluding closing adjustments and other related transaction costs. For the six months ended June 30, 2024, this includes the cash paid of $36.4 million on May 14, 2024, for the Company's acquisition of its joint venture partner's 40% interest in Arrowhead Towne Center and South Plains Mall. The total purchase price also included the assumption of the partner's share of debt. The Company now owns 100% of these regional retail centers (See Note 15—Acquisitions in the Notes to the Consolidated Financial Statements).</w:t>
      </w:r>
    </w:p>
    <w:p>
      <w:pPr>
        <w:spacing w:after="0" w:line="122"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The Company expects amounts to be incurred during 2025 for tenant allowances and deferred leasing charges to be approximately $50.0 million to $75.0 million. The Company expects to incur approximately $250.0 million to $300.0 million during 2025 for development, redevelopment, expansion and renovations, which includes Scottsdale Fashion Square, Green Acres Mall and FlatIron Crossing (See "Redevelopment and Development Activities" in Management’s Overview and Summary). Capital for these expenditures, developments and/or redevelopments has been, and is expected to continue to be, obtained from a combination of cash on hand, cash generated from operations, asset sales, debt or equity financings, which may include borrowings under the Company's revolving loan facility and sales of common stock,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50" w:lineRule="exact"/>
        <w:rPr>
          <w:sz w:val="20"/>
          <w:szCs w:val="20"/>
          <w:color w:val="auto"/>
        </w:rPr>
      </w:pPr>
    </w:p>
    <w:p>
      <w:pPr>
        <w:ind w:right="100" w:firstLine="434"/>
        <w:spacing w:after="0" w:line="247"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Since implementing the Path Forward Plan in the second quarter of 2024, the Company has sold joint venture interests in properties and consolidated properties as described in “— Dispositions” in Management’s Overview and Summary. The Company used its share of proceeds from these transactions to pay down its revolving credit facility and other debt obligations. During the six months ended June 30, 2025 and the year ended December 31, 2024, the Company and certain joint venture partners sold various land parcels in separate transactions for aggregate proceeds of $12.3 million and $6.1 million (at the Company's share), respectively, which the Company used to pay down debt and for other general corporate purposes.</w:t>
      </w:r>
    </w:p>
    <w:p>
      <w:pPr>
        <w:spacing w:after="0" w:line="112"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04"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deducting the underwriting discount and offering costs of approximately $14.8 million. The Company used the proceeds from the offering, together with cash on hand, to repay the mortgage loan secured by its Washington Square property.</w:t>
      </w:r>
    </w:p>
    <w:p>
      <w:pPr>
        <w:spacing w:after="0" w:line="90" w:lineRule="exact"/>
        <w:rPr>
          <w:sz w:val="20"/>
          <w:szCs w:val="20"/>
          <w:color w:val="auto"/>
        </w:rPr>
      </w:pPr>
    </w:p>
    <w:p>
      <w:pPr>
        <w:ind w:right="120" w:firstLine="434"/>
        <w:spacing w:after="0" w:line="289" w:lineRule="auto"/>
        <w:rPr>
          <w:sz w:val="20"/>
          <w:szCs w:val="20"/>
          <w:color w:val="auto"/>
        </w:rPr>
      </w:pPr>
      <w:r>
        <w:rPr>
          <w:rFonts w:ascii="Times New Roman" w:cs="Times New Roman" w:eastAsia="Times New Roman" w:hAnsi="Times New Roman"/>
          <w:sz w:val="16"/>
          <w:szCs w:val="16"/>
          <w:color w:val="auto"/>
        </w:rPr>
        <w:t>On each of March 26, 2021 and November 12, 2024, the Company registered separate “at the market” offering programs, pursuant to which the Company may issue and sell shares of its common stock having an aggregate offering price of up to $500.0 million under each of the 2021 ATM Program and the 2024 ATM Program, in each case, in amounts and at times to be determined by the Company. The 2021 ATM Program was fully utilized as of September 30, 2024 and is no longer active. During the six months ended June 30, 2025, no shares of common stock were issued under the 2024 ATM Program. As of June 30, 2025, the Company had approximately $429.3 million of gross sales of its common stock available under the 2024 ATM Program.</w:t>
      </w:r>
    </w:p>
    <w:p>
      <w:pPr>
        <w:spacing w:after="0" w:line="90"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18"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06" w:lineRule="exact"/>
        <w:rPr>
          <w:sz w:val="20"/>
          <w:szCs w:val="20"/>
          <w:color w:val="auto"/>
        </w:rPr>
      </w:pPr>
    </w:p>
    <w:p>
      <w:pPr>
        <w:ind w:right="20" w:firstLine="434"/>
        <w:spacing w:after="0" w:line="289" w:lineRule="auto"/>
        <w:rPr>
          <w:sz w:val="20"/>
          <w:szCs w:val="20"/>
          <w:color w:val="auto"/>
        </w:rPr>
      </w:pPr>
      <w:r>
        <w:rPr>
          <w:rFonts w:ascii="Times New Roman" w:cs="Times New Roman" w:eastAsia="Times New Roman" w:hAnsi="Times New Roman"/>
          <w:sz w:val="16"/>
          <w:szCs w:val="16"/>
          <w:color w:val="auto"/>
        </w:rPr>
        <w:t>The Company's total outstanding loan indebtedness, which includes mortgages and other notes payable, at June 30, 2025 was $6.88 billion (consisting of $5.32 billion of consolidated debt, less $0.03 billion of noncontrolling interests, plus $1.59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credit facility or cash on hand, with the exception of Santa Monica Place (See “—Financing Activities” in Management’s Overview and Summary).</w:t>
      </w:r>
    </w:p>
    <w:p>
      <w:pPr>
        <w:spacing w:after="0" w:line="90"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jc w:val="both"/>
        <w:ind w:right="140" w:firstLine="434"/>
        <w:spacing w:after="0" w:line="332"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44"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Additionally, as of June 30, 2025, the Company was contingently liable for $6.5 million in letters of credit guaranteeing performance by the Company of certain obligations relating to the Centers. As of June 30, 2025, $5.9 million of these letters of credit were secured by restricted cash. The Company does not believe that these letters of credit will result in a liability to the Company.</w:t>
      </w:r>
    </w:p>
    <w:p>
      <w:pPr>
        <w:spacing w:after="0" w:line="114"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nine completed transactions from the beginning of 2024 through the first half of 2025 totaling approximately $1.8 billion, or approximately $1.6 billion at the Company’s pro rata share. For additional information on the Company’s financing transactions in the year ended 2024 through the date of this Quarterly Report on Form 10-Q, see “Financing Activities” in Management’s Overview and Summary.</w:t>
      </w:r>
    </w:p>
    <w:p>
      <w:pPr>
        <w:spacing w:after="0" w:line="118"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On September 11, 2023, the Company and the Operating Partnership entered into an amended and restated credit agreement, which amended and restated their prior credit agreement, and provides for an aggregate $650.0 million revolving credit facility that matures on February 1, 2027, with a one-year extension option. The revolving credit facility can be expanded up to $950.0 million,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overall leverage ratio and ranges from 1.00% to 2.50% over the selected index rate. As of June 30, 2025, the borrowing rate was SOFR plus a spread of 2.10%. As of June 30, 2025, borrowings under the revolving credit facility were $100.0 million less unamortized deferred finance costs of $9.8 million for the revolving credit facility at a total effective interest rate of 7.17%. As of June 30, 2025, the Company’s availability under the revolving credit facility for additional borrowings was $549.4 million. On August 8, 2025, the $100.0 million borrowings were paid in full from the loan proceeds of the Crabtree Mall financing (See “—Financing Activities” in Management’s Overview and Summary).</w:t>
      </w:r>
    </w:p>
    <w:p>
      <w:pPr>
        <w:spacing w:after="0" w:line="106"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Cash dividends and distributions for the six months ended June 30, 2025 were $96.2 million (including distributions from consolidated joint ventures of $3.8 million), which were funded by operations.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2025, the Company was in compliance with all applicable loan covenants under its agreements.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2025, the Company had cash and cash equivalents of $131.1 million.</w:t>
      </w:r>
    </w:p>
    <w:p>
      <w:pPr>
        <w:spacing w:after="0" w:line="3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Material Cash Commitments:</w:t>
      </w:r>
    </w:p>
    <w:p>
      <w:pPr>
        <w:spacing w:after="0" w:line="150"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June 30, 2025 for the Consolidated Centers over the periods in which they are expected to be paid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99"/>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459"/>
              <w:spacing w:after="0" w:line="127"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39"/>
              <w:spacing w:after="0" w:line="127" w:lineRule="exact"/>
              <w:rPr>
                <w:sz w:val="20"/>
                <w:szCs w:val="20"/>
                <w:color w:val="auto"/>
              </w:rPr>
            </w:pPr>
            <w:r>
              <w:rPr>
                <w:rFonts w:ascii="Times New Roman" w:cs="Times New Roman" w:eastAsia="Times New Roman" w:hAnsi="Times New Roman"/>
                <w:sz w:val="14"/>
                <w:szCs w:val="14"/>
                <w:b w:val="1"/>
                <w:bCs w:val="1"/>
                <w:color w:val="auto"/>
              </w:rPr>
              <w:t>3 - 5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79"/>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6,368,320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1,303,390</w:t>
            </w:r>
          </w:p>
        </w:tc>
        <w:tc>
          <w:tcPr>
            <w:tcW w:w="3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1,114,889</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0" w:type="dxa"/>
            <w:vAlign w:val="bottom"/>
          </w:tcPr>
          <w:p>
            <w:pPr>
              <w:spacing w:after="0"/>
              <w:rPr>
                <w:sz w:val="1"/>
                <w:szCs w:val="1"/>
                <w:color w:val="auto"/>
              </w:rPr>
            </w:pPr>
          </w:p>
        </w:tc>
      </w:tr>
      <w:tr>
        <w:trPr>
          <w:trHeight w:val="242"/>
        </w:trPr>
        <w:tc>
          <w:tcPr>
            <w:tcW w:w="3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6,491,163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1,309,471</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1,191,297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June 30, 2025.</w:t>
      </w:r>
    </w:p>
    <w:p>
      <w:pPr>
        <w:spacing w:after="0" w:line="14"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4" w:lineRule="exact"/>
        <w:rPr>
          <w:rFonts w:ascii="Times New Roman" w:cs="Times New Roman" w:eastAsia="Times New Roman" w:hAnsi="Times New Roman"/>
          <w:sz w:val="16"/>
          <w:szCs w:val="16"/>
          <w:color w:val="auto"/>
        </w:rPr>
      </w:pPr>
    </w:p>
    <w:p>
      <w:pPr>
        <w:ind w:left="320" w:right="80" w:hanging="315"/>
        <w:spacing w:after="0" w:line="257"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approximately $300.0 million non-recourse loan on Santa Monica Place which the Company defaulted on in April 9, 2024. The Company is still the owner of record of the property.</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37"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 xml:space="preserve">The Company uses FFO in addition to net loss to report its operating and financial results and considers FFO and FFO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19" w:lineRule="exact"/>
        <w:rPr>
          <w:sz w:val="20"/>
          <w:szCs w:val="20"/>
          <w:color w:val="auto"/>
        </w:rPr>
      </w:pPr>
    </w:p>
    <w:p>
      <w:pPr>
        <w:ind w:right="20" w:firstLine="434"/>
        <w:spacing w:after="0" w:line="281" w:lineRule="auto"/>
        <w:rPr>
          <w:sz w:val="20"/>
          <w:szCs w:val="20"/>
          <w:color w:val="auto"/>
        </w:rPr>
      </w:pPr>
      <w:r>
        <w:rPr>
          <w:rFonts w:ascii="Times New Roman" w:cs="Times New Roman" w:eastAsia="Times New Roman" w:hAnsi="Times New Roman"/>
          <w:sz w:val="16"/>
          <w:szCs w:val="16"/>
          <w:color w:val="auto"/>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w:t>
      </w:r>
    </w:p>
    <w:p>
      <w:pPr>
        <w:spacing w:after="0" w:line="311" w:lineRule="exact"/>
        <w:rPr>
          <w:sz w:val="20"/>
          <w:szCs w:val="20"/>
          <w:color w:val="auto"/>
        </w:rPr>
      </w:pPr>
    </w:p>
    <w:p>
      <w:pPr>
        <w:ind w:right="320" w:firstLine="434"/>
        <w:spacing w:after="0" w:line="268"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accrued default interest expense and gain or loss on non-real estate investments.</w:t>
      </w:r>
    </w:p>
    <w:p>
      <w:pPr>
        <w:spacing w:after="0" w:line="90"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w:t>
      </w:r>
    </w:p>
    <w:p>
      <w:pPr>
        <w:spacing w:after="0" w:line="122" w:lineRule="exact"/>
        <w:rPr>
          <w:sz w:val="20"/>
          <w:szCs w:val="20"/>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spacing w:after="0" w:line="114" w:lineRule="exact"/>
        <w:rPr>
          <w:sz w:val="20"/>
          <w:szCs w:val="20"/>
          <w:color w:val="auto"/>
        </w:rPr>
      </w:pPr>
    </w:p>
    <w:p>
      <w:pPr>
        <w:ind w:right="60" w:firstLine="434"/>
        <w:spacing w:after="0" w:line="248"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to FFO and FFO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and considered in addition to cash flows in accordance with GAAP, as presented in the Company's consolidated financial statements. The following reconciles net loss attributable to the Company to FFO attributable to common stockholders and unit holders</w:t>
      </w:r>
      <w:r>
        <w:rPr>
          <w:rFonts w:ascii="Times New Roman" w:cs="Times New Roman" w:eastAsia="Times New Roman" w:hAnsi="Times New Roman"/>
          <w:sz w:val="15"/>
          <w:szCs w:val="15"/>
          <w:color w:val="auto"/>
        </w:rPr>
        <w:t>—basic and diluted</w:t>
      </w:r>
      <w:r>
        <w:rPr>
          <w:rFonts w:ascii="Times New Roman" w:cs="Times New Roman" w:eastAsia="Times New Roman" w:hAnsi="Times New Roman"/>
          <w:sz w:val="18"/>
          <w:szCs w:val="18"/>
          <w:color w:val="auto"/>
        </w:rPr>
        <w:t xml:space="preserve"> and FFO attributable to common stockholders and unit holders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basic and diluted, excluding financing expense in connection with Chandler Freehold, accrued default interest expense and loss on non-real estate investments for the three and six months ended June 30, 2025 and 2024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 FFO attributable to</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stockholders and unit holders—basic and diluted: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assets, net—consolidated assets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assets—unconsolidated joint ventures, net(1)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(loss) gain on sale of undepreciated assets—unconsolidated joint ventures(1)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83,977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99,702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non-real estate investments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40"/>
        </w:trPr>
        <w:tc>
          <w:tcPr>
            <w:tcW w:w="63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connection with Chandler Freehold, accrued default interest expense and loss on non-real estate</w:t>
            </w:r>
          </w:p>
        </w:tc>
        <w:tc>
          <w:tcPr>
            <w:tcW w:w="26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87,294</w:t>
            </w: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88,099</w:t>
            </w:r>
          </w:p>
        </w:tc>
        <w:tc>
          <w:tcPr>
            <w:tcW w:w="1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174,666</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—basic and diluted</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263,967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636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Weighted average number of FFO shares outstanding for FFO attributable to common</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263,967</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226,270</w:t>
            </w: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263,922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8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5"/>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40" w:lineRule="exact"/>
        <w:rPr>
          <w:rFonts w:ascii="Times New Roman" w:cs="Times New Roman" w:eastAsia="Times New Roman" w:hAnsi="Times New Roman"/>
          <w:sz w:val="16"/>
          <w:szCs w:val="16"/>
          <w:color w:val="auto"/>
        </w:rPr>
      </w:pPr>
    </w:p>
    <w:p>
      <w:pPr>
        <w:ind w:left="400" w:right="600" w:hanging="395"/>
        <w:spacing w:after="0" w:line="330" w:lineRule="auto"/>
        <w:tabs>
          <w:tab w:leader="none" w:pos="38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Calculated based upon basic net income as adjusted to reach basic FFO. Includes 10.9 million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5"/>
          <w:szCs w:val="15"/>
          <w:color w:val="auto"/>
        </w:rPr>
        <w:t xml:space="preserve"> 10.1 million of OP Units outstanding for the three months ended June 30, 2025 and 2024, respectively, and 10.9 million and 10.1 million of OP Units outstanding for the six months ended June 30, 2025 and 2024, respectively.</w:t>
      </w:r>
    </w:p>
    <w:p>
      <w:pPr>
        <w:spacing w:after="0" w:line="53" w:lineRule="exact"/>
        <w:rPr>
          <w:rFonts w:ascii="Times New Roman" w:cs="Times New Roman" w:eastAsia="Times New Roman" w:hAnsi="Times New Roman"/>
          <w:sz w:val="15"/>
          <w:szCs w:val="15"/>
          <w:color w:val="auto"/>
        </w:rPr>
      </w:pPr>
    </w:p>
    <w:p>
      <w:pPr>
        <w:ind w:left="400" w:right="26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1" w:lineRule="exact"/>
        <w:rPr>
          <w:sz w:val="20"/>
          <w:szCs w:val="20"/>
          <w:color w:val="auto"/>
        </w:rPr>
      </w:pPr>
    </w:p>
    <w:p>
      <w:pPr>
        <w:ind w:right="200" w:firstLine="5"/>
        <w:spacing w:after="0" w:line="245" w:lineRule="auto"/>
        <w:tabs>
          <w:tab w:leader="none" w:pos="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4" w:lineRule="exact"/>
        <w:rPr>
          <w:sz w:val="20"/>
          <w:szCs w:val="20"/>
          <w:color w:val="auto"/>
        </w:rPr>
      </w:pPr>
    </w:p>
    <w:p>
      <w:pPr>
        <w:ind w:right="200"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June 30, 2025 concerning the Company's long-term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twelve months ending June 30,</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769,129</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431,792</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1,213,598</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19,718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1,628,243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945,344</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5,007,824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4,785,043</w:t>
            </w: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2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401,794</w:t>
            </w: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debt—Consolidated</w:t>
            </w:r>
          </w:p>
        </w:tc>
        <w:tc>
          <w:tcPr>
            <w:tcW w:w="2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1,069,129</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431,792</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1,313,598</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19,718</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1,628,243</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945,344</w:t>
            </w:r>
          </w:p>
        </w:tc>
        <w:tc>
          <w:tcPr>
            <w:tcW w:w="12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5,407,824</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5,186,837</w:t>
            </w: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6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Long-term debt (at</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156,100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98,407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357,849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459,710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428,081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54,288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1,554,435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1,521,442</w:t>
            </w: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32,500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45,294</w:t>
            </w:r>
          </w:p>
        </w:tc>
        <w:tc>
          <w:tcPr>
            <w:tcW w:w="0" w:type="dxa"/>
            <w:vAlign w:val="bottom"/>
          </w:tcPr>
          <w:p>
            <w:pPr>
              <w:spacing w:after="0"/>
              <w:rPr>
                <w:sz w:val="1"/>
                <w:szCs w:val="1"/>
                <w:color w:val="auto"/>
              </w:rPr>
            </w:pPr>
          </w:p>
        </w:tc>
      </w:tr>
      <w:tr>
        <w:trPr>
          <w:trHeight w:val="191"/>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tcPr>
          <w:p>
            <w:pPr>
              <w:spacing w:after="0"/>
              <w:rPr>
                <w:sz w:val="16"/>
                <w:szCs w:val="16"/>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debt—Unconsolidated</w:t>
            </w:r>
          </w:p>
        </w:tc>
        <w:tc>
          <w:tcPr>
            <w:tcW w:w="22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156,100</w:t>
            </w: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130,907</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357,849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471,710</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428,081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54,288</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1,598,935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1,566,736</w:t>
            </w:r>
          </w:p>
        </w:tc>
        <w:tc>
          <w:tcPr>
            <w:tcW w:w="0" w:type="dxa"/>
            <w:vAlign w:val="bottom"/>
          </w:tcPr>
          <w:p>
            <w:pPr>
              <w:spacing w:after="0"/>
              <w:rPr>
                <w:sz w:val="1"/>
                <w:szCs w:val="1"/>
                <w:color w:val="auto"/>
              </w:rPr>
            </w:pPr>
          </w:p>
        </w:tc>
      </w:tr>
      <w:tr>
        <w:trPr>
          <w:trHeight w:val="18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00" w:right="300" w:hanging="395"/>
        <w:spacing w:after="0" w:line="269" w:lineRule="auto"/>
        <w:tabs>
          <w:tab w:leader="none" w:pos="34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30, 2025, the Company’s joint venture in Atlas Park repaid in full the $65.0 million loan ($32.5 million at the Company’s share) concurrent with the sale of the property (See “Dispositions” in Management’s Overview and Summary). The loan was scheduled to mature in November 2026.</w:t>
      </w:r>
    </w:p>
    <w:p>
      <w:pPr>
        <w:spacing w:after="0" w:line="109" w:lineRule="exact"/>
        <w:rPr>
          <w:sz w:val="20"/>
          <w:szCs w:val="20"/>
          <w:color w:val="auto"/>
        </w:rPr>
      </w:pPr>
    </w:p>
    <w:p>
      <w:pPr>
        <w:ind w:right="220" w:firstLine="434"/>
        <w:spacing w:after="0" w:line="252" w:lineRule="auto"/>
        <w:rPr>
          <w:sz w:val="20"/>
          <w:szCs w:val="20"/>
          <w:color w:val="auto"/>
        </w:rPr>
      </w:pPr>
      <w:r>
        <w:rPr>
          <w:rFonts w:ascii="Times New Roman" w:cs="Times New Roman" w:eastAsia="Times New Roman" w:hAnsi="Times New Roman"/>
          <w:sz w:val="18"/>
          <w:szCs w:val="18"/>
          <w:color w:val="auto"/>
        </w:rPr>
        <w:t>The Consolidated Centers' total fixed rate debt at June 30, 2025 and December 31, 2024 was $5.0 billion and $4.7 billion, respectively. The average interest rate on the fixed rate debt at June 30, 2025 and December 31, 2024 was 4.49% and 4.40%, respectively. The Consolidated Centers' total floating rate debt at June 30, 2025 and December 31, 2024 was $400.0 million and $410.0 million, respectively. The average interest rate on the floating rate debt at June 30, 2025 and December 31, 2024 was 6.02% and 6.21%, respectively.</w:t>
      </w:r>
    </w:p>
    <w:p>
      <w:pPr>
        <w:spacing w:after="0" w:line="104"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June 30, 2025 and December 31, 2024 was $1.6 billion. The average interest rate on the fixed rate debt at June 30, 2025 and December 31, 2024 was 5.29% and 5.28%, respectively. The Company's pro rata share of the Unconsolidated Joint Venture Centers' floating rate debt at June 30, 2025 and December 31, 2024 was $44.5 million and $132.9 million, respectively. The average interest rate on the floating rate debt at June 30, 2025 and December 31, 2024 was 8.10% and 8.29%, respectively.</w:t>
      </w:r>
    </w:p>
    <w:p>
      <w:pPr>
        <w:spacing w:after="0" w:line="118" w:lineRule="exact"/>
        <w:rPr>
          <w:sz w:val="20"/>
          <w:szCs w:val="20"/>
          <w:color w:val="auto"/>
        </w:rPr>
      </w:pPr>
    </w:p>
    <w:p>
      <w:pPr>
        <w:ind w:right="140" w:firstLine="434"/>
        <w:spacing w:after="0" w:line="249"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2025, the Company had one interest rate cap agreement in place (See Note 4—Investments in Unconsolidated Joint Ventures and Note 5—Derivative Instruments and Hedging Activities in the Company's Notes to the Consolidated Financial Statements). The respective loan requires an interest rate cap agreement to be in place at all times, which limits how high the prevailing floating loan rate 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(i.e., SOFR) for the loan can rise. As of the date of this Quarterly Report on Form 10-Q, SOFR for this loan did not exceed the strike interest rate within the required interest rate cap agreement.</w:t>
      </w:r>
    </w:p>
    <w:p>
      <w:pPr>
        <w:spacing w:after="0" w:line="90"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$4.4 million per year based on $444.5 million of floating rate debt outstanding at June 30, 2025.</w:t>
      </w:r>
    </w:p>
    <w:p>
      <w:pPr>
        <w:spacing w:after="0" w:line="104"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management carried out an evaluation,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supervision and with the participation of the Company's Chief Executive Officer and Chief Financial Officer, of the effectiveness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 as of the end of the period covered by this Quarterly Report on Form 10-Q. Based on their evaluation as of June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Executive Officer and Chief Financial Officer have concluded that the Company's disclosure controls and procedures (as defined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Rule 13a-15(e) and 15d-15(e) under the Exchange Act) were effective to ensure that the information required to be disclosed by the Company in the reports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 files or submits under the Exchange Act is (a) recorded, processed, summarized, and reported within the time periods specified in the SEC's rules and forms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accumulated and communicated to the Company's management, including its Chief Executive Officer and Chief Financial Officer, or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similar functions, as appropriate to allow timely decisions regarding required disclosure.</w:t>
      </w:r>
    </w:p>
    <w:p>
      <w:pPr>
        <w:spacing w:after="0" w:line="131" w:lineRule="exact"/>
        <w:rPr>
          <w:sz w:val="20"/>
          <w:szCs w:val="20"/>
          <w:color w:val="auto"/>
        </w:rPr>
      </w:pPr>
    </w:p>
    <w:p>
      <w:pPr>
        <w:ind w:right="520" w:firstLine="434"/>
        <w:spacing w:after="0" w:line="25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0"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7"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4" w:lineRule="exact"/>
        <w:rPr>
          <w:sz w:val="20"/>
          <w:szCs w:val="20"/>
          <w:color w:val="auto"/>
        </w:rPr>
      </w:pPr>
    </w:p>
    <w:p>
      <w:pPr>
        <w:ind w:left="680" w:hanging="240"/>
        <w:spacing w:after="0"/>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8"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48"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8"/>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2025 to April 30,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2025 to May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2025 to June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1180" w:right="220" w:hanging="543"/>
        <w:spacing w:after="0" w:line="287" w:lineRule="auto"/>
        <w:tabs>
          <w:tab w:leader="none" w:pos="11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0"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60"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3"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3"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0" w:lineRule="exact"/>
        <w:rPr>
          <w:sz w:val="20"/>
          <w:szCs w:val="20"/>
          <w:color w:val="auto"/>
        </w:rPr>
      </w:pPr>
    </w:p>
    <w:p>
      <w:pPr>
        <w:ind w:firstLine="434"/>
        <w:spacing w:after="0" w:line="332" w:lineRule="auto"/>
        <w:rPr>
          <w:sz w:val="20"/>
          <w:szCs w:val="20"/>
          <w:color w:val="auto"/>
        </w:rPr>
      </w:pPr>
      <w:r>
        <w:rPr>
          <w:rFonts w:ascii="Times New Roman" w:cs="Times New Roman" w:eastAsia="Times New Roman" w:hAnsi="Times New Roman"/>
          <w:sz w:val="16"/>
          <w:szCs w:val="16"/>
          <w:color w:val="auto"/>
        </w:rPr>
        <w:t>During the three months ended June 30,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2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0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1120" w:hanging="358"/>
        <w:spacing w:after="0" w:line="220" w:lineRule="auto"/>
        <w:tabs>
          <w:tab w:leader="none" w:pos="110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 LP,</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10"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67">
        <w:r>
          <w:rPr>
            <w:rFonts w:ascii="Times New Roman" w:cs="Times New Roman" w:eastAsia="Times New Roman" w:hAnsi="Times New Roman"/>
            <w:sz w:val="18"/>
            <w:szCs w:val="18"/>
            <w:u w:val="single" w:color="auto"/>
            <w:color w:val="0000FF"/>
          </w:rPr>
          <w:t>Articles Supplementary of the Company (with respect to the first paragraph) (incorporated by reference as an exhibit to the Company's 1998</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Form 10-K).</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on Form 8-K, event date July 26, 2002).</w:t>
        </w:r>
      </w:hyperlink>
    </w:p>
    <w:p>
      <w:pPr>
        <w:spacing w:after="0" w:line="9" w:lineRule="exact"/>
        <w:rPr>
          <w:rFonts w:ascii="Times New Roman" w:cs="Times New Roman" w:eastAsia="Times New Roman" w:hAnsi="Times New Roman"/>
          <w:sz w:val="18"/>
          <w:szCs w:val="18"/>
          <w:u w:val="single" w:color="auto"/>
          <w:color w:val="0000FF"/>
        </w:rPr>
      </w:pPr>
    </w:p>
    <w:p>
      <w:pPr>
        <w:ind w:left="1120" w:right="3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amended (No. 333-88718)).</w:t>
        </w:r>
      </w:hyperlink>
    </w:p>
    <w:p>
      <w:pPr>
        <w:spacing w:after="0" w:line="9" w:lineRule="exact"/>
        <w:rPr>
          <w:rFonts w:ascii="Times New Roman" w:cs="Times New Roman" w:eastAsia="Times New Roman" w:hAnsi="Times New Roman"/>
          <w:sz w:val="18"/>
          <w:szCs w:val="18"/>
          <w:u w:val="single" w:color="auto"/>
          <w:color w:val="0000FF"/>
        </w:rPr>
      </w:pPr>
    </w:p>
    <w:p>
      <w:pPr>
        <w:ind w:left="1120" w:right="1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 Form 10-</w:t>
        </w:r>
      </w:hyperlink>
      <w:hyperlink r:id="rId70">
        <w:r>
          <w:rPr>
            <w:rFonts w:ascii="Times New Roman" w:cs="Times New Roman" w:eastAsia="Times New Roman" w:hAnsi="Times New Roman"/>
            <w:sz w:val="18"/>
            <w:szCs w:val="18"/>
            <w:u w:val="single" w:color="auto"/>
            <w:color w:val="0000FF"/>
          </w:rPr>
          <w:t>K).</w:t>
        </w:r>
      </w:hyperlink>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71">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 date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February 5, 2009).</w:t>
        </w:r>
      </w:hyperlink>
    </w:p>
    <w:p>
      <w:pPr>
        <w:spacing w:after="0" w:line="9" w:lineRule="exact"/>
        <w:rPr>
          <w:rFonts w:ascii="Times New Roman" w:cs="Times New Roman" w:eastAsia="Times New Roman" w:hAnsi="Times New Roman"/>
          <w:sz w:val="18"/>
          <w:szCs w:val="18"/>
          <w:u w:val="single" w:color="auto"/>
          <w:color w:val="0000FF"/>
        </w:rPr>
      </w:pPr>
    </w:p>
    <w:p>
      <w:pPr>
        <w:ind w:left="1120" w:right="3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9" w:lineRule="exact"/>
        <w:rPr>
          <w:rFonts w:ascii="Times New Roman" w:cs="Times New Roman" w:eastAsia="Times New Roman" w:hAnsi="Times New Roman"/>
          <w:sz w:val="18"/>
          <w:szCs w:val="18"/>
          <w:u w:val="single" w:color="auto"/>
          <w:color w:val="0000FF"/>
        </w:rPr>
      </w:pPr>
    </w:p>
    <w:p>
      <w:pPr>
        <w:jc w:val="center"/>
        <w:ind w:left="600" w:right="340"/>
        <w:spacing w:after="0" w:line="266" w:lineRule="auto"/>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6"/>
          <w:szCs w:val="16"/>
          <w:u w:val="single" w:color="auto"/>
          <w:color w:val="0000FF"/>
        </w:rPr>
        <w:t xml:space="preserve"> </w:t>
      </w:r>
      <w:hyperlink r:id="rId73">
        <w:r>
          <w:rPr>
            <w:rFonts w:ascii="Times New Roman" w:cs="Times New Roman" w:eastAsia="Times New Roman" w:hAnsi="Times New Roman"/>
            <w:sz w:val="16"/>
            <w:szCs w:val="16"/>
            <w:u w:val="single" w:color="auto"/>
            <w:color w:val="0000FF"/>
          </w:rPr>
          <w:t>Article NINTH) (incorporated by reference as an exhibit to the Company’s Current Report on Form 8-K, event date May 30, 2014).</w:t>
        </w:r>
      </w:hyperlink>
    </w:p>
    <w:p>
      <w:pPr>
        <w:ind w:left="1120" w:right="1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 by</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reference as an exhibit to the Company’s Current Report on Form 8-K, event date March 17,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75">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on Form 8-K, event date March 18,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440" w:hanging="571"/>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76">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70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77">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360" w:hanging="578"/>
        <w:spacing w:after="0" w:line="266" w:lineRule="auto"/>
        <w:tabs>
          <w:tab w:leader="none" w:pos="1100" w:val="left"/>
        </w:tabs>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78">
        <w:r>
          <w:rPr>
            <w:rFonts w:ascii="Times New Roman" w:cs="Times New Roman" w:eastAsia="Times New Roman" w:hAnsi="Times New Roman"/>
            <w:sz w:val="16"/>
            <w:szCs w:val="16"/>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6"/>
          <w:szCs w:val="16"/>
          <w:u w:val="single" w:color="auto"/>
          <w:color w:val="0000FF"/>
        </w:rPr>
        <w:t xml:space="preserve"> </w:t>
      </w:r>
      <w:hyperlink r:id="rId78">
        <w:r>
          <w:rPr>
            <w:rFonts w:ascii="Times New Roman" w:cs="Times New Roman" w:eastAsia="Times New Roman" w:hAnsi="Times New Roman"/>
            <w:sz w:val="16"/>
            <w:szCs w:val="16"/>
            <w:u w:val="single" w:color="auto"/>
            <w:color w:val="0000FF"/>
          </w:rPr>
          <w:t>provisions)) (incorporated by reference as an exhibit to the Company’s Current Report on Form 8-K, event date April 24, 2019).</w:t>
        </w:r>
      </w:hyperlink>
    </w:p>
    <w:p>
      <w:pPr>
        <w:ind w:left="1120" w:right="46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79">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Report on Form 8-K, event date May 28, 2021).</w:t>
        </w:r>
      </w:hyperlink>
    </w:p>
    <w:p>
      <w:pPr>
        <w:spacing w:after="0" w:line="9"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80">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date January 26,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6"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1000" w:type="dxa"/>
            <w:vAlign w:val="bottom"/>
            <w:tcBorders>
              <w:top w:val="single" w:sz="8" w:color="0000FF"/>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40" w:type="dxa"/>
            <w:vAlign w:val="bottom"/>
            <w:gridSpan w:val="4"/>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Section 302</w:t>
            </w:r>
          </w:p>
        </w:tc>
        <w:tc>
          <w:tcPr>
            <w:tcW w:w="9240" w:type="dxa"/>
            <w:vAlign w:val="bottom"/>
            <w:tcBorders>
              <w:top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0000FF"/>
              </w:rPr>
              <w:t>Certification of Jackson Hsieh, Chief Executive Officer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 w:type="dxa"/>
            <w:vAlign w:val="bottom"/>
            <w:gridSpan w:val="3"/>
          </w:tcPr>
          <w:p>
            <w:pPr>
              <w:spacing w:after="0"/>
              <w:rPr>
                <w:sz w:val="17"/>
                <w:szCs w:val="17"/>
                <w:color w:val="auto"/>
              </w:rPr>
            </w:pPr>
          </w:p>
        </w:tc>
        <w:tc>
          <w:tcPr>
            <w:tcW w:w="3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302</w:t>
            </w:r>
          </w:p>
        </w:tc>
        <w:tc>
          <w:tcPr>
            <w:tcW w:w="9240" w:type="dxa"/>
            <w:vAlign w:val="bottom"/>
            <w:gridSpan w:val="4"/>
          </w:tcPr>
          <w:p>
            <w:pPr>
              <w:ind w:left="40"/>
              <w:spacing w:after="0" w:line="204" w:lineRule="exact"/>
              <w:rPr>
                <w:sz w:val="20"/>
                <w:szCs w:val="20"/>
                <w:color w:val="auto"/>
              </w:rPr>
            </w:pPr>
            <w:r>
              <w:rPr>
                <w:rFonts w:ascii="Times New Roman" w:cs="Times New Roman" w:eastAsia="Times New Roman" w:hAnsi="Times New Roman"/>
                <w:sz w:val="18"/>
                <w:szCs w:val="18"/>
                <w:color w:val="0000FF"/>
              </w:rPr>
              <w:t>Certification of Daniel E. Swanstrom II, Chief Financial Officer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906</w:t>
            </w:r>
          </w:p>
        </w:tc>
        <w:tc>
          <w:tcPr>
            <w:tcW w:w="9240" w:type="dxa"/>
            <w:vAlign w:val="bottom"/>
            <w:gridSpan w:val="4"/>
          </w:tcPr>
          <w:p>
            <w:pPr>
              <w:ind w:left="40"/>
              <w:spacing w:after="0" w:line="204" w:lineRule="exact"/>
              <w:rPr>
                <w:sz w:val="20"/>
                <w:szCs w:val="20"/>
                <w:color w:val="auto"/>
              </w:rPr>
            </w:pPr>
            <w:r>
              <w:rPr>
                <w:rFonts w:ascii="Times New Roman" w:cs="Times New Roman" w:eastAsia="Times New Roman" w:hAnsi="Times New Roman"/>
                <w:sz w:val="18"/>
                <w:szCs w:val="18"/>
                <w:color w:val="0000FF"/>
              </w:rPr>
              <w:t>Certifications of Jackson Hsieh and Daniel E. Swanstrom 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120" w:hanging="408"/>
        <w:spacing w:after="0"/>
        <w:tabs>
          <w:tab w:leader="none" w:pos="11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right="460" w:firstLine="43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474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JACKSON HSIEH</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Jackson Hsieh</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w:t>
            </w:r>
          </w:p>
        </w:tc>
      </w:tr>
      <w:tr>
        <w:trPr>
          <w:trHeight w:val="230"/>
        </w:trPr>
        <w:tc>
          <w:tcPr>
            <w:tcW w:w="516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r>
        <w:trPr>
          <w:trHeight w:val="487"/>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DANIEL E. SWANSTROM II</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Daniel E. Swanstrom II</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Senior Executive Vice President, Treasurer and Chief Financial Officer</w:t>
            </w:r>
          </w:p>
        </w:tc>
      </w:tr>
      <w:tr>
        <w:trPr>
          <w:trHeight w:val="230"/>
        </w:trPr>
        <w:tc>
          <w:tcPr>
            <w:tcW w:w="516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r>
        <w:trPr>
          <w:trHeight w:val="487"/>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CHRISTOPHER J. ZECCHINI</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Christopher J. Zecchini</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Senior Vice President and Chief Accounting Officer</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118" w:right="6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Jackson Hsieh, certify that:</w:t>
      </w:r>
    </w:p>
    <w:p>
      <w:pPr>
        <w:spacing w:after="0" w:line="148" w:lineRule="exact"/>
        <w:rPr>
          <w:sz w:val="20"/>
          <w:szCs w:val="20"/>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2025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6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13970</wp:posOffset>
            </wp:positionV>
            <wp:extent cx="2815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11, 2025</w:t>
      </w:r>
      <w:r>
        <w:rPr>
          <w:sz w:val="20"/>
          <w:szCs w:val="20"/>
          <w:color w:val="auto"/>
        </w:rPr>
        <w:tab/>
      </w:r>
      <w:r>
        <w:rPr>
          <w:rFonts w:ascii="Times New Roman" w:cs="Times New Roman" w:eastAsia="Times New Roman" w:hAnsi="Times New Roman"/>
          <w:sz w:val="16"/>
          <w:szCs w:val="16"/>
          <w:i w:val="1"/>
          <w:iCs w:val="1"/>
          <w:color w:val="auto"/>
        </w:rPr>
        <w:t>Chief Executive Officer</w:t>
      </w:r>
    </w:p>
    <w:p>
      <w:pPr>
        <w:sectPr>
          <w:pgSz w:w="11900" w:h="16838" w:orient="portrait"/>
          <w:cols w:equalWidth="0" w:num="1">
            <w:col w:w="11240"/>
          </w:cols>
          <w:pgMar w:left="320" w:top="96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E. Swanstrom II, certify that:</w:t>
      </w:r>
    </w:p>
    <w:p>
      <w:pPr>
        <w:spacing w:after="0" w:line="148" w:lineRule="exact"/>
        <w:rPr>
          <w:sz w:val="20"/>
          <w:szCs w:val="20"/>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2025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558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13970</wp:posOffset>
            </wp:positionV>
            <wp:extent cx="3192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5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11, 2025</w:t>
      </w:r>
      <w:r>
        <w:rPr>
          <w:sz w:val="20"/>
          <w:szCs w:val="20"/>
          <w:color w:val="auto"/>
        </w:rPr>
        <w:tab/>
      </w:r>
      <w:r>
        <w:rPr>
          <w:rFonts w:ascii="Times New Roman" w:cs="Times New Roman" w:eastAsia="Times New Roman" w:hAnsi="Times New Roman"/>
          <w:sz w:val="16"/>
          <w:szCs w:val="16"/>
          <w:i w:val="1"/>
          <w:iCs w:val="1"/>
          <w:color w:val="auto"/>
        </w:rPr>
        <w:t>Senior Executive Vice President and Chief Financial Officer</w:t>
      </w:r>
    </w:p>
    <w:p>
      <w:pPr>
        <w:sectPr>
          <w:pgSz w:w="11900" w:h="16838" w:orient="portrait"/>
          <w:cols w:equalWidth="0" w:num="1">
            <w:col w:w="11240"/>
          </w:cols>
          <w:pgMar w:left="320" w:top="96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8" w:lineRule="exact"/>
        <w:rPr>
          <w:sz w:val="20"/>
          <w:szCs w:val="20"/>
          <w:color w:val="auto"/>
        </w:rPr>
      </w:pPr>
    </w:p>
    <w:p>
      <w:pPr>
        <w:ind w:right="480" w:firstLine="316"/>
        <w:spacing w:after="0" w:line="268" w:lineRule="auto"/>
        <w:rPr>
          <w:sz w:val="20"/>
          <w:szCs w:val="20"/>
          <w:color w:val="auto"/>
        </w:rPr>
      </w:pPr>
      <w:r>
        <w:rPr>
          <w:rFonts w:ascii="Times New Roman" w:cs="Times New Roman" w:eastAsia="Times New Roman" w:hAnsi="Times New Roman"/>
          <w:sz w:val="18"/>
          <w:szCs w:val="18"/>
          <w:color w:val="auto"/>
        </w:rPr>
        <w:t>The undersigned, Jackson Hsieh and Daniel E. Swanstrom II, the Chief Executive Officer and Chief Financial Officer, respectively, of The Macerich Company (the "Company"), pursuant to 18 U.S.C. §1350, each hereby certifies that, to the best of his knowledge:</w:t>
      </w:r>
    </w:p>
    <w:p>
      <w:pPr>
        <w:spacing w:after="0" w:line="38" w:lineRule="exact"/>
        <w:rPr>
          <w:sz w:val="20"/>
          <w:szCs w:val="20"/>
          <w:color w:val="auto"/>
        </w:rPr>
      </w:pPr>
    </w:p>
    <w:p>
      <w:pPr>
        <w:ind w:left="960" w:right="240" w:hanging="323"/>
        <w:spacing w:after="0" w:line="268"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2025 of the Company (the "Report") fully complies with the requirements of Section 13(a) and 15(d) of the Securities Exchange Act of 1934, as amended; and</w:t>
      </w:r>
    </w:p>
    <w:p>
      <w:pPr>
        <w:spacing w:after="0" w:line="5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1"/>
    </w:lvl>
    <w:lvl w:ilvl="1">
      <w:lvlJc w:val="left"/>
      <w:lvlText w:val="(%2)"/>
      <w:numFmt w:val="decimal"/>
      <w:start w:val="1"/>
    </w:lvl>
  </w:abstractNum>
  <w:abstractNum w:abstractNumId="4">
    <w:nsid w:val="519B500D"/>
    <w:multiLevelType w:val="hybridMultilevel"/>
    <w:lvl w:ilvl="0">
      <w:lvlJc w:val="left"/>
      <w:lvlText w:val="%1."/>
      <w:numFmt w:val="decimal"/>
      <w:start w:val="4"/>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2"/>
    </w:lvl>
  </w:abstractNum>
  <w:abstractNum w:abstractNumId="13">
    <w:nsid w:val="721DA317"/>
    <w:multiLevelType w:val="hybridMultilevel"/>
    <w:lvl w:ilvl="0">
      <w:lvlJc w:val="left"/>
      <w:lvlText w:val="%1."/>
      <w:numFmt w:val="decimal"/>
      <w:start w:val="10"/>
    </w:lvl>
    <w:lvl w:ilvl="1">
      <w:lvlJc w:val="left"/>
      <w:lvlText w:val="(%2)"/>
      <w:numFmt w:val="decimal"/>
      <w:start w:val="4"/>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lvl w:ilvl="1">
      <w:lvlJc w:val="left"/>
      <w:lvlText w:val="(%2)"/>
      <w:numFmt w:val="lowerLetter"/>
      <w:start w:val="1"/>
    </w:lvl>
  </w:abstractNum>
  <w:abstractNum w:abstractNumId="24">
    <w:nsid w:val="71F32454"/>
    <w:multiLevelType w:val="hybridMultilevel"/>
    <w:lvl w:ilvl="0">
      <w:lvlJc w:val="left"/>
      <w:lvlText w:val="(%1)"/>
      <w:numFmt w:val="lowerLetter"/>
      <w:start w:val="3"/>
    </w:lvl>
    <w:lvl w:ilvl="1">
      <w:lvlJc w:val="left"/>
      <w:lvlText w:val="%2"/>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lvl w:ilvl="1">
      <w:lvlJc w:val="left"/>
      <w:lvlText w:val="%2"/>
      <w:numFmt w:val="decimal"/>
      <w:start w:val="10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66" Type="http://schemas.openxmlformats.org/officeDocument/2006/relationships/hyperlink" Target="https://www.sec.gov/Archives/edgar/data/912242/000110465914081468/a14-24669_1ex2d1.htm" TargetMode="External"/><Relationship Id="rId67" Type="http://schemas.openxmlformats.org/officeDocument/2006/relationships/hyperlink" Target="https://www.sec.gov/Archives/edgar/data/912242/0001047469-99-012492.txt" TargetMode="External"/><Relationship Id="rId68" Type="http://schemas.openxmlformats.org/officeDocument/2006/relationships/hyperlink" Target="https://www.sec.gov/Archives/edgar/data/912242/000091205702030706/a2086079zex-3_1.htm" TargetMode="External"/><Relationship Id="rId69" Type="http://schemas.openxmlformats.org/officeDocument/2006/relationships/hyperlink" Target="https://www.sec.gov/Archives/edgar/data/912242/000091205702021417/a2080342zex-4_6.htm" TargetMode="External"/><Relationship Id="rId70" Type="http://schemas.openxmlformats.org/officeDocument/2006/relationships/hyperlink" Target="https://www.sec.gov/Archives/edgar/data/912242/000104746909001981/a2189901zex-3_15.htm" TargetMode="External"/><Relationship Id="rId71" Type="http://schemas.openxmlformats.org/officeDocument/2006/relationships/hyperlink" Target="https://www.sec.gov/Archives/edgar/data/912242/000110465909008348/a09-5253_1ex3d1.htm" TargetMode="External"/><Relationship Id="rId72" Type="http://schemas.openxmlformats.org/officeDocument/2006/relationships/hyperlink" Target="https://www.sec.gov/Archives/edgar/data/912242/000104746909007391/a2193924zex-3_17.htm" TargetMode="External"/><Relationship Id="rId73" Type="http://schemas.openxmlformats.org/officeDocument/2006/relationships/hyperlink" Target="https://www.sec.gov/Archives/edgar/data/912242/000110465914043330/a14-14485_1ex3d1.htm" TargetMode="External"/><Relationship Id="rId74" Type="http://schemas.openxmlformats.org/officeDocument/2006/relationships/hyperlink" Target="https://www.sec.gov/Archives/edgar/data/912242/000110465915020412/a15-6870_1ex3d1.htm" TargetMode="External"/><Relationship Id="rId75" Type="http://schemas.openxmlformats.org/officeDocument/2006/relationships/hyperlink" Target="https://www.sec.gov/Archives/edgar/data/912242/000110465915020810/a15-6873_1ex3d1.htm" TargetMode="External"/><Relationship Id="rId76" Type="http://schemas.openxmlformats.org/officeDocument/2006/relationships/hyperlink" Target="https://www.sec.gov/Archives/edgar/data/912242/000110465915037228/a15-11185_1ex3d1.htm" TargetMode="External"/><Relationship Id="rId77" Type="http://schemas.openxmlformats.org/officeDocument/2006/relationships/hyperlink" Target="https://www.sec.gov/Archives/edgar/data/912242/000110465915042631/a15-13305_1ex3d1.htm" TargetMode="External"/><Relationship Id="rId78" Type="http://schemas.openxmlformats.org/officeDocument/2006/relationships/hyperlink" Target="https://www.sec.gov/Archives/edgar/data/912242/000119312519129272/d731295dex31.htm" TargetMode="External"/><Relationship Id="rId79" Type="http://schemas.openxmlformats.org/officeDocument/2006/relationships/hyperlink" Target="https://www.sec.gov/Archives/edgar/data/912242/000119312521182973/d417870dex31.htm" TargetMode="External"/><Relationship Id="rId80" Type="http://schemas.openxmlformats.org/officeDocument/2006/relationships/hyperlink" Target="https://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2025-08-11T15:50:30Z</dcterms:created>
  <dcterms:modified xsi:type="dcterms:W3CDTF">2025-08-11T15:50:30Z</dcterms:modified>
</cp:coreProperties>
</file>