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THE MACERICH COMPANY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Maryland</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2"/>
          <w:szCs w:val="12"/>
          <w:b w:val="1"/>
          <w:bCs w:val="1"/>
          <w:color w:val="auto"/>
        </w:rPr>
        <w:t>1-12504</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95-4448705</w:t>
      </w:r>
    </w:p>
    <w:p>
      <w:pPr>
        <w:spacing w:after="0" w:line="13" w:lineRule="exact"/>
        <w:rPr>
          <w:sz w:val="24"/>
          <w:szCs w:val="24"/>
          <w:color w:val="auto"/>
        </w:rPr>
      </w:pPr>
    </w:p>
    <w:p>
      <w:pPr>
        <w:sectPr>
          <w:pgSz w:w="11900" w:h="16838" w:orient="portrait"/>
          <w:cols w:equalWidth="0" w:num="3">
            <w:col w:w="3660" w:space="720"/>
            <w:col w:w="172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23"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401 Wilshire Boulevard, Suite 700, Santa Monica, California 90401</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(310) 394-6000</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5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Common stock of The Macerich Company,</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MAC</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The New York Stock Exchange</w:t>
            </w:r>
          </w:p>
        </w:tc>
        <w:tc>
          <w:tcPr>
            <w:tcW w:w="0" w:type="dxa"/>
            <w:vAlign w:val="bottom"/>
          </w:tcPr>
          <w:p>
            <w:pPr>
              <w:spacing w:after="0"/>
              <w:rPr>
                <w:sz w:val="1"/>
                <w:szCs w:val="1"/>
                <w:color w:val="auto"/>
              </w:rPr>
            </w:pPr>
          </w:p>
        </w:tc>
      </w:tr>
      <w:tr>
        <w:trPr>
          <w:trHeight w:val="165"/>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$0.01 par value per share</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0" w:lineRule="exact"/>
        <w:rPr>
          <w:sz w:val="24"/>
          <w:szCs w:val="24"/>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75"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 REGULATION FD DISCLOSURE.</w:t>
      </w:r>
    </w:p>
    <w:p>
      <w:pPr>
        <w:spacing w:after="0" w:line="80" w:lineRule="exact"/>
        <w:rPr>
          <w:sz w:val="20"/>
          <w:szCs w:val="20"/>
          <w:color w:val="auto"/>
        </w:rPr>
      </w:pPr>
    </w:p>
    <w:p>
      <w:pPr>
        <w:ind w:left="640" w:right="699" w:firstLine="309"/>
        <w:spacing w:after="0" w:line="247" w:lineRule="auto"/>
        <w:rPr>
          <w:sz w:val="20"/>
          <w:szCs w:val="20"/>
          <w:color w:val="auto"/>
        </w:rPr>
      </w:pPr>
      <w:r>
        <w:rPr>
          <w:rFonts w:ascii="Times New Roman" w:cs="Times New Roman" w:eastAsia="Times New Roman" w:hAnsi="Times New Roman"/>
          <w:sz w:val="13"/>
          <w:szCs w:val="13"/>
          <w:color w:val="auto"/>
        </w:rPr>
        <w:t>On June 1, 2026, The Macerich Company (the “Company”) made available on the Investor Relations section of its website, investing.macerich.com, an investor presentation describing the Company’s business and Path Forward Plan update. A copy of the presentation is attached hereto as Exhibit 99.1. The information set forth in this Item 7.01 and in the presentation, attached hereto as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regardless of any general incorporation language in such filing.</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9"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Investor Presentation</w:t>
      </w:r>
    </w:p>
    <w:p>
      <w:pPr>
        <w:spacing w:after="0" w:line="7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Macerich Company has duly caused this report to be signed on its behalf by the undersigned 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418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THE MACERICH COMPANY</w:t>
            </w:r>
          </w:p>
        </w:tc>
      </w:tr>
      <w:tr>
        <w:trPr>
          <w:trHeight w:val="165"/>
        </w:trPr>
        <w:tc>
          <w:tcPr>
            <w:tcW w:w="418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By: Daniel E. Swanstrom II</w:t>
            </w:r>
          </w:p>
        </w:tc>
      </w:tr>
      <w:tr>
        <w:trPr>
          <w:trHeight w:val="303"/>
        </w:trPr>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June 1, 2026</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Daniel E. Swanstrom II</w:t>
            </w:r>
          </w:p>
        </w:tc>
      </w:tr>
      <w:tr>
        <w:trPr>
          <w:trHeight w:val="138"/>
        </w:trPr>
        <w:tc>
          <w:tcPr>
            <w:tcW w:w="41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Date</w:t>
            </w:r>
          </w:p>
        </w:tc>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Senior Executive Vice President, Chief Financial Officer and</w:t>
            </w:r>
          </w:p>
        </w:tc>
      </w:tr>
      <w:tr>
        <w:trPr>
          <w:trHeight w:val="165"/>
        </w:trPr>
        <w:tc>
          <w:tcPr>
            <w:tcW w:w="418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Treasurer</w:t>
            </w:r>
          </w:p>
        </w:tc>
      </w:tr>
    </w:tbl>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43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43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57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57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2026-06-01T06:02:59Z</dcterms:created>
  <dcterms:modified xsi:type="dcterms:W3CDTF">2026-06-01T06:02:59Z</dcterms:modified>
</cp:coreProperties>
</file>