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557530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514350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32" w:lineRule="exact"/>
        <w:rPr>
          <w:sz w:val="24"/>
          <w:szCs w:val="24"/>
          <w:color w:val="auto"/>
        </w:rPr>
      </w:pPr>
    </w:p>
    <w:p>
      <w:pPr>
        <w:jc w:val="center"/>
        <w:ind w:left="3820" w:right="2020" w:hanging="1792"/>
        <w:spacing w:after="0" w:line="345" w:lineRule="auto"/>
        <w:tabs>
          <w:tab w:leader="none" w:pos="219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1296035</wp:posOffset>
            </wp:positionH>
            <wp:positionV relativeFrom="paragraph">
              <wp:posOffset>-270510</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11" w:lineRule="exact"/>
        <w:rPr>
          <w:sz w:val="24"/>
          <w:szCs w:val="24"/>
          <w:color w:val="auto"/>
        </w:rPr>
      </w:pPr>
    </w:p>
    <w:p>
      <w:pPr>
        <w:ind w:left="3560" w:right="1860" w:hanging="1683"/>
        <w:spacing w:after="0" w:line="345" w:lineRule="auto"/>
        <w:tabs>
          <w:tab w:leader="none" w:pos="2047"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1200150</wp:posOffset>
            </wp:positionH>
            <wp:positionV relativeFrom="paragraph">
              <wp:posOffset>-270510</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1-12504</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40"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Maryland</w:t>
      </w:r>
    </w:p>
    <w:p>
      <w:pPr>
        <w:spacing w:after="0" w:line="30"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95-4448705</w:t>
      </w:r>
    </w:p>
    <w:p>
      <w:pPr>
        <w:spacing w:after="0" w:line="3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 w:lineRule="exact"/>
        <w:rPr>
          <w:sz w:val="24"/>
          <w:szCs w:val="24"/>
          <w:color w:val="auto"/>
        </w:rPr>
      </w:pPr>
    </w:p>
    <w:p>
      <w:pPr>
        <w:sectPr>
          <w:pgSz w:w="11900" w:h="16838" w:orient="portrait"/>
          <w:cols w:equalWidth="0" w:num="2">
            <w:col w:w="6460" w:space="720"/>
            <w:col w:w="4060"/>
          </w:cols>
          <w:pgMar w:left="320" w:top="229"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color w:val="auto"/>
        </w:rPr>
        <w:t>incorporation or organization)</w:t>
      </w:r>
    </w:p>
    <w:p>
      <w:pPr>
        <w:sectPr>
          <w:pgSz w:w="11900" w:h="16838" w:orient="portrait"/>
          <w:cols w:equalWidth="0" w:num="1">
            <w:col w:w="11240"/>
          </w:cols>
          <w:pgMar w:left="320" w:top="229" w:right="339" w:bottom="1440" w:gutter="0" w:footer="0" w:header="0"/>
          <w:type w:val="continuous"/>
        </w:sectPr>
      </w:pPr>
    </w:p>
    <w:p>
      <w:pPr>
        <w:jc w:val="center"/>
        <w:ind w:left="660"/>
        <w:spacing w:after="0"/>
        <w:tabs>
          <w:tab w:leader="none" w:pos="180" w:val="left"/>
          <w:tab w:leader="none" w:pos="180" w:val="left"/>
        </w:tabs>
        <w:rPr>
          <w:sz w:val="20"/>
          <w:szCs w:val="20"/>
          <w:color w:val="auto"/>
        </w:rPr>
      </w:pPr>
      <w:r>
        <w:rPr>
          <w:rFonts w:ascii="Times New Roman" w:cs="Times New Roman" w:eastAsia="Times New Roman" w:hAnsi="Times New Roman"/>
          <w:sz w:val="14"/>
          <w:szCs w:val="14"/>
          <w:b w:val="1"/>
          <w:bCs w:val="1"/>
          <w:color w:val="auto"/>
        </w:rPr>
        <w:t>401 Wilshire Boulevard,</w:t>
        <w:tab/>
        <w:t>Suite 700,</w:t>
        <w:tab/>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California</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90401</w:t>
      </w:r>
    </w:p>
    <w:p>
      <w:pPr>
        <w:spacing w:after="0" w:line="29" w:lineRule="exact"/>
        <w:rPr>
          <w:sz w:val="24"/>
          <w:szCs w:val="24"/>
          <w:color w:val="auto"/>
        </w:rPr>
      </w:pPr>
    </w:p>
    <w:p>
      <w:pPr>
        <w:sectPr>
          <w:pgSz w:w="11900" w:h="16838" w:orient="portrait"/>
          <w:cols w:equalWidth="0" w:num="3">
            <w:col w:w="4040" w:space="660"/>
            <w:col w:w="2760" w:space="720"/>
            <w:col w:w="3060"/>
          </w:cols>
          <w:pgMar w:left="320" w:top="229"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(Address of principal executive office,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7" w:lineRule="exact"/>
        <w:rPr>
          <w:sz w:val="24"/>
          <w:szCs w:val="24"/>
          <w:color w:val="auto"/>
        </w:rPr>
      </w:pPr>
    </w:p>
    <w:p>
      <w:pPr>
        <w:sectPr>
          <w:pgSz w:w="11900" w:h="16838" w:orient="portrait"/>
          <w:cols w:equalWidth="0" w:num="2">
            <w:col w:w="7320" w:space="720"/>
            <w:col w:w="3200"/>
          </w:cols>
          <w:pgMar w:left="320" w:top="229" w:right="3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(310) 394-6000</w:t>
      </w:r>
    </w:p>
    <w:p>
      <w:pPr>
        <w:sectPr>
          <w:pgSz w:w="11900" w:h="16838" w:orient="portrait"/>
          <w:cols w:equalWidth="0" w:num="1">
            <w:col w:w="11240"/>
          </w:cols>
          <w:pgMar w:left="320" w:top="229" w:right="339" w:bottom="1440" w:gutter="0" w:footer="0" w:header="0"/>
          <w:type w:val="continuous"/>
        </w:sectPr>
      </w:pPr>
    </w:p>
    <w:p>
      <w:pPr>
        <w:spacing w:after="0" w:line="2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195"/>
        </w:trPr>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MAC</w:t>
            </w:r>
          </w:p>
        </w:tc>
        <w:tc>
          <w:tcPr>
            <w:tcW w:w="80" w:type="dxa"/>
            <w:vAlign w:val="bottom"/>
          </w:tcPr>
          <w:p>
            <w:pPr>
              <w:spacing w:after="0"/>
              <w:rPr>
                <w:sz w:val="16"/>
                <w:szCs w:val="16"/>
                <w:color w:val="auto"/>
              </w:rPr>
            </w:pPr>
          </w:p>
        </w:tc>
        <w:tc>
          <w:tcPr>
            <w:tcW w:w="4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1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24"/>
        </w:trPr>
        <w:tc>
          <w:tcPr>
            <w:tcW w:w="7320" w:type="dxa"/>
            <w:vAlign w:val="bottom"/>
            <w:gridSpan w:val="5"/>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12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97"/>
        </w:trPr>
        <w:tc>
          <w:tcPr>
            <w:tcW w:w="7320" w:type="dxa"/>
            <w:vAlign w:val="bottom"/>
            <w:gridSpan w:val="5"/>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1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08" w:lineRule="exact"/>
        <w:rPr>
          <w:sz w:val="24"/>
          <w:szCs w:val="24"/>
          <w:color w:val="auto"/>
        </w:rPr>
      </w:pPr>
    </w:p>
    <w:p>
      <w:pPr>
        <w:ind w:right="180" w:firstLine="44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120" w:firstLine="44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20" w:firstLine="445"/>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3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both"/>
        <w:ind w:hanging="18"/>
        <w:spacing w:after="0" w:line="322" w:lineRule="auto"/>
        <w:rPr>
          <w:sz w:val="20"/>
          <w:szCs w:val="20"/>
          <w:color w:val="auto"/>
        </w:rPr>
      </w:pPr>
      <w:r>
        <w:rPr>
          <w:rFonts w:ascii="Times New Roman" w:cs="Times New Roman" w:eastAsia="Times New Roman" w:hAnsi="Times New Roman"/>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6" w:lineRule="exact"/>
        <w:rPr>
          <w:sz w:val="24"/>
          <w:szCs w:val="24"/>
          <w:color w:val="auto"/>
        </w:rPr>
      </w:pPr>
    </w:p>
    <w:p>
      <w:pPr>
        <w:sectPr>
          <w:pgSz w:w="11900" w:h="16838" w:orient="portrait"/>
          <w:cols w:equalWidth="0" w:num="8">
            <w:col w:w="1800" w:space="560"/>
            <w:col w:w="140" w:space="560"/>
            <w:col w:w="1000" w:space="500"/>
            <w:col w:w="140" w:space="640"/>
            <w:col w:w="1280" w:space="640"/>
            <w:col w:w="760" w:space="720"/>
            <w:col w:w="1640" w:space="140"/>
            <w:col w:w="720"/>
          </w:cols>
          <w:pgMar w:left="320" w:top="229" w:right="339" w:bottom="1440" w:gutter="0" w:footer="0" w:header="0"/>
          <w:type w:val="continuous"/>
        </w:sectPr>
      </w:pPr>
    </w:p>
    <w:p>
      <w:pPr>
        <w:ind w:right="120" w:firstLine="445"/>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109" w:lineRule="exact"/>
        <w:rPr>
          <w:sz w:val="24"/>
          <w:szCs w:val="24"/>
          <w:color w:val="auto"/>
        </w:rPr>
      </w:pPr>
    </w:p>
    <w:p>
      <w:pPr>
        <w:ind w:firstLine="445"/>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left="460"/>
        <w:spacing w:after="0" w:line="161" w:lineRule="exact"/>
        <w:tabs>
          <w:tab w:leader="none" w:pos="7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59" w:lineRule="exact"/>
        <w:rPr>
          <w:sz w:val="24"/>
          <w:szCs w:val="24"/>
          <w:color w:val="auto"/>
        </w:rPr>
      </w:pPr>
    </w:p>
    <w:p>
      <w:pPr>
        <w:ind w:right="180" w:firstLine="445"/>
        <w:spacing w:after="0" w:line="282"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was approximately $1.3 billion as of the last business day of the registrant's most recently completed second fiscal quarter based upon the price at which the common stock was last sold on that day.</w:t>
      </w:r>
    </w:p>
    <w:p>
      <w:pPr>
        <w:spacing w:after="0" w:line="9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Number of shares outstanding of the registrant's common stock, as of February 22, 2021: 154,768,031 shares</w:t>
      </w:r>
    </w:p>
    <w:p>
      <w:pPr>
        <w:spacing w:after="0" w:line="14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Portions of the proxy statement for the annual stockholders meeting to be held in 2021 are incorporated by reference into Part III of this Form 10-K.</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90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7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0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0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760" w:type="dxa"/>
            <w:vAlign w:val="bottom"/>
          </w:tcPr>
          <w:p>
            <w:pPr>
              <w:spacing w:after="0"/>
              <w:rPr>
                <w:sz w:val="18"/>
                <w:szCs w:val="18"/>
                <w:color w:val="auto"/>
              </w:rPr>
            </w:pPr>
          </w:p>
        </w:tc>
      </w:tr>
      <w:tr>
        <w:trPr>
          <w:trHeight w:val="238"/>
        </w:trPr>
        <w:tc>
          <w:tcPr>
            <w:tcW w:w="1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880" w:type="dxa"/>
            <w:vAlign w:val="bottom"/>
          </w:tcPr>
          <w:p>
            <w:pPr>
              <w:jc w:val="center"/>
              <w:ind w:right="369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60" w:type="dxa"/>
            <w:vAlign w:val="bottom"/>
          </w:tcPr>
          <w:p>
            <w:pPr>
              <w:spacing w:after="0"/>
              <w:rPr>
                <w:sz w:val="20"/>
                <w:szCs w:val="20"/>
                <w:color w:val="auto"/>
              </w:rPr>
            </w:pPr>
          </w:p>
        </w:tc>
      </w:tr>
      <w:tr>
        <w:trPr>
          <w:trHeight w:val="493"/>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38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31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Item 1A.</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Risk Factors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Item 1B.</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Unresolved Staff Comments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Item 2.</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Properties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28</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3.</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Legal Proceedings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r>
      <w:tr>
        <w:trPr>
          <w:trHeight w:val="226"/>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4.</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Mine Safety Disclosures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r>
      <w:tr>
        <w:trPr>
          <w:trHeight w:val="233"/>
        </w:trPr>
        <w:tc>
          <w:tcPr>
            <w:tcW w:w="138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4">
              <w:r>
                <w:rPr>
                  <w:rFonts w:ascii="Times New Roman" w:cs="Times New Roman" w:eastAsia="Times New Roman" w:hAnsi="Times New Roman"/>
                  <w:sz w:val="18"/>
                  <w:szCs w:val="18"/>
                  <w:b w:val="1"/>
                  <w:bCs w:val="1"/>
                  <w:u w:val="single" w:color="auto"/>
                  <w:color w:val="0000FF"/>
                </w:rPr>
                <w:t>Part II</w:t>
              </w:r>
            </w:hyperlink>
          </w:p>
        </w:tc>
        <w:tc>
          <w:tcPr>
            <w:tcW w:w="31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5.</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35</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6.</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Selected Financial Data</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38</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7.</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40</w:t>
              </w:r>
            </w:hyperlink>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Item 7A.</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Quantitative and Qualitative Disclosures About Market Risk</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58</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8.</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Financial Statements and Supplementary Data</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9.</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9A.</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Controls and Procedures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225"/>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Item 9B.</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Other Information</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62</w:t>
              </w:r>
            </w:hyperlink>
          </w:p>
        </w:tc>
      </w:tr>
      <w:tr>
        <w:trPr>
          <w:trHeight w:val="234"/>
        </w:trPr>
        <w:tc>
          <w:tcPr>
            <w:tcW w:w="138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62">
              <w:r>
                <w:rPr>
                  <w:rFonts w:ascii="Times New Roman" w:cs="Times New Roman" w:eastAsia="Times New Roman" w:hAnsi="Times New Roman"/>
                  <w:sz w:val="18"/>
                  <w:szCs w:val="18"/>
                  <w:b w:val="1"/>
                  <w:bCs w:val="1"/>
                  <w:u w:val="single" w:color="auto"/>
                  <w:color w:val="0000FF"/>
                </w:rPr>
                <w:t>Part III</w:t>
              </w:r>
            </w:hyperlink>
          </w:p>
        </w:tc>
        <w:tc>
          <w:tcPr>
            <w:tcW w:w="31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Item 10.</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Directors, Executive Officers and Corporate Governance</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Item 11.</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Executive Compensation</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29"/>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Item 12.</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30"/>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Item 13.</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25"/>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Item 14.</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Principal Accountant Fees and Services</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34"/>
        </w:trPr>
        <w:tc>
          <w:tcPr>
            <w:tcW w:w="138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62">
              <w:r>
                <w:rPr>
                  <w:rFonts w:ascii="Times New Roman" w:cs="Times New Roman" w:eastAsia="Times New Roman" w:hAnsi="Times New Roman"/>
                  <w:sz w:val="18"/>
                  <w:szCs w:val="18"/>
                  <w:b w:val="1"/>
                  <w:bCs w:val="1"/>
                  <w:u w:val="single" w:color="auto"/>
                  <w:color w:val="0000FF"/>
                </w:rPr>
                <w:t>Part IV</w:t>
              </w:r>
            </w:hyperlink>
          </w:p>
        </w:tc>
        <w:tc>
          <w:tcPr>
            <w:tcW w:w="31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4"/>
        </w:trPr>
        <w:tc>
          <w:tcPr>
            <w:tcW w:w="1380" w:type="dxa"/>
            <w:vAlign w:val="bottom"/>
          </w:tcPr>
          <w:p>
            <w:pPr>
              <w:spacing w:after="0" w:line="194" w:lineRule="exact"/>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Item 15.</w:t>
              </w:r>
            </w:hyperlink>
          </w:p>
        </w:tc>
        <w:tc>
          <w:tcPr>
            <w:tcW w:w="316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9"/>
              </w:rPr>
            </w:pPr>
            <w:hyperlink w:anchor="page63">
              <w:r>
                <w:rPr>
                  <w:rFonts w:ascii="Times New Roman" w:cs="Times New Roman" w:eastAsia="Times New Roman" w:hAnsi="Times New Roman"/>
                  <w:sz w:val="18"/>
                  <w:szCs w:val="18"/>
                  <w:color w:val="0000FF"/>
                  <w:w w:val="99"/>
                </w:rPr>
                <w:t>Exhibits and Financial Statement Schedules</w:t>
              </w:r>
            </w:hyperlink>
          </w:p>
        </w:tc>
        <w:tc>
          <w:tcPr>
            <w:tcW w:w="5880" w:type="dxa"/>
            <w:vAlign w:val="bottom"/>
          </w:tcPr>
          <w:p>
            <w:pPr>
              <w:spacing w:after="0"/>
              <w:rPr>
                <w:sz w:val="16"/>
                <w:szCs w:val="16"/>
                <w:color w:val="auto"/>
              </w:rPr>
            </w:pPr>
          </w:p>
        </w:tc>
        <w:tc>
          <w:tcPr>
            <w:tcW w:w="76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63</w:t>
              </w:r>
            </w:hyperlink>
          </w:p>
        </w:tc>
      </w:tr>
      <w:tr>
        <w:trPr>
          <w:trHeight w:val="241"/>
        </w:trPr>
        <w:tc>
          <w:tcPr>
            <w:tcW w:w="1380" w:type="dxa"/>
            <w:vAlign w:val="bottom"/>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Item 16.</w:t>
              </w:r>
            </w:hyperlink>
          </w:p>
        </w:tc>
        <w:tc>
          <w:tcPr>
            <w:tcW w:w="9040" w:type="dxa"/>
            <w:vAlign w:val="bottom"/>
            <w:gridSpan w:val="2"/>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Form 10-K Summary</w:t>
              </w:r>
            </w:hyperlink>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63</w:t>
              </w:r>
            </w:hyperlink>
          </w:p>
        </w:tc>
      </w:tr>
      <w:tr>
        <w:trPr>
          <w:trHeight w:val="238"/>
        </w:trPr>
        <w:tc>
          <w:tcPr>
            <w:tcW w:w="138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19">
              <w:r>
                <w:rPr>
                  <w:rFonts w:ascii="Times New Roman" w:cs="Times New Roman" w:eastAsia="Times New Roman" w:hAnsi="Times New Roman"/>
                  <w:sz w:val="18"/>
                  <w:szCs w:val="18"/>
                  <w:b w:val="1"/>
                  <w:bCs w:val="1"/>
                  <w:u w:val="single" w:color="auto"/>
                  <w:color w:val="0000FF"/>
                </w:rPr>
                <w:t>Signatures</w:t>
              </w:r>
            </w:hyperlink>
          </w:p>
        </w:tc>
        <w:tc>
          <w:tcPr>
            <w:tcW w:w="31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60" w:type="dxa"/>
            <w:vAlign w:val="bottom"/>
          </w:tcPr>
          <w:p>
            <w:pPr>
              <w:jc w:val="right"/>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120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FACTORS RELATED TO FORWARD-LOOKING STATEMENTS</w:t>
      </w:r>
    </w:p>
    <w:p>
      <w:pPr>
        <w:spacing w:after="0" w:line="162" w:lineRule="exact"/>
        <w:rPr>
          <w:sz w:val="20"/>
          <w:szCs w:val="20"/>
          <w:color w:val="auto"/>
        </w:rPr>
      </w:pPr>
    </w:p>
    <w:p>
      <w:pPr>
        <w:jc w:val="both"/>
        <w:ind w:right="140" w:firstLine="445"/>
        <w:spacing w:after="0" w:line="272" w:lineRule="auto"/>
        <w:rPr>
          <w:sz w:val="20"/>
          <w:szCs w:val="20"/>
          <w:color w:val="auto"/>
        </w:rPr>
      </w:pPr>
      <w:r>
        <w:rPr>
          <w:rFonts w:ascii="Times New Roman" w:cs="Times New Roman" w:eastAsia="Times New Roman" w:hAnsi="Times New Roman"/>
          <w:sz w:val="17"/>
          <w:szCs w:val="17"/>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w:t>
      </w:r>
    </w:p>
    <w:p>
      <w:pPr>
        <w:spacing w:after="0" w:line="2"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1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144"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144"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94" w:lineRule="exact"/>
        <w:rPr>
          <w:sz w:val="20"/>
          <w:szCs w:val="20"/>
          <w:color w:val="auto"/>
        </w:rPr>
      </w:pPr>
    </w:p>
    <w:p>
      <w:pPr>
        <w:ind w:right="40" w:firstLine="445"/>
        <w:spacing w:after="0" w:line="237"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2020, the Operating Partnership owned or had an ownership interest in 47 regional shopping centers and five community/power shopping centers. These 52 regional and community/power shopping centers (which include any related office space) consist of approximately 50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 w:name="page4"/>
    <w:bookmarkEnd w:id="3"/>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9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Financial information regarding the Company for each of the last three fiscal years is contained in the Company's Consolidated Financial Statements included in "Item 15. Exhibits and Financial Statement Schedule."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Activity:</w:t>
      </w:r>
    </w:p>
    <w:p>
      <w:pPr>
        <w:spacing w:after="0" w:line="160"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On September 15, 2020, the Company closed on a loan extension agreement for the $191.0 million loan on Danbury Fair Mall. Under the extension agreement, the original loan maturity date of October 1, 2020 was extended to April 1, 2021. The loan may be further extended to July 1, 2021, subject to certain conditions. The loan amount and interest rate are unchanged following the extension.</w:t>
      </w:r>
    </w:p>
    <w:p>
      <w:pPr>
        <w:spacing w:after="0" w:line="10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November 17, 2020, the Company’s joint venture in Tysons VITA, the residential tower at Tysons Corner Center, placed a new $95.0 million loan on the property that bears interest at an effective rate of 3.43% and matures on January 1, 2030. Initial loan funding for the Company’s joint venture was $90.0 million with future advance potential of up to $5.0 million. The Company used its share of the initial proceeds of $45.0 million for general corporate purposes.</w:t>
      </w:r>
    </w:p>
    <w:p>
      <w:pPr>
        <w:spacing w:after="0" w:line="9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On December 10, 2020, the Company made a loan (the “Partnership Loan”) to the Company’s joint venture in Fashion District Philadelphia to fund the entirety of a $100.0 million repayment to reduce the mortgage loan on Fashion District Philadelphia from $301.0 million to $201.0 million. This mortgage loan now matures on January 22, 2024, assuming exercise of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(See Note 16–Consolidated Joint Venture and Acquisitions of the Company’s Consolidated Financial Statements).</w:t>
      </w:r>
    </w:p>
    <w:p>
      <w:pPr>
        <w:spacing w:after="0" w:line="120"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15, 2020, the Company closed on a loan extension agreement for the Fashion Outlets of Niagara $101.5 million loan. Under the extension agreement the original loan maturity date of October 6, 2020 was extended to October 6, 2023. The loan amount and interest rate are unchanged following the extension.</w:t>
      </w:r>
    </w:p>
    <w:p>
      <w:pPr>
        <w:spacing w:after="0" w:line="10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 At December 31, 2020, the Company’s pro rata share of the loan is $102.6 million.</w:t>
      </w:r>
    </w:p>
    <w:p>
      <w:pPr>
        <w:spacing w:after="0" w:line="95" w:lineRule="exact"/>
        <w:rPr>
          <w:sz w:val="20"/>
          <w:szCs w:val="20"/>
          <w:color w:val="auto"/>
        </w:rPr>
      </w:pPr>
    </w:p>
    <w:p>
      <w:pPr>
        <w:ind w:right="500" w:firstLine="445"/>
        <w:spacing w:after="0" w:line="266" w:lineRule="auto"/>
        <w:rPr>
          <w:sz w:val="20"/>
          <w:szCs w:val="20"/>
          <w:color w:val="auto"/>
        </w:rPr>
      </w:pPr>
      <w:r>
        <w:rPr>
          <w:rFonts w:ascii="Times New Roman" w:cs="Times New Roman" w:eastAsia="Times New Roman" w:hAnsi="Times New Roman"/>
          <w:sz w:val="18"/>
          <w:szCs w:val="18"/>
          <w:color w:val="auto"/>
        </w:rPr>
        <w:t>On January 22, 2021, the Company closed on a one-year extension for Green Acres Mall $270.6 million loan to February 3, 2022, which also includes a one-year extension to February 3, 2023. The interest rate remained unchanged, and the Company repaid $9 million of the outstanding loan balance at closing.</w:t>
      </w:r>
    </w:p>
    <w:p>
      <w:pPr>
        <w:spacing w:after="0" w:line="108" w:lineRule="exact"/>
        <w:rPr>
          <w:sz w:val="20"/>
          <w:szCs w:val="20"/>
          <w:color w:val="auto"/>
        </w:rPr>
      </w:pPr>
    </w:p>
    <w:p>
      <w:pPr>
        <w:ind w:right="500" w:firstLine="44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$28.1 million and $36.9 million was repaid in the three months and twelve months ended December 31, 2020, respectively; and the remaining balance has now been fully repaid during the first quarter of 2021.</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Activity:</w:t>
      </w:r>
    </w:p>
    <w:p>
      <w:pPr>
        <w:spacing w:after="0" w:line="146"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right="300"/>
        <w:spacing w:after="0" w:line="261" w:lineRule="auto"/>
        <w:rPr>
          <w:sz w:val="20"/>
          <w:szCs w:val="20"/>
          <w:color w:val="auto"/>
        </w:rPr>
      </w:pPr>
      <w:r>
        <w:rPr>
          <w:rFonts w:ascii="Times New Roman" w:cs="Times New Roman" w:eastAsia="Times New Roman" w:hAnsi="Times New Roman"/>
          <w:sz w:val="18"/>
          <w:szCs w:val="18"/>
          <w:color w:val="auto"/>
        </w:rPr>
        <w:t>$550.0 million, with $125.0 million to $137.5 million estimated to be the Company's pro rata share. The Company has funded $77.7 million of the total $310.9 million incurred by the joint venture as of December 31, 2020. The joint venture expects to fund the remaining costs of the development with its $414.6 million construction loan (See "Item 7. Management's Discussion and Analysis of Financial Condition and Results of Operations–Financing Activities").</w:t>
      </w:r>
    </w:p>
    <w:p>
      <w:pPr>
        <w:spacing w:after="0" w:line="99"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$37.7 million of the total $75.4 million incurred by the joint venture as of December 31, 2020.</w:t>
      </w:r>
    </w:p>
    <w:p>
      <w:pPr>
        <w:spacing w:after="0" w:line="108"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$37.5 million at its pro rata share as of December 31, 2020.</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4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As of December 31, 2020, all of the Company’s properties were open and operating, including Queens Center and Kings Plaza in New York City, which re-opened in early September 2020 after being closed since March 2020, and nine indoor California malls that had previously re-opened in May and early June 2020, but were closed for a second time in July 2020 pursuant to a statewide mandate. Those nine indoor California malls include Fresno Fashion Fair, Inland Center, Pacific View, The Mall at Victor Valley, The Oaks and Vintage Faire Mall, each of which re-opened in late August 2020, and Lakewood Center, Los Cerritos Center and Stonewood Center, each of which re-opened on October 7, 2020. All Centers have been open and operating since October 7, 2020, and government mandated restrictions have generally been eased during 2021.</w:t>
      </w:r>
    </w:p>
    <w:p>
      <w:pPr>
        <w:spacing w:after="0" w:line="124" w:lineRule="exact"/>
        <w:rPr>
          <w:sz w:val="20"/>
          <w:szCs w:val="20"/>
          <w:color w:val="auto"/>
        </w:rPr>
      </w:pPr>
    </w:p>
    <w:p>
      <w:pPr>
        <w:ind w:right="100" w:firstLine="445"/>
        <w:spacing w:after="0" w:line="252" w:lineRule="auto"/>
        <w:rPr>
          <w:sz w:val="20"/>
          <w:szCs w:val="20"/>
          <w:color w:val="auto"/>
        </w:rPr>
      </w:pPr>
      <w:r>
        <w:rPr>
          <w:rFonts w:ascii="Times New Roman" w:cs="Times New Roman" w:eastAsia="Times New Roman" w:hAnsi="Times New Roman"/>
          <w:sz w:val="18"/>
          <w:szCs w:val="18"/>
          <w:color w:val="auto"/>
        </w:rPr>
        <w:t>The Company continues to work with all of its stakeholders to mitigate the impact of COVID-19. The Company has developed and implemented a long list of operational protocols based on Centers for Disease Control and Prevention recommendations designed to ensure the safety of its employees, tenants, service providers and shoppers. Those measures include among others: the use of sophisticated air filtration systems to increase air circulation and outside air flow and ventilation, significantly intensified cleaning and sanitizing procedures with special focus on high-touch and traffic areas, highly visible and accessible self-service sanitizing stations, providing masks at all properties as needed and requiring mask-wearing at nearly all properties in compliance with state and local requirements, touchless entries, social distance queuing including the use of digital technologies, path of travel guidelines including vertical transportation and deliveries, furniture placement and the use of sophisticated traffic-counting technology to ensure that its properties adhere to any relevant regulatory capacity constraints. The Company’s indoor properties feature vast interior common areas, most with two to three story ceiling clearances, ample floor space and a comfortable environment to practice effective social distancing even during peak retail periods. The Company provides round-the-clock security to enforce policies and regulations, to discourage congregation and to encourage proper distancing. Each property deploys robust messaging to inform all of the Company’s stakeholders of its operating standards and requirements within a multi-media platform that includes abundant on premise signage, digital and social messaging, and information within its property and corporate websites. The Company believes that, due to the quality of design and construction of its malls, it will be able to continue to provide a safe indoor environment for its employees, tenants, service providers and shoppers. Although the Company has incurred, and will continue to incur, some incremental costs associated with COVID-19 operating protocols and programs, these costs have not been, and are not anticipated to be, significant.</w:t>
      </w:r>
    </w:p>
    <w:p>
      <w:pPr>
        <w:spacing w:after="0" w:line="1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While the ultimate adverse impact of this outbreak is unknown at this time, the Company’s financial condition and the results of its operations have been negatively impacted, as certain tenants delayed rent payments during the fourth quarter of 2020 and some tenants have continued to request delayed or reduced rent payments for January and beyond. See “Outlook” in Results of Operations for a further discussion of the forward-looking impact of COVID-19 and the Company’s strategic plan to mitigate the anticipated negative impact on its financial condition and results of operations.</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represents a reduction from the Company’s first quarter dividend, and was paid in a combination of cash and shares of common stock to preserve liquidity in light of the impact and uncertainty arising out of the COVID-19 outbreak. On July 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ind w:right="80"/>
        <w:spacing w:after="0" w:line="256" w:lineRule="auto"/>
        <w:rPr>
          <w:sz w:val="20"/>
          <w:szCs w:val="20"/>
          <w:color w:val="auto"/>
        </w:rPr>
      </w:pPr>
      <w:r>
        <w:rPr>
          <w:rFonts w:ascii="Times New Roman" w:cs="Times New Roman" w:eastAsia="Times New Roman" w:hAnsi="Times New Roman"/>
          <w:sz w:val="18"/>
          <w:szCs w:val="18"/>
          <w:color w:val="auto"/>
        </w:rPr>
        <w:t>2020, the Company declared a further reduced third quarter cash dividend of $0.15 per share of its common stock, which was paid in cash on September 8, 2020 to stockholders of record on August 19, 2020. On October 29, 2020, the Company declared a fourth quarter cash dividend of $0.15 per share of its common stock, which was paid on December 3, 2020 to stockholders of record on November 9, 2020. On January 28, 2021, the Company declared a first quarter cash dividend of $0.15 per share of its common stock, which will be paid on March 3, 2021 to stockholders of record on February 19, 2021. The dividend amount will be reviewed by the Board on a quarterly basis. See “Liquidity and Capital Resources” for a further discussion of the Company’s anticipated liquidity needs, and the measures taken by the Company to meet those needs.</w:t>
      </w:r>
    </w:p>
    <w:p>
      <w:pPr>
        <w:spacing w:after="0" w:line="10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December 31, 2020, the Company and its joint venture partner, Seritage Growth Properties (“Seritage”),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Seritage. The joint venture partners agreed that the distributed properties were of equal value. The Company now owns 100% of the former Sears parcel at South Plains Mall. Effective December 31, 2020, the Company consolidates its 100% interest in the Sears parcel at South Plains Mall in the Company’s consolidated financial statements (See Note 16 – Consolidated Joint Venture and Acquisitions of the Company’s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Shopping Center Industry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Shopping Centers" or "Malls." Regional Shopping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Regional Shopping Centers:</w:t>
      </w:r>
    </w:p>
    <w:p>
      <w:pPr>
        <w:spacing w:after="0" w:line="16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 Regional Shopping Center draws from its trade area by offering a variety of fashion merchandise, hard goods and services and entertainment, often in an enclosed, climate controlled environment with convenient parking. Regional Shopping Centers provide an array of retail shops and entertainment facilities and often serve as the town center and a gathering place for community, charity and promotional events.</w:t>
      </w:r>
    </w:p>
    <w:p>
      <w:pPr>
        <w:spacing w:after="0" w:line="9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Regional Shopping Centers have generally provided owners with relatively stable income despite the cyclical nature of the retail business. This stability is due both to the diversity of tenants and to the typical dominance of Regional Shopping Centers in their trade areas.</w:t>
      </w:r>
    </w:p>
    <w:p>
      <w:pPr>
        <w:spacing w:after="0" w:line="9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Regional Shopping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Shopping Center.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60"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Shopping Centers.</w:t>
      </w:r>
    </w:p>
    <w:p>
      <w:pPr>
        <w:spacing w:after="0" w:line="9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Company principally focuses on well-located, quality Regional Shopping Centers that can be dominant in their trade area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strong revenue enhancement potential. In addition, the Company pursues other opportunistic acquisitions of property that include retail and will complement the Company's portfolio such as Outlet Centers. The Company subsequently seeks to improve operating performance and returns from these properties through leasing,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93" w:lineRule="exact"/>
        <w:rPr>
          <w:sz w:val="20"/>
          <w:szCs w:val="20"/>
          <w:color w:val="auto"/>
        </w:rPr>
      </w:pPr>
    </w:p>
    <w:p>
      <w:pPr>
        <w:ind w:right="20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Leasing and Management. </w:t>
      </w:r>
      <w:r>
        <w:rPr>
          <w:rFonts w:ascii="Times New Roman" w:cs="Times New Roman" w:eastAsia="Times New Roman" w:hAnsi="Times New Roman"/>
          <w:sz w:val="18"/>
          <w:szCs w:val="18"/>
          <w:color w:val="auto"/>
        </w:rPr>
        <w:t>The Company believes that the shopping center business requires specialized skills across a broad array of disciplines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17"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10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95"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On a selective basis, the Company provides property management and leasing services for third parties. The Company currently manages one regional shopping center and two community centers for third party owners on a fee basis.</w:t>
      </w:r>
    </w:p>
    <w:p>
      <w:pPr>
        <w:spacing w:after="0" w:line="9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Redevelopment. </w:t>
      </w:r>
      <w:r>
        <w:rPr>
          <w:rFonts w:ascii="Times New Roman" w:cs="Times New Roman" w:eastAsia="Times New Roman" w:hAnsi="Times New Roman"/>
          <w:sz w:val="18"/>
          <w:szCs w:val="18"/>
          <w:color w:val="auto"/>
        </w:rPr>
        <w:t>One of the major components of the Company's growth strategy is its ability to redevelop acquired properties. On a selective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business strategy may include mixed-use densification to maximize space at the Company’s Regional Shopping Centers, including by developing available land at the Regional Shopping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Activity" in Recent Developments).</w:t>
      </w:r>
    </w:p>
    <w:p>
      <w:pPr>
        <w:spacing w:after="0" w:line="115" w:lineRule="exact"/>
        <w:rPr>
          <w:sz w:val="20"/>
          <w:szCs w:val="20"/>
          <w:color w:val="auto"/>
        </w:rPr>
      </w:pPr>
    </w:p>
    <w:p>
      <w:pPr>
        <w:ind w:right="1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Development. </w:t>
      </w:r>
      <w:r>
        <w:rPr>
          <w:rFonts w:ascii="Times New Roman" w:cs="Times New Roman" w:eastAsia="Times New Roman" w:hAnsi="Times New Roman"/>
          <w:sz w:val="18"/>
          <w:szCs w:val="18"/>
          <w:color w:val="auto"/>
        </w:rPr>
        <w:t>The Company pursues ground-up development projects on a selective basis. The Company has supplemented its strong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redevelopment skills with its ground-up development expertise to further increase growth opportunities (See "Redevelopment and Development Activity" in Recent Developments).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Centers:</w:t>
      </w:r>
    </w:p>
    <w:p>
      <w:pPr>
        <w:spacing w:after="0" w:line="16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2020, the Centers primarily included 47 Regional Shopping Centers and five Community/Power Shopping Centers totaling approximately 50 million square feet of GLA. These 52 Centers average approximately 900,000 square feet of GLA and range in size from 3.5 million square feet of GLA at Tysons Corner Center to 184,000 square feet of GLA at Boulevard Shops. As of December 31, 2020, the Centers primarily included 172 Anchors totaling approximately 23.1 million square feet of GLA and approximately 5,000 Mall Stores and Freestanding Stores totaling approximately 24.6 million square feet of GLA.</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Numerous owners, developers and managers of malls, shopping centers and other retail-oriented real estate compete with the Company for the acquisition of properties and in attracting tenants or Anchors to occupy space. There are a number of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online retail shopping, home shopping networks, catalogs, telemarketing and discount shopping clubs that could adversely affect the Company's revenues.</w:t>
      </w:r>
    </w:p>
    <w:p>
      <w:pPr>
        <w:spacing w:after="0" w:line="127"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effectively for retail tenants in its local markets based on these criteria in light of the overall size, quality and diversity of its Centers.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60"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retailers (including their subsidiaries) represent the 10 largest tenants in the Centers based upon total rents in place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9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35"/>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530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Primary DBAs</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 the</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2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Rents</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Brands, Inc.</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Bath and Body Works, PINK</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Best Buy Co.,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Best Buy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&amp; M Hennes &amp; Mauritz AB</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&amp; 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Foot Locker, Inc.</w:t>
            </w:r>
          </w:p>
        </w:tc>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Champs Sports, Foot Locker, Kids Foot Locker, Lady Foot Locker,</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 Action, House of Hoops, and others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Gap, Inc., The</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Athleta, Banana Republic, Gap, Gap Kids, Old Navy and others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Signet Jewelers</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Jared Jewelry, Kay Jewelers, Piercing Pagoda, Zales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Dick's Sporting Goods,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Dick's Sporting Goods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Eagle Outfitters,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Eagle Outfitters, aerie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Abercrombie &amp; Fitch</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Abercrombie &amp; Fitch, Hollister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Apple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Apple Store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Mall Stores and Freestanding Stores:</w:t>
      </w:r>
    </w:p>
    <w:p>
      <w:pPr>
        <w:spacing w:after="0" w:line="160"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a stated amount for operating expenses, generally excluding property taxes, regardless of the expenses the Company actually incurs at any Center. However, certain leases for Mall Stores and Freestanding Stores contain provisions that only require tenants to pay their pro rata share of maintenance of the common areas, property taxes, insurance, advertising and other expenditures related to the operations of the Center.</w:t>
      </w:r>
    </w:p>
    <w:p>
      <w:pPr>
        <w:spacing w:after="0" w:line="10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Tenant space of 10,000 square feet and under in the Company's portfolio at December 31, 2020 comprises approximately 65%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average base rent per square foot for the Centers, as of December 31 for each of the past five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Avg. Base</w:t>
            </w:r>
          </w:p>
        </w:tc>
        <w:tc>
          <w:tcPr>
            <w:tcW w:w="180" w:type="dxa"/>
            <w:vAlign w:val="bottom"/>
          </w:tcPr>
          <w:p>
            <w:pPr>
              <w:spacing w:after="0"/>
              <w:rPr>
                <w:sz w:val="13"/>
                <w:szCs w:val="13"/>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200" w:type="dxa"/>
            <w:vAlign w:val="bottom"/>
          </w:tcPr>
          <w:p>
            <w:pPr>
              <w:spacing w:after="0"/>
              <w:rPr>
                <w:sz w:val="13"/>
                <w:szCs w:val="13"/>
                <w:color w:val="auto"/>
              </w:rPr>
            </w:pPr>
          </w:p>
        </w:tc>
        <w:tc>
          <w:tcPr>
            <w:tcW w:w="17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Per Sq. Ft. on</w:t>
            </w:r>
          </w:p>
        </w:tc>
        <w:tc>
          <w:tcPr>
            <w:tcW w:w="200" w:type="dxa"/>
            <w:vAlign w:val="bottom"/>
          </w:tcPr>
          <w:p>
            <w:pPr>
              <w:spacing w:after="0"/>
              <w:rPr>
                <w:sz w:val="11"/>
                <w:szCs w:val="11"/>
                <w:color w:val="auto"/>
              </w:rPr>
            </w:pPr>
          </w:p>
        </w:tc>
        <w:tc>
          <w:tcPr>
            <w:tcW w:w="17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80" w:type="dxa"/>
            <w:vAlign w:val="bottom"/>
          </w:tcPr>
          <w:p>
            <w:pPr>
              <w:spacing w:after="0"/>
              <w:rPr>
                <w:sz w:val="11"/>
                <w:szCs w:val="11"/>
                <w:color w:val="auto"/>
              </w:rPr>
            </w:pPr>
          </w:p>
        </w:tc>
        <w:tc>
          <w:tcPr>
            <w:tcW w:w="1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Leases Executed</w:t>
            </w:r>
          </w:p>
        </w:tc>
        <w:tc>
          <w:tcPr>
            <w:tcW w:w="200" w:type="dxa"/>
            <w:vAlign w:val="bottom"/>
          </w:tcPr>
          <w:p>
            <w:pPr>
              <w:spacing w:after="0"/>
              <w:rPr>
                <w:sz w:val="11"/>
                <w:szCs w:val="11"/>
                <w:color w:val="auto"/>
              </w:rPr>
            </w:pPr>
          </w:p>
        </w:tc>
        <w:tc>
          <w:tcPr>
            <w:tcW w:w="17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Sq. Ft.(1)(2)</w:t>
            </w:r>
          </w:p>
        </w:tc>
        <w:tc>
          <w:tcPr>
            <w:tcW w:w="180" w:type="dxa"/>
            <w:vAlign w:val="bottom"/>
          </w:tcPr>
          <w:p>
            <w:pPr>
              <w:spacing w:after="0"/>
              <w:rPr>
                <w:sz w:val="12"/>
                <w:szCs w:val="12"/>
                <w:color w:val="auto"/>
              </w:rPr>
            </w:pP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Year(2)(3)</w:t>
            </w:r>
          </w:p>
        </w:tc>
        <w:tc>
          <w:tcPr>
            <w:tcW w:w="200" w:type="dxa"/>
            <w:vAlign w:val="bottom"/>
          </w:tcPr>
          <w:p>
            <w:pPr>
              <w:spacing w:after="0"/>
              <w:rPr>
                <w:sz w:val="12"/>
                <w:szCs w:val="12"/>
                <w:color w:val="auto"/>
              </w:rPr>
            </w:pPr>
          </w:p>
        </w:tc>
        <w:tc>
          <w:tcPr>
            <w:tcW w:w="17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Centers (at the Company's pro rata share):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7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37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37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Unconsolidated Joint Venture Centers (at the Company's pro rata share):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7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37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37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Big Box and Anchors: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Avg. Base</w:t>
            </w:r>
          </w:p>
        </w:tc>
        <w:tc>
          <w:tcPr>
            <w:tcW w:w="20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Per Sq. Ft. on</w:t>
            </w:r>
          </w:p>
        </w:tc>
        <w:tc>
          <w:tcPr>
            <w:tcW w:w="12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Executed</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Expiring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Leases Executed</w:t>
            </w:r>
          </w:p>
        </w:tc>
        <w:tc>
          <w:tcPr>
            <w:tcW w:w="12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Year(2)(3)</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During the Year(2)(4)</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pro rata share):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00" w:lineRule="exact"/>
        <w:rPr>
          <w:sz w:val="20"/>
          <w:szCs w:val="20"/>
          <w:color w:val="auto"/>
        </w:rPr>
      </w:pPr>
    </w:p>
    <w:p>
      <w:pPr>
        <w:spacing w:after="0" w:line="201" w:lineRule="exact"/>
        <w:rPr>
          <w:sz w:val="20"/>
          <w:szCs w:val="20"/>
          <w:color w:val="auto"/>
        </w:rPr>
      </w:pPr>
    </w:p>
    <w:p>
      <w:pPr>
        <w:ind w:left="1220" w:right="280" w:hanging="564"/>
        <w:spacing w:after="0" w:line="280" w:lineRule="auto"/>
        <w:tabs>
          <w:tab w:leader="none" w:pos="1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83" w:lineRule="exact"/>
        <w:rPr>
          <w:rFonts w:ascii="Times New Roman" w:cs="Times New Roman" w:eastAsia="Times New Roman" w:hAnsi="Times New Roman"/>
          <w:sz w:val="16"/>
          <w:szCs w:val="16"/>
          <w:color w:val="auto"/>
        </w:rPr>
      </w:pPr>
    </w:p>
    <w:p>
      <w:pPr>
        <w:ind w:left="1220" w:hanging="564"/>
        <w:spacing w:after="0" w:line="258" w:lineRule="auto"/>
        <w:tabs>
          <w:tab w:leader="none" w:pos="1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Centers under development and redevelopment are excluded from average base rents. As a result, the leases for Fashion District Philadelphia, Paradise Valley Mall and One Westside are excluded for the years ended December 31, 2020, 2019, 2018, 2017 and 2016. The leases for Broadway Plaza are excluded for the year ended December 31, 2016. The leases for Cascade Mall and Northgate Mall, which were sold on January 18, 2017, are excluded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9" w:name="page10"/>
    <w:bookmarkEnd w:id="9"/>
    <w:p>
      <w:pPr>
        <w:ind w:left="1220" w:right="140" w:hanging="564"/>
        <w:spacing w:after="0" w:line="280" w:lineRule="auto"/>
        <w:tabs>
          <w:tab w:leader="none" w:pos="12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executed during the year represents the actual rent paid on a per square foot basis during the first twelve months of the lease.</w:t>
      </w:r>
    </w:p>
    <w:p>
      <w:pPr>
        <w:spacing w:after="0" w:line="83" w:lineRule="exact"/>
        <w:rPr>
          <w:rFonts w:ascii="Times New Roman" w:cs="Times New Roman" w:eastAsia="Times New Roman" w:hAnsi="Times New Roman"/>
          <w:sz w:val="16"/>
          <w:szCs w:val="16"/>
          <w:color w:val="auto"/>
        </w:rPr>
      </w:pPr>
    </w:p>
    <w:p>
      <w:pPr>
        <w:ind w:left="1220" w:right="260" w:hanging="564"/>
        <w:spacing w:after="0" w:line="280" w:lineRule="auto"/>
        <w:tabs>
          <w:tab w:leader="none" w:pos="12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expiring during the year represents the actual rent to be paid on a per square foot basis during the final twelve months of the lease.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Lease Expirations:</w:t>
      </w:r>
    </w:p>
    <w:p>
      <w:pPr>
        <w:spacing w:after="0" w:line="160"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show scheduled lease expirations for Centers owned as of December 31, 2020 for the next ten years, assuming that none of the tenants exercise renewal options: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Rent</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GLA of Leases</w:t>
            </w:r>
          </w:p>
        </w:tc>
        <w:tc>
          <w:tcPr>
            <w:tcW w:w="1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89"/>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Expiring(1)</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Leases(1)</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Leases(1)</w:t>
            </w:r>
          </w:p>
        </w:tc>
        <w:tc>
          <w:tcPr>
            <w:tcW w:w="0" w:type="dxa"/>
            <w:vAlign w:val="bottom"/>
          </w:tcPr>
          <w:p>
            <w:pPr>
              <w:spacing w:after="0"/>
              <w:rPr>
                <w:sz w:val="1"/>
                <w:szCs w:val="1"/>
                <w:color w:val="auto"/>
              </w:rPr>
            </w:pPr>
          </w:p>
        </w:tc>
      </w:tr>
      <w:tr>
        <w:trPr>
          <w:trHeight w:val="169"/>
        </w:trPr>
        <w:tc>
          <w:tcPr>
            <w:tcW w:w="3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717,103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499,025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617,535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394,918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175"/>
        </w:trPr>
        <w:tc>
          <w:tcPr>
            <w:tcW w:w="3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87,392</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Big Boxes and Anchors: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Rent</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GLA of Leases</w:t>
            </w:r>
          </w:p>
        </w:tc>
        <w:tc>
          <w:tcPr>
            <w:tcW w:w="1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89"/>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Expiring(1)</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Leases(1)</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Leases(1)</w:t>
            </w:r>
          </w:p>
        </w:tc>
        <w:tc>
          <w:tcPr>
            <w:tcW w:w="0" w:type="dxa"/>
            <w:vAlign w:val="bottom"/>
          </w:tcPr>
          <w:p>
            <w:pPr>
              <w:spacing w:after="0"/>
              <w:rPr>
                <w:sz w:val="1"/>
                <w:szCs w:val="1"/>
                <w:color w:val="auto"/>
              </w:rPr>
            </w:pPr>
          </w:p>
        </w:tc>
      </w:tr>
      <w:tr>
        <w:trPr>
          <w:trHeight w:val="169"/>
        </w:trPr>
        <w:tc>
          <w:tcPr>
            <w:tcW w:w="3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864,408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930,144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834,311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968,957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858,576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671,931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841,231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175"/>
        </w:trPr>
        <w:tc>
          <w:tcPr>
            <w:tcW w:w="3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297,964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308,494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804,531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355,114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425,437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0" w:lineRule="exact"/>
        <w:rPr>
          <w:sz w:val="20"/>
          <w:szCs w:val="20"/>
          <w:color w:val="auto"/>
        </w:rPr>
      </w:pPr>
    </w:p>
    <w:p>
      <w:pPr>
        <w:spacing w:after="0" w:line="201" w:lineRule="exact"/>
        <w:rPr>
          <w:sz w:val="20"/>
          <w:szCs w:val="20"/>
          <w:color w:val="auto"/>
        </w:rPr>
      </w:pPr>
    </w:p>
    <w:p>
      <w:pPr>
        <w:ind w:left="1220" w:hanging="564"/>
        <w:spacing w:after="0" w:line="263" w:lineRule="auto"/>
        <w:tabs>
          <w:tab w:leader="none" w:pos="1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ending base rent per square foot on leases expiring during the period represents the final year minimum rent, on a cash basis, for tenant leases expiring during the year. Currently, 22% of leases have provisions for future consumer price index increases that are not reflected in ending base rent. The leases for Centers currently under development and redevelopment are excluded from this table.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Anchors:</w:t>
      </w:r>
    </w:p>
    <w:p>
      <w:pPr>
        <w:spacing w:after="0" w:line="14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Anchors have traditionally been a major factor in the public's identification with Regional Shopping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1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Anchors accounted for approximately 6.9% of the Company's total rents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1" w:name="page12"/>
    <w:bookmarkEnd w:id="11"/>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identifies each Anchor, each parent company that owns multiple Anchors and the number of square feet owned or leased by each such Anchor or parent company in the Company's portfolio at December 31,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GLA Owned</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GLA Leased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GLA</w:t>
            </w:r>
          </w:p>
        </w:tc>
        <w:tc>
          <w:tcPr>
            <w:tcW w:w="0" w:type="dxa"/>
            <w:vAlign w:val="bottom"/>
          </w:tcPr>
          <w:p>
            <w:pPr>
              <w:spacing w:after="0"/>
              <w:rPr>
                <w:sz w:val="1"/>
                <w:szCs w:val="1"/>
                <w:color w:val="auto"/>
              </w:rPr>
            </w:pPr>
          </w:p>
        </w:tc>
      </w:tr>
      <w:tr>
        <w:trPr>
          <w:trHeight w:val="135"/>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Anchor</w:t>
            </w: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Occupied by</w:t>
            </w:r>
          </w:p>
        </w:tc>
        <w:tc>
          <w:tcPr>
            <w:tcW w:w="0" w:type="dxa"/>
            <w:vAlign w:val="bottom"/>
          </w:tcPr>
          <w:p>
            <w:pPr>
              <w:spacing w:after="0"/>
              <w:rPr>
                <w:sz w:val="1"/>
                <w:szCs w:val="1"/>
                <w:color w:val="auto"/>
              </w:rPr>
            </w:pPr>
          </w:p>
        </w:tc>
      </w:tr>
      <w:tr>
        <w:trPr>
          <w:trHeight w:val="189"/>
        </w:trPr>
        <w:tc>
          <w:tcPr>
            <w:tcW w:w="580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Anchor</w:t>
            </w:r>
          </w:p>
        </w:tc>
        <w:tc>
          <w:tcPr>
            <w:tcW w:w="0" w:type="dxa"/>
            <w:vAlign w:val="bottom"/>
          </w:tcPr>
          <w:p>
            <w:pPr>
              <w:spacing w:after="0"/>
              <w:rPr>
                <w:sz w:val="1"/>
                <w:szCs w:val="1"/>
                <w:color w:val="auto"/>
              </w:rPr>
            </w:pPr>
          </w:p>
        </w:tc>
      </w:tr>
      <w:tr>
        <w:trPr>
          <w:trHeight w:val="183"/>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Macy's Inc.(1)</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Macy's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4,698,000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6,629,000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Bloomingdale's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355,000</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4,698,000</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2,286,000</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6,984,000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JCPenney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1,641,000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Dillard's(2)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Nordstrom(3)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267,000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Dick's Sporting Goods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304,000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Forever 21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Depot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Burlington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Costco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Sears(4)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Primark(5)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Neiman Marcus(6)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Von Maur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187,000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Walmart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 Curacao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Boscov's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BJ's Wholesale Club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Hudson Bay Company</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Saks Fifth Avenue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Mercado de los Cielos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L.L. Bean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Best Buy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66,000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 Moines Area Community College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Vacant Anchors(7)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472,000</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2,390,000</w:t>
            </w: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2,862,000</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9,993,000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12,956,000</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22,949,000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Anchors at Centers not owned by the Company(8):</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83,000</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Vacant Anchor(7)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18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9,993,000</w:t>
            </w:r>
          </w:p>
        </w:tc>
        <w:tc>
          <w:tcPr>
            <w:tcW w:w="1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13,118,000</w:t>
            </w:r>
          </w:p>
        </w:tc>
        <w:tc>
          <w:tcPr>
            <w:tcW w:w="1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0" w:lineRule="exact"/>
        <w:rPr>
          <w:sz w:val="20"/>
          <w:szCs w:val="20"/>
          <w:color w:val="auto"/>
        </w:rPr>
      </w:pPr>
    </w:p>
    <w:p>
      <w:pPr>
        <w:spacing w:after="0" w:line="201" w:lineRule="exact"/>
        <w:rPr>
          <w:sz w:val="20"/>
          <w:szCs w:val="20"/>
          <w:color w:val="auto"/>
        </w:rPr>
      </w:pPr>
    </w:p>
    <w:p>
      <w:pPr>
        <w:ind w:left="1220" w:right="20" w:hanging="564"/>
        <w:spacing w:after="0" w:line="280" w:lineRule="auto"/>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Macy’s announced plans to close their Macy’s store at Paradise Valley Mall and their Bloomingdale’s store at Santa Monica Place in 2021. The Company is actively seeking replacement tenants or evaluating redevelopment opportunities for these two locations.</w:t>
      </w:r>
    </w:p>
    <w:p>
      <w:pPr>
        <w:spacing w:after="0" w:line="97" w:lineRule="exact"/>
        <w:rPr>
          <w:rFonts w:ascii="Times New Roman" w:cs="Times New Roman" w:eastAsia="Times New Roman" w:hAnsi="Times New Roman"/>
          <w:sz w:val="16"/>
          <w:szCs w:val="16"/>
          <w:color w:val="auto"/>
        </w:rPr>
      </w:pPr>
    </w:p>
    <w:p>
      <w:pPr>
        <w:ind w:left="1220" w:right="420" w:hanging="564"/>
        <w:spacing w:after="0" w:line="280" w:lineRule="auto"/>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Dillard’s has announced plans to close their store at Paradise Valley Mall. The Company is actively evaluating redevelopment opportunities for this location.</w:t>
      </w:r>
    </w:p>
    <w:p>
      <w:pPr>
        <w:spacing w:after="0" w:line="83" w:lineRule="exact"/>
        <w:rPr>
          <w:rFonts w:ascii="Times New Roman" w:cs="Times New Roman" w:eastAsia="Times New Roman" w:hAnsi="Times New Roman"/>
          <w:sz w:val="16"/>
          <w:szCs w:val="16"/>
          <w:color w:val="auto"/>
        </w:rPr>
      </w:pPr>
    </w:p>
    <w:p>
      <w:pPr>
        <w:ind w:left="1220" w:hanging="564"/>
        <w:spacing w:after="0"/>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Nordstrom has announced plans to open a 116,000 square foot store at Country Club Plaza in 2023.</w:t>
      </w:r>
    </w:p>
    <w:p>
      <w:pPr>
        <w:spacing w:after="0" w:line="153" w:lineRule="exact"/>
        <w:rPr>
          <w:rFonts w:ascii="Times New Roman" w:cs="Times New Roman" w:eastAsia="Times New Roman" w:hAnsi="Times New Roman"/>
          <w:sz w:val="16"/>
          <w:szCs w:val="16"/>
          <w:color w:val="auto"/>
        </w:rPr>
      </w:pPr>
    </w:p>
    <w:p>
      <w:pPr>
        <w:ind w:left="1220" w:right="200" w:hanging="564"/>
        <w:spacing w:after="0" w:line="280" w:lineRule="auto"/>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Sears has announced plans to close their store at Green Acres Mall in April 2021. The Company is actively evaluating redevelopment opportunities for this location.</w:t>
      </w:r>
    </w:p>
    <w:p>
      <w:pPr>
        <w:spacing w:after="0" w:line="97" w:lineRule="exact"/>
        <w:rPr>
          <w:rFonts w:ascii="Times New Roman" w:cs="Times New Roman" w:eastAsia="Times New Roman" w:hAnsi="Times New Roman"/>
          <w:sz w:val="16"/>
          <w:szCs w:val="16"/>
          <w:color w:val="auto"/>
        </w:rPr>
      </w:pPr>
    </w:p>
    <w:p>
      <w:pPr>
        <w:ind w:left="1220" w:hanging="564"/>
        <w:spacing w:after="0"/>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Primark has announced plans to open a 47,000 square foot store at Fashion District Philadelphia in Fall 2021.</w:t>
      </w:r>
    </w:p>
    <w:p>
      <w:pPr>
        <w:spacing w:after="0" w:line="126" w:lineRule="exact"/>
        <w:rPr>
          <w:rFonts w:ascii="Times New Roman" w:cs="Times New Roman" w:eastAsia="Times New Roman" w:hAnsi="Times New Roman"/>
          <w:sz w:val="16"/>
          <w:szCs w:val="16"/>
          <w:color w:val="auto"/>
        </w:rPr>
      </w:pPr>
    </w:p>
    <w:p>
      <w:pPr>
        <w:ind w:left="1220" w:hanging="564"/>
        <w:spacing w:after="0"/>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Neiman Marcus closed their store at Broadway Plaza in January 2021. The joint venture is actively seeking a replacement tenant.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2" w:name="page13"/>
    <w:bookmarkEnd w:id="12"/>
    <w:p>
      <w:pPr>
        <w:ind w:left="1220" w:right="20" w:hanging="564"/>
        <w:spacing w:after="0" w:line="246" w:lineRule="auto"/>
        <w:tabs>
          <w:tab w:leader="none" w:pos="1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four of these vacant Anchors.</w:t>
      </w:r>
    </w:p>
    <w:p>
      <w:pPr>
        <w:spacing w:after="0" w:line="203" w:lineRule="exact"/>
        <w:rPr>
          <w:rFonts w:ascii="Times New Roman" w:cs="Times New Roman" w:eastAsia="Times New Roman" w:hAnsi="Times New Roman"/>
          <w:sz w:val="16"/>
          <w:szCs w:val="16"/>
          <w:color w:val="auto"/>
        </w:rPr>
      </w:pPr>
    </w:p>
    <w:p>
      <w:pPr>
        <w:ind w:left="1220" w:right="20" w:hanging="564"/>
        <w:spacing w:after="0" w:line="263" w:lineRule="auto"/>
        <w:tabs>
          <w:tab w:leader="none" w:pos="1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an office building and five stores located at shopping centers not owned by the Company. Of these five stores, one has been leased to Kohl's, one is vacant and three have been leased for non-Anchor usage.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4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and related laws and regulations.</w:t>
      </w:r>
    </w:p>
    <w:p>
      <w:pPr>
        <w:spacing w:after="0" w:line="11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See “Item 1A –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 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$133,900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$102,700 per occurrence minimum and a combined annual aggregate loss limit of $100 million on these Centers. While the Company or the relevant joint venture also carry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which has a $20 million ten-year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as a Real Estate Investment Trust</w:t>
      </w:r>
    </w:p>
    <w:p>
      <w:pPr>
        <w:spacing w:after="0" w:line="162"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4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approximately 670 employees, of which 659 were full-time and 11 were part-time. The Company believes that relations with its employees are good.</w:t>
      </w:r>
    </w:p>
    <w:p>
      <w:pPr>
        <w:spacing w:after="0" w:line="9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with oversight from senior management and its Board of Directors, puts great effort into cultivating an inclusive company culture that attracts top talent and creates an environment that fosters collaboration, innovation and diversity,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13" w:name="page14"/>
    <w:bookmarkEnd w:id="13"/>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The Company recognizes the value in strengthening its workforce with diverse thought, ideas and people and maintains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policies that comply with federal, state and local labor laws. As an equal opportunity employer, it is committed to diversity, recognition and inclusion and rewards its employees based on merit and their contributions in accordance with the principles and requirements of the Equal Employment Opportunities Commission and the principles and requirements of the Americans with Disabilities Act. The Company’s policies set forth its commitment to provide equal employment opportunity and to recruit, hire and promote at all levels without regard to race, national origin, religion, age, color, sex, sexual orientation, gender identity, disability, protected veteran status or any other characteristic protected by local, state or federal laws. As of December 31, 2020, approximately 58% and 26% of the Company’s employees were female and non-white, respectively.</w:t>
      </w:r>
    </w:p>
    <w:p>
      <w:pPr>
        <w:spacing w:after="0" w:line="10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2020, the Company launched the Diversity, Recognition, Enrichment, and Awareness at Macerich (DREAM) initiative. The DREAM initiative represents the Company’s diversity steering committee, channeling efforts into three focus areas: training and advocacy, communication, and education and programming.</w:t>
      </w:r>
    </w:p>
    <w:p>
      <w:pPr>
        <w:spacing w:after="0" w:line="106" w:lineRule="exact"/>
        <w:rPr>
          <w:sz w:val="20"/>
          <w:szCs w:val="20"/>
          <w:color w:val="auto"/>
        </w:rPr>
      </w:pPr>
    </w:p>
    <w:p>
      <w:pPr>
        <w:ind w:right="5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The Company maintains cash- and equity-based compensation programs designed to attract, retain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motivate its employees. The Company offers full-time employees a strong benefits package, including:</w:t>
      </w:r>
    </w:p>
    <w:p>
      <w:pPr>
        <w:spacing w:after="0" w:line="9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company-matched retirement savings through tax-advantaged 401(k) plans;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long-term disability insurance, as well as medical, dental and vision insurance;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illness coverage and supplemental accident insurance;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vacation, sick time and company observed holidays;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dependent care flexible spending accounts;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bonus awards;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legal, family or personal assistance through the employee assistance program;</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program;</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tax-advantaged 529 educational savings program;</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volunteer efforts;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employees to bond with a new child.</w:t>
      </w:r>
    </w:p>
    <w:p>
      <w:pPr>
        <w:spacing w:after="0" w:line="15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Training and Professional Development: </w:t>
      </w:r>
      <w:r>
        <w:rPr>
          <w:rFonts w:ascii="Times New Roman" w:cs="Times New Roman" w:eastAsia="Times New Roman" w:hAnsi="Times New Roman"/>
          <w:sz w:val="18"/>
          <w:szCs w:val="18"/>
          <w:color w:val="auto"/>
        </w:rPr>
        <w:t>The Company values the professional development of its employees and seeks to foster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talent and growth by providing training and education at all levels. In addition to training programs geared towards specific job functions, the Company offers training related to company policies, diversity, skill development, privacy and cybersecurity. In 2020, the Company launched its first-ever diversity, equity and inclusion (“DE&amp;I”) training module designed to broaden employee understanding of DE&amp;I and how embracing of diversity furthers organizational goals. The Company believes these training and development opportunities support workforce retention. The average tenure of the Company’s employees is approximately 13 years and that of the Company’s senior management is 21 years. In 2020, the Company’s workforce turnover rate was 13%, which includes all employees.</w:t>
      </w:r>
    </w:p>
    <w:p>
      <w:pPr>
        <w:spacing w:after="0" w:line="11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The Company is also committed to ensuring that the operations at all of its Centers and corporate offices are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manner that safeguards the health and safety of employees, tenants, contractors, customers and members of the public who are either present at, or affected by, its operations. This commitment became supremely important in 2020 as a result of the unique challenges posed by the COVID-19 pandemic. The Company continues to work with all stakeholders to mitigate the pandemic’s impact. The Company has developed and implemented a long list of operational protocols at each of its Centers and its offices that meet or exceed recommendations from the Centers for Disease Control and Prevention and are designed to ensure the safety of its employees, tenants, service providers and shoppers. 11 of the Company’s properties achieved SafeGuard certification from Bureau Veritas, an internationally recognized testing and certification board. This program is considered to be the gold standard audit for disinfection, cleaning and COVID-19 safety protocols, and the Company is proceeding with the same certification portfolio-wide in 2021. See “Item 7. Management’s Discussion And Analysis of Financial Condition And Results of Operations—Management’s Overview and Summary—Other Transactions and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62"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A recognized leader in sustainability, the Company has achieved the #1 Global Real Estate Sustainability Benchmark (GRESB) ranking in the North American Retail Sector for six straight years 2015 – 2020. Additional information about the Company’s Environmental, Social and Governance programs can be obtained from the Company's website at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i w:val="1"/>
          <w:iCs w:val="1"/>
          <w:u w:val="single" w:color="auto"/>
          <w:color w:val="auto"/>
        </w:rPr>
        <w:t>ww.macerich.com</w:t>
      </w:r>
      <w:r>
        <w:rPr>
          <w:rFonts w:ascii="Times New Roman" w:cs="Times New Roman" w:eastAsia="Times New Roman" w:hAnsi="Times New Roman"/>
          <w:sz w:val="18"/>
          <w:szCs w:val="18"/>
          <w:color w:val="auto"/>
        </w:rPr>
        <w:t>. Information provided on the Company's website is not incorporated by reference into this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Website Disclosure; Corporate Governance Documents</w:t>
      </w:r>
    </w:p>
    <w:p>
      <w:pPr>
        <w:spacing w:after="0" w:line="160" w:lineRule="exact"/>
        <w:rPr>
          <w:sz w:val="20"/>
          <w:szCs w:val="20"/>
          <w:color w:val="auto"/>
        </w:rPr>
      </w:pPr>
    </w:p>
    <w:p>
      <w:pPr>
        <w:jc w:val="both"/>
        <w:ind w:right="1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Company's corporate website address is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 xml:space="preserve">Information provided on the Company's website is not incorporated by reference into this Form 10-K. The following documents relating to Corporate Governance are available on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Governance":</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Guidelines on Corporate Governance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Code of Business Conduct and Ethics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Code of Ethics for CEO and Senior Financial Officers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Charter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Charter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Executive Committee Charter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Corporate Governance Committee Charter</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also request copies of any of these documents by writing 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401 Wilshire Blvd.,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37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Those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 section, Centers wholly owned by us are referred to as “Wholly Owned Centers” and Centers that are partly but not wholly owned by us are referred to as “Joint Venture Centers.”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PROPERTIES</w:t>
      </w:r>
    </w:p>
    <w:p>
      <w:pPr>
        <w:spacing w:after="0" w:line="20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outbreak of the novel coronavirus (“COVID-19”) has caused, and could continue to cause, disruptions in the U.S., regional and global economies and has impacted, and could continue to materially and adversely impact, the Company’s financial condition and results of operations and the financial condition and results of operations of its tenants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COVID-19 has caused, and could continue to cause, widespread disruptions to the United States and global economy and has contributed to significant volatility and negative pressure in financial markets. The global impact of the outbreak is continually evolving and, as additional cases of the virus are identified, many countries, including the United States, have reacted by instituting quarantines, restrictions on travel and/or mandatory closures of businesses. Certain states and cities, including where the Centers are located, have also reacted by encouraging the practice of social-distancing, restricting the size of gatherings and instituting quarantines, restrictions on travel, “stay-at-home” rules, restrictions on types of business that may continue to operate, and/or restrictions on the types of construction projects that may continue.</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15" w:name="page16"/>
    <w:bookmarkEnd w:id="15"/>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extent to which COVID-19 impacts the Company’s operations will depend on future developments, which are highly uncertain and cannot be predicted with confidence, including the scope, severity and duration of such pandemic, the actions taken to contain the pandemic or mitigate its impact, including the adoption and administration of available COVID-19 vaccines, as well as the effect of any relaxation of current restrictions, all of which could vary by geographic region in which our properties are located, and the direct and indirect economic effects of the pandemic and containment measures, among others. The rapid development and fluidity of this situation precludes any prediction as to the full adverse impact of COVID-19. Nevertheless, COVID-19 has, and may continue to, adversely affect our business, financial condition and results of operations, and it may also have the effect of heightening many of the risks described in this “Risk Factors” section, including:</w:t>
      </w:r>
    </w:p>
    <w:p>
      <w:pPr>
        <w:spacing w:after="0" w:line="121" w:lineRule="exact"/>
        <w:rPr>
          <w:sz w:val="20"/>
          <w:szCs w:val="20"/>
          <w:color w:val="auto"/>
        </w:rPr>
      </w:pPr>
    </w:p>
    <w:p>
      <w:pPr>
        <w:jc w:val="both"/>
        <w:ind w:left="980" w:right="5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of, or other operational issues at, one or more of our Centers resulting from government or tenant action, including continued delays in re-opening or subsequent closures of previously re-opened Centers, which has adversely affected, and is expected to continue to adversely effect, our operations and those of our tenants;</w:t>
      </w:r>
    </w:p>
    <w:p>
      <w:pPr>
        <w:spacing w:after="0" w:line="94"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impacting the businesses, financial condition and liquidity of our tenants, which has caused and could continue to cause, one or more of our tenants, including one or more of our Anchors, or one or more of our joint venture partners, to be unable to meet their obligations to us in full, or at all, to otherwise seek modifications of such obligations, including, in the case of our tenants, deferrals or reductions of rental payments, or to declare bankruptcy;</w:t>
      </w:r>
    </w:p>
    <w:p>
      <w:pPr>
        <w:spacing w:after="0" w:line="112"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levels of consumer spending and consumer confidence during the pandemic, as well as a decrease in traffic at our Centers once re-opened, which could affect the ability of the Centers to generate sufficient revenues to meet operating and other expenses in the short-term and accelerate a shift to online retail shopping, which, if sustained could result in prolonged decreases in revenue at the Centers even after the immediate impact of the pandemic is resolved;</w:t>
      </w:r>
    </w:p>
    <w:p>
      <w:pPr>
        <w:spacing w:after="0" w:line="112"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9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closure of Anchors at one or more of our properties, which could trigger co-tenancy lease clauses within one or more of our leases at such properties and lead to a decline in revenue and occupancy;</w:t>
      </w:r>
    </w:p>
    <w:p>
      <w:pPr>
        <w:spacing w:after="0" w:line="94"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or industry-initiated efforts, such as a rent freeze for tenants or a suspension of a landlord’s ability to enforce evictions, which may affect our ability to collect rent or enforce remedies for the failure to pay rent;</w:t>
      </w:r>
    </w:p>
    <w:p>
      <w:pPr>
        <w:spacing w:after="0" w:line="9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instability in the global financial markets or deteriorations in credit and financing conditions, which could make it difficult for us to access debt and equity capital on attractive terms, or at all, impact our ability to fund business activities, repay debt on a timely basis and renew, extend or replace our credit facility prior to its maturity date on July 6, 2021 at all or on terms that are favorable to us;</w:t>
      </w:r>
    </w:p>
    <w:p>
      <w:pPr>
        <w:spacing w:after="0" w:line="94"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materials or products or the inability of contractors to perform on a timely basis or at all, which could increase the costs of construction of new or existing projects and cause delays in completing ongoing or future construction, development or re-development projects;</w:t>
      </w:r>
    </w:p>
    <w:p>
      <w:pPr>
        <w:spacing w:after="0" w:line="108"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108"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we may further reduce our dividend and/or pay future dividends at least partially in our stock instead of in cash, in which case stockholders may be required to pay U.S. federal income taxes in excess of the cash dividends they receive;</w:t>
      </w:r>
    </w:p>
    <w:p>
      <w:pPr>
        <w:spacing w:after="0" w:line="80"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asset values at one or more of our properties encumbered by mortgage debt, which could inhibit our ability to successfully refinance one or more such properties, result in a default under the applicable mortgage debt agreement and potentially cause the acceleration of such indebtedness;</w:t>
      </w:r>
    </w:p>
    <w:p>
      <w:pPr>
        <w:spacing w:after="0" w:line="108"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business activity and demand for real estate transactions, which could adversely affect our ability or desire to make strategic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16" w:name="page17"/>
    <w:bookmarkEnd w:id="16"/>
    <w:p>
      <w:pPr>
        <w:ind w:left="980" w:right="3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the health of our personnel, particularly if a significant number of our executive management team or key employees are impacted, which could result in a deterioration in our ability to ensure business continuity during a disruption;</w:t>
      </w:r>
    </w:p>
    <w:p>
      <w:pPr>
        <w:spacing w:after="0" w:line="94"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whether government authorities will maintain the relaxation of current restrictions on businesses in the regions in which our properties are located, if such restrictions have been relaxed at all, and whether government authorities will impose (or suggest) requirements on landlords, such as us, to further enhance health and safety protocols, or whether we will voluntarily adopt any such requirements ourselves, which could result in increased operating costs and demands on our property management teams to ensure compliance with any such requirements; and</w:t>
      </w:r>
    </w:p>
    <w:p>
      <w:pPr>
        <w:spacing w:after="0" w:line="10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our facilities, management, tenants, support staff and professional advisors, which could hamper our ability to comply with regulatory obligations and prevent us from conducting our business as efficiently and effectively as we otherwise would.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primarily in shopping centers, which are subject to a number of significant risks that are beyond our control.</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some of which may be heightened as a result of the COVID-19 pandemic, as further discussed in the risk factor above, may decrease the income generated by the Centers, including:</w:t>
      </w:r>
    </w:p>
    <w:p>
      <w:pPr>
        <w:spacing w:after="0" w:line="11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economic climate;</w:t>
      </w:r>
    </w:p>
    <w:p>
      <w:pPr>
        <w:spacing w:after="0" w:line="157" w:lineRule="exact"/>
        <w:rPr>
          <w:rFonts w:ascii="Times New Roman" w:cs="Times New Roman" w:eastAsia="Times New Roman" w:hAnsi="Times New Roman"/>
          <w:sz w:val="18"/>
          <w:szCs w:val="18"/>
          <w:color w:val="auto"/>
        </w:rPr>
      </w:pPr>
    </w:p>
    <w:p>
      <w:pPr>
        <w:ind w:left="980" w:right="60" w:hanging="324"/>
        <w:spacing w:after="0" w:line="312" w:lineRule="auto"/>
        <w:tabs>
          <w:tab w:leader="none" w:pos="9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58" w:lineRule="exact"/>
        <w:rPr>
          <w:rFonts w:ascii="Times New Roman" w:cs="Times New Roman" w:eastAsia="Times New Roman" w:hAnsi="Times New Roman"/>
          <w:sz w:val="17"/>
          <w:szCs w:val="17"/>
          <w:color w:val="auto"/>
        </w:rPr>
      </w:pPr>
    </w:p>
    <w:p>
      <w:pPr>
        <w:ind w:left="980" w:right="5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94"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levels of consumer spending, consumer confidence, and seasonal spending (especially during the holiday season when many retailers generate a disproportionate amount of their annual sales);</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by customers of e-commerce and online store sites and the impact of internet sales on the demand for retail space;</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by retailers or shoppers of the safety, convenience and attractiveness of a Center;</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violence, including terrorist activities;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maintenance, insurance and operations (including real estate taxes).</w:t>
      </w:r>
    </w:p>
    <w:p>
      <w:pPr>
        <w:spacing w:after="0" w:line="144"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Income from shopping center properties and shopping center values are also affected by applicable laws and regulations, including tax, environmental, safety and zoning laws.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Centers are geographically concentrated and, as a result, are sensitive to local economic and real estate conditions.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significant percentage of our Centers are located in California and Arizona. Nine Centers in the aggregate are located in New York, New Jersey and Connecticut. To the extent that weak economic or real estate conditions or other factors affect California, Arizona, New York, New Jersey or Connecticut (or their respective regions) more severely than other areas of the country, our financial performance could be negatively impacted.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a competitive business.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Numerous owners, developers and managers of malls, shopping centers and other retail-oriented real estate compete with us for the acquisition of properties and in attracting tenants or Anchors to occupy space. There are a number of other publicly traded mall companies and several large private mall companies in the United States, any of which under certain circumstances could compete against us for an Anchor or a tenant. In addition, these companies, as well as other REITs, private real estate companies or investors compete with us in terms of property acquisitions. This results in competition both for the acquisition of properties or centers and for tenants or Anchors to occupy space. Competition for property acquisitions may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There is also increasing competition for tenants and shoppers from other retail formats and technologies, such as lifestyle centers, power centers, outlet centers, e-commerce, home shopping networks, catalogs, telemarketing and discount shopping clubs that could adversely affect our revenues. The increased popularity of digital and mobile technologies has accelerated the transition of a percentage of market share from shopping at physical stores to web-based shopping, and the ongoing COVID-19 pandemic and restrictions intended to prevent its spread have significantly increased the utilization of e-commerce and may, particularly in certain market segments, accelerate the sustained shift to online retail shopping. If we are unsuccessful in adapting our business to evolving consumer purchasing habits it may have a material adverse impact on our financial condition and results of operations. Further, the increased utilization of online retail shopping, if sustained, may lead to the closure of underperforming stores by retailers, which could impact our occupancy levels and the rates that tenants are willing to pay to lease our space.</w:t>
      </w:r>
    </w:p>
    <w:p>
      <w:pPr>
        <w:spacing w:after="0" w:line="10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lease vacant space or re-let space as leases expire on favorable terms or at all, which could adversely affect our financial condition and results of operations.</w:t>
      </w:r>
    </w:p>
    <w:p>
      <w:pPr>
        <w:spacing w:after="0" w:line="13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13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COVID-19, a number of companies in the retail industry, including some of our tenants, have declared bankruptcy, have gone out of business, have significantly reduced their brick-and-mortar presence or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1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acquisition, development and redevelopment strategies may not be successful.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1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achieve the anticipated financial and operating results from newly acquired assets. Some of the factors that could affect anticipated results are:</w:t>
      </w:r>
    </w:p>
    <w:p>
      <w:pPr>
        <w:spacing w:after="0" w:line="8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manage new properties, including increasing occupancy rates and rents at such properties;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non-core assets within an expected time frame;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long-term financing to implement a capital structure at a cost of capital consistent with our business strategy.</w:t>
      </w:r>
    </w:p>
    <w:p>
      <w:pPr>
        <w:spacing w:after="0" w:line="14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strategy also includes the selective development and construction of retail properties. On a selective basis, our business strategy may include mixed-use densification to maximize space at our Regional Shopping Centers, including by developing available land at our Regional Shopping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Additionally, if we elect to pursue a "mixed-use" redevelopment, we expose ourselves to risks associated with each non-retail use (e.g., office, residential, hotel and entertainment). If any of the above events occur, our ability to pay dividends to our stockholders and service our indebtedness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space at our properties could materially and adversely affect us.</w:t>
      </w:r>
    </w:p>
    <w:p>
      <w:pPr>
        <w:spacing w:after="0" w:line="18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Certain of our properties have had excess space available for prospective tenants, and those properties may continue to experience, and other properties may commence experiencing, such oversupply in the future. Among other causes, (1) there has been an increased number of bankruptcies of Anchors and other national retailers, as well as store closures, and (2) there has been lower demand from retail tenants for space, due to certain retailers increasing their use of e-commerce websites to distribute their merchandise. As a result of the increased bargaining power of creditworthy retail tenants, there is a downward pressure on our rental rates and occupancy levels, and this increased bargaining power may also result in us having to increase our spend on tenant improvements and potentially make other lease modifications in order to attract or retain tenants, any of which, in the aggregate, could materially and adversely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investments are relatively illiquid and we may be unable to sell properties at the time we desire and on favorable terms.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may be subject to impairment charges.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There can be no assurance that we will not take additional charges in the future related to the impairment of our assets. Any future impairment could have a material adverse effect on our operating results in the period in which the charge is recognized.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environmental liabilities could adversely affect us.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of the Centers have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1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10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properties are subject to potential natural or other disasters.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Some of our Centers are located in areas that are subject to natural disasters, including our Centers in California or in other areas with higher risk of earthquakes,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Uninsured losses could adversely affect our financial condition.</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0" w:name="page21"/>
    <w:bookmarkEnd w:id="20"/>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applicable, carry specific earthquake insurance on the Centers located in California, the policies are subject to a deductible equal to 5% of the total insured value of each Center, a $133,900 per occurrence minimum and a combined annual aggregate loss limit of $100 million on these Centers. We or the relevant joint venture, as applicable, carry specific earthquake insurance on the Centers located in the Pacific Northwest and in the New Madrid Seismic Zone.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However, the policies are subject to a deductible equal to 2% of the total insured value of each Center, a $102,700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121"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and fire, safety and other regulations may require us to make expenditures that adversely affect our cash flows.</w:t>
      </w:r>
    </w:p>
    <w:p>
      <w:pPr>
        <w:spacing w:after="0" w:line="1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of the properties in our portfolio are required to comply with the Americans with Disabilities Act (“ADA”). The ADA has separate compliance requirements for “public accommodations” and “commercial facilities,” but generally requires that buildings be made accessible to people with disabilities. Compliance with the ADA requirements could require removal of access barriers, and non-compliance could result in the imposition of fines by the United States government or an award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As a result, we could be required to expend funds to comply with the provisions of the ADA, which could adversely affect our financial condition and operating results.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The resulting expenditures and restrictions could have a material adverse effect on our ability to meet our financial obligations.</w:t>
      </w:r>
    </w:p>
    <w:p>
      <w:pPr>
        <w:spacing w:after="0" w:line="10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Possible terrorist activity or other acts or threats of violence and threats to public safety could adversely affect our financial condition and results of operations.</w:t>
      </w:r>
    </w:p>
    <w:p>
      <w:pPr>
        <w:spacing w:after="0" w:line="13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Terrorist attacks and threats of terrorist attacks in the United States or other acts or threats of violence may result in declining economic activity, which could harm the demand for goods and services offered by our tenants and the value of our properties and might adversely affect the value of an investment in our securities. Such a resulting decrease in retail demand could make it difficult for us to renew or re-lease our properties.</w:t>
      </w:r>
    </w:p>
    <w:p>
      <w:pPr>
        <w:spacing w:after="0" w:line="9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Terrorist activities or violence also could directly affect the value of our properties through damage, destruction or loss, and the availability of insurance for such acts, or of insurance generally, might be reduced or cost more, which could increase our operating expenses and adversely affect our financial condition and results of operations. To the extent that our tenants are affected by such attacks and threats of attacks, their businesses similarly could be adversely affected, including their ability to continue to meet obligations under their existing leases. These acts and threats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inflation increases in the future, we may experience any or all of the following:</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replacing or renewing expiring leases with new leases at higher rents;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1" w:name="page22"/>
    <w:bookmarkEnd w:id="21"/>
    <w:p>
      <w:pPr>
        <w:ind w:left="980" w:right="2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tenant sales as a result of decreased consumer spending which could adversely affect the ability of our tenants to meet their rent obligations and/or result in lower percentage rents; and</w:t>
      </w:r>
    </w:p>
    <w:p>
      <w:pPr>
        <w:spacing w:after="0" w:line="94"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receive reimbursement from our tenants for their share of certain operating expenses, including common area maintenance, real estate taxes and insurance.</w:t>
      </w:r>
    </w:p>
    <w:p>
      <w:pPr>
        <w:spacing w:after="0" w:line="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Inflation also poses a risk to us due to the possibility of future increases in interest rates. Such increases would adversely impact us due to our outstanding floating-rate debt as well as result in higher interest rates on new fixed-rate debt. 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 interest rate environment the fixed rates we can obtain with such replacement fixed-rate cap and swap agreements or the fixed-rate on new debt will also continue to increase.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debt that could affect our future operations.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total outstanding loan indebtedness at December 31, 2020 was $8.7 billion (consisting of $6.0 billion of consolidated debt, less $459.8 million attributable to noncontrolling interests, plus $3.1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We are also subject to the risks normally associated with debt financing, including the risk that our cash flow from operations will be insufficient to meet required debt service and that rising interest rates could adversely affect our debt service costs. In addition, our use of interest rate hedging arrangements may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 Furthermore, most of our Centers are mortgaged to secure payment of indebtedness, and if income from the Center is insufficient to pay that indebtedness, the Center could be foreclosed upon by the mortgagee resulting in a loss of income and a decline in our total asset value. Certain Centers also have debt that could become recourse debt to us if the Center is unable to discharge such debt obligation and, in certain circumstances, we may incur liability with respect to such debt greater than our legal ownership.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obligated to comply with financial and other covenants that could affect our operating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external financings for our growth and ongoing debt service requirements.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11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There are no assurances that we will continue to be able to obtain the financing we need for future growth or to meet our debt service as obligations mature, or that the financing will be available to us on acceptable terms, or at all. Any debt refinancing could also impose more restrictive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potential discontinuation of LIBOR.</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July 2017, the Financial Conduct Authority (the “FCA”) announced it intends to stop compelling banks to submit rates for the calculation of LIBOR after 2021. As a result, the Federal Reserve Board and the Federal Reserve Bank of New York organized the Alternative Reference Rates Committee which identified the Secured Overnight Financing Rate (“SOFR”) as its preferred alternative to USD-LIBOR. We are not able to predict when LIBOR will cease to be published or precisely how SOFR will be calculated and published.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2" w:name="page23"/>
    <w:bookmarkEnd w:id="22"/>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contracts that are indexed to LIBOR and are monitoring and evaluating the related risks, which include interest amounts on our variable rate debt, the variable rate debt of our joint ventures and the swap rate for our interest rate swaps. In the event that LIBOR is discontinued, the interest rates will be based on an alternative variable rate specified in the applicable documentation governing such debt or swaps or as otherwise agreed upon. Such an event would not affect our ability to borrow or maintain already outstanding borrowings or swaps, but the alternative variable rate could be higher and more volatile than LIBOR prior to its discontinuance.</w:t>
      </w:r>
    </w:p>
    <w:p>
      <w:pPr>
        <w:spacing w:after="0" w:line="11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Certain risks arise in connection with transitioning contracts to an alternative variable rate, including any resulting value transfer that may occur. The value of loans, securities, or derivative instruments tied to LIBOR could also be impacted if LIBOR is limited or discontinued. For some instruments, the method of transitioning to an alternative rate may be challenging, as they may require substantial negotiation with each respective counterparty.</w:t>
      </w:r>
    </w:p>
    <w:p>
      <w:pPr>
        <w:spacing w:after="0" w:line="9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If a contract is not transitioned to an alternative variable rate and LIBOR is discontinued, the impact is likely to vary by contract. If LIBOR is discontinued or if the method of calculating LIBOR changes from its current form, interest rates on our current or future indebtedness may be adversely affected.</w:t>
      </w:r>
    </w:p>
    <w:p>
      <w:pPr>
        <w:spacing w:after="0" w:line="10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While we expect LIBOR to be available in substantially its current form until the end of 2021, it is possible that LIBOR will become unavailable prior to that point. This could result, for example, if sufficient banks decline to make submissions to the LIBOR administrator. In that case, the risks associated with the transition to an alternative variable rate will be accelerated and magnified.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individuals have substantial influence over the management of both us and the Operating Partnership, which may create conflicts of interest.</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partners in Joint Venture Centers result in additional risks to our stockholders.</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own partial interests in property partnerships that own 23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may lose our management and other rights relating to the Joint Venture Centers if:</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contribute our share of additional capital needed by the property partnerships; or</w:t>
      </w:r>
    </w:p>
    <w:p>
      <w:pPr>
        <w:spacing w:after="0" w:line="15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under a partnership agreement for a property partnership or other agreements relating to the property partnerships or the Joint Venture Centers.</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the bankruptcy of one of the other investors in our Joint Venture Centers could materially and adversely affect the respective property or properties. Pursuant to the bankruptcy code, we could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other investors might result in our ultimate liability for a greater portion of those obligations than would otherwise be required.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23" w:name="page24"/>
    <w:bookmarkEnd w:id="23"/>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holding company structure makes us dependent on distributions from the Operating Partnership.</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ownership limit and certain of our Charter and bylaw provisions could inhibit a change of control or reduce the value of our common stock.</w:t>
      </w:r>
    </w:p>
    <w:p>
      <w:pPr>
        <w:spacing w:after="0" w:line="185"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The Ownership L</w:t>
      </w: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7"/>
          <w:szCs w:val="17"/>
          <w:i w:val="1"/>
          <w:iCs w:val="1"/>
          <w:color w:val="auto"/>
        </w:rPr>
        <w:t xml:space="preserve">mit. </w:t>
      </w:r>
      <w:r>
        <w:rPr>
          <w:rFonts w:ascii="Times New Roman" w:cs="Times New Roman" w:eastAsia="Times New Roman" w:hAnsi="Times New Roman"/>
          <w:sz w:val="17"/>
          <w:szCs w:val="17"/>
          <w:color w:val="auto"/>
        </w:rPr>
        <w:t>In order for us to maintain our qualification as a REIT, not more than 50% in value of our outstanding stock (after taking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105" w:lineRule="exact"/>
        <w:rPr>
          <w:sz w:val="20"/>
          <w:szCs w:val="20"/>
          <w:color w:val="auto"/>
        </w:rPr>
      </w:pPr>
    </w:p>
    <w:p>
      <w:pPr>
        <w:ind w:left="980" w:right="6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8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9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Selected Provisions of our Charter and bylaws. </w:t>
      </w:r>
      <w:r>
        <w:rPr>
          <w:rFonts w:ascii="Times New Roman" w:cs="Times New Roman" w:eastAsia="Times New Roman" w:hAnsi="Times New Roman"/>
          <w:sz w:val="18"/>
          <w:szCs w:val="18"/>
          <w:color w:val="auto"/>
        </w:rPr>
        <w:t>Some of the provisions of our Charter and bylaws may have the effect of delaying, deferring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10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directors and stockholder proposals to be considered at stockholder meetings;</w:t>
      </w:r>
    </w:p>
    <w:p>
      <w:pPr>
        <w:spacing w:after="0" w:line="15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directors to consider a variety of factors with respect to a proposed business combination or other change of control transaction;</w:t>
      </w:r>
    </w:p>
    <w:p>
      <w:pPr>
        <w:spacing w:after="0" w:line="94"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classify or reclassify unissued shares and cause the Company to issue shares of one or more classes or series of common stock or preferred stock;</w:t>
      </w:r>
    </w:p>
    <w:p>
      <w:pPr>
        <w:spacing w:after="0" w:line="8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create and cause the Company to issue rights entitling the holders thereof to purchase shares of stock or other securities from us;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amendment of our Charter, the change in control of us, and the liability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Maryland law could inhibit a change in control or reduce the value of our 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108" w:lineRule="exact"/>
        <w:rPr>
          <w:sz w:val="20"/>
          <w:szCs w:val="20"/>
          <w:color w:val="auto"/>
        </w:rPr>
      </w:pPr>
    </w:p>
    <w:p>
      <w:pPr>
        <w:ind w:left="980" w:right="20" w:hanging="324"/>
        <w:spacing w:after="0" w:line="25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106"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1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permitted by the MGCL, our Charter exempts from the “business combination” provisions any business combination between us and the principals and their respective affiliates and related persons.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consequences of the sale of some of the Centers and certain holdings of the principals may create conflicts of interest.</w:t>
      </w:r>
    </w:p>
    <w:p>
      <w:pPr>
        <w:spacing w:after="0" w:line="20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fail to qualify as a REIT, we would have reduced funds available for distributions to our stockholders.</w:t>
      </w:r>
    </w:p>
    <w:p>
      <w:pPr>
        <w:spacing w:after="0" w:line="20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0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addition, we currently hold certain of our properties through subsidiaries that have elected to be taxed as REITs and we may in the future determine that it is in our best interests to hold one or more of our other properties through one or more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right="220"/>
        <w:spacing w:after="0" w:line="282" w:lineRule="auto"/>
        <w:rPr>
          <w:sz w:val="20"/>
          <w:szCs w:val="20"/>
          <w:color w:val="auto"/>
        </w:rPr>
      </w:pPr>
      <w:r>
        <w:rPr>
          <w:rFonts w:ascii="Times New Roman" w:cs="Times New Roman" w:eastAsia="Times New Roman" w:hAnsi="Times New Roman"/>
          <w:sz w:val="18"/>
          <w:szCs w:val="18"/>
          <w:color w:val="auto"/>
        </w:rPr>
        <w:t>subsidiaries that elect to be taxed as REITs. If any of these subsidiaries fails to qualify as a REIT for U.S. federal income tax purposes, then we may also fail to qualify as a REIT for U.S. federal income tax purposes.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in any taxable year we were to fail to qualify as a REIT, we will suffer the following negative results:</w:t>
      </w:r>
    </w:p>
    <w:p>
      <w:pPr>
        <w:spacing w:after="0" w:line="144"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distributions to stockholders in computing our taxable income;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U.S. federal and state income tax on our taxable income at regular corporate rates.</w:t>
      </w:r>
    </w:p>
    <w:p>
      <w:pPr>
        <w:spacing w:after="0" w:line="15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10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might cause us to forego otherwise attractive opportunities.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1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borrow or take other measures to make distributions to our stockholders.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in connection with Section 1031 Exchanges.</w:t>
      </w:r>
    </w:p>
    <w:p>
      <w:pPr>
        <w:spacing w:after="0" w:line="18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Partnership fails to maintain its status as a partnership for tax purposes, we would face adverse tax consequences.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could adversely affect our stockholders.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 Any such changes could have an adverse effect on an investment in our stock or on the market value or the resale potential of our properties.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attract and retain talented employees, and the loss of any one of our key personnel could adversely impact our business.</w:t>
      </w:r>
    </w:p>
    <w:p>
      <w:pPr>
        <w:spacing w:after="0" w:line="11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1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face risks associated with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properly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w:t>
      </w:r>
    </w:p>
    <w:p>
      <w:pPr>
        <w:spacing w:after="0" w:line="12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7" w:name="page28"/>
    <w:bookmarkEnd w:id="2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Centers and other locations that are wholly owned or partly owned by the Company as of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Mall and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140" w:type="dxa"/>
            <w:vAlign w:val="bottom"/>
            <w:gridSpan w:val="2"/>
            <w:vMerge w:val="continue"/>
          </w:tcPr>
          <w:p>
            <w:pPr>
              <w:spacing w:after="0"/>
              <w:rPr>
                <w:sz w:val="9"/>
                <w:szCs w:val="9"/>
                <w:color w:val="auto"/>
              </w:rPr>
            </w:pPr>
          </w:p>
        </w:tc>
        <w:tc>
          <w:tcPr>
            <w:tcW w:w="106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of Mall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Non-Owned</w:t>
            </w:r>
          </w:p>
        </w:tc>
        <w:tc>
          <w:tcPr>
            <w:tcW w:w="120" w:type="dxa"/>
            <w:vAlign w:val="bottom"/>
          </w:tcPr>
          <w:p>
            <w:pPr>
              <w:spacing w:after="0"/>
              <w:rPr>
                <w:sz w:val="9"/>
                <w:szCs w:val="9"/>
                <w:color w:val="auto"/>
              </w:rPr>
            </w:pPr>
          </w:p>
        </w:tc>
        <w:tc>
          <w:tcPr>
            <w:tcW w:w="1380" w:type="dxa"/>
            <w:vAlign w:val="bottom"/>
            <w:vMerge w:val="restart"/>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7"/>
              </w:rPr>
              <w:t>Company-Owned Anchors</w:t>
            </w:r>
          </w:p>
        </w:tc>
        <w:tc>
          <w:tcPr>
            <w:tcW w:w="0" w:type="dxa"/>
            <w:vAlign w:val="bottom"/>
          </w:tcPr>
          <w:p>
            <w:pPr>
              <w:spacing w:after="0"/>
              <w:rPr>
                <w:sz w:val="1"/>
                <w:szCs w:val="1"/>
                <w:color w:val="auto"/>
              </w:rPr>
            </w:pPr>
          </w:p>
        </w:tc>
      </w:tr>
      <w:tr>
        <w:trPr>
          <w:trHeight w:val="108"/>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Construction/</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1000" w:type="dxa"/>
            <w:vAlign w:val="bottom"/>
            <w:gridSpan w:val="2"/>
            <w:vMerge w:val="continue"/>
          </w:tcPr>
          <w:p>
            <w:pPr>
              <w:spacing w:after="0"/>
              <w:rPr>
                <w:sz w:val="9"/>
                <w:szCs w:val="9"/>
                <w:color w:val="auto"/>
              </w:rPr>
            </w:pPr>
          </w:p>
        </w:tc>
        <w:tc>
          <w:tcPr>
            <w:tcW w:w="11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80" w:type="dxa"/>
            <w:vAlign w:val="bottom"/>
            <w:vMerge w:val="continue"/>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Renovation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GLA(3)</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GLA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41"/>
        </w:trPr>
        <w:tc>
          <w:tcPr>
            <w:tcW w:w="4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0" w:type="dxa"/>
            <w:vAlign w:val="bottom"/>
            <w:shd w:val="clear" w:color="auto" w:fill="CCEEFF"/>
          </w:tcPr>
          <w:p>
            <w:pPr>
              <w:spacing w:after="0"/>
              <w:rPr>
                <w:sz w:val="15"/>
                <w:szCs w:val="15"/>
                <w:color w:val="auto"/>
              </w:rPr>
            </w:pPr>
          </w:p>
        </w:tc>
        <w:tc>
          <w:tcPr>
            <w:tcW w:w="26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CONSOLIDATED CENTERS: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w:t>
            </w:r>
          </w:p>
        </w:tc>
        <w:tc>
          <w:tcPr>
            <w:tcW w:w="1000" w:type="dxa"/>
            <w:vAlign w:val="bottom"/>
          </w:tcPr>
          <w:p>
            <w:pPr>
              <w:jc w:val="center"/>
              <w:ind w:left="58"/>
              <w:spacing w:after="0" w:line="122" w:lineRule="exact"/>
              <w:rPr>
                <w:sz w:val="20"/>
                <w:szCs w:val="20"/>
                <w:color w:val="auto"/>
              </w:rPr>
            </w:pPr>
            <w:r>
              <w:rPr>
                <w:rFonts w:ascii="Times New Roman" w:cs="Times New Roman" w:eastAsia="Times New Roman" w:hAnsi="Times New Roman"/>
                <w:sz w:val="13"/>
                <w:szCs w:val="13"/>
                <w:color w:val="auto"/>
                <w:w w:val="95"/>
              </w:rPr>
              <w:t>50.1%</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Chandler Fashion</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2001/2002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1,318,000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633,000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92.6 %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Dillard's, Macy's</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Center(4)</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Chandler, Arizona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2</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Danbury Fair Mall(4)</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1986/2005</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1,226,000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543,000</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93.5 %</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Danbury, Connecticut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rPr>
              <w:t>Primark</w:t>
            </w: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3</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Desert Sky Mall</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1981/2002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2007</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720,000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254,000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96.5 %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Burlington,</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La Curacao, Mercado</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Phoenix, Arizona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Dillard's</w:t>
            </w: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8"/>
              </w:rPr>
              <w:t>de los Cielos</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7"/>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Eastland Mall(4)(5)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1978/1998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Dillard's, Macy's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248"/>
        </w:trPr>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Evansville, Indiana</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Fashion Outlets of Chicago</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2013/—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538,000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538,000</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92.7 %</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Rosemont, Illinois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6</w:t>
            </w:r>
          </w:p>
        </w:tc>
        <w:tc>
          <w:tcPr>
            <w:tcW w:w="1000" w:type="dxa"/>
            <w:vAlign w:val="bottom"/>
            <w:shd w:val="clear" w:color="auto" w:fill="CCEEFF"/>
          </w:tcPr>
          <w:p>
            <w:pPr>
              <w:jc w:val="center"/>
              <w:ind w:left="38"/>
              <w:spacing w:after="0" w:line="129"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Fashion Outlets of Niagara</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1982/2011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689,000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689,000</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85.6 %</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Falls USA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Niagara Falls, New York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7</w:t>
            </w:r>
          </w:p>
        </w:tc>
        <w:tc>
          <w:tcPr>
            <w:tcW w:w="1000" w:type="dxa"/>
            <w:vAlign w:val="bottom"/>
          </w:tcPr>
          <w:p>
            <w:pPr>
              <w:jc w:val="center"/>
              <w:ind w:left="58"/>
              <w:spacing w:after="0" w:line="122" w:lineRule="exact"/>
              <w:rPr>
                <w:sz w:val="20"/>
                <w:szCs w:val="20"/>
                <w:color w:val="auto"/>
              </w:rPr>
            </w:pPr>
            <w:r>
              <w:rPr>
                <w:rFonts w:ascii="Times New Roman" w:cs="Times New Roman" w:eastAsia="Times New Roman" w:hAnsi="Times New Roman"/>
                <w:sz w:val="13"/>
                <w:szCs w:val="13"/>
                <w:color w:val="auto"/>
                <w:w w:val="95"/>
              </w:rPr>
              <w:t>50.1%</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Freehold Raceway Mall(4)</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1990/2005</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2007</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1,552,000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775,000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89.2 %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rPr>
              <w:t>Primark</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Freehold, New Jersey</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8</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Fresno Fashion Fair</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1970/1996</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2006</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990,000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429,000</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90.2 %</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6"/>
              </w:rPr>
              <w:t>Forever 21, JCPenney,</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Fresno, California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1"/>
              </w:rPr>
              <w:t>Macy's</w:t>
            </w: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 Acres Mall(4)(5)</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1956/2013</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2,069,000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881,000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89.8 %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BJ's Wholesale Club,</w:t>
            </w: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Valley Stream, New York</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Macy's (two), Sears(6),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2"/>
              </w:rPr>
              <w:t>Walmart</w:t>
            </w:r>
          </w:p>
        </w:tc>
        <w:tc>
          <w:tcPr>
            <w:tcW w:w="0" w:type="dxa"/>
            <w:vAlign w:val="bottom"/>
          </w:tcPr>
          <w:p>
            <w:pPr>
              <w:spacing w:after="0"/>
              <w:rPr>
                <w:sz w:val="1"/>
                <w:szCs w:val="1"/>
                <w:color w:val="auto"/>
              </w:rPr>
            </w:pPr>
          </w:p>
        </w:tc>
      </w:tr>
      <w:tr>
        <w:trPr>
          <w:trHeight w:val="470"/>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Inland Center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1966/2004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5"/>
              </w:rPr>
              <w:t>Forever 21, JCPenney</w:t>
            </w:r>
          </w:p>
        </w:tc>
        <w:tc>
          <w:tcPr>
            <w:tcW w:w="0" w:type="dxa"/>
            <w:vAlign w:val="bottom"/>
          </w:tcPr>
          <w:p>
            <w:pPr>
              <w:spacing w:after="0"/>
              <w:rPr>
                <w:sz w:val="1"/>
                <w:szCs w:val="1"/>
                <w:color w:val="auto"/>
              </w:rPr>
            </w:pPr>
          </w:p>
        </w:tc>
      </w:tr>
      <w:tr>
        <w:trPr>
          <w:trHeight w:val="376"/>
        </w:trPr>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Bernardino, California</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11</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 Plaza Shopping</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1971/2012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1,137,000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445,000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96.1 %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Burlington, Lowe's,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Center(4)(5)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rPr>
              <w:t>Primark</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Brooklyn, New York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Cumbre Plaza(4)(5)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1967/2004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6"/>
        </w:trPr>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Barbara, California</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13</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NorthPark Mall(4)</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1973/1998</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2001</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929,000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394,000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88.2 %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Dillard's,</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Davenport, Iowa</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3"/>
              </w:rPr>
              <w:t>JCPenney, Von</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Maur</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14</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Oaks, The</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1978/2002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2009</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1,205,000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603,000</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88.2 %</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Thousand Oaks, California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Macy's (two)</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5"/>
              </w:rPr>
              <w:t>Nordstrom</w:t>
            </w: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15</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Pacific View</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1965/1996</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2001</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886,000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401,000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82.1 %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1"/>
              </w:rPr>
              <w:t>Macy's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Ventura, California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Target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Queens Center(5)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1973/1995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JCPenney,</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Queens, New York</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17</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 Monica Place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1980/1999</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527,000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304,000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90.6 %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8"/>
              </w:rPr>
              <w:t>Bloomingdale's(7),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Santa Monica, California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5"/>
              </w:rPr>
              <w:t>Nordstrom</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18</w:t>
            </w:r>
          </w:p>
        </w:tc>
        <w:tc>
          <w:tcPr>
            <w:tcW w:w="1000" w:type="dxa"/>
            <w:vAlign w:val="bottom"/>
            <w:shd w:val="clear" w:color="auto" w:fill="CCEEFF"/>
          </w:tcPr>
          <w:p>
            <w:pPr>
              <w:jc w:val="center"/>
              <w:ind w:left="58"/>
              <w:spacing w:after="0" w:line="122" w:lineRule="exact"/>
              <w:rPr>
                <w:sz w:val="20"/>
                <w:szCs w:val="20"/>
                <w:color w:val="auto"/>
              </w:rPr>
            </w:pPr>
            <w:r>
              <w:rPr>
                <w:rFonts w:ascii="Times New Roman" w:cs="Times New Roman" w:eastAsia="Times New Roman" w:hAnsi="Times New Roman"/>
                <w:sz w:val="13"/>
                <w:szCs w:val="13"/>
                <w:color w:val="auto"/>
                <w:w w:val="95"/>
              </w:rPr>
              <w:t>84.9%</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SanTan Village Regional</w:t>
            </w:r>
          </w:p>
        </w:tc>
        <w:tc>
          <w:tcPr>
            <w:tcW w:w="10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2007/—</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2018</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1,151,000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744,000</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92.5 %</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Dillard's, Macy's</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6"/>
              </w:rPr>
              <w:t>Dick's Sporting Goods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Gilbert, Arizona</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19</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SouthPark Mall(4)</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1974/1998</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860,000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293,000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69.2 %</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Dillard's, Von</w:t>
            </w:r>
          </w:p>
        </w:tc>
        <w:tc>
          <w:tcPr>
            <w:tcW w:w="120" w:type="dxa"/>
            <w:vAlign w:val="bottom"/>
          </w:tcPr>
          <w:p>
            <w:pPr>
              <w:spacing w:after="0"/>
              <w:rPr>
                <w:sz w:val="10"/>
                <w:szCs w:val="10"/>
                <w:color w:val="auto"/>
              </w:rPr>
            </w:pPr>
          </w:p>
        </w:tc>
        <w:tc>
          <w:tcPr>
            <w:tcW w:w="13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Moline, Illinois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Maur</w:t>
            </w:r>
          </w:p>
        </w:tc>
        <w:tc>
          <w:tcPr>
            <w:tcW w:w="12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833" w:right="499" w:bottom="1440" w:gutter="0" w:footer="0" w:header="0"/>
        </w:sectPr>
      </w:pP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33" w:right="49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Mall and</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20" w:type="dxa"/>
            <w:vAlign w:val="bottom"/>
            <w:vMerge w:val="restart"/>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Non-Owned</w:t>
            </w:r>
          </w:p>
        </w:tc>
        <w:tc>
          <w:tcPr>
            <w:tcW w:w="136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Company-Owned</w:t>
            </w:r>
          </w:p>
        </w:tc>
        <w:tc>
          <w:tcPr>
            <w:tcW w:w="0" w:type="dxa"/>
            <w:vAlign w:val="bottom"/>
          </w:tcPr>
          <w:p>
            <w:pPr>
              <w:spacing w:after="0"/>
              <w:rPr>
                <w:sz w:val="1"/>
                <w:szCs w:val="1"/>
                <w:color w:val="auto"/>
              </w:rPr>
            </w:pPr>
          </w:p>
        </w:tc>
      </w:tr>
      <w:tr>
        <w:trPr>
          <w:trHeight w:val="108"/>
        </w:trPr>
        <w:tc>
          <w:tcPr>
            <w:tcW w:w="48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Construction/</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80" w:type="dxa"/>
            <w:vAlign w:val="bottom"/>
            <w:vMerge w:val="continue"/>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Renovation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GLA(3)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GLA</w:t>
            </w: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GLA Leased</w:t>
            </w: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0" w:type="dxa"/>
            <w:vAlign w:val="bottom"/>
          </w:tcPr>
          <w:p>
            <w:pPr>
              <w:spacing w:after="0"/>
              <w:rPr>
                <w:sz w:val="1"/>
                <w:szCs w:val="1"/>
                <w:color w:val="auto"/>
              </w:rPr>
            </w:pPr>
          </w:p>
        </w:tc>
      </w:tr>
      <w:tr>
        <w:trPr>
          <w:trHeight w:val="41"/>
        </w:trPr>
        <w:tc>
          <w:tcPr>
            <w:tcW w:w="4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480" w:type="dxa"/>
            <w:vAlign w:val="bottom"/>
            <w:shd w:val="clear" w:color="auto" w:fill="CCEEFF"/>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Stonewood Center(5)</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1953/1997</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1991</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932,000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358,000</w:t>
            </w:r>
          </w:p>
        </w:tc>
        <w:tc>
          <w:tcPr>
            <w:tcW w:w="10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86.0 %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6"/>
              </w:rPr>
              <w:t>JCPenney, Kohl's,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Downey, California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Macy's, Sears</w:t>
            </w:r>
          </w:p>
        </w:tc>
        <w:tc>
          <w:tcPr>
            <w:tcW w:w="0" w:type="dxa"/>
            <w:vAlign w:val="bottom"/>
          </w:tcPr>
          <w:p>
            <w:pPr>
              <w:spacing w:after="0"/>
              <w:rPr>
                <w:sz w:val="1"/>
                <w:szCs w:val="1"/>
                <w:color w:val="auto"/>
              </w:rPr>
            </w:pPr>
          </w:p>
        </w:tc>
      </w:tr>
      <w:tr>
        <w:trPr>
          <w:trHeight w:val="126"/>
        </w:trPr>
        <w:tc>
          <w:tcPr>
            <w:tcW w:w="4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gridSpan w:val="2"/>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Superstition Springs</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1990/2002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2002</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917,000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385,000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90.2 %</w:t>
            </w:r>
          </w:p>
        </w:tc>
        <w:tc>
          <w:tcPr>
            <w:tcW w:w="100" w:type="dxa"/>
            <w:vAlign w:val="bottom"/>
          </w:tcPr>
          <w:p>
            <w:pPr>
              <w:spacing w:after="0"/>
              <w:rPr>
                <w:sz w:val="10"/>
                <w:szCs w:val="10"/>
                <w:color w:val="auto"/>
              </w:rPr>
            </w:pPr>
          </w:p>
        </w:tc>
        <w:tc>
          <w:tcPr>
            <w:tcW w:w="102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3"/>
                <w:szCs w:val="13"/>
                <w:color w:val="auto"/>
                <w:w w:val="96"/>
              </w:rPr>
              <w:t>Dillard's,</w:t>
            </w: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Center(4)</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Mesa, Arizona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Towne Mall(4)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1985/2005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6"/>
              </w:rPr>
              <w:t>Belk, JCPenney</w:t>
            </w:r>
          </w:p>
        </w:tc>
        <w:tc>
          <w:tcPr>
            <w:tcW w:w="0" w:type="dxa"/>
            <w:vAlign w:val="bottom"/>
          </w:tcPr>
          <w:p>
            <w:pPr>
              <w:spacing w:after="0"/>
              <w:rPr>
                <w:sz w:val="1"/>
                <w:szCs w:val="1"/>
                <w:color w:val="auto"/>
              </w:rPr>
            </w:pPr>
          </w:p>
        </w:tc>
      </w:tr>
      <w:tr>
        <w:trPr>
          <w:trHeight w:val="211"/>
        </w:trPr>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Elizabethtown, Kentucky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23</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Tucson La Encantada</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2002/2002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92.8 %</w:t>
            </w: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Tucson, Arizona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80" w:type="dxa"/>
            <w:vAlign w:val="bottom"/>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000" w:type="dxa"/>
            <w:vAlign w:val="bottom"/>
            <w:shd w:val="clear" w:color="auto" w:fill="CCEEFF"/>
          </w:tcPr>
          <w:p>
            <w:pPr>
              <w:jc w:val="center"/>
              <w:ind w:left="38"/>
              <w:spacing w:after="0" w:line="129"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Valley Mall</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1978/1998</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505,000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190,000</w:t>
            </w:r>
          </w:p>
        </w:tc>
        <w:tc>
          <w:tcPr>
            <w:tcW w:w="10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77.8 %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4"/>
              </w:rPr>
              <w:t>Target</w:t>
            </w:r>
          </w:p>
        </w:tc>
        <w:tc>
          <w:tcPr>
            <w:tcW w:w="1360" w:type="dxa"/>
            <w:vAlign w:val="bottom"/>
            <w:shd w:val="clear" w:color="auto" w:fill="CCEEFF"/>
          </w:tcPr>
          <w:p>
            <w:pPr>
              <w:jc w:val="center"/>
              <w:ind w:right="57"/>
              <w:spacing w:after="0" w:line="129" w:lineRule="exact"/>
              <w:rPr>
                <w:sz w:val="20"/>
                <w:szCs w:val="20"/>
                <w:color w:val="auto"/>
              </w:rPr>
            </w:pPr>
            <w:r>
              <w:rPr>
                <w:rFonts w:ascii="Times New Roman" w:cs="Times New Roman" w:eastAsia="Times New Roman" w:hAnsi="Times New Roman"/>
                <w:sz w:val="13"/>
                <w:szCs w:val="13"/>
                <w:color w:val="auto"/>
                <w:w w:val="96"/>
              </w:rPr>
              <w:t>Belk, Dick's Sporting</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Harrisonburg, Virginia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Goods, JCPenney</w:t>
            </w: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25</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Valley River Center</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1969/2006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93.6 %</w:t>
            </w: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319"/>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Eugene, Oregon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Victor Valley, Mall of(4)</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1986/2004</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2012</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580,000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257,000</w:t>
            </w:r>
          </w:p>
        </w:tc>
        <w:tc>
          <w:tcPr>
            <w:tcW w:w="10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94.1 %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Dick's Sporting Goods,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234"/>
        </w:trPr>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Victorville, California</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27</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Vintage Faire Mall</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1977/1996</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2008</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914,000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470,000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90.3 %</w:t>
            </w: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Dick's Sporting Goods,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Modesto, California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JCPenney, Macy's</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Wilton Mall(4)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1990/2005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9"/>
              </w:rPr>
              <w:t>JCPenney</w:t>
            </w:r>
          </w:p>
        </w:tc>
        <w:tc>
          <w:tcPr>
            <w:tcW w:w="13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6"/>
              </w:rPr>
              <w:t>Dick's Sporting Goods</w:t>
            </w:r>
          </w:p>
        </w:tc>
        <w:tc>
          <w:tcPr>
            <w:tcW w:w="0" w:type="dxa"/>
            <w:vAlign w:val="bottom"/>
          </w:tcPr>
          <w:p>
            <w:pPr>
              <w:spacing w:after="0"/>
              <w:rPr>
                <w:sz w:val="1"/>
                <w:szCs w:val="1"/>
                <w:color w:val="auto"/>
              </w:rPr>
            </w:pPr>
          </w:p>
        </w:tc>
      </w:tr>
      <w:tr>
        <w:trPr>
          <w:trHeight w:val="173"/>
        </w:trPr>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Saratoga Springs, New</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York</w:t>
            </w: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99"/>
              </w:rPr>
              <w:t>Total Consolidated Centers</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24,867,000</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12,229,000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 w:type="dxa"/>
            <w:vAlign w:val="bottom"/>
            <w:shd w:val="clear" w:color="auto" w:fill="CCEEFF"/>
          </w:tcPr>
          <w:p>
            <w:pPr>
              <w:spacing w:after="0"/>
              <w:rPr>
                <w:sz w:val="14"/>
                <w:szCs w:val="14"/>
                <w:color w:val="auto"/>
              </w:rPr>
            </w:pPr>
          </w:p>
        </w:tc>
        <w:tc>
          <w:tcPr>
            <w:tcW w:w="36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UNCONSOLIDATED JOINT VENTURE CENTERS: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Arrowhead Towne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1993/2002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1,076,000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389,000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95.8 %</w:t>
            </w:r>
          </w:p>
        </w:tc>
        <w:tc>
          <w:tcPr>
            <w:tcW w:w="100" w:type="dxa"/>
            <w:vAlign w:val="bottom"/>
          </w:tcPr>
          <w:p>
            <w:pPr>
              <w:spacing w:after="0"/>
              <w:rPr>
                <w:sz w:val="10"/>
                <w:szCs w:val="10"/>
                <w:color w:val="auto"/>
              </w:rPr>
            </w:pPr>
          </w:p>
        </w:tc>
        <w:tc>
          <w:tcPr>
            <w:tcW w:w="102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3"/>
                <w:szCs w:val="13"/>
                <w:color w:val="auto"/>
                <w:w w:val="96"/>
              </w:rPr>
              <w:t>Dillard's,</w:t>
            </w:r>
          </w:p>
        </w:tc>
        <w:tc>
          <w:tcPr>
            <w:tcW w:w="13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Dick's Sporting Goods</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Center(4)</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Glendale, Arizona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30</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Biltmore Fashion Park</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1963/2003</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597,000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292,000</w:t>
            </w:r>
          </w:p>
        </w:tc>
        <w:tc>
          <w:tcPr>
            <w:tcW w:w="10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86.6 %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7"/>
              </w:rPr>
              <w:t>Macy's, Saks Fifth</w:t>
            </w: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Arizona</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3"/>
              </w:rPr>
              <w:t>Avenue</w:t>
            </w:r>
          </w:p>
        </w:tc>
        <w:tc>
          <w:tcPr>
            <w:tcW w:w="0" w:type="dxa"/>
            <w:vAlign w:val="bottom"/>
          </w:tcPr>
          <w:p>
            <w:pPr>
              <w:spacing w:after="0"/>
              <w:rPr>
                <w:sz w:val="1"/>
                <w:szCs w:val="1"/>
                <w:color w:val="auto"/>
              </w:rPr>
            </w:pPr>
          </w:p>
        </w:tc>
      </w:tr>
      <w:tr>
        <w:trPr>
          <w:trHeight w:val="196"/>
        </w:trPr>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vMerge w:val="continue"/>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Broadway Plaza</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1951/1985</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920,000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375,000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92.0 %</w:t>
            </w: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Neiman Marcus(8),</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Walnut Creek, California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Nordstrom</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0" w:type="dxa"/>
            <w:vAlign w:val="bottom"/>
            <w:shd w:val="clear" w:color="auto" w:fill="CCEEFF"/>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1000" w:type="dxa"/>
            <w:vAlign w:val="bottom"/>
            <w:shd w:val="clear" w:color="auto" w:fill="CCEEFF"/>
          </w:tcPr>
          <w:p>
            <w:pPr>
              <w:jc w:val="center"/>
              <w:ind w:left="58"/>
              <w:spacing w:after="0" w:line="122" w:lineRule="exact"/>
              <w:rPr>
                <w:sz w:val="20"/>
                <w:szCs w:val="20"/>
                <w:color w:val="auto"/>
              </w:rPr>
            </w:pPr>
            <w:r>
              <w:rPr>
                <w:rFonts w:ascii="Times New Roman" w:cs="Times New Roman" w:eastAsia="Times New Roman" w:hAnsi="Times New Roman"/>
                <w:sz w:val="13"/>
                <w:szCs w:val="13"/>
                <w:color w:val="auto"/>
                <w:w w:val="95"/>
              </w:rPr>
              <w:t>50.1%</w:t>
            </w: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Corte Madera, The Village</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1985/1998</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263,000</w:t>
            </w:r>
          </w:p>
        </w:tc>
        <w:tc>
          <w:tcPr>
            <w:tcW w:w="10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97.1 %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9"/>
              </w:rPr>
              <w:t>Macy's,</w:t>
            </w:r>
          </w:p>
        </w:tc>
        <w:tc>
          <w:tcPr>
            <w:tcW w:w="136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9"/>
              </w:rPr>
              <w:t>Nordstrom</w:t>
            </w: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Corte Madera, California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33</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Country Club Plaza(9)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1922/2016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947,000</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Kansas City, Missouri</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80" w:type="dxa"/>
            <w:vAlign w:val="bottom"/>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34</w:t>
            </w:r>
          </w:p>
        </w:tc>
        <w:tc>
          <w:tcPr>
            <w:tcW w:w="1000" w:type="dxa"/>
            <w:vAlign w:val="bottom"/>
            <w:shd w:val="clear" w:color="auto" w:fill="CCEEFF"/>
          </w:tcPr>
          <w:p>
            <w:pPr>
              <w:jc w:val="center"/>
              <w:ind w:left="38"/>
              <w:spacing w:after="0" w:line="129" w:lineRule="exact"/>
              <w:rPr>
                <w:sz w:val="20"/>
                <w:szCs w:val="20"/>
                <w:color w:val="auto"/>
              </w:rPr>
            </w:pPr>
            <w:r>
              <w:rPr>
                <w:rFonts w:ascii="Times New Roman" w:cs="Times New Roman" w:eastAsia="Times New Roman" w:hAnsi="Times New Roman"/>
                <w:sz w:val="13"/>
                <w:szCs w:val="13"/>
                <w:color w:val="auto"/>
                <w:w w:val="92"/>
              </w:rPr>
              <w:t>51%</w:t>
            </w: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Deptford Mall</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1975/2006</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950,000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378,000</w:t>
            </w:r>
          </w:p>
        </w:tc>
        <w:tc>
          <w:tcPr>
            <w:tcW w:w="10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86.4 %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4"/>
              </w:rPr>
              <w:t>JCPenney,</w:t>
            </w:r>
          </w:p>
        </w:tc>
        <w:tc>
          <w:tcPr>
            <w:tcW w:w="1360" w:type="dxa"/>
            <w:vAlign w:val="bottom"/>
            <w:shd w:val="clear" w:color="auto" w:fill="CCEEFF"/>
          </w:tcPr>
          <w:p>
            <w:pPr>
              <w:jc w:val="center"/>
              <w:ind w:right="57"/>
              <w:spacing w:after="0" w:line="129" w:lineRule="exact"/>
              <w:rPr>
                <w:sz w:val="20"/>
                <w:szCs w:val="20"/>
                <w:color w:val="auto"/>
              </w:rPr>
            </w:pPr>
            <w:r>
              <w:rPr>
                <w:rFonts w:ascii="Times New Roman" w:cs="Times New Roman" w:eastAsia="Times New Roman" w:hAnsi="Times New Roman"/>
                <w:sz w:val="13"/>
                <w:szCs w:val="13"/>
                <w:color w:val="auto"/>
                <w:w w:val="98"/>
              </w:rPr>
              <w:t>Boscov's, Dick's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Deptford, New Jersey</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7"/>
              </w:rPr>
              <w:t>Macy's</w:t>
            </w:r>
          </w:p>
        </w:tc>
        <w:tc>
          <w:tcPr>
            <w:tcW w:w="13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7"/>
              </w:rPr>
              <w:t>Sporting Goods</w:t>
            </w:r>
          </w:p>
        </w:tc>
        <w:tc>
          <w:tcPr>
            <w:tcW w:w="0" w:type="dxa"/>
            <w:vAlign w:val="bottom"/>
          </w:tcPr>
          <w:p>
            <w:pPr>
              <w:spacing w:after="0"/>
              <w:rPr>
                <w:sz w:val="1"/>
                <w:szCs w:val="1"/>
                <w:color w:val="auto"/>
              </w:rPr>
            </w:pPr>
          </w:p>
        </w:tc>
      </w:tr>
      <w:tr>
        <w:trPr>
          <w:trHeight w:val="126"/>
        </w:trPr>
        <w:tc>
          <w:tcPr>
            <w:tcW w:w="4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gridSpan w:val="2"/>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51%</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FlatIron Crossing(4)</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2000/2002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2009</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1,428,000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729,000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90.0 %</w:t>
            </w: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5"/>
              </w:rPr>
              <w:t>Dillard's, Macy's</w:t>
            </w: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Dick's Sporting Goods,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Broomfield, Colorado</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8"/>
              </w:rPr>
              <w:t>Forever 21</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36</w:t>
            </w:r>
          </w:p>
        </w:tc>
        <w:tc>
          <w:tcPr>
            <w:tcW w:w="100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Kierland Commons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1999/2005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Scottsdale, Arizona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37</w:t>
            </w:r>
          </w:p>
        </w:tc>
        <w:tc>
          <w:tcPr>
            <w:tcW w:w="1000" w:type="dxa"/>
            <w:vAlign w:val="bottom"/>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tcPr>
          <w:p>
            <w:pPr>
              <w:spacing w:after="0"/>
              <w:rPr>
                <w:sz w:val="10"/>
                <w:szCs w:val="10"/>
                <w:color w:val="auto"/>
              </w:rPr>
            </w:pPr>
          </w:p>
        </w:tc>
        <w:tc>
          <w:tcPr>
            <w:tcW w:w="15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Lakewood Center</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1953/1975</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2008</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2,071,000</w:t>
            </w:r>
          </w:p>
        </w:tc>
        <w:tc>
          <w:tcPr>
            <w:tcW w:w="10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1,006,000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87.1 %</w:t>
            </w:r>
          </w:p>
        </w:tc>
        <w:tc>
          <w:tcPr>
            <w:tcW w:w="100" w:type="dxa"/>
            <w:vAlign w:val="bottom"/>
          </w:tcPr>
          <w:p>
            <w:pPr>
              <w:spacing w:after="0"/>
              <w:rPr>
                <w:sz w:val="10"/>
                <w:szCs w:val="10"/>
                <w:color w:val="auto"/>
              </w:rPr>
            </w:pPr>
          </w:p>
        </w:tc>
        <w:tc>
          <w:tcPr>
            <w:tcW w:w="10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Costco, Forever 21,</w:t>
            </w: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Lakewood, California</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Home Depot,</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7"/>
              </w:rPr>
              <w:t>JCPenney, Macy's,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4"/>
              </w:rPr>
              <w:t>Target</w:t>
            </w:r>
          </w:p>
        </w:tc>
        <w:tc>
          <w:tcPr>
            <w:tcW w:w="0" w:type="dxa"/>
            <w:vAlign w:val="bottom"/>
          </w:tcPr>
          <w:p>
            <w:pPr>
              <w:spacing w:after="0"/>
              <w:rPr>
                <w:sz w:val="1"/>
                <w:szCs w:val="1"/>
                <w:color w:val="auto"/>
              </w:rPr>
            </w:pPr>
          </w:p>
        </w:tc>
      </w:tr>
      <w:tr>
        <w:trPr>
          <w:trHeight w:val="65"/>
        </w:trPr>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rPr>
              <w:t>38</w:t>
            </w:r>
          </w:p>
        </w:tc>
        <w:tc>
          <w:tcPr>
            <w:tcW w:w="1000" w:type="dxa"/>
            <w:vAlign w:val="bottom"/>
            <w:shd w:val="clear" w:color="auto" w:fill="CCEEFF"/>
          </w:tcPr>
          <w:p>
            <w:pPr>
              <w:jc w:val="center"/>
              <w:ind w:left="38"/>
              <w:spacing w:after="0" w:line="122" w:lineRule="exact"/>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Los Cerritos Center(10)</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1971/1999</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1,022,000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539,000</w:t>
            </w:r>
          </w:p>
        </w:tc>
        <w:tc>
          <w:tcPr>
            <w:tcW w:w="10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89.9 %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9"/>
              </w:rPr>
              <w:t>Macy's,</w:t>
            </w:r>
          </w:p>
        </w:tc>
        <w:tc>
          <w:tcPr>
            <w:tcW w:w="1360" w:type="dxa"/>
            <w:vAlign w:val="bottom"/>
            <w:shd w:val="clear" w:color="auto" w:fill="CCEEFF"/>
          </w:tcPr>
          <w:p>
            <w:pPr>
              <w:jc w:val="center"/>
              <w:ind w:right="57"/>
              <w:spacing w:after="0" w:line="122" w:lineRule="exact"/>
              <w:rPr>
                <w:sz w:val="20"/>
                <w:szCs w:val="20"/>
                <w:color w:val="auto"/>
              </w:rPr>
            </w:pPr>
            <w:r>
              <w:rPr>
                <w:rFonts w:ascii="Times New Roman" w:cs="Times New Roman" w:eastAsia="Times New Roman" w:hAnsi="Times New Roman"/>
                <w:sz w:val="13"/>
                <w:szCs w:val="13"/>
                <w:color w:val="auto"/>
                <w:w w:val="95"/>
              </w:rPr>
              <w:t>Dick's Sporting Goods,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9"/>
              </w:rPr>
              <w:t>Nordstrom</w:t>
            </w:r>
          </w:p>
        </w:tc>
        <w:tc>
          <w:tcPr>
            <w:tcW w:w="13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8"/>
              </w:rPr>
              <w:t>Forever 21</w:t>
            </w:r>
          </w:p>
        </w:tc>
        <w:tc>
          <w:tcPr>
            <w:tcW w:w="0" w:type="dxa"/>
            <w:vAlign w:val="bottom"/>
          </w:tcPr>
          <w:p>
            <w:pPr>
              <w:spacing w:after="0"/>
              <w:rPr>
                <w:sz w:val="1"/>
                <w:szCs w:val="1"/>
                <w:color w:val="auto"/>
              </w:rPr>
            </w:pPr>
          </w:p>
        </w:tc>
      </w:tr>
      <w:tr>
        <w:trPr>
          <w:trHeight w:val="254"/>
        </w:trPr>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Cerritos, California</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39</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2"/>
                <w:szCs w:val="12"/>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 Bridge, The Shops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1998/2008</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669,000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79.5 %</w:t>
            </w:r>
          </w:p>
        </w:tc>
        <w:tc>
          <w:tcPr>
            <w:tcW w:w="10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Nordstrom</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Chicago, Illinois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480" w:type="dxa"/>
            <w:vAlign w:val="bottom"/>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000" w:type="dxa"/>
            <w:vAlign w:val="bottom"/>
            <w:shd w:val="clear" w:color="auto" w:fill="CCEEFF"/>
          </w:tcPr>
          <w:p>
            <w:pPr>
              <w:jc w:val="center"/>
              <w:ind w:left="38"/>
              <w:spacing w:after="0" w:line="129"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Scottsdale Fashion Square</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1961/2002</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1,843,000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882,000</w:t>
            </w:r>
          </w:p>
        </w:tc>
        <w:tc>
          <w:tcPr>
            <w:tcW w:w="10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92.3 %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9"/>
              </w:rPr>
              <w:t>Dillard's</w:t>
            </w:r>
          </w:p>
        </w:tc>
        <w:tc>
          <w:tcPr>
            <w:tcW w:w="1360" w:type="dxa"/>
            <w:vAlign w:val="bottom"/>
            <w:shd w:val="clear" w:color="auto" w:fill="CCEEFF"/>
          </w:tcPr>
          <w:p>
            <w:pPr>
              <w:jc w:val="center"/>
              <w:ind w:right="57"/>
              <w:spacing w:after="0" w:line="129" w:lineRule="exact"/>
              <w:rPr>
                <w:sz w:val="20"/>
                <w:szCs w:val="20"/>
                <w:color w:val="auto"/>
              </w:rPr>
            </w:pPr>
            <w:r>
              <w:rPr>
                <w:rFonts w:ascii="Times New Roman" w:cs="Times New Roman" w:eastAsia="Times New Roman" w:hAnsi="Times New Roman"/>
                <w:sz w:val="13"/>
                <w:szCs w:val="13"/>
                <w:color w:val="auto"/>
                <w:w w:val="95"/>
              </w:rPr>
              <w:t>Dick's Sporting Goods,</w:t>
            </w:r>
          </w:p>
        </w:tc>
        <w:tc>
          <w:tcPr>
            <w:tcW w:w="0" w:type="dxa"/>
            <w:vAlign w:val="bottom"/>
          </w:tcPr>
          <w:p>
            <w:pPr>
              <w:spacing w:after="0"/>
              <w:rPr>
                <w:sz w:val="1"/>
                <w:szCs w:val="1"/>
                <w:color w:val="auto"/>
              </w:rPr>
            </w:pPr>
          </w:p>
        </w:tc>
      </w:tr>
      <w:tr>
        <w:trPr>
          <w:trHeight w:val="121"/>
        </w:trPr>
        <w:tc>
          <w:tcPr>
            <w:tcW w:w="4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60" w:type="dxa"/>
            <w:vAlign w:val="bottom"/>
            <w:shd w:val="clear" w:color="auto" w:fill="CCEEFF"/>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Macy's, Neiman</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Scottsdale, Arizona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8"/>
              </w:rPr>
              <w:t>Marcus, Nordstrom</w:t>
            </w:r>
          </w:p>
        </w:tc>
        <w:tc>
          <w:tcPr>
            <w:tcW w:w="0" w:type="dxa"/>
            <w:vAlign w:val="bottom"/>
          </w:tcPr>
          <w:p>
            <w:pPr>
              <w:spacing w:after="0"/>
              <w:rPr>
                <w:sz w:val="1"/>
                <w:szCs w:val="1"/>
                <w:color w:val="auto"/>
              </w:rPr>
            </w:pPr>
          </w:p>
        </w:tc>
      </w:tr>
      <w:tr>
        <w:trPr>
          <w:trHeight w:val="76"/>
        </w:trPr>
        <w:tc>
          <w:tcPr>
            <w:tcW w:w="4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41</w:t>
            </w:r>
          </w:p>
        </w:tc>
        <w:tc>
          <w:tcPr>
            <w:tcW w:w="100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South Plains Mall(4)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1972/1998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83.5 %</w:t>
            </w: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Dillard's (two),</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Lubbock, Texas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15" w:right="9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Mall and</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of Mall and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Non-Owned</w:t>
            </w:r>
          </w:p>
        </w:tc>
        <w:tc>
          <w:tcPr>
            <w:tcW w:w="100" w:type="dxa"/>
            <w:vAlign w:val="bottom"/>
          </w:tcPr>
          <w:p>
            <w:pPr>
              <w:spacing w:after="0"/>
              <w:rPr>
                <w:sz w:val="9"/>
                <w:szCs w:val="9"/>
                <w:color w:val="auto"/>
              </w:rPr>
            </w:pPr>
          </w:p>
        </w:tc>
        <w:tc>
          <w:tcPr>
            <w:tcW w:w="138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Company-Owned</w:t>
            </w:r>
          </w:p>
        </w:tc>
        <w:tc>
          <w:tcPr>
            <w:tcW w:w="0" w:type="dxa"/>
            <w:vAlign w:val="bottom"/>
          </w:tcPr>
          <w:p>
            <w:pPr>
              <w:spacing w:after="0"/>
              <w:rPr>
                <w:sz w:val="1"/>
                <w:szCs w:val="1"/>
                <w:color w:val="auto"/>
              </w:rPr>
            </w:pPr>
          </w:p>
        </w:tc>
      </w:tr>
      <w:tr>
        <w:trPr>
          <w:trHeight w:val="108"/>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Construction/</w:t>
            </w:r>
          </w:p>
        </w:tc>
        <w:tc>
          <w:tcPr>
            <w:tcW w:w="8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1000" w:type="dxa"/>
            <w:vAlign w:val="bottom"/>
            <w:gridSpan w:val="2"/>
            <w:vMerge w:val="continue"/>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20" w:type="dxa"/>
            <w:vAlign w:val="bottom"/>
          </w:tcPr>
          <w:p>
            <w:pPr>
              <w:spacing w:after="0"/>
              <w:rPr>
                <w:sz w:val="9"/>
                <w:szCs w:val="9"/>
                <w:color w:val="auto"/>
              </w:rPr>
            </w:pPr>
          </w:p>
        </w:tc>
        <w:tc>
          <w:tcPr>
            <w:tcW w:w="10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Renovation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GLA(3)</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GLA</w:t>
            </w: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00" w:type="dxa"/>
            <w:vAlign w:val="bottom"/>
          </w:tcPr>
          <w:p>
            <w:pPr>
              <w:spacing w:after="0"/>
              <w:rPr>
                <w:sz w:val="13"/>
                <w:szCs w:val="13"/>
                <w:color w:val="auto"/>
              </w:rPr>
            </w:pPr>
          </w:p>
        </w:tc>
        <w:tc>
          <w:tcPr>
            <w:tcW w:w="138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0" w:type="dxa"/>
            <w:vAlign w:val="bottom"/>
          </w:tcPr>
          <w:p>
            <w:pPr>
              <w:spacing w:after="0"/>
              <w:rPr>
                <w:sz w:val="1"/>
                <w:szCs w:val="1"/>
                <w:color w:val="auto"/>
              </w:rPr>
            </w:pPr>
          </w:p>
        </w:tc>
      </w:tr>
      <w:tr>
        <w:trPr>
          <w:trHeight w:val="41"/>
        </w:trPr>
        <w:tc>
          <w:tcPr>
            <w:tcW w:w="4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42</w:t>
            </w:r>
          </w:p>
        </w:tc>
        <w:tc>
          <w:tcPr>
            <w:tcW w:w="10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2"/>
              </w:rPr>
              <w:t>51%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Twenty Ninth Street(5)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1963/1979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5"/>
              </w:rPr>
              <w:t>Home Depot</w:t>
            </w:r>
          </w:p>
        </w:tc>
        <w:tc>
          <w:tcPr>
            <w:tcW w:w="0" w:type="dxa"/>
            <w:vAlign w:val="bottom"/>
          </w:tcPr>
          <w:p>
            <w:pPr>
              <w:spacing w:after="0"/>
              <w:rPr>
                <w:sz w:val="1"/>
                <w:szCs w:val="1"/>
                <w:color w:val="auto"/>
              </w:rPr>
            </w:pPr>
          </w:p>
        </w:tc>
      </w:tr>
      <w:tr>
        <w:trPr>
          <w:trHeight w:val="319"/>
        </w:trPr>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Boulder, Colorado</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Tysons Corner Center(4)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1968/2005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1,971,000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3"/>
                <w:szCs w:val="13"/>
                <w:color w:val="auto"/>
                <w:w w:val="96"/>
              </w:rPr>
              <w:t>Bloomingdale's, L.L.</w:t>
            </w: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7"/>
              </w:rPr>
              <w:t>Bean, Macy's,</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Tysons Corner, Virginia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3"/>
                <w:szCs w:val="13"/>
                <w:color w:val="auto"/>
                <w:w w:val="95"/>
              </w:rPr>
              <w:t>Nordstrom</w:t>
            </w:r>
          </w:p>
        </w:tc>
        <w:tc>
          <w:tcPr>
            <w:tcW w:w="0" w:type="dxa"/>
            <w:vAlign w:val="bottom"/>
          </w:tcPr>
          <w:p>
            <w:pPr>
              <w:spacing w:after="0"/>
              <w:rPr>
                <w:sz w:val="1"/>
                <w:szCs w:val="1"/>
                <w:color w:val="auto"/>
              </w:rPr>
            </w:pPr>
          </w:p>
        </w:tc>
      </w:tr>
      <w:tr>
        <w:trPr>
          <w:trHeight w:val="76"/>
        </w:trPr>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44</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Washington Square(10)</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1974/1999</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1,296,000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573,000</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91.2 %</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Macy's</w:t>
            </w:r>
          </w:p>
        </w:tc>
        <w:tc>
          <w:tcPr>
            <w:tcW w:w="100" w:type="dxa"/>
            <w:vAlign w:val="bottom"/>
          </w:tcPr>
          <w:p>
            <w:pPr>
              <w:spacing w:after="0"/>
              <w:rPr>
                <w:sz w:val="10"/>
                <w:szCs w:val="10"/>
                <w:color w:val="auto"/>
              </w:rPr>
            </w:pPr>
          </w:p>
        </w:tc>
        <w:tc>
          <w:tcPr>
            <w:tcW w:w="138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3"/>
                <w:szCs w:val="13"/>
                <w:color w:val="auto"/>
                <w:w w:val="97"/>
              </w:rPr>
              <w:t>Dick's Sporting Goods,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5"/>
              </w:rPr>
              <w:t>JCPenney, Nordstrom</w:t>
            </w:r>
          </w:p>
        </w:tc>
        <w:tc>
          <w:tcPr>
            <w:tcW w:w="0" w:type="dxa"/>
            <w:vAlign w:val="bottom"/>
          </w:tcPr>
          <w:p>
            <w:pPr>
              <w:spacing w:after="0"/>
              <w:rPr>
                <w:sz w:val="1"/>
                <w:szCs w:val="1"/>
                <w:color w:val="auto"/>
              </w:rPr>
            </w:pPr>
          </w:p>
        </w:tc>
      </w:tr>
      <w:tr>
        <w:trPr>
          <w:trHeight w:val="246"/>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Portland, Oregon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45</w:t>
            </w:r>
          </w:p>
        </w:tc>
        <w:tc>
          <w:tcPr>
            <w:tcW w:w="10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2"/>
              </w:rPr>
              <w:t>19%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 Acres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1972/1986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Macy's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3"/>
                <w:szCs w:val="13"/>
                <w:color w:val="auto"/>
                <w:w w:val="96"/>
              </w:rPr>
              <w:t>JCPenney</w:t>
            </w:r>
          </w:p>
        </w:tc>
        <w:tc>
          <w:tcPr>
            <w:tcW w:w="0" w:type="dxa"/>
            <w:vAlign w:val="bottom"/>
          </w:tcPr>
          <w:p>
            <w:pPr>
              <w:spacing w:after="0"/>
              <w:rPr>
                <w:sz w:val="1"/>
                <w:szCs w:val="1"/>
                <w:color w:val="auto"/>
              </w:rPr>
            </w:pPr>
          </w:p>
        </w:tc>
      </w:tr>
      <w:tr>
        <w:trPr>
          <w:trHeight w:val="268"/>
        </w:trPr>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Fargo, North Dakota</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Unconsolidated Joint Ventures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18,410,000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9,772,000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89.8 %</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REGIONAL SHOPPING CENTERS UNDER REDEVELOPMENT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46</w:t>
            </w: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Fashion District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1977/2014</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850,000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620,000</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38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3"/>
                <w:szCs w:val="13"/>
                <w:color w:val="auto"/>
                <w:w w:val="97"/>
              </w:rPr>
              <w:t>Burlington,</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Philadelphia(4)(5)(11)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w w:val="97"/>
              </w:rPr>
              <w:t>Primark(13)</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Philadelphia, Pennsylvania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47</w:t>
            </w:r>
          </w:p>
        </w:tc>
        <w:tc>
          <w:tcPr>
            <w:tcW w:w="1000" w:type="dxa"/>
            <w:vAlign w:val="bottom"/>
            <w:gridSpan w:val="2"/>
            <w:shd w:val="clear" w:color="auto" w:fill="CCEEFF"/>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Paradise Valley Mall(4)</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1979/2002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2009</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1,198,000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418,000</w:t>
            </w:r>
          </w:p>
        </w:tc>
        <w:tc>
          <w:tcPr>
            <w:tcW w:w="10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Dillard's(14),</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9"/>
              </w:rPr>
              <w:t>Costco</w:t>
            </w: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JCPenney,</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Phoenix, Arizona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Macy's(14)</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47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Regional Shopping Centers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45,325,000</w:t>
            </w:r>
          </w:p>
        </w:tc>
        <w:tc>
          <w:tcPr>
            <w:tcW w:w="10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23,039,000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89.7 %</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5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COMMUNITY/POWER SHOPPING CENTERS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1</w:t>
            </w: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Atlas Park, The Shops</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2006/2011</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2013</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374,000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374,000</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86.0 %</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3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at(15)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Queens,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Boulevard Shops(15)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2001/2002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Chandler, Arizona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3</w:t>
            </w: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Southridge Center(4)(11)</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1975/1998</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2013</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803,000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414,000</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76.1 %</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Des Moines Area</w:t>
            </w:r>
          </w:p>
        </w:tc>
        <w:tc>
          <w:tcPr>
            <w:tcW w:w="100" w:type="dxa"/>
            <w:vAlign w:val="bottom"/>
          </w:tcPr>
          <w:p>
            <w:pPr>
              <w:spacing w:after="0"/>
              <w:rPr>
                <w:sz w:val="10"/>
                <w:szCs w:val="10"/>
                <w:color w:val="auto"/>
              </w:rPr>
            </w:pPr>
          </w:p>
        </w:tc>
        <w:tc>
          <w:tcPr>
            <w:tcW w:w="13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4"/>
              </w:rPr>
              <w:t>Target</w:t>
            </w: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Community</w:t>
            </w: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Des Moines, Iowa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College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8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4</w:t>
            </w:r>
          </w:p>
        </w:tc>
        <w:tc>
          <w:tcPr>
            <w:tcW w:w="1000" w:type="dxa"/>
            <w:vAlign w:val="bottom"/>
            <w:gridSpan w:val="2"/>
            <w:shd w:val="clear" w:color="auto" w:fill="CCEEFF"/>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Superstition Springs Power</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1990/2002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206,000</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0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46.8 %</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3"/>
              </w:rPr>
              <w:t>Best Buy,</w:t>
            </w: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Center(11)</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Burlington</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Mesa, Arizona</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5</w:t>
            </w: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The Marketplace at</w:t>
            </w:r>
          </w:p>
        </w:tc>
        <w:tc>
          <w:tcPr>
            <w:tcW w:w="10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2007/—</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268,000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3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5"/>
              </w:rPr>
              <w:t>Home Depot</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Flagstaff(5)(11)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Flagstaff, Arizona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Community/Power Shopping Centers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1,835,000</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1,172,000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before Other Assets</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47,160,000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24,211,000</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OTHER ASSETS: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Various(11)(16)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427,000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265,000</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5"/>
              </w:rPr>
              <w:t>Kohl's</w:t>
            </w:r>
          </w:p>
        </w:tc>
        <w:tc>
          <w:tcPr>
            <w:tcW w:w="0" w:type="dxa"/>
            <w:vAlign w:val="bottom"/>
          </w:tcPr>
          <w:p>
            <w:pPr>
              <w:spacing w:after="0"/>
              <w:rPr>
                <w:sz w:val="1"/>
                <w:szCs w:val="1"/>
                <w:color w:val="auto"/>
              </w:rPr>
            </w:pPr>
          </w:p>
        </w:tc>
      </w:tr>
      <w:tr>
        <w:trPr>
          <w:trHeight w:val="170"/>
        </w:trPr>
        <w:tc>
          <w:tcPr>
            <w:tcW w:w="4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5"/>
              </w:rPr>
              <w:t>83.2%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Estrella Falls(11)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Goodyear, Arizona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Scottsdale Fashion Square-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1984/2002</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123,000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3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Office(15)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Scottsdale, Arizona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left="37"/>
              <w:spacing w:after="0" w:line="129"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Tysons Corner Center-</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1999/2005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Office(15)</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Tysons Corner, Virginia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1000" w:type="dxa"/>
            <w:vAlign w:val="bottom"/>
            <w:gridSpan w:val="2"/>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Hyatt Regency Tysons</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290,000</w:t>
            </w:r>
          </w:p>
        </w:tc>
        <w:tc>
          <w:tcPr>
            <w:tcW w:w="10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38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Corner Center(15)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Tysons Corner, Virginia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left="37"/>
              <w:spacing w:after="0" w:line="129"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VITA Tysons Corner</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jc w:val="center"/>
              <w:ind w:right="38"/>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Center(15)</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Tysons Corner, Virginia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Tysons Tower(15)</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529,000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Tysons Corner, Virginia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OTHER ASSETS UNDER DEVELOPMENT:</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10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2"/>
              </w:rPr>
              <w:t>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One Westside(15)(17)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1985/1998</w:t>
            </w:r>
          </w:p>
        </w:tc>
        <w:tc>
          <w:tcPr>
            <w:tcW w:w="100" w:type="dxa"/>
            <w:vAlign w:val="bottom"/>
          </w:tcPr>
          <w:p>
            <w:pPr>
              <w:spacing w:after="0"/>
              <w:rPr>
                <w:sz w:val="14"/>
                <w:szCs w:val="14"/>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Ongoing</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680,000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 Angeles,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15" w:right="9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Year of Most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Mall and</w:t>
            </w:r>
          </w:p>
        </w:tc>
        <w:tc>
          <w:tcPr>
            <w:tcW w:w="100" w:type="dxa"/>
            <w:vAlign w:val="bottom"/>
          </w:tcPr>
          <w:p>
            <w:pPr>
              <w:spacing w:after="0"/>
              <w:rPr>
                <w:sz w:val="11"/>
                <w:szCs w:val="11"/>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Name of</w:t>
            </w:r>
          </w:p>
        </w:tc>
        <w:tc>
          <w:tcPr>
            <w:tcW w:w="10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8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Recent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of Mall and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Non-Owned</w:t>
            </w:r>
          </w:p>
        </w:tc>
        <w:tc>
          <w:tcPr>
            <w:tcW w:w="140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Company-Owned</w:t>
            </w:r>
          </w:p>
        </w:tc>
        <w:tc>
          <w:tcPr>
            <w:tcW w:w="0" w:type="dxa"/>
            <w:vAlign w:val="bottom"/>
          </w:tcPr>
          <w:p>
            <w:pPr>
              <w:spacing w:after="0"/>
              <w:rPr>
                <w:sz w:val="1"/>
                <w:szCs w:val="1"/>
                <w:color w:val="auto"/>
              </w:rPr>
            </w:pPr>
          </w:p>
        </w:tc>
      </w:tr>
      <w:tr>
        <w:trPr>
          <w:trHeight w:val="108"/>
        </w:trPr>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1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Construction/</w:t>
            </w:r>
          </w:p>
        </w:tc>
        <w:tc>
          <w:tcPr>
            <w:tcW w:w="8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Expansion/</w:t>
            </w:r>
          </w:p>
        </w:tc>
        <w:tc>
          <w:tcPr>
            <w:tcW w:w="1020" w:type="dxa"/>
            <w:vAlign w:val="bottom"/>
            <w:gridSpan w:val="2"/>
            <w:vMerge w:val="continue"/>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0" w:type="dxa"/>
            <w:vAlign w:val="bottom"/>
          </w:tcPr>
          <w:p>
            <w:pPr>
              <w:spacing w:after="0"/>
              <w:rPr>
                <w:sz w:val="9"/>
                <w:szCs w:val="9"/>
                <w:color w:val="auto"/>
              </w:rPr>
            </w:pPr>
          </w:p>
        </w:tc>
        <w:tc>
          <w:tcPr>
            <w:tcW w:w="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0" w:type="dxa"/>
            <w:vAlign w:val="bottom"/>
            <w:vMerge w:val="continue"/>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Center/Location(2)</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Renovation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GLA(3)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GLA</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Anchors (3)</w:t>
            </w:r>
          </w:p>
        </w:tc>
        <w:tc>
          <w:tcPr>
            <w:tcW w:w="14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0" w:type="dxa"/>
            <w:vAlign w:val="bottom"/>
          </w:tcPr>
          <w:p>
            <w:pPr>
              <w:spacing w:after="0"/>
              <w:rPr>
                <w:sz w:val="1"/>
                <w:szCs w:val="1"/>
                <w:color w:val="auto"/>
              </w:rPr>
            </w:pPr>
          </w:p>
        </w:tc>
      </w:tr>
      <w:tr>
        <w:trPr>
          <w:trHeight w:val="41"/>
        </w:trPr>
        <w:tc>
          <w:tcPr>
            <w:tcW w:w="460" w:type="dxa"/>
            <w:vAlign w:val="bottom"/>
            <w:tcBorders>
              <w:top w:val="single" w:sz="8" w:color="auto"/>
              <w:bottom w:val="single" w:sz="8" w:color="CCEEFF"/>
            </w:tcBorders>
          </w:tcPr>
          <w:p>
            <w:pPr>
              <w:spacing w:after="0"/>
              <w:rPr>
                <w:sz w:val="3"/>
                <w:szCs w:val="3"/>
                <w:color w:val="auto"/>
              </w:rPr>
            </w:pPr>
          </w:p>
        </w:tc>
        <w:tc>
          <w:tcPr>
            <w:tcW w:w="1040" w:type="dxa"/>
            <w:vAlign w:val="bottom"/>
            <w:tcBorders>
              <w:top w:val="single" w:sz="8" w:color="auto"/>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top w:val="single" w:sz="8" w:color="auto"/>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top w:val="single" w:sz="8" w:color="auto"/>
              <w:bottom w:val="single" w:sz="8" w:color="CCEEFF"/>
            </w:tcBorders>
          </w:tcPr>
          <w:p>
            <w:pPr>
              <w:spacing w:after="0"/>
              <w:rPr>
                <w:sz w:val="3"/>
                <w:szCs w:val="3"/>
                <w:color w:val="auto"/>
              </w:rPr>
            </w:pPr>
          </w:p>
        </w:tc>
        <w:tc>
          <w:tcPr>
            <w:tcW w:w="140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Assets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2,812,000</w:t>
            </w:r>
          </w:p>
        </w:tc>
        <w:tc>
          <w:tcPr>
            <w:tcW w:w="12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344,000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Grand Total</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49,972,000</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24,555,000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50" w:lineRule="exact"/>
        <w:rPr>
          <w:sz w:val="20"/>
          <w:szCs w:val="20"/>
          <w:color w:val="auto"/>
        </w:rPr>
      </w:pPr>
    </w:p>
    <w:p>
      <w:pPr>
        <w:ind w:left="820" w:right="80" w:hanging="407"/>
        <w:spacing w:after="0" w:line="248" w:lineRule="auto"/>
        <w:tabs>
          <w:tab w:leader="none" w:pos="8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104" w:lineRule="exact"/>
        <w:rPr>
          <w:rFonts w:ascii="Times New Roman" w:cs="Times New Roman" w:eastAsia="Times New Roman" w:hAnsi="Times New Roman"/>
          <w:sz w:val="14"/>
          <w:szCs w:val="14"/>
          <w:color w:val="auto"/>
        </w:rPr>
      </w:pPr>
    </w:p>
    <w:p>
      <w:pPr>
        <w:ind w:left="820" w:hanging="407"/>
        <w:spacing w:after="0" w:line="251" w:lineRule="auto"/>
        <w:tabs>
          <w:tab w:leader="none" w:pos="8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42 Centers, the underlying land controlled by the Company is owned in fee entirely by the Company or, in the case of Joint Venture Centers, by the joint venture property partnership or limited liability company. With respect to the remaining ten Centers, portions of the underlying land controlled by the Company are owned by third parties and leased to the Company, or the joint venture property partnership or limited liability company, pursuant to long-term ground leases. Under the terms of a typical ground lease, the Company, or the joint venture property partnership or limited liability company, has an option or right of first refusal to purchase the land. The termination dates of the ground leases range from 2028 to 2098.</w:t>
      </w:r>
    </w:p>
    <w:p>
      <w:pPr>
        <w:spacing w:after="0" w:line="116" w:lineRule="exact"/>
        <w:rPr>
          <w:rFonts w:ascii="Times New Roman" w:cs="Times New Roman" w:eastAsia="Times New Roman" w:hAnsi="Times New Roman"/>
          <w:sz w:val="14"/>
          <w:szCs w:val="14"/>
          <w:color w:val="auto"/>
        </w:rPr>
      </w:pPr>
    </w:p>
    <w:p>
      <w:pPr>
        <w:ind w:left="820" w:right="160" w:hanging="407"/>
        <w:spacing w:after="0" w:line="255" w:lineRule="auto"/>
        <w:tabs>
          <w:tab w:leader="none" w:pos="8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GLA includes GLA attributable to Anchors (whether owned or non-owned) and Mall and Freestanding Stores as of December 31, 2020.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112" w:lineRule="exact"/>
        <w:rPr>
          <w:rFonts w:ascii="Times New Roman" w:cs="Times New Roman" w:eastAsia="Times New Roman" w:hAnsi="Times New Roman"/>
          <w:sz w:val="14"/>
          <w:szCs w:val="14"/>
          <w:color w:val="auto"/>
        </w:rPr>
      </w:pPr>
    </w:p>
    <w:p>
      <w:pPr>
        <w:ind w:left="820" w:right="100" w:hanging="407"/>
        <w:spacing w:after="0" w:line="261" w:lineRule="auto"/>
        <w:tabs>
          <w:tab w:leader="none" w:pos="8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Centers have vacant Anchor locations.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four of these vacant Anchors.</w:t>
      </w:r>
    </w:p>
    <w:p>
      <w:pPr>
        <w:spacing w:after="0" w:line="95"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land on which the Center is situated are subject to one or more long-term ground leases.</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Sears has announced plans to close this location in April 2021.</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Macy's announced plans to close their Bloomingdale's store at Santa Monica Place in March 2021. The Company is actively seeking replacement tenants.</w:t>
      </w:r>
    </w:p>
    <w:p>
      <w:pPr>
        <w:spacing w:after="0" w:line="136"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Neiman Marcus closed their store at Broadway Plaza in January 2021. The Joint Venture is actively seeking a replacement tenant.</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Nordstrom has announced plans to open a 116,000 square foot store at Country Club Plaza in 2023.</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Center has a vacant former Sears to be demolished for redevelopment.</w:t>
      </w:r>
    </w:p>
    <w:p>
      <w:pPr>
        <w:spacing w:after="0" w:line="136" w:lineRule="exact"/>
        <w:rPr>
          <w:rFonts w:ascii="Times New Roman" w:cs="Times New Roman" w:eastAsia="Times New Roman" w:hAnsi="Times New Roman"/>
          <w:sz w:val="14"/>
          <w:szCs w:val="14"/>
          <w:color w:val="auto"/>
        </w:rPr>
      </w:pPr>
    </w:p>
    <w:p>
      <w:pPr>
        <w:ind w:left="800" w:hanging="387"/>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Consolidated Centers.</w:t>
      </w:r>
    </w:p>
    <w:p>
      <w:pPr>
        <w:spacing w:after="0" w:line="149" w:lineRule="exact"/>
        <w:rPr>
          <w:rFonts w:ascii="Times New Roman" w:cs="Times New Roman" w:eastAsia="Times New Roman" w:hAnsi="Times New Roman"/>
          <w:sz w:val="14"/>
          <w:szCs w:val="14"/>
          <w:color w:val="auto"/>
        </w:rPr>
      </w:pPr>
    </w:p>
    <w:p>
      <w:pPr>
        <w:ind w:left="820" w:right="520" w:hanging="407"/>
        <w:spacing w:after="0" w:line="282" w:lineRule="auto"/>
        <w:tabs>
          <w:tab w:leader="none" w:pos="81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spaces have been intentionally held off the market and remain vacant because of redevelopment plans. As a result, the Company believes the percentage of mall and freestanding GLA leased at this redevelopment property is not meaningful data.</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Primark has announced plans to open a 47,000 square foot store at Fashion District Philadelphia in Fall 2021.</w:t>
      </w:r>
    </w:p>
    <w:p>
      <w:pPr>
        <w:spacing w:after="0" w:line="136"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Dillard's and Macy's have announced plans to close at Paradise Valley Mall.</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Unconsolidated Joint Venture Centers.</w:t>
      </w:r>
    </w:p>
    <w:p>
      <w:pPr>
        <w:spacing w:after="0" w:line="149" w:lineRule="exact"/>
        <w:rPr>
          <w:rFonts w:ascii="Times New Roman" w:cs="Times New Roman" w:eastAsia="Times New Roman" w:hAnsi="Times New Roman"/>
          <w:sz w:val="14"/>
          <w:szCs w:val="14"/>
          <w:color w:val="auto"/>
        </w:rPr>
      </w:pPr>
    </w:p>
    <w:p>
      <w:pPr>
        <w:ind w:left="820" w:hanging="407"/>
        <w:spacing w:after="0" w:line="251" w:lineRule="auto"/>
        <w:tabs>
          <w:tab w:leader="none" w:pos="81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an office building and five stores located at shopping centers not owned by the Company. Of the five stores, one has been leased to Kohl's, one is vacant and three have been leased for non-Anchor uses. With respect to the office building and two of the five stores, the underlying land is owned in fee entirely by the Company. With respect to the remaining three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termination dates of the ground leases range from 2023 to 2027.</w:t>
      </w:r>
    </w:p>
    <w:p>
      <w:pPr>
        <w:spacing w:after="0" w:line="103" w:lineRule="exact"/>
        <w:rPr>
          <w:rFonts w:ascii="Times New Roman" w:cs="Times New Roman" w:eastAsia="Times New Roman" w:hAnsi="Times New Roman"/>
          <w:sz w:val="14"/>
          <w:szCs w:val="14"/>
          <w:color w:val="auto"/>
        </w:rPr>
      </w:pPr>
    </w:p>
    <w:p>
      <w:pPr>
        <w:ind w:left="820" w:right="100" w:hanging="407"/>
        <w:spacing w:after="0" w:line="282" w:lineRule="auto"/>
        <w:tabs>
          <w:tab w:leader="none" w:pos="81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Westside, formerly known as Westside Pavilion, was a regional shopping center that closed in January 2019. This property is under redevelopment into 584,000 square feet of creative office leased entirely to Google, along with 96,000 square feet of existing dining and entertainment space.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Mortgage Debt</w:t>
      </w:r>
    </w:p>
    <w:p>
      <w:pPr>
        <w:spacing w:after="0" w:line="148"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mortgages encumbering the Centers, including those Centers in which the Company has less than a 100% interest. The information set forth below is as of December 31, 2020 (dollars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Date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180" w:type="dxa"/>
            <w:vAlign w:val="bottom"/>
          </w:tcPr>
          <w:p>
            <w:pPr>
              <w:spacing w:after="0"/>
              <w:rPr>
                <w:sz w:val="11"/>
                <w:szCs w:val="11"/>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35"/>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Debt</w:t>
            </w:r>
          </w:p>
        </w:tc>
        <w:tc>
          <w:tcPr>
            <w:tcW w:w="1440" w:type="dxa"/>
            <w:vAlign w:val="bottom"/>
            <w:gridSpan w:val="3"/>
            <w:vMerge w:val="continue"/>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Due on</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Defeased or</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Prepaid</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Chandler Fashion Center(5)</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255,361</w:t>
            </w:r>
          </w:p>
        </w:tc>
        <w:tc>
          <w:tcPr>
            <w:tcW w:w="140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4.18 %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7/5/24  $</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Danbury Fair Mall(6)</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186,741</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5.56 %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184,775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District Philadelphia(7)</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201,000</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Fashion Outlets of Chicago</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299,193</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4.61 %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Outlets of Niagara Falls USA(8)</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101,463</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6.45 %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95,585</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Freehold Raceway Mall(5)</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398,545</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3.94 %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386,013</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Fresno Fashion Fair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323,857</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3.67 %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 Acres Commons(9)</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129,847</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2.87 %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Green Acres Mall(10)</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270,570</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3.61 %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269,922</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Kings Plaza Shopping Center</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535,413</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3.71 %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19,548</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Oaks, The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183,108</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4.14 %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174,433</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 View</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114,909</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4.08 %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110,597</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Queens Center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3.49 %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 Monica Place(11)</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298,566</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1.88 %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SanTan Village Regional Center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219,233</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4.34 %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7/1/2023</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Towne Mall</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4.48 %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Tucson La Encantada</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62,018</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4.23 %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59,788</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Victor Valley, Mall of</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114,791</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Vintage Faire Mall</w:t>
            </w:r>
          </w:p>
        </w:tc>
        <w:tc>
          <w:tcPr>
            <w:tcW w:w="11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246,380</w:t>
            </w:r>
          </w:p>
        </w:tc>
        <w:tc>
          <w:tcPr>
            <w:tcW w:w="11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15,072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210,825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4,560,810</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33"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Date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160" w:type="dxa"/>
            <w:vAlign w:val="bottom"/>
          </w:tcPr>
          <w:p>
            <w:pPr>
              <w:spacing w:after="0"/>
              <w:rPr>
                <w:sz w:val="11"/>
                <w:szCs w:val="11"/>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Debt</w:t>
            </w:r>
          </w:p>
        </w:tc>
        <w:tc>
          <w:tcPr>
            <w:tcW w:w="1340" w:type="dxa"/>
            <w:vAlign w:val="bottom"/>
            <w:gridSpan w:val="3"/>
            <w:vMerge w:val="continue"/>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Due on</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Defeased or</w:t>
            </w:r>
          </w:p>
        </w:tc>
        <w:tc>
          <w:tcPr>
            <w:tcW w:w="0" w:type="dxa"/>
            <w:vAlign w:val="bottom"/>
          </w:tcPr>
          <w:p>
            <w:pPr>
              <w:spacing w:after="0"/>
              <w:rPr>
                <w:sz w:val="1"/>
                <w:szCs w:val="1"/>
                <w:color w:val="auto"/>
              </w:rPr>
            </w:pPr>
          </w:p>
        </w:tc>
      </w:tr>
      <w:tr>
        <w:trPr>
          <w:trHeight w:val="189"/>
        </w:trPr>
        <w:tc>
          <w:tcPr>
            <w:tcW w:w="3080" w:type="dxa"/>
            <w:vAlign w:val="bottom"/>
            <w:gridSpan w:val="2"/>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6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Date(4)</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Prepaid</w:t>
            </w: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Unconsolidated Joint Venture Centers (at</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Company's Pro Rata Share):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Arrowhead Towne Center(60%)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28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4.05 %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9,720</w:t>
            </w:r>
          </w:p>
        </w:tc>
        <w:tc>
          <w:tcPr>
            <w:tcW w:w="100" w:type="dxa"/>
            <w:vAlign w:val="bottom"/>
          </w:tcPr>
          <w:p>
            <w:pPr>
              <w:spacing w:after="0"/>
              <w:rPr>
                <w:sz w:val="16"/>
                <w:szCs w:val="16"/>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2/1/28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212,555</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2/1/22</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Atlas Park, The Shops at(50%)(12)</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34,157</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2.43 %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Boulevard Shops(50%)(13)</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2.33 %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 Plaza(50%)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224,515</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4.19 %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9,405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4/1/22</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Corte Madera, The Village at(50.1%)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112,425</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3.53 %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Country Club Plaza(50%)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154,868</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3.88 %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4/1/21</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Deptford Mall(51%)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87,936</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5,795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FlatIron Crossing(51%)(14)</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102,598</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4.38 %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6,585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Kierland Commons(50%)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104,749</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3.98 %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88,724</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Lakewood Center(60%)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210,653</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4.15 %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13,144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185,306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 Cerritos Center(60%)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12,600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278,711</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11/1/21</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Bridge, The Shops at(50%)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187,099</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3.71 %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160,523</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 Westside(25%)(15)</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Floating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25,467</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2.18 %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26,518</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Scottsdale Fashion Square(50%)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217,444</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3.02 %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13,281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201,331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4.22 %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Twenty Ninth Street(51%)</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4.10 %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Corner Center(50%)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364,167</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4.13 %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24,643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333,233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Tysons Tower(50%)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94,442</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3.38 %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12/18/2021</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Vita(50%)(16)</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44,409</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3.43 %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Square(60%)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323,302</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3.65 %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18,115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311,348</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 Acres - Development(19%)</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3.72 %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Acres(19%)</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4.61 %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bl>
    <w:p>
      <w:pPr>
        <w:ind w:left="4580" w:hanging="437"/>
        <w:spacing w:after="0"/>
        <w:tabs>
          <w:tab w:leader="none" w:pos="45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3,063,616</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92" w:lineRule="exact"/>
        <w:rPr>
          <w:rFonts w:ascii="Times New Roman" w:cs="Times New Roman" w:eastAsia="Times New Roman" w:hAnsi="Times New Roman"/>
          <w:sz w:val="14"/>
          <w:szCs w:val="14"/>
          <w:color w:val="auto"/>
        </w:rPr>
      </w:pPr>
    </w:p>
    <w:p>
      <w:pPr>
        <w:ind w:left="820" w:hanging="407"/>
        <w:spacing w:after="0" w:line="261" w:lineRule="auto"/>
        <w:tabs>
          <w:tab w:leader="none" w:pos="8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95"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premiums (discounts) as of December 31,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-935990</wp:posOffset>
            </wp:positionV>
            <wp:extent cx="694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-909955</wp:posOffset>
            </wp:positionV>
            <wp:extent cx="694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Pledged as Collateral</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Unconsolidated Joint Venture Centers (at Company's Pro Rata Share):</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Deptford Mall</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9"/>
        </w:trPr>
        <w:tc>
          <w:tcPr>
            <w:tcW w:w="20" w:type="dxa"/>
            <w:vAlign w:val="bottom"/>
            <w:shd w:val="clear" w:color="auto" w:fill="CCEEFF"/>
          </w:tcPr>
          <w:p>
            <w:pPr>
              <w:spacing w:after="0"/>
              <w:rPr>
                <w:sz w:val="16"/>
                <w:szCs w:val="16"/>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Lakewood Center</w:t>
            </w: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w:t>
            </w: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(7,316)</w:t>
            </w: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20"/>
        <w:spacing w:after="0" w:line="261"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2020 were $14.1 million for Consolidated Centers and $5.0 million for Unconsolidated Joint Venture Centers (at Company's pro rata share).</w:t>
      </w:r>
    </w:p>
    <w:p>
      <w:pPr>
        <w:spacing w:after="0" w:line="96" w:lineRule="exact"/>
        <w:rPr>
          <w:sz w:val="20"/>
          <w:szCs w:val="20"/>
          <w:color w:val="auto"/>
        </w:rPr>
      </w:pPr>
    </w:p>
    <w:p>
      <w:pPr>
        <w:ind w:left="820" w:hanging="407"/>
        <w:spacing w:after="0"/>
        <w:tabs>
          <w:tab w:leader="none" w:pos="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debt premiums (discounts) and deferred finance costs.</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debt service represents the annual payment of principal and interest.</w:t>
      </w:r>
    </w:p>
    <w:p>
      <w:pPr>
        <w:spacing w:after="0" w:line="149" w:lineRule="exact"/>
        <w:rPr>
          <w:rFonts w:ascii="Times New Roman" w:cs="Times New Roman" w:eastAsia="Times New Roman" w:hAnsi="Times New Roman"/>
          <w:sz w:val="14"/>
          <w:szCs w:val="14"/>
          <w:color w:val="auto"/>
        </w:rPr>
      </w:pPr>
    </w:p>
    <w:p>
      <w:pPr>
        <w:ind w:left="820" w:right="80" w:hanging="407"/>
        <w:spacing w:after="0" w:line="282" w:lineRule="auto"/>
        <w:tabs>
          <w:tab w:leader="none" w:pos="8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a financing arrangement.</w:t>
      </w:r>
    </w:p>
    <w:p>
      <w:pPr>
        <w:spacing w:after="0" w:line="149" w:lineRule="exact"/>
        <w:rPr>
          <w:rFonts w:ascii="Times New Roman" w:cs="Times New Roman" w:eastAsia="Times New Roman" w:hAnsi="Times New Roman"/>
          <w:sz w:val="14"/>
          <w:szCs w:val="14"/>
          <w:color w:val="auto"/>
        </w:rPr>
      </w:pPr>
    </w:p>
    <w:p>
      <w:pPr>
        <w:ind w:left="820" w:right="40" w:hanging="407"/>
        <w:spacing w:after="0" w:line="261" w:lineRule="auto"/>
        <w:tabs>
          <w:tab w:leader="none" w:pos="8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The loan may be further extended to July 1, 2021, subject to certain conditions. The loan amount and interest rate are unchanged following the extension.</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8" w:right="379" w:bottom="1440" w:gutter="0" w:footer="0" w:header="0"/>
        </w:sectPr>
      </w:pPr>
    </w:p>
    <w:bookmarkStart w:id="33" w:name="page34"/>
    <w:bookmarkEnd w:id="33"/>
    <w:p>
      <w:pPr>
        <w:ind w:left="820" w:right="40" w:hanging="407"/>
        <w:spacing w:after="0" w:line="251" w:lineRule="auto"/>
        <w:tabs>
          <w:tab w:leader="none" w:pos="8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10, 2020, the Company made the Partnership Loan to the Company’s joint venture in Fashion District Philadelphia to fund the entirety of a $100.0 million repayment to reduce the mortgage loan on Fashion District Philadelphia from $301.0 million to $201.0 million. This mortgage loan now matures on January 22, 2024, assuming exercise of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(See Note 16–Consolidated Joint Venture and Acquisitions of the Company’s Consolidated Financial Statements).</w:t>
      </w:r>
    </w:p>
    <w:p>
      <w:pPr>
        <w:spacing w:after="0" w:line="103" w:lineRule="exact"/>
        <w:rPr>
          <w:rFonts w:ascii="Times New Roman" w:cs="Times New Roman" w:eastAsia="Times New Roman" w:hAnsi="Times New Roman"/>
          <w:sz w:val="14"/>
          <w:szCs w:val="14"/>
          <w:color w:val="auto"/>
        </w:rPr>
      </w:pPr>
    </w:p>
    <w:p>
      <w:pPr>
        <w:ind w:left="820" w:right="240" w:hanging="407"/>
        <w:spacing w:after="0" w:line="282" w:lineRule="auto"/>
        <w:tabs>
          <w:tab w:leader="none" w:pos="8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15, 2020, the Company closed on a loan extension agreement for the Fashion Outlets of Niagara. Under the extension agreement the original loan maturity date of October 6, 2020 was extended to October 6, 2023. The loan amount and interest rate are unchanged following the extension.</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2.15%. The Company is in the process of securing a two-year extension on this loan.</w:t>
      </w:r>
    </w:p>
    <w:p>
      <w:pPr>
        <w:spacing w:after="0" w:line="149" w:lineRule="exact"/>
        <w:rPr>
          <w:rFonts w:ascii="Times New Roman" w:cs="Times New Roman" w:eastAsia="Times New Roman" w:hAnsi="Times New Roman"/>
          <w:sz w:val="14"/>
          <w:szCs w:val="14"/>
          <w:color w:val="auto"/>
        </w:rPr>
      </w:pPr>
    </w:p>
    <w:p>
      <w:pPr>
        <w:ind w:left="820" w:right="420" w:hanging="407"/>
        <w:spacing w:after="0" w:line="282" w:lineRule="auto"/>
        <w:tabs>
          <w:tab w:leader="none" w:pos="8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includes a one-year extension option to February 3, 2023. The interest rate remained unchanged, and the Company repaid $9 million of the outstanding loan balance at closing.</w:t>
      </w:r>
    </w:p>
    <w:p>
      <w:pPr>
        <w:spacing w:after="0" w:line="80" w:lineRule="exact"/>
        <w:rPr>
          <w:rFonts w:ascii="Times New Roman" w:cs="Times New Roman" w:eastAsia="Times New Roman" w:hAnsi="Times New Roman"/>
          <w:sz w:val="14"/>
          <w:szCs w:val="14"/>
          <w:color w:val="auto"/>
        </w:rPr>
      </w:pPr>
    </w:p>
    <w:p>
      <w:pPr>
        <w:ind w:left="820" w:right="60" w:hanging="407"/>
        <w:spacing w:after="0" w:line="282" w:lineRule="auto"/>
        <w:tabs>
          <w:tab w:leader="none" w:pos="81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1.48%. The loan is covered by an interest rate cap agreement that effectively prevents LIBOR from exceeding 4.0% during the period ending December 9, 2021.</w:t>
      </w:r>
    </w:p>
    <w:p>
      <w:pPr>
        <w:spacing w:after="0" w:line="94" w:lineRule="exact"/>
        <w:rPr>
          <w:rFonts w:ascii="Times New Roman" w:cs="Times New Roman" w:eastAsia="Times New Roman" w:hAnsi="Times New Roman"/>
          <w:sz w:val="14"/>
          <w:szCs w:val="14"/>
          <w:color w:val="auto"/>
        </w:rPr>
      </w:pPr>
    </w:p>
    <w:p>
      <w:pPr>
        <w:ind w:left="820" w:right="300" w:hanging="407"/>
        <w:spacing w:after="0" w:line="261" w:lineRule="auto"/>
        <w:tabs>
          <w:tab w:leader="none" w:pos="8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loan bears interest at LIBOR plus 2.00%.</w:t>
      </w:r>
    </w:p>
    <w:p>
      <w:pPr>
        <w:spacing w:after="0" w:line="10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1.85%, matures on December 5, 2023 and can be expanded, depending on certain conditions, up to $23.0 million.</w:t>
      </w:r>
    </w:p>
    <w:p>
      <w:pPr>
        <w:spacing w:after="0" w:line="136" w:lineRule="exact"/>
        <w:rPr>
          <w:rFonts w:ascii="Times New Roman" w:cs="Times New Roman" w:eastAsia="Times New Roman" w:hAnsi="Times New Roman"/>
          <w:sz w:val="14"/>
          <w:szCs w:val="14"/>
          <w:color w:val="auto"/>
        </w:rPr>
      </w:pPr>
    </w:p>
    <w:p>
      <w:pPr>
        <w:ind w:left="820" w:hanging="407"/>
        <w:spacing w:after="0" w:line="282" w:lineRule="auto"/>
        <w:tabs>
          <w:tab w:leader="none" w:pos="8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w:t>
      </w:r>
    </w:p>
    <w:p>
      <w:pPr>
        <w:spacing w:after="0" w:line="94" w:lineRule="exact"/>
        <w:rPr>
          <w:rFonts w:ascii="Times New Roman" w:cs="Times New Roman" w:eastAsia="Times New Roman" w:hAnsi="Times New Roman"/>
          <w:sz w:val="14"/>
          <w:szCs w:val="14"/>
          <w:color w:val="auto"/>
        </w:rPr>
      </w:pPr>
    </w:p>
    <w:p>
      <w:pPr>
        <w:ind w:left="820" w:right="80" w:hanging="407"/>
        <w:spacing w:after="0" w:line="282" w:lineRule="auto"/>
        <w:tabs>
          <w:tab w:leader="none" w:pos="8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18, 2019, the Company’s joint venture in One Westside placed a construction loan on the property that allows for borrowing of up to $414.6 million, bears interest at LIBOR plus 1.70%, which can be reduced to LIBOR plus 1.50% upon the completion of certain conditions, and matures on December 18, 2024.</w:t>
      </w:r>
    </w:p>
    <w:p>
      <w:pPr>
        <w:spacing w:after="0" w:line="94" w:lineRule="exact"/>
        <w:rPr>
          <w:rFonts w:ascii="Times New Roman" w:cs="Times New Roman" w:eastAsia="Times New Roman" w:hAnsi="Times New Roman"/>
          <w:sz w:val="14"/>
          <w:szCs w:val="14"/>
          <w:color w:val="auto"/>
        </w:rPr>
      </w:pPr>
    </w:p>
    <w:p>
      <w:pPr>
        <w:ind w:left="820" w:right="120" w:hanging="407"/>
        <w:spacing w:after="0" w:line="261" w:lineRule="auto"/>
        <w:tabs>
          <w:tab w:leader="none" w:pos="8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17, 2020, the Company’s joint venture in Tysons VITA, the residential tower at Tysons Corner Center, placed a new $95.0 million loan on the property that bears interest at an effective rate of 3.43% and matures on January 1, 2030. Initial loan funding for the Company’s joint venture was $90.0 million with future advance potential of up to $5.0 million.</w:t>
      </w:r>
    </w:p>
    <w:p>
      <w:pPr>
        <w:spacing w:after="0" w:line="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is currently involved in any material legal proceedings.</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1"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and traded on the New York Stock Exchange under the symbol "MAC". The common stock began trading on March 10, 1994 at a price of $19 per share. As of February 22, 2021, there were approximately 625 stockholders of record.</w:t>
      </w:r>
    </w:p>
    <w:p>
      <w:pPr>
        <w:spacing w:after="0" w:line="94" w:lineRule="exact"/>
        <w:rPr>
          <w:sz w:val="20"/>
          <w:szCs w:val="20"/>
          <w:color w:val="auto"/>
        </w:rPr>
      </w:pPr>
    </w:p>
    <w:p>
      <w:pPr>
        <w:ind w:right="80" w:firstLine="445"/>
        <w:spacing w:after="0" w:line="238" w:lineRule="auto"/>
        <w:rPr>
          <w:sz w:val="20"/>
          <w:szCs w:val="20"/>
          <w:color w:val="auto"/>
        </w:rPr>
      </w:pPr>
      <w:r>
        <w:rPr>
          <w:rFonts w:ascii="Times New Roman" w:cs="Times New Roman" w:eastAsia="Times New Roman" w:hAnsi="Times New Roman"/>
          <w:sz w:val="18"/>
          <w:szCs w:val="18"/>
          <w:color w:val="auto"/>
        </w:rPr>
        <w:t>To maintain its qualification as a REIT, the Company is required each year to distribute to stockholders at least 90% of its net taxable income after certain adjustments. During 2020, the Company took numerous measures to preserve its liquidity, including paying a reduced dividend in the second, third and fourth quarters. Other than its dividend declared in March 2020 and paid in June 2020, which was paid in a combination of cash and shares of its common stock, the Company paid all of its 2020 and 2019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graph provides a comparison, from December 31, 2015 through December 31, 2020,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10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graph assumes that the value of the investment in each of the Company's common stock and the indices was $100 at the close of the market on December 31, 2015.</w:t>
      </w:r>
    </w:p>
    <w:p>
      <w:pPr>
        <w:spacing w:after="0" w:line="81"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102870</wp:posOffset>
            </wp:positionV>
            <wp:extent cx="5631815"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181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Copyright© 2021 S&amp;P, a division of The McGraw-Hill Companies Inc. All rights reserved.</w:t>
      </w:r>
    </w:p>
    <w:p>
      <w:pPr>
        <w:spacing w:after="0" w:line="183" w:lineRule="exact"/>
        <w:rPr>
          <w:sz w:val="20"/>
          <w:szCs w:val="20"/>
          <w:color w:val="auto"/>
        </w:rPr>
      </w:pPr>
    </w:p>
    <w:tbl>
      <w:tblPr>
        <w:tblLayout w:type="fixed"/>
        <w:tblInd w:w="1420" w:type="dxa"/>
        <w:tblCellMar>
          <w:top w:w="0" w:type="dxa"/>
          <w:left w:w="0" w:type="dxa"/>
          <w:bottom w:w="0" w:type="dxa"/>
          <w:right w:w="0" w:type="dxa"/>
        </w:tblCellMar>
      </w:tblPr>
      <w:tr>
        <w:trPr>
          <w:trHeight w:val="176"/>
        </w:trPr>
        <w:tc>
          <w:tcPr>
            <w:tcW w:w="27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12/31/15</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12/31/16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12/31/17</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12/31/18</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12/31/19</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12/31/20</w:t>
            </w: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Macerich Company</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88.58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82.13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S&amp;P Midcap 400 Index</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120.74</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140.35</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124.80</w:t>
            </w: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157.49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179.00</w:t>
            </w: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FTSE Nareit Equity Retail Index</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96.13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91.36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101.09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right="2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vMerge w:val="restart"/>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Plans or Programs (1)</w:t>
            </w:r>
          </w:p>
        </w:tc>
        <w:tc>
          <w:tcPr>
            <w:tcW w:w="0" w:type="dxa"/>
            <w:vAlign w:val="bottom"/>
          </w:tcPr>
          <w:p>
            <w:pPr>
              <w:spacing w:after="0"/>
              <w:rPr>
                <w:sz w:val="1"/>
                <w:szCs w:val="1"/>
                <w:color w:val="auto"/>
              </w:rPr>
            </w:pPr>
          </w:p>
        </w:tc>
      </w:tr>
      <w:tr>
        <w:trPr>
          <w:trHeight w:val="22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2020 to October 31, 2020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2020 to November 30, 2020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2020 to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1220" w:hanging="564"/>
        <w:spacing w:after="0" w:line="280" w:lineRule="auto"/>
        <w:tabs>
          <w:tab w:leader="none" w:pos="1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4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following sets forth selected financial data for the Company on a historical basis. The following data should be read in conjunction with the consolidated financial statements (and the notes thereto) of the Company and "Management's Discussion and Analysis of Financial Condition and Results of Operations," each included elsewhere in this Form 10-K. All dollars and share amounts are in thousands, except per share data.</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4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8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DATA:</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 (1)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740,323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858,874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970,119</w:t>
            </w: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31,688</w:t>
            </w: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23,461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40,709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39,464</w:t>
            </w:r>
          </w:p>
        </w:tc>
      </w:tr>
      <w:tr>
        <w:trPr>
          <w:trHeight w:val="182"/>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786,026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927,462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960,351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993,662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1,041,271</w:t>
            </w:r>
          </w:p>
        </w:tc>
      </w:tr>
      <w:tr>
        <w:trPr>
          <w:trHeight w:val="16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257,212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271,547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307,623</w:t>
            </w: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expense (1)</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11,127</w:t>
            </w: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65,576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87,196</w:t>
            </w: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28,217</w:t>
            </w: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related to shareholder activism (2)</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319,619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330,726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348,488</w:t>
            </w: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75,550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138,254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163,675</w:t>
            </w:r>
          </w:p>
        </w:tc>
      </w:tr>
      <w:tr>
        <w:trPr>
          <w:trHeight w:val="18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(gain) on extinguishment of debt, net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r>
      <w:tr>
        <w:trPr>
          <w:trHeight w:val="182"/>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773,487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859,918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934,931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930,758</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944,617</w:t>
            </w:r>
          </w:p>
        </w:tc>
      </w:tr>
      <w:tr>
        <w:trPr>
          <w:trHeight w:val="18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56,941</w:t>
            </w:r>
          </w:p>
        </w:tc>
      </w:tr>
      <w:tr>
        <w:trPr>
          <w:trHeight w:val="18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Co-venture expense (3)</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(13,382)</w:t>
            </w:r>
          </w:p>
        </w:tc>
      </w:tr>
      <w:tr>
        <w:trPr>
          <w:trHeight w:val="18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8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remeasurement of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415,348</w:t>
            </w:r>
          </w:p>
        </w:tc>
      </w:tr>
      <w:tr>
        <w:trPr>
          <w:trHeight w:val="18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554,839</w:t>
            </w:r>
          </w:p>
        </w:tc>
      </w:tr>
      <w:tr>
        <w:trPr>
          <w:trHeight w:val="18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37,844</w:t>
            </w:r>
          </w:p>
        </w:tc>
      </w:tr>
      <w:tr>
        <w:trPr>
          <w:trHeight w:val="155"/>
        </w:trPr>
        <w:tc>
          <w:tcPr>
            <w:tcW w:w="4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2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(230,203)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96,820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60,020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146,130</w:t>
            </w: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516,995</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("EPS") attributable to the Company: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(4)(5)</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38" w:name="page39"/>
    <w:bookmarkEnd w:id="38"/>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real estate (before accumulated depreciation)</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9,256,712</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8,993,049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8,878,820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9,127,533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9,209,211</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9,184,005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8,853,571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9,026,808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9,605,862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9,958,148</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mortgage and notes payable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6,038,350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5,209,976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4,982,460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5,170,264</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4,965,900</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(6)</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2,445,260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2,830,970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3,188,432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3,967,999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4,427,168</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Funds from operations ("FFO") attributable to common stockholders and</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unit holders, excluding financing expense in connection with Chandler</w:t>
            </w: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339,505</w:t>
            </w: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536,961</w:t>
            </w: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564,436</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582,878</w:t>
            </w: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642,304</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Freehold—diluted (7)</w:t>
            </w:r>
          </w:p>
        </w:tc>
        <w:tc>
          <w:tcPr>
            <w:tcW w:w="3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(used in):</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124,837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355,157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344,311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386,389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429,534</w:t>
            </w:r>
          </w:p>
        </w:tc>
        <w:tc>
          <w:tcPr>
            <w:tcW w:w="0" w:type="dxa"/>
            <w:vAlign w:val="bottom"/>
          </w:tcPr>
          <w:p>
            <w:pPr>
              <w:spacing w:after="0"/>
              <w:rPr>
                <w:sz w:val="1"/>
                <w:szCs w:val="1"/>
                <w:color w:val="auto"/>
              </w:rPr>
            </w:pPr>
          </w:p>
        </w:tc>
      </w:tr>
      <w:tr>
        <w:trPr>
          <w:trHeight w:val="189"/>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(202,848)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(112,026)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176,323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178,988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454,066</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446,454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(278,216)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(514,438)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(566,269)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(867,502)</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Centers at year end</w:t>
            </w:r>
          </w:p>
        </w:tc>
        <w:tc>
          <w:tcPr>
            <w:tcW w:w="3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Regional Shopping Centers portfolio occupancy</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89.7 %</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95.4 %</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outstanding—EPS basic</w:t>
            </w:r>
          </w:p>
        </w:tc>
        <w:tc>
          <w:tcPr>
            <w:tcW w:w="3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146,232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141,340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141,142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141,877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146,599</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outstanding—EPS diluted (5)</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146,232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141,340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141,144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141,913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146,711</w:t>
            </w:r>
          </w:p>
        </w:tc>
        <w:tc>
          <w:tcPr>
            <w:tcW w:w="0" w:type="dxa"/>
            <w:vAlign w:val="bottom"/>
          </w:tcPr>
          <w:p>
            <w:pPr>
              <w:spacing w:after="0"/>
              <w:rPr>
                <w:sz w:val="1"/>
                <w:szCs w:val="1"/>
                <w:color w:val="auto"/>
              </w:rPr>
            </w:pPr>
          </w:p>
        </w:tc>
      </w:t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per common share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93" w:lineRule="exact"/>
        <w:rPr>
          <w:sz w:val="20"/>
          <w:szCs w:val="20"/>
          <w:color w:val="auto"/>
        </w:rPr>
      </w:pPr>
    </w:p>
    <w:p>
      <w:pPr>
        <w:ind w:left="820" w:right="180" w:hanging="407"/>
        <w:spacing w:after="0" w:line="282"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w:t>
      </w:r>
    </w:p>
    <w:p>
      <w:pPr>
        <w:spacing w:after="0" w:line="94" w:lineRule="exact"/>
        <w:rPr>
          <w:rFonts w:ascii="Times New Roman" w:cs="Times New Roman" w:eastAsia="Times New Roman" w:hAnsi="Times New Roman"/>
          <w:sz w:val="14"/>
          <w:szCs w:val="14"/>
          <w:color w:val="auto"/>
        </w:rPr>
      </w:pPr>
    </w:p>
    <w:p>
      <w:pPr>
        <w:ind w:left="82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adoption of the new standard, the Company has presented all revenues associated with leases as leasing revenue on its consolidated statements of operations. For comparison purposes, the Company has reclassified minimum rents, percentage rents, tenant recoveries and other leasing income to leasing revenue for the years ended December 31, 2018, 2017 and 2016 to conform to the presentation for the years ended December 31, 2020 and 2019. The new standard requires the Company to reduce leasing revenue for credit losses associated with lease receivables. The standard also requires that the provision for bad debts relating to leases be presented as a reduction of leasing revenue. For the years ended December 31, 2018, 2017 and 2016, the provision for bad debts is included in shopping center and operating expenses.</w:t>
      </w:r>
    </w:p>
    <w:p>
      <w:pPr>
        <w:spacing w:after="0" w:line="103" w:lineRule="exact"/>
        <w:rPr>
          <w:rFonts w:ascii="Times New Roman" w:cs="Times New Roman" w:eastAsia="Times New Roman" w:hAnsi="Times New Roman"/>
          <w:sz w:val="14"/>
          <w:szCs w:val="14"/>
          <w:color w:val="auto"/>
        </w:rPr>
      </w:pPr>
    </w:p>
    <w:p>
      <w:pPr>
        <w:ind w:left="820" w:right="4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years ended, December 31, 2018, 2017 and 2016 to conform to the presentation for the years ended December 31, 2020 and 2019.</w:t>
      </w:r>
    </w:p>
    <w:p>
      <w:pPr>
        <w:spacing w:after="0" w:line="112"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7. Management's Discussion and Analysis of Financial Condition and Management's Overview and Summary—Other Transactions and Events".</w:t>
      </w:r>
    </w:p>
    <w:p>
      <w:pPr>
        <w:spacing w:after="0" w:line="149" w:lineRule="exact"/>
        <w:rPr>
          <w:rFonts w:ascii="Times New Roman" w:cs="Times New Roman" w:eastAsia="Times New Roman" w:hAnsi="Times New Roman"/>
          <w:sz w:val="14"/>
          <w:szCs w:val="14"/>
          <w:color w:val="auto"/>
        </w:rPr>
      </w:pPr>
    </w:p>
    <w:p>
      <w:pPr>
        <w:ind w:left="820" w:right="160" w:hanging="407"/>
        <w:spacing w:after="0" w:line="282"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2018, the Company incurred $19.4 million in costs associated with activities related to shareholder activism. These costs were primarily for legal and advisory services.</w:t>
      </w:r>
    </w:p>
    <w:p>
      <w:pPr>
        <w:spacing w:after="0" w:line="80" w:lineRule="exact"/>
        <w:rPr>
          <w:rFonts w:ascii="Times New Roman" w:cs="Times New Roman" w:eastAsia="Times New Roman" w:hAnsi="Times New Roman"/>
          <w:sz w:val="14"/>
          <w:szCs w:val="14"/>
          <w:color w:val="auto"/>
        </w:rPr>
      </w:pPr>
    </w:p>
    <w:p>
      <w:pPr>
        <w:ind w:left="820" w:right="140" w:hanging="407"/>
        <w:spacing w:after="0" w:line="255"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2018, upon adoption of ASU 2014-09, "Revenue From Contracts With Customers (ASC 606)", the Company changed its accounting for Chandler Freehold from a co-venture arrangement to a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112" w:lineRule="exact"/>
        <w:rPr>
          <w:rFonts w:ascii="Times New Roman" w:cs="Times New Roman" w:eastAsia="Times New Roman" w:hAnsi="Times New Roman"/>
          <w:sz w:val="14"/>
          <w:szCs w:val="14"/>
          <w:color w:val="auto"/>
        </w:rPr>
      </w:pPr>
    </w:p>
    <w:p>
      <w:pPr>
        <w:ind w:left="820" w:right="460" w:hanging="407"/>
        <w:spacing w:after="0" w:line="282"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conversion of Operating Partnership units to the extent they are dilutive to the EPS computation. It also assumes the conversion of MACWH, LP common and preferred units to the extent that they are dilutive to the EPS computation.</w:t>
      </w:r>
    </w:p>
    <w:p>
      <w:pPr>
        <w:spacing w:after="0" w:line="94" w:lineRule="exact"/>
        <w:rPr>
          <w:rFonts w:ascii="Times New Roman" w:cs="Times New Roman" w:eastAsia="Times New Roman" w:hAnsi="Times New Roman"/>
          <w:sz w:val="14"/>
          <w:szCs w:val="14"/>
          <w:color w:val="auto"/>
        </w:rPr>
      </w:pPr>
    </w:p>
    <w:p>
      <w:pPr>
        <w:ind w:left="820" w:right="480" w:hanging="407"/>
        <w:spacing w:after="0" w:line="282"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dilutive effect, if any, of share and unit-based compensation plans calculated using the treasury stock method and the dilutive effect, if any, of all other dilutive securities calculated using the "if converted" method.</w:t>
      </w:r>
    </w:p>
    <w:p>
      <w:pPr>
        <w:spacing w:after="0" w:line="80" w:lineRule="exact"/>
        <w:rPr>
          <w:rFonts w:ascii="Times New Roman" w:cs="Times New Roman" w:eastAsia="Times New Roman" w:hAnsi="Times New Roman"/>
          <w:sz w:val="14"/>
          <w:szCs w:val="14"/>
          <w:color w:val="auto"/>
        </w:rPr>
      </w:pPr>
    </w:p>
    <w:p>
      <w:pPr>
        <w:ind w:left="820" w:right="40" w:hanging="407"/>
        <w:spacing w:after="0" w:line="282" w:lineRule="auto"/>
        <w:tabs>
          <w:tab w:leader="none" w:pos="8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the noncontrolling interests in the Operating Partnership, nonredeemable noncontrolling interests in consolidated joint ventures and common and non-participating convertible preferred units of MACWH, LP.</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7. Management's Discussion and Analysis of Financial Condition and Results of Operations—Funds From Operations ("FFO")".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ind w:right="1100"/>
        <w:spacing w:after="0" w:line="42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Management's Overview and Summary</w:t>
      </w:r>
    </w:p>
    <w:p>
      <w:pPr>
        <w:spacing w:after="0" w:line="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2020, the Operating Partnership owned or had an ownership interest in 47 regional shopping centers and five community/power shopping centers. These 52 regional and community/power shopping centers (which include any related office space) consist of approximately 50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11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years ended December 31, 2020, 2019 and 2018. It compares the results of operations and cash flows for the year ended December 31, 2020 to the results of operations and cash flows for the year ended December 31, 2019. Also included is a comparison of the results of operations and cash flows for the year ended December 31, 2019 to the results of operations and cash flows for the year ended December 31, 2018. This information should be read in conjunction with the accompanying consolidated financial statements and notes thereto.</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reflect the following acquisitions, dispositions and changes in ownership subsequent to the occurrence of each transaction.</w:t>
      </w:r>
    </w:p>
    <w:p>
      <w:pPr>
        <w:spacing w:after="0" w:line="14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On February 16, 2018, the Company's joint venture in Fashion District Philadelphia sold its ownership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10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Activity"). From March 1, 2018 to the completion of the sale, the Company accounted for its interest in the property as a collaborative arrangement (See Note 15—Collaborative Arrangement of the Company's consolidated financial statements). Upon completion of the sale, the Company has accounted for its ownership interest in the property under the equity method of accounting.</w:t>
      </w:r>
    </w:p>
    <w:p>
      <w:pPr>
        <w:spacing w:after="0" w:line="124" w:lineRule="exact"/>
        <w:rPr>
          <w:sz w:val="20"/>
          <w:szCs w:val="20"/>
          <w:color w:val="auto"/>
        </w:rPr>
      </w:pPr>
    </w:p>
    <w:p>
      <w:pPr>
        <w:jc w:val="both"/>
        <w:ind w:right="520" w:firstLine="445"/>
        <w:spacing w:after="0" w:line="266" w:lineRule="auto"/>
        <w:rPr>
          <w:sz w:val="20"/>
          <w:szCs w:val="20"/>
          <w:color w:val="auto"/>
        </w:rPr>
      </w:pPr>
      <w:r>
        <w:rPr>
          <w:rFonts w:ascii="Times New Roman" w:cs="Times New Roman" w:eastAsia="Times New Roman" w:hAnsi="Times New Roman"/>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9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Activity:</w:t>
      </w:r>
    </w:p>
    <w:p>
      <w:pPr>
        <w:spacing w:after="0" w:line="16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81"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On August 31, 2018, concurrent with the sale of the ownership interest in One Westside (See "Acquisitions and Dispositions"), the Company's joint venture defeased the $140.8 million mortgage note payable on the property by providing a $149.2 million portfolio of marketable securities as replacement collateral in lieu of the property. The Company funded its $37.3 million share of the purchase price of the marketable securities portfolio with the proceeds from the sale of the ownership interest in the property.</w:t>
      </w:r>
    </w:p>
    <w:p>
      <w:pPr>
        <w:spacing w:after="0" w:line="112" w:lineRule="exact"/>
        <w:rPr>
          <w:sz w:val="20"/>
          <w:szCs w:val="20"/>
          <w:color w:val="auto"/>
        </w:rPr>
      </w:pPr>
    </w:p>
    <w:p>
      <w:pPr>
        <w:ind w:right="280" w:firstLine="445"/>
        <w:spacing w:after="0" w:line="312" w:lineRule="auto"/>
        <w:rPr>
          <w:sz w:val="20"/>
          <w:szCs w:val="20"/>
          <w:color w:val="auto"/>
        </w:rPr>
      </w:pPr>
      <w:r>
        <w:rPr>
          <w:rFonts w:ascii="Times New Roman" w:cs="Times New Roman" w:eastAsia="Times New Roman" w:hAnsi="Times New Roman"/>
          <w:sz w:val="17"/>
          <w:szCs w:val="17"/>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7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9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08"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2"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95"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0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12" w:lineRule="exact"/>
        <w:rPr>
          <w:sz w:val="20"/>
          <w:szCs w:val="20"/>
          <w:color w:val="auto"/>
        </w:rPr>
      </w:pPr>
    </w:p>
    <w:p>
      <w:pPr>
        <w:jc w:val="both"/>
        <w:ind w:right="380" w:firstLine="445"/>
        <w:spacing w:after="0" w:line="266" w:lineRule="auto"/>
        <w:rPr>
          <w:sz w:val="20"/>
          <w:szCs w:val="20"/>
          <w:color w:val="auto"/>
        </w:rPr>
      </w:pPr>
      <w:r>
        <w:rPr>
          <w:rFonts w:ascii="Times New Roman" w:cs="Times New Roman" w:eastAsia="Times New Roman" w:hAnsi="Times New Roman"/>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95"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10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08"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9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On September 15, 2020, the Company closed on a loan extension agreement for the $191.0 million loan on Danbury Fair Mall. Under the extension agreement, the original loan maturity date of October 1, 2020 was extended to April 1, 2021.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loan may be further extended to July 1, 2021, subject to certain conditions. The loan amount and interest rate are unchanged following the extension.</w:t>
      </w:r>
    </w:p>
    <w:p>
      <w:pPr>
        <w:spacing w:after="0" w:line="14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November 17, 2020, the Company’s joint venture in Tysons VITA, the residential tower at Tysons Corner Center, placed a new $95.0 million loan on the property that bears interest at an effective rate of 3.43% and matures on January 1, 2030. Initial loan funding for the Company’s joint venture was $90.0 million with future advance potential of up to $5.0 million. The Company used its share of the initial proceeds of $45.0 million for general corporate purposes.</w:t>
      </w:r>
    </w:p>
    <w:p>
      <w:pPr>
        <w:spacing w:after="0" w:line="11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On December 10, 2020, the Company made the Partnership Loan to the Company’s joint venture in Fashion District Philadelphia to fund the entirety of a $100.0 million repayment to reduce the mortgage loan on Fashion District Philadelphia from $301.0 million to $201.0 million. This mortgage loan now matures on January 22, 2024, assuming exercise of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(See Note 16–Consolidated Joint Venture and Acquisitions of the Company’s Consolidated Financial Statements).</w:t>
      </w:r>
    </w:p>
    <w:p>
      <w:pPr>
        <w:spacing w:after="0" w:line="120"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15, 2020, the Company closed on a loan extension agreement for the Fashion Outlets of Niagara $101.5 million loan. Under the extension agreement the original loan maturity date of October 6, 2020 was extended to October 6, 2023. The loan amount and interest rate are unchanged following the extension.</w:t>
      </w:r>
    </w:p>
    <w:p>
      <w:pPr>
        <w:spacing w:after="0" w:line="9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 At December 31, 2020, the Company’s pro rata share of the loan is $102.6 million.</w:t>
      </w:r>
    </w:p>
    <w:p>
      <w:pPr>
        <w:spacing w:after="0" w:line="108" w:lineRule="exact"/>
        <w:rPr>
          <w:sz w:val="20"/>
          <w:szCs w:val="20"/>
          <w:color w:val="auto"/>
        </w:rPr>
      </w:pPr>
    </w:p>
    <w:p>
      <w:pPr>
        <w:ind w:right="500" w:firstLine="445"/>
        <w:spacing w:after="0" w:line="266" w:lineRule="auto"/>
        <w:rPr>
          <w:sz w:val="20"/>
          <w:szCs w:val="20"/>
          <w:color w:val="auto"/>
        </w:rPr>
      </w:pPr>
      <w:r>
        <w:rPr>
          <w:rFonts w:ascii="Times New Roman" w:cs="Times New Roman" w:eastAsia="Times New Roman" w:hAnsi="Times New Roman"/>
          <w:sz w:val="18"/>
          <w:szCs w:val="18"/>
          <w:color w:val="auto"/>
        </w:rPr>
        <w:t>On January 22, 2021, the Company closed on a one-year extension for Green Acres Mall $270.6 million loan to February 3, 2022, which also includes a one-year extension to February 3, 2023. The interest rate remained unchanged, and the Company repaid $9 million of the outstanding loan balance at closing.</w:t>
      </w:r>
    </w:p>
    <w:p>
      <w:pPr>
        <w:spacing w:after="0" w:line="108" w:lineRule="exact"/>
        <w:rPr>
          <w:sz w:val="20"/>
          <w:szCs w:val="20"/>
          <w:color w:val="auto"/>
        </w:rPr>
      </w:pPr>
    </w:p>
    <w:p>
      <w:pPr>
        <w:ind w:right="500" w:firstLine="44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$28.1 million and $36.9 million was repaid in the three months and twelve months ended December 31, 2020, respectively; and the remaining balance has now been fully repaid during the first quarter of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Activity:</w:t>
      </w:r>
    </w:p>
    <w:p>
      <w:pPr>
        <w:spacing w:after="0" w:line="16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$77.7 million of the total $310.9 million incurred by the joint venture as of December 31, 2020. The joint venture expects to fund the remaining costs of the development with its new $414.6 million construction loan (See "Financing Activities").</w:t>
      </w:r>
    </w:p>
    <w:p>
      <w:pPr>
        <w:spacing w:after="0" w:line="116"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$37.7 million of the total $75.4 million incurred by the joint venture as of December 31, 2020.</w:t>
      </w:r>
    </w:p>
    <w:p>
      <w:pPr>
        <w:spacing w:after="0" w:line="95"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$37.5 million at its pro rata share as of December 31, 2020.</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6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January 1, 2018, upon adoption of ASU 2014-09, "Revenue From Contracts With Customers, (ASC 606)", the Company changed its accounting for Chandler Freehold from a co-venture arrangement to a financing arrangement ("Financing Arrangement"). As a result, the Company no longer records co-venture expense for its partner's share of the income of Chandler Freehold. Under the Financing Arrangement, the Company recognizes interest expense on (i) the changes in fair value of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ind w:right="240"/>
        <w:spacing w:after="0" w:line="282" w:lineRule="auto"/>
        <w:rPr>
          <w:sz w:val="20"/>
          <w:szCs w:val="20"/>
          <w:color w:val="auto"/>
        </w:rPr>
      </w:pPr>
      <w:r>
        <w:rPr>
          <w:rFonts w:ascii="Times New Roman" w:cs="Times New Roman" w:eastAsia="Times New Roman" w:hAnsi="Times New Roman"/>
          <w:sz w:val="18"/>
          <w:szCs w:val="18"/>
          <w:color w:val="auto"/>
        </w:rPr>
        <w:t>Financing Arrangement obligation, (ii) any payments to the joint venture partner equal to their pro rata share of net income and (iii) any payments to the joint venture partner less than or in excess of their pro rata share of net income.</w:t>
      </w:r>
    </w:p>
    <w:p>
      <w:pPr>
        <w:spacing w:after="0" w:line="8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On February 1 and 2, 2018, the Company reduced its workforce by approximately 10 percent. The Company incurred a one-time charge of $12.7 million in connection with the workforce reduction during the year ended December 31, 2018. As a result of the workforce reduction, the Company, exclusive of the one-time charge, reduced expenses by approximately $10.0 million during the year ending December 31, 2018.</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2018, the Company incurred $19.4 million in costs associated with activities related to shareholder activism.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primarily for legal and advisory services.</w:t>
      </w:r>
    </w:p>
    <w:p>
      <w:pPr>
        <w:spacing w:after="0" w:line="13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0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Upon adoption of the new standard, the Company has presented all revenues associated with leases as leasing revenue on its consolidated statements of operations. For comparison purposes, the Company has reclassified minimum rents, percentage rents, tenant recoveries and other leasing income to leasing revenue for the year ended December 31, 2018 to conform to the presentation for the years ended December 31, 2020 and 2019. The new standard requires the Company to reduce leasing revenue for credit losses associated with lease receivables. For the year ended December 31, 2018, the provision for bad debts is included in shopping center and operating expenses. In addition, straight-line rent receivables are written off when the Company believes there is reasonable uncertainty regarding a tenant's ability to complete the term of the lease. As a result, the Company recognized a cumulative effect adjustment of $2.2 million upon adoption for the write off of straight-line rent receivables of tenants that were in litigation or bankruptcy.</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year ended December 31, 2018 to conform to the presentation for the years ended December 31, 2020 and 2019.</w:t>
      </w:r>
    </w:p>
    <w:p>
      <w:pPr>
        <w:spacing w:after="0" w:line="11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As of October 7, 2020, all of the Company’s properties resumed operations and have remained open since that time, including Queens Center and Kings Plaza in New York City, which re-opened in early September 2020 after being closed since March 2020, and nine indoor California malls that had previously re-opened in May and early June 2020, but were closed for a second time in July 2020 pursuant to a statewide mandate. Those nine indoor California malls include Fresno Fashion Fair, Inland Center, Pacific View, The Mall at Victor Valley, The Oaks and Vintage Faire Mall, each of which re-opened in late August 2020, and Lakewood Center, Los Cerritos Center and Stonewood Center, each of which re-opened on October 7, 2020. All Centers have been open and operating since October 7, 2020, and government mandated restrictions have generally been eased during 2021.</w:t>
      </w:r>
    </w:p>
    <w:p>
      <w:pPr>
        <w:spacing w:after="0" w:line="111"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The Company continues to work with all of its stakeholders to mitigate the impact of COVID-19. The Company has developed and implemented a long list of operational protocols based on Centers for Disease Control and Prevention recommendations designed to ensure the safety of its employees, tenants, service providers and shoppers. Those measures include among others: the use of sophisticated air filtration systems to increase air circulation and outside air flow and ventilation, significantly intensified cleaning and sanitizing procedures with special focus on high-touch and traffic areas, highly visible and accessible self-service sanitizing stations, providing masks at all properties as needed and requiring mask-wearing at nearly all properties in compliance with state and local requirements, touchless entries, social distance queuing including the use of digital technologies, path of travel guidelines including vertical transportation and deliveries, furniture placement and the use of sophisticated traffic-counting technology to ensure that its properties adhere to any relevant regulatory capacity constraints. The Company’s indoor properties feature vast interior common areas, most with two to three story ceiling clearances, ample floor space and a comfortable environment to practice effective social distancing even during peak retail periods. The Company provides round-the-clock security to enforce policies and regulations, to discourage congregation and to encourage proper distancing. Each property deploys robust messaging to inform all of the Company’s stakeholders of 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color w:val="auto"/>
        </w:rPr>
        <w:t>operating standards and requirements within a multi-media platform that includes abundant on premise signage, digital and social messaging, and information within its property and corporate websites. The Company believes that, due to the quality of design and construction of its malls, it will be able to continue to provide a safe indoor environment for its employees, tenants, service providers and shoppers. Although the Company has incurred, and will continue to incur, some incremental costs associated with COVID-19 operating protocols and programs, these costs have not been, and are not anticipated to be, significant.</w:t>
      </w:r>
    </w:p>
    <w:p>
      <w:pPr>
        <w:spacing w:after="0" w:line="10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While the ultimate adverse impact of this outbreak is unknown at this time, the Company’s financial condition and the results of its operations have been negatively impacted, as certain tenants delayed rent payments during the fourth quarter of 2020 and some tenants have continued to request delayed or reduced rent payments for January and beyond. See "Outlook" in Results of Operations for a further discussion of the forward-looking impact of COVID-19 and the Company's strategic plan to mitigate the anticipated negative impact on its financial condition and results of operations.</w:t>
      </w:r>
    </w:p>
    <w:p>
      <w:pPr>
        <w:spacing w:after="0" w:line="11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represents a reduction from the Company’s first quarter dividend, and was paid in a combination of cash and shares of common stock to preserve liquidity in light of the impact and uncertainty arising out of the COVID-19 outbreak. On July 24, 2020, the Company declared a further reduced third quarter cash dividend of $0.15 per share of its common stock, which was paid in cash on September 8, 2020 to stockholders of record on August 19, 2020. On October 29, 2020, the Company declared a fourth quarter cash dividend of $0.15 per share of its common stock, which was paid on December 3, 2020 to stockholders of record on November 9, 2020. On January 28, 2021, the Company declared a first quarter cash dividend of $0.15 per share of its common stock, which will be paid on March 3, 2021 to stockholders of record on February 19, 2021. The dividend amount will be reviewed by the Board on a quarterly basis. See “Liquidity and Capital Resources” for a further discussion of the Company’s anticipated liquidity needs, and the measures taken by the Company to meet those needs.</w:t>
      </w:r>
    </w:p>
    <w:p>
      <w:pPr>
        <w:spacing w:after="0" w:line="12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On December 31, 2020, the Company and its joint venture partner, Seritage,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Seritage. The joint venture partners agreed that the distributed properties were of equal value. The Company now owns 100% of the former Sears parcel at South Plains Mall. Effective December 31, 2020, the Company consolidates its 100% interest in the Sears parcel at South Plains Mall in the Company’s consolidated financial statements (See Note 16– Consolidated Joint Venture and Acquisitions of the Company’s consolidated financial statements).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60"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3% to 18%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6"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4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124"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9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5" w:name="page46"/>
    <w:bookmarkEnd w:id="45"/>
    <w:p>
      <w:pPr>
        <w:ind w:right="180"/>
        <w:spacing w:after="0" w:line="256" w:lineRule="auto"/>
        <w:rPr>
          <w:sz w:val="20"/>
          <w:szCs w:val="20"/>
          <w:color w:val="auto"/>
        </w:rPr>
      </w:pPr>
      <w:r>
        <w:rPr>
          <w:rFonts w:ascii="Times New Roman" w:cs="Times New Roman" w:eastAsia="Times New Roman" w:hAnsi="Times New Roman"/>
          <w:sz w:val="18"/>
          <w:szCs w:val="18"/>
          <w:color w:val="auto"/>
        </w:rPr>
        <w:t>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06"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0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108"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For the comparison of the year ended December 31, 2020 to the year ended December 31, 2019 and the comparison of the year ended December 31, 2019 to the year ended December 31, 2018, the Redevelopment Properties are Paradise Valley Mall and certain ground up developments.</w:t>
      </w:r>
    </w:p>
    <w:p>
      <w:pPr>
        <w:spacing w:after="0" w:line="81"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For the comparison of the year ended December 31, 2020 to the year ended December 31, 2019, the JV Transition Centers are Fashion District Philadelphia and Sears South Plains. For the comparison of the year ended December 31, 2019 to the year ended December 31, 2018, the JV Transition Centers is One Westside. The change in revenues and expenses at the JV Transition Centers is primarily due to the conversion of Fashion District Philadelphia from an Unconsolidated Joint Venture Center to a Consolidated Center (See Note 16–Consolidated Joint Venture and Acquisitions in the Company's Notes to the Consolidated Financial Statements).</w:t>
      </w:r>
    </w:p>
    <w:p>
      <w:pPr>
        <w:spacing w:after="0" w:line="11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For comparison of the year ended December 31, 2020 to the year ended December 31, 2019 and the comparison of the year ended December 31, 2019 to the year ended December 31, 2018, the Disposition Property is Promenade at Casa Grande</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income of unconsolidated joint ventures.</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Tenant sales per square foot were $801 for the twelve months ended December 31, 2019. Given the widespread closure of the majority of the Company's tenants during April and portions of May through October 2020 as a result of COVID-19 (See "Other Transactions and Events" in Management's Overview and Summary), the tenant sales per square foot metric is not available for the twelve months ended December 31, 2020. However, given the majority of the Company’s Centers were open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6" w:name="page47"/>
    <w:bookmarkEnd w:id="46"/>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2020, the Company is able to provide a comparable tenant sales measurement for the fourth quarter. Comparable tenant sales declined approximately 16% during the three months ended December 31, 2020 compared to the same period during 2019.</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leased occupancy rate decreased from 94.0% at December 31, 2019 to 89.7% at December 31, 2020. Releasing spreads declined as the Company executed leases at an average rent of $50.69 for new and renewal leases executed compared to $52.60 on leases expiring, resulting in a releasing spread of $1.91 per square foot representing a 3.6% decrease for the trailing twelve months ended December 31, 2020.</w:t>
      </w:r>
    </w:p>
    <w:p>
      <w:pPr>
        <w:spacing w:after="0" w:line="1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2021, however, the Company cannot be certain of the impact that COVID-19 will have on its ability to sign, renew or replace leases expiring in 2021 or beyond. These leases that are scheduled to expire represent approximately 1.0 million square feet of the Centers, accounting for 16.3% of the GLA of mall stores and freestanding stores, for spaces 10,000 square feet and under, as of December 31, 2020. These calculations exclude Centers under development or redevelopment and property dispositions (See "Acquisitions and Dispositions" and "Redevelopment and Development Activities" in Management's Overview and Summary), and include square footage of Centers owned by joint ventures at the Company’s share.</w:t>
      </w:r>
    </w:p>
    <w:p>
      <w:pPr>
        <w:spacing w:after="0" w:line="12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2021 lease expirations continue to be an important focal point for the Company. The Company now has commitments on 60% of the remaining 2021 expiring square footage with another 40% in the letter of intent stage, disregarding leases for stores that have closed or for stores that tenants have indicated they intend to close.</w:t>
      </w:r>
    </w:p>
    <w:p>
      <w:pPr>
        <w:spacing w:after="0" w:line="9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Company has entered into 80 leases for new stores totaling approximately 494,000 square feet that have opened or are planned for opening in 2021. While there may be additional new store openings in 2021, any such leases are not yet executed.</w:t>
      </w:r>
    </w:p>
    <w:p>
      <w:pPr>
        <w:spacing w:after="0" w:line="9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During the trailing twelve months ended December 31, 2020, the Company signed 141 new leases and 426 renewal leases comprising approximately 2.1 million square feet of GLA, of which 1.3 million square feet is related to the consolidated Centers. The average tenant allowance was $11.43 per square foot. The majority of the Company's COVID-19 related lease amendments are excluded from these numbers.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Shopping Centers. Although the Company believes that overall regional shopping center fundamentals in its markets appear to be improving, the Company expects that its results for 2021 will be negatively impacted by the COVID-19 pandemic, Anchor closures and tenant bankruptcies, among other factors.</w:t>
      </w:r>
    </w:p>
    <w:p>
      <w:pPr>
        <w:spacing w:after="0" w:line="11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All Centers have been open and operating since October 7, 2020, and government mandated restrictions have generally been eased during 2021. As a result of COVID-19 (See "Other Transactions and Events" in Management's Overview and Summary) and subsequent government mandates, all but a few of the Company’s Centers closed in March 2020, except for the continued operation of essential retail and services. In total, approximately 74% of the gross leasable area, which was previously occupied prior to the COVID-19 closures, was closed during this time. As of October 7, 2020, all of the Company’s properties resumed operations and have remained open since that time, including Queens Center and Kings Plaza in New York City, which re-opened in early September 2020 after being closed since March 2020, and nine indoor California malls that had previously re-opened in May and early June 2020, but were closed for a second time in July 2020 pursuant to a statewide mandate. Those nine indoor California malls include Fresno Fashion Fair, Inland Center, Pacific View, The Mall at Victor Valley, The Oaks and Vintage Faire Mall, each of which re-opened in late August 2020, and Lakewood Mall, Los Cerritos Center and Stonewood Mall, each of which re-opened on October 7, 2020.</w:t>
      </w:r>
    </w:p>
    <w:p>
      <w:pPr>
        <w:spacing w:after="0" w:line="12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Company’s rent collections were initially negatively impacted in the second and third quarters of 2020 but have significantly improved as the year progressed. The Company collected approximately 89% of rents billed for the three months ended September 30, 2020, and 93% of rents billed for the three months ended December 31, 2020. The Company has collected approximately 89% of rents billed for January 2021. The Company continues to make significant progress in its negotiations with national and local tenants to secure rental payments, despite a significant portion of the Company’s tenants requesting rental assistance, whether in the form of deferral or rent reduction. For example (in each case, based on gross rent), of the nearly 200 national tenants in the Company’s portfolio, the Company has agreed to repayment terms with and/or received payments from approximately 93%, the Company is negotiating terms with another 1%, approximately 2% have filed bankruptcy and have either liquidated or plan to liquidate their entire store fleet and the balance are unresolved at this time. The lease amendments negotiated by the Company have resulted in a combination of rent payment deferrals extending into 2021 and rent abatements. The majority of the Company’s leases require continued payment of rent by the Company’s tenants during the period of government mandated closures caused by COVID-19. Many of the Company’s leases contain co-tenancy clauses, which provide for reduced rent and/or termination rights if Anchors close and/or occupancy falls below threshold levels.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7" w:name="page48"/>
    <w:bookmarkEnd w:id="47"/>
    <w:p>
      <w:pPr>
        <w:spacing w:after="0" w:line="261" w:lineRule="auto"/>
        <w:rPr>
          <w:sz w:val="20"/>
          <w:szCs w:val="20"/>
          <w:color w:val="auto"/>
        </w:rPr>
      </w:pPr>
      <w:r>
        <w:rPr>
          <w:rFonts w:ascii="Times New Roman" w:cs="Times New Roman" w:eastAsia="Times New Roman" w:hAnsi="Times New Roman"/>
          <w:sz w:val="18"/>
          <w:szCs w:val="18"/>
          <w:color w:val="auto"/>
        </w:rPr>
        <w:t>Company does not believe that the temporary closures of Anchors or other tenants during the COVID-19 stay-at-home mandates have triggered co-tenancy clauses within its leases. However, certain Anchor or small tenant closures have become permanent following the re-opening of the Company's properties, and co-tenancy clauses within certain leases may be triggered as a result. The Company does not anticipate the negative impact of such clauses on lease revenue will be significant.</w:t>
      </w:r>
    </w:p>
    <w:p>
      <w:pPr>
        <w:spacing w:after="0" w:line="9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During 2020, there were 42 bankruptcy filings involving the Company’s tenants, totaling 323 leases and involving approximately 6.0 million square feet and $85.8 million of annual leasing revenue at the Company’s share. The Company anticipates that there may likely be further bankruptcy filings by tenants at the Company’s properties, which are accelerated as a result of general conditions caused by COVID-19.</w:t>
      </w:r>
    </w:p>
    <w:p>
      <w:pPr>
        <w:spacing w:after="0" w:line="10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its prior filings with the SEC, the Company has submitted recovery claims under its insurance coverage due to business interruption from COVID-19. As of December 31, 2020, the Company does not believe it is likely that it will be able to collect on these claims given the facts and circumstances regarding the COVID-19 pandemic.</w:t>
      </w:r>
    </w:p>
    <w:p>
      <w:pPr>
        <w:spacing w:after="0" w:line="10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a negative impact to its leasing revenue and the occupancy rates at its Centers due to COVID-19. For the twelve months ended December 31, 2020, leasing revenue decreased by approximately 13%, including joint ventures at the Company’s share, compared to the twelve months ended December 31, 2019. As of December 31, 2020, the leased occupancy rate decreased to 89.7% from 94.0% at December 31, 2019. The Company anticipates a further decline to occupancy rates from tenant bankruptcies and pre-lease termination abandonments by certain tenants. In addition, the volume of leasing transactions declined significantly in the second and third quarters of 2020, however the Company saw significant improvement during the fourth quarter in tenant openings and leasing activity. During the fourth quarter of 2020, the Company entered into 217 leases for approximately 900,000 square feet, which was only approximately 10% less square footage than was signed pre-COVID-19 within the fourth quarter of 2019.</w:t>
      </w:r>
    </w:p>
    <w:p>
      <w:pPr>
        <w:spacing w:after="0" w:line="11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During this period of disrupted rent collections due to COVID-19, the Company has taken numerous measures to preserve its liquidity, including among others:</w:t>
      </w:r>
    </w:p>
    <w:p>
      <w:pPr>
        <w:spacing w:after="0" w:line="94" w:lineRule="exact"/>
        <w:rPr>
          <w:sz w:val="20"/>
          <w:szCs w:val="20"/>
          <w:color w:val="auto"/>
        </w:rPr>
      </w:pPr>
    </w:p>
    <w:p>
      <w:pPr>
        <w:ind w:right="180" w:firstLine="453"/>
        <w:spacing w:after="0" w:line="261"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drawn the majority of the remaining capacity on its $1.5 billion revolving line of credit. As of December 31, 2020, the Company had approximately $555 million of cash, including its pro rata share from its unconsolidated joint ventures. The Company will incur additional interest expense during the period that it continues to carry higher than normal cash balances on its consolidated balance sheet. The period of continued cash retention is uncertain at this time.</w:t>
      </w:r>
    </w:p>
    <w:p>
      <w:pPr>
        <w:spacing w:after="0" w:line="112" w:lineRule="exact"/>
        <w:rPr>
          <w:rFonts w:ascii="Times New Roman" w:cs="Times New Roman" w:eastAsia="Times New Roman" w:hAnsi="Times New Roman"/>
          <w:sz w:val="18"/>
          <w:szCs w:val="18"/>
          <w:color w:val="auto"/>
        </w:rPr>
      </w:pPr>
    </w:p>
    <w:p>
      <w:pPr>
        <w:ind w:firstLine="453"/>
        <w:spacing w:after="0" w:line="255"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a reduced quarterly dividend of $0.50 per share of its common stock on June 3, 2020, in a combination of 20% cash and 80% of shares of the Company’s common stock. On July 24, 2020, the Company declared a further reduced third quarter cash dividend of $0.15 per share of its common stock, which was paid in cash on September 8, 2020 to stockholders of record on August 19, 2020. On October 29, 2020, the Company declared a fourth quarter cash dividend of $0.15 per share of its common stock, which was paid on December 3, 2020 to stockholders of record on November 9, 2020. On January 28, 2021, the Company declared a first quarter dividend of $0.15 per share of its common stock, which will be paid on March 3, 2021 to stockholders of record on February 19, 2021. When annualizing the current dividend rate of $0.15 per share for four quarters, the Company would retain over $350 million of cash relative to the 2019 dividend level of $3.00 per share of common stock.</w:t>
      </w:r>
    </w:p>
    <w:p>
      <w:pPr>
        <w:spacing w:after="0" w:line="107" w:lineRule="exact"/>
        <w:rPr>
          <w:rFonts w:ascii="Times New Roman" w:cs="Times New Roman" w:eastAsia="Times New Roman" w:hAnsi="Times New Roman"/>
          <w:sz w:val="18"/>
          <w:szCs w:val="18"/>
          <w:color w:val="auto"/>
        </w:rPr>
      </w:pPr>
    </w:p>
    <w:p>
      <w:pPr>
        <w:ind w:right="480" w:firstLine="453"/>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spent approximately $100 million less in 2020 on redevelopment relative to its original pre-COVID-19 plans, and anticipates spending less than $100 million in 2021 on redevelopment, excluding One Westside which is fully funded by a construction loan facility.</w:t>
      </w:r>
    </w:p>
    <w:p>
      <w:pPr>
        <w:spacing w:after="0" w:line="94" w:lineRule="exact"/>
        <w:rPr>
          <w:rFonts w:ascii="Times New Roman" w:cs="Times New Roman" w:eastAsia="Times New Roman" w:hAnsi="Times New Roman"/>
          <w:sz w:val="18"/>
          <w:szCs w:val="18"/>
          <w:color w:val="auto"/>
        </w:rPr>
      </w:pPr>
    </w:p>
    <w:p>
      <w:pPr>
        <w:ind w:right="320" w:firstLine="453"/>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planned 2020 capital expenditures at its properties by approximately 64% down to approximately $16 million at the Company’s share.</w:t>
      </w:r>
    </w:p>
    <w:p>
      <w:pPr>
        <w:spacing w:after="0" w:line="94"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controllable shopping center expenses by approximately $19 million in 2020 at the Company’s share.</w:t>
      </w:r>
    </w:p>
    <w:p>
      <w:pPr>
        <w:spacing w:after="0" w:line="144" w:lineRule="exact"/>
        <w:rPr>
          <w:rFonts w:ascii="Times New Roman" w:cs="Times New Roman" w:eastAsia="Times New Roman" w:hAnsi="Times New Roman"/>
          <w:sz w:val="18"/>
          <w:szCs w:val="18"/>
          <w:color w:val="auto"/>
        </w:rPr>
      </w:pPr>
    </w:p>
    <w:p>
      <w:pPr>
        <w:ind w:right="260" w:firstLine="453"/>
        <w:spacing w:after="0" w:line="261"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$28.1 million and $36.9 million was repaid in the three months and twelve months ended December 31, 2020, respectively; and the remaining balance has now been fully repaid during the first quarter of 2021.</w:t>
      </w:r>
    </w:p>
    <w:p>
      <w:pPr>
        <w:spacing w:after="0" w:line="11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During 2021, the Company expects to generate significant cash flow from operations after recurring operating capital expenditures, leasing capital expenditures and after dividend. This assumption does not include any potential capital generated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from dispositions, refinancings or issuances of common equity. This surplus will be used to de-lever as well as to fund our development pipeline.</w:t>
      </w:r>
    </w:p>
    <w:p>
      <w:pPr>
        <w:spacing w:after="0" w:line="14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Given the continued disruption and uncertainties from COVID-19 and the impact on the capital markets, the Company does not anticipate it will be able to refinance its near-term maturing mortgages. As a result, the Company has secured short-term extensions of its near-term maturing non-recourse mortgage loans on Danbury Fair Mall, Fashion Outlets of Niagara, FlatIron Crossing and Green Acres Mall, and the Company is in the process of securing a two-year extension on Green Acres Commons (See "Financing Activities" in Management's Overview and Summary).</w:t>
      </w:r>
    </w:p>
    <w:p>
      <w:pPr>
        <w:spacing w:after="0" w:line="11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is currently in negotiations with lenders for a new credit facility to replace its existing credit facility that expires on July 6, 2021. While the Company cannot predict what the terms of any new facility will be, it may include a lower lending commitment and require security. Any final terms of a new credit facility are subject to ongoing negotiations and may change.</w:t>
      </w:r>
    </w:p>
    <w:p>
      <w:pPr>
        <w:spacing w:after="0" w:line="10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Rising interest rates could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In today’s decreasing interest rate environment, the swap agreements that the Company has entered into have resulted in increases in interest expense. Those swap agreements expire in September 2021.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2020 and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Leasing revenue decreased by $118.6 million, or 13.8%, from 2019 to 2020. The decrease in leasing revenue is attributed to decreases of $116.7 million from the Same Centers, $2.7 million from the Redevelopment Properties and $0.5 million from the Disposition Property offset in part by $1.3 million from the JV Transition Centers. Leasing revenue includes the amortization of above and below-market leases, the amortization of straight-line rents, lease termination income and the provision for bad debts. The amortization of above and below-market leases decreased from $5.2 million in 2019 to $2.1 million in 2020. The amortization of straight-line rents increased from $10.5 million in 2019 to $24.8 million in 2020. Lease termination income increased from $4.7 million in 2019 to $8.3 million in 2020. Provision for bad debts increased from $7.7 million in 2019 to $44.3 million in 2020. The increase in bad debt expense is a result of the Company assessing collectability by tenant and determining that it was no longer probable that substantially all leasing revenue would be collected from certain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11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Other income decreased from $27.9 million in 2019 to $22.2 million in 2020. The decrease is primarily a decline in parking garage income due to the closures of properties as a result of COVID-19 (See "Other Transactions and Events" in Management's Overview and Summary).</w:t>
      </w:r>
    </w:p>
    <w:p>
      <w:pPr>
        <w:spacing w:after="0" w:line="9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Management Companies' revenue decreased from $40.7 million in 2019 to $23.5 million in 2020 due to a decrease in management fees, development fees and interest income due to the collection of notes receivable in 2019.</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46"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Shopping center and operating expenses decreased $14.3 million, or 5.3%, from 2019 to 2020. The decrease in shopping center and operating expenses is attributed to decreases of $14.6 million from the Same Centers and $0.8 million from the Redevelopment Properties offset in part by $0.6 million from the Disposition Property and $0.5 million from the JV Transition Centers. The decrease in shopping center and operating expenses at the Same Centers is primarily the result of COVID-19 (See "Other Transactions and Events" in Management's Overview and Summary).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decreased from $29.6 million in 2019 to $25.2 million in 2020 due to less leasing activity in 2020.</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operating expenses decreased $1.2 million from 2019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general and administrative expenses increased $7.7 million from 2019 to 2020 due to an increase in compensation and consulting expense.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$11.1 million from 2019 to 2020. The decrease in depreciation and amortization is primarily attributed to a decrease of $13.1 million from the Same Centers offset in part by increases of $1.3 million from the Redevelopment Properties and $0.7 million from the JV Transition Centers.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6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Interest (income) expense decreased $62.7 million from 2019 to 2020. The decrease in interest (income) expense is attributed to a decrease of $72.8 million from the Financing Arrangement (See Note 12–Financing Arrangement in the Company's Notes to the Consolidated Financial Statements), offset in part by increases of $6.3 million from the Same Centers, $3.3 million from borrowings under the line of credit and $0.5 million from the JV Transition Centers.</w:t>
      </w:r>
    </w:p>
    <w:p>
      <w:pPr>
        <w:spacing w:after="0" w:line="112"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loans on Fashion Outlets of Chicago, Chandler Fashion Center, SanTan Village Regional Center and Kings Plaza Shopping Center (See "Financing Activities" in Management's Overview and Summary).</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interest expense items are net of capitalized interest, which decreased from $9.6 million in 2019 to $5.2 million in 2020.</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Income of Unconsolidated Joint Ventures:</w:t>
      </w:r>
    </w:p>
    <w:p>
      <w:pPr>
        <w:spacing w:after="0" w:line="16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Equity in (loss) income of unconsolidated joint ventures decreased $75.5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$3.1 million in 2019 to $20.0 million in 2020.</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on Remeasurement of Assets</w:t>
      </w:r>
    </w:p>
    <w:p>
      <w:pPr>
        <w:spacing w:after="0" w:line="16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Loss on remeasurement of assets of $163.3 million relates to Fashion District Philadelphia (See Note 16–Consolidated Joint Venture and Acquisitions in the Company's Notes to the Consolidated Financial Statements).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146"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Loss on sale or write down of assets, net increased $56.2 million from 2019 to 2020. The increase in loss on sale or write down of assets, net is primarily due to the $36.7 million of impairment losses, $4.2 million write-down of non-real estate assets and $36.7 million write-down of development costs in 2020, offset in part by $16.4 million in the write-down of development costs in 2019. The impairment losses in 2020 were due to the reduction in the estimated holding periods of Wilton Mall and Paradise Valley Mall.</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60"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Net (loss) income decreased $348.0 million from 2019 to 2020. The decrease in net (loss) income is primarily the result of COVID-19 (See "Other Transactions and Events" in Management's Overview and Summary) and the loss on remeasurement of assets discussed above.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6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36.8% from $537.0 million in 2019 to $339.5 million in 2020. For a reconciliation of net (loss)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decreased $230.3 million from 2019 to 2020. The decrease is primarily due to a $96.0 million increase in tenant and other receivables, a $47.9 million decrease in other accrued liabilities and to the other</w:t>
      </w:r>
    </w:p>
    <w:p>
      <w:pPr>
        <w:sectPr>
          <w:pgSz w:w="11900" w:h="16838" w:orient="portrait"/>
          <w:cols w:equalWidth="0" w:num="1">
            <w:col w:w="11240"/>
          </w:cols>
          <w:pgMar w:left="320" w:top="10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50" w:name="page51"/>
    <w:bookmarkEnd w:id="50"/>
    <w:p>
      <w:pPr>
        <w:ind w:right="40"/>
        <w:spacing w:after="0" w:line="266" w:lineRule="auto"/>
        <w:rPr>
          <w:sz w:val="20"/>
          <w:szCs w:val="20"/>
          <w:color w:val="auto"/>
        </w:rPr>
      </w:pPr>
      <w:r>
        <w:rPr>
          <w:rFonts w:ascii="Times New Roman" w:cs="Times New Roman" w:eastAsia="Times New Roman" w:hAnsi="Times New Roman"/>
          <w:sz w:val="18"/>
          <w:szCs w:val="18"/>
          <w:color w:val="auto"/>
        </w:rPr>
        <w:t>changes in assets and liabilities and the results, as discussed above. The increase in tenant and other receivables and the decrease in other accrued liabilities is primarily attributed to a decrease in rents collected and a decrease in prepaid rent as a result of COVID-19 (See "Other Transactions and Events" in Management's Overview and Summary).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$90.8 million from 2019 to 2020. The increase in cash used in investing activities is primarily attributed to a decrease in distributions from unconsolidated joint ventures of $187.9 million, offset in part by a decrease of $121.6 million in development, redevelopment, expansion and renovation of properties.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increased $724.7 million from 2019 to 2020. The increase in cash provided by financing activities is primarily due to a decrease in payments on mortgages, bank and other notes payable of $1.5 billion and a decrease in dividends and distributions of $294.7 million which are offset by a decrease in proceeds from mortgages, bank and other notes payable of $1.1 billion. The decreases in payments on mortgages, bank and other notes payable, dividends and distributions and the proceeds from mortgages, bank and other notes payable are attributed to the Company's plan to increase liquidity in connection with COVID-19 (See "Other Transactions and Events" in Management's Overview and Summary).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2019 and 2018</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Leasing revenue decreased by $25.1 million, or 2.8%, from 2018 to 2019. The decrease in rental revenue is attributed to a decrease of $18.5 million from the Same Centers, $3.0 million from the JV Transition Center, $2.3 million from the Disposition Property and $1.3 million from the Redevelopment Properties.</w:t>
      </w:r>
    </w:p>
    <w:p>
      <w:pPr>
        <w:spacing w:after="0" w:line="108" w:lineRule="exact"/>
        <w:rPr>
          <w:sz w:val="20"/>
          <w:szCs w:val="20"/>
          <w:color w:val="auto"/>
        </w:rPr>
      </w:pPr>
    </w:p>
    <w:p>
      <w:pPr>
        <w:jc w:val="both"/>
        <w:ind w:right="260" w:firstLine="445"/>
        <w:spacing w:after="0" w:line="272" w:lineRule="auto"/>
        <w:rPr>
          <w:sz w:val="20"/>
          <w:szCs w:val="20"/>
          <w:color w:val="auto"/>
        </w:rPr>
      </w:pPr>
      <w:r>
        <w:rPr>
          <w:rFonts w:ascii="Times New Roman" w:cs="Times New Roman" w:eastAsia="Times New Roman" w:hAnsi="Times New Roman"/>
          <w:sz w:val="17"/>
          <w:szCs w:val="17"/>
          <w:color w:val="auto"/>
        </w:rPr>
        <w:t>Leasing revenue includes the amortization of above and below-market leases, the amortization of straight-line rents and lease termination income. The amortization of above and below-market leases increased from $1.9 million in 2018 to $5.2 million in 2019. The amortization of straight-line rents decreased from $11.8 million in 2018 to $10.5 million in 2019. Lease termination income decreased from $9.9 million in 2018 to $4.6 million in 2019.</w:t>
      </w:r>
    </w:p>
    <w:p>
      <w:pPr>
        <w:spacing w:after="0" w:line="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Leasing revenue also includes a provision for bad debts of $7.7 million in 2019 (See "Other Transactions and Events" in Management's Overview and Summary). The decrease in leasing revenue at the Same Centers is primarily due to the inclusion of the provision for bad debts in 2019 and a decrease in lease termination income.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revenue decreased from $43.5 million in 2018 to $40.7 million in 2019.</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60"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Shopping center and operating expenses decreased $5.9 million, or 2.1%, from 2018 to 2019. The decrease in shopping center and operating expenses is attributed to a decrease of $2.0 million from the Same Centers, $1.9 million from the JV Transition Center, $1.2 million from the Disposition Property and $0.8 million from the Redevelopment Properties. The decrease in shopping center and operating expenses at the Same Centers is primarily due to the exclusion of bad debt expense in 2019 (See "Other Transactions and Events" in Management's Overview and Summary) offset in part by an increase in property tax expense.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46"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Leasing expenses increased from $11.6 million in 2018 to $29.6 million in 2019. The increase in leasing expenses is due to the Company's adoption of ASC 842 in 2019 (See "Other Transactions and Events" in Management's Overview and Summary).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60"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Management Companies' operating expenses decreased $25.1 million from 2018 to 2019. The decrease is attributed to a one-time charge of $12.7 million in connection with the Company's reduction in work force in 2018 (See "Other Transactions and Events" in Management's Overview and Summary) and the subsequent reduction in payroll and share and unit-based compensation costs.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general and administrative expenses decreased $1.5 million from 2018 to 2019 due to a reduction in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i w:val="1"/>
          <w:iCs w:val="1"/>
          <w:color w:val="auto"/>
        </w:rPr>
        <w:t>Costs Related to Shareholder Activism:</w:t>
      </w:r>
    </w:p>
    <w:p>
      <w:pPr>
        <w:spacing w:after="0" w:line="146"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The Company incurred $19.4 million in costs related to shareholder activism in 2018 (See "Other Transactions and Events" in Management's Overview and Summary) and none in 2019.</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$3.3 million from 2018 to 2019. The increase in depreciation and amortization is primarily attributed to an increase of $5.3 million from the Same Centers offset in part by decreases of $1.3 million from the JV Transition Center and $0.7 million from the Disposition Property.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Interest expense decreased $44.7 million from 2018 to 2019. The decrease in interest expense is primarily attributed to decreases of $62.7 million from the Financing Arrangement (See "Other Transactions and Events" in Management's Overview and Summary) and $1.1 million from the JV Transition Center offset in part by increases of $12.9 million from the Same Centers, $4.4 million from borrowings under the line of credit and $1.8 million from the Redevelopment Properties.</w:t>
      </w:r>
    </w:p>
    <w:p>
      <w:pPr>
        <w:spacing w:after="0" w:line="112"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loans on Fashion Outlets of Chicago, Chandler Fashion Center, SanTan Village Regional Center and Kings Plaza Shopping Center (See "Financing Activities" in Management's Overview and Summary).</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interest expense items are net of capitalized interest, which decreased from $15.4 million in 2018 to $9.6 million in 2019.</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Income of Unconsolidated Joint Ventures:</w:t>
      </w:r>
    </w:p>
    <w:p>
      <w:pPr>
        <w:spacing w:after="0" w:line="160"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Equity in income of unconsolidated joint ventures decreased $23.3 million from 2018 to 2019. The decrease in equity in income of unconsolidated joint ventures is primarily due to the write-down of intangible assets as a result of lease terminations at the Company's joint venture with Seritage in 2019, the gain on the sale of The Market at Estrella Falls in 2018 (See "Acquisitions and Dispositions" in Management's Overview and Summary), the gain on the sale of an ownership interest in an office building at Fashion District Philadelphia in 2018 (See "Acquisitions and Dispositions" in Management's Overview and Summary) and interest expense from the loan placed on Broadway Plaza in 2018 (See "Financing Activities" in Management's Overview and Summary).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16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Loss on sale or write down of assets, net decreased $19.9 million from $31.8 million in 2018 to $11.9 million in 2019. The decrease in loss on sale or write down of assets, net is primarily due to the $54.5 million in impairment losses in 2018 and a $12.0 million decrease in the write down of development costs in 2019 offset in part by the $46.2 million gain on the sale of a 75% ownership interest in One Westside in 2018 (See "Acquisitions and Dispositions" in Management's Overview and Summary) and a $0.6 million decrease in gain on land sales in 2019. The impairment losses were due to the reduction in the estimated holding periods of SouthPark Mall, Promenade at Casa Grande, Southridge Center and two freestanding stores.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$33.6 million from 2018 to 2019. The increase in net income is primarily attributed to the decreases of $44.7 million in interest expense and $19.4 million in costs related to shareholder activism offset in part by the decrease of $19.9 million in loss on sale or write down of assets, net, as described above.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6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4.9% from $564.4 million in 2018 to $537.0 million in 2019.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ectPr>
          <w:pgSz w:w="11900" w:h="16838" w:orient="portrait"/>
          <w:cols w:equalWidth="0" w:num="1">
            <w:col w:w="11220"/>
          </w:cols>
          <w:pgMar w:left="320" w:top="10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increased $10.8 million from 2018 to 2019. The increase is primarily due to the $19.4 million in costs related to shareholder activism in 2018 (See "Other Transactions and Events" in Management's Overview and Summary) and changes in assets and liabilities and the results as discussed above.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by $288.3 million from 2018 to 2019. The increase in cash used in investing activities is primarily attributed to a decrease in distributions from unconsolidated joint ventures of $270.3 million, a decrease in proceeds from the sale of assets of $80.4 million and an increase in contributions to unconsolidated joint ventures of $71.7 million offset in part by an increase in proceeds from notes receivable of $67.8 million and decreases in development, redevelopment, expansion and renovations of properties of $14.3 million and property improvements of $35.0 million.</w:t>
      </w:r>
    </w:p>
    <w:p>
      <w:pPr>
        <w:spacing w:after="0" w:line="102"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decrease in distributions from unconsolidated joint ventures is primarily due to the distribution of the Company's share of proceeds from the loans placed on Broadway Plaza and Fashion District Philadelphia (See "Financing Activities" in Management's Overview and Summary) in 2018 and the sale of an ownership interest in an office building at Fashion District Philadelphia (See "Acquisitions and Dispositions" in Management's Overview and Summary) in 2018, offset in part by the Company's share of loan proceeds from the new loan on Tysons Tower (See "Financing Activities" in Management's Overview and Summary) in 2019. The increase in proceeds from notes receivable is due to the repayment of the note receivable from the Lennar Corporation in 2019 (See Note 19—Related Party Transactions in the Company's Notes to the Consolidated Financial Statements).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decreased $236.2 million from 2018 to 2019. The decrease in cash used in financing activities is primarily due to an increase in proceeds from mortgages, bank and other notes payable of $1.4 billion, offset in part by an increase in payments on mortgages, bank and other notes payable of $1.1 billion, the payment on the Financing Arrangement of $27.9 million in 2019 and an increase in dividends and distributions of $20.9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historically met its liquidity needs for its operating expenses, debt service and dividend requirements for the next twelve months through cash generated from operations, distributions from unconsolidated joint ventures, working capital reserves and/or borrowings under its line of credit. As a result of the uncertain environment resulting from the COVID-19 pandemic (See "Other Transactions and Events" in Management's Overview and Summary), the Company took a number of measures to enhance liquidity (See “Outlook” in Results of Operations). These actions helped ensured that funds are available to meet the Company's obligations for a sustained period of time as the extent and duration of the pandemic's impact becomes clearer. These measures included (i) reduction of the cash component of its dividend in the second quarter and its third and fourth quarter dividends, (ii) reduction of planned capital and development expenditures, (iii) negotiated deferrals of debt service payments on nineteen mortgage loans totaling $47.2 million, (iv) reduction of the Company's controllable operating expenses, and (v) deferral of real estate taxes to the extent such relief was available. In addition, during the first quarter of 2020, the Company borrowed $660 million on its line of credit. As of December 31, 2020, the Company had approximately $555 million of cash, including the joint ventures at the Company's pro rata share.</w:t>
      </w:r>
    </w:p>
    <w:p>
      <w:pPr>
        <w:spacing w:after="0" w:line="127"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capital expenditures and lease acquisition costs incurred at the Centers (at the Company's pro rata share) for the years ended December 31: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173,329</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r>
      <w:tr>
        <w:trPr>
          <w:trHeight w:val="223"/>
        </w:trPr>
        <w:tc>
          <w:tcPr>
            <w:tcW w:w="66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256,668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 (at Company's pro rata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145,905</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r>
      <w:tr>
        <w:trPr>
          <w:trHeight w:val="223"/>
        </w:trPr>
        <w:tc>
          <w:tcPr>
            <w:tcW w:w="66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181,218</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less than or comparable to 2020. The Company expects to incur less than $100.0 million during 2021 for development, redevelopment, expansion and renovations. This excludes the Company's share of the remaining development costs of One Westside,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2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Furthermore, the Company has filed a shelf registration statement, which registered an unspecified amount of common stock, preferred stock, depositary shares, debt securities, warrants, rights, stock purchase contracts and units that may be sold from time to time by the Company. On February 1, 2021, the Company registered an "at the market" offering program, pursuant to which the Company may issue and sell shares of its common stock having an aggregate offering price of up to $500 million in amounts and at times to be determined by the Company.</w:t>
      </w:r>
    </w:p>
    <w:p>
      <w:pPr>
        <w:spacing w:after="0" w:line="10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paid a reduced quarterly dividend of $0.50 per share of its common stock on June 3, 2020, in a combination of 20% cash and 80% of shares of the Company’s common stock. On July 24, 2020, the Company declared a further reduced third quarter cash dividend of $0.15 per share of its common stock, which was paid in cash on September 8, 2020 to stockholders of record on August 19, 2020. On October 29, 2020, the Company declared a fourth quarter cash dividend of $0.15 per share of its common stock, which was paid on December 3, 2020 to stockholders of record on November 9, 2020. On January 28, 2021, the Company declared a first quarter dividend of $0.15 per share of its common stock, which will be paid on March 3, 2021 to stockholders of record on February 19, 2021. When annualizing the current dividend rate of $0.15 per share for four quarters, the Company would retain over $350 million of cash relative to the 2019 dividend level of $3.00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4" w:name="page55"/>
    <w:bookmarkEnd w:id="54"/>
    <w:p>
      <w:pPr>
        <w:ind w:right="60" w:firstLine="445"/>
        <w:spacing w:after="0" w:line="276" w:lineRule="auto"/>
        <w:rPr>
          <w:sz w:val="20"/>
          <w:szCs w:val="20"/>
          <w:color w:val="auto"/>
        </w:rPr>
      </w:pPr>
      <w:r>
        <w:rPr>
          <w:rFonts w:ascii="Times New Roman" w:cs="Times New Roman" w:eastAsia="Times New Roman" w:hAnsi="Times New Roman"/>
          <w:sz w:val="17"/>
          <w:szCs w:val="17"/>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as a result of COVID-</w:t>
      </w:r>
    </w:p>
    <w:p>
      <w:pPr>
        <w:spacing w:after="0" w:line="1" w:lineRule="exact"/>
        <w:rPr>
          <w:sz w:val="20"/>
          <w:szCs w:val="20"/>
          <w:color w:val="auto"/>
        </w:rPr>
      </w:pPr>
    </w:p>
    <w:p>
      <w:pPr>
        <w:ind w:right="120" w:firstLine="8"/>
        <w:spacing w:after="0" w:line="260"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factors impact the Company's ability to access capital, such as its overall debt level, interest rates, interest coverage ratios and prevailing market conditions. Increases in the Company's proportion of floating rate debt will cause it to be subject to interest rate fluctuations in the future.</w:t>
      </w:r>
    </w:p>
    <w:p>
      <w:pPr>
        <w:spacing w:after="0" w:line="10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December 31, 2020 was $8.7 billion (consisting of $6.0 billion of consolidated debt, less $459.8 million of noncontrolling interests, plus $3.1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1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Given the continued disruption and uncertainties from COVID-19 and the impact on the capital markets, the Company does not anticipate it will be able to refinance its near-term maturing mortgages. As a result, the Company has secured short-term extensions of its near-term maturing non-recourse mortgage loans on Danbury Fair Mall, Fashion Outlets of Niagara, FlatIron Crossing and Green Acres Mall and the Company is in the process of securing a two-year extension on Green Acres Commons (See "Financing Activities" in Management's Overview and Summary).</w:t>
      </w:r>
    </w:p>
    <w:p>
      <w:pPr>
        <w:spacing w:after="0" w:line="112"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0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a $1.5 billion revolving line of credit facility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 billion. All obligations under the facility are unconditionally guaranteed only by the Company. Based on the Company's leverage level as of December 31, 2020, the borrowing rate on the facility was LIBOR plus 1.65%. The Company has four interest rate swap agreements that effectively convert a total of $400.0 million of the outstanding balance from floating rate debt of LIBOR plus 1.65% to fixed rate debt of 4.30% until September 30, 2021. At December 31, 2020, total borrowings under the line of credit were $1.5 billion less unamortized deferred finance costs of $2.5 million with a total interest rate of 2.73%. The Company's availability under the line of credit was $19.7 million at December 31, 2020. The Company anticipates refinancing its revolving line of credit in advance of its maturity date. While the Company cannot predict what the terms of any new facility will be, it may include a lower lending commitment and require security. Any final terms of a new credit facility are subject to ongoing negotiations and may change.</w:t>
      </w:r>
    </w:p>
    <w:p>
      <w:pPr>
        <w:spacing w:after="0" w:line="127"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Cash dividends and distributions for the twelve months ended December 31, 2020 were $179.9 million. A total of $124.8 million was funded by operations and the remaining $55.0 million was funded from cash on hand.</w:t>
      </w:r>
    </w:p>
    <w:p>
      <w:pPr>
        <w:spacing w:after="0" w:line="94" w:lineRule="exact"/>
        <w:rPr>
          <w:sz w:val="20"/>
          <w:szCs w:val="20"/>
          <w:color w:val="auto"/>
        </w:rPr>
      </w:pPr>
    </w:p>
    <w:p>
      <w:pPr>
        <w:ind w:left="420" w:right="2620" w:firstLine="40"/>
        <w:spacing w:after="0" w:line="417" w:lineRule="auto"/>
        <w:rPr>
          <w:sz w:val="20"/>
          <w:szCs w:val="20"/>
          <w:color w:val="auto"/>
        </w:rPr>
      </w:pPr>
      <w:r>
        <w:rPr>
          <w:rFonts w:ascii="Times New Roman" w:cs="Times New Roman" w:eastAsia="Times New Roman" w:hAnsi="Times New Roman"/>
          <w:sz w:val="18"/>
          <w:szCs w:val="18"/>
          <w:color w:val="auto"/>
        </w:rPr>
        <w:t xml:space="preserve">At December 31, 2020, the Company was in compliance with all applicable loan covenants under its agreements. At December 31, 2020, the Company had cash and cash equivalents of $465.3 million. </w:t>
      </w:r>
      <w:r>
        <w:rPr>
          <w:rFonts w:ascii="Times New Roman" w:cs="Times New Roman" w:eastAsia="Times New Roman" w:hAnsi="Times New Roman"/>
          <w:sz w:val="18"/>
          <w:szCs w:val="18"/>
          <w:i w:val="1"/>
          <w:iCs w:val="1"/>
          <w:color w:val="auto"/>
        </w:rPr>
        <w:t>Off-Balance Sheet Arrangements:</w:t>
      </w:r>
    </w:p>
    <w:p>
      <w:pPr>
        <w:spacing w:after="0" w:line="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95"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2020, one of the Company's joint ventures had $50.0 million of debt that could become recourse to the Company, should the joint venture be unable to discharge the obligation of the related debt.</w:t>
      </w:r>
    </w:p>
    <w:p>
      <w:pPr>
        <w:spacing w:after="0" w:line="94" w:lineRule="exact"/>
        <w:rPr>
          <w:sz w:val="20"/>
          <w:szCs w:val="20"/>
          <w:color w:val="auto"/>
        </w:rPr>
      </w:pPr>
    </w:p>
    <w:p>
      <w:pPr>
        <w:jc w:val="both"/>
        <w:ind w:right="200" w:firstLine="445"/>
        <w:spacing w:after="0" w:line="312" w:lineRule="auto"/>
        <w:rPr>
          <w:sz w:val="20"/>
          <w:szCs w:val="20"/>
          <w:color w:val="auto"/>
        </w:rPr>
      </w:pPr>
      <w:r>
        <w:rPr>
          <w:rFonts w:ascii="Times New Roman" w:cs="Times New Roman" w:eastAsia="Times New Roman" w:hAnsi="Times New Roman"/>
          <w:sz w:val="17"/>
          <w:szCs w:val="17"/>
          <w:color w:val="auto"/>
        </w:rPr>
        <w:t>Additionally, as of December 31, 2020, the Company was contingently liable for $40.9 million in letters of credit guaranteeing performance by the Company of certain obligations relating to the Centers. The Company does not believe that these letters of credit will result in a liability to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contractual obligations as of December 31, 2020 for the consolidated Centers over the periods in which they are expected to be paid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0" w:type="dxa"/>
            <w:vAlign w:val="bottom"/>
          </w:tcPr>
          <w:p>
            <w:pPr>
              <w:jc w:val="right"/>
              <w:ind w:right="355"/>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80" w:type="dxa"/>
            <w:vAlign w:val="bottom"/>
          </w:tcPr>
          <w:p>
            <w:pPr>
              <w:spacing w:after="0"/>
              <w:rPr>
                <w:sz w:val="11"/>
                <w:szCs w:val="11"/>
                <w:color w:val="auto"/>
              </w:rPr>
            </w:pPr>
          </w:p>
        </w:tc>
        <w:tc>
          <w:tcPr>
            <w:tcW w:w="1280" w:type="dxa"/>
            <w:vAlign w:val="bottom"/>
          </w:tcPr>
          <w:p>
            <w:pPr>
              <w:jc w:val="right"/>
              <w:ind w:right="375"/>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3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9"/>
        </w:trPr>
        <w:tc>
          <w:tcPr>
            <w:tcW w:w="29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Long-term debt obligations (includes</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6,956,984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2,272,236</w:t>
            </w:r>
          </w:p>
        </w:tc>
        <w:tc>
          <w:tcPr>
            <w:tcW w:w="3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1,061,388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1,366,474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2,256,886</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interest payments)(1)</w:t>
            </w: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116,660</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153,330</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2,454,907</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2,403,595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820" w:hanging="407"/>
        <w:spacing w:after="0"/>
        <w:tabs>
          <w:tab w:leader="none" w:pos="8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December 31, 2020.</w:t>
      </w:r>
    </w:p>
    <w:p>
      <w:pPr>
        <w:spacing w:after="0" w:line="3" w:lineRule="exact"/>
        <w:rPr>
          <w:rFonts w:ascii="Times New Roman" w:cs="Times New Roman" w:eastAsia="Times New Roman" w:hAnsi="Times New Roman"/>
          <w:sz w:val="16"/>
          <w:szCs w:val="16"/>
          <w:color w:val="auto"/>
        </w:rPr>
      </w:pPr>
    </w:p>
    <w:p>
      <w:pPr>
        <w:ind w:left="820" w:hanging="407"/>
        <w:spacing w:after="0"/>
        <w:tabs>
          <w:tab w:leader="none" w:pos="8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w:t>
      </w:r>
      <w:r>
        <w:rPr>
          <w:rFonts w:ascii="Times New Roman" w:cs="Times New Roman" w:eastAsia="Times New Roman" w:hAnsi="Times New Roman"/>
          <w:sz w:val="17"/>
          <w:szCs w:val="17"/>
          <w:color w:val="auto"/>
        </w:rPr>
        <w:t>Leases</w:t>
      </w:r>
      <w:r>
        <w:rPr>
          <w:rFonts w:ascii="Times New Roman" w:cs="Times New Roman" w:eastAsia="Times New Roman" w:hAnsi="Times New Roman"/>
          <w:sz w:val="16"/>
          <w:szCs w:val="16"/>
          <w:color w:val="auto"/>
        </w:rPr>
        <w:t xml:space="preserve"> in the Company's Notes to the Consolidated Financial Statements.</w:t>
      </w:r>
    </w:p>
    <w:p>
      <w:pPr>
        <w:spacing w:after="0" w:line="18" w:lineRule="exact"/>
        <w:rPr>
          <w:rFonts w:ascii="Times New Roman" w:cs="Times New Roman" w:eastAsia="Times New Roman" w:hAnsi="Times New Roman"/>
          <w:sz w:val="16"/>
          <w:szCs w:val="16"/>
          <w:color w:val="auto"/>
        </w:rPr>
      </w:pPr>
    </w:p>
    <w:p>
      <w:pPr>
        <w:ind w:left="820" w:hanging="407"/>
        <w:spacing w:after="0"/>
        <w:tabs>
          <w:tab w:leader="none" w:pos="8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18—Commitments and Contingencies in the Company's Notes to the Consolidated Financial Statements.</w:t>
      </w:r>
    </w:p>
    <w:p>
      <w:pPr>
        <w:spacing w:after="0" w:line="9" w:lineRule="exact"/>
        <w:rPr>
          <w:rFonts w:ascii="Times New Roman" w:cs="Times New Roman" w:eastAsia="Times New Roman" w:hAnsi="Times New Roman"/>
          <w:sz w:val="16"/>
          <w:szCs w:val="16"/>
          <w:color w:val="auto"/>
        </w:rPr>
      </w:pPr>
    </w:p>
    <w:p>
      <w:pPr>
        <w:ind w:left="820" w:right="100" w:hanging="407"/>
        <w:spacing w:after="0" w:line="257" w:lineRule="auto"/>
        <w:tabs>
          <w:tab w:leader="none" w:pos="8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22, 2021, the Company closed a two-year extension of the $270.6 million loan on Green Acres Mall, which now matures on February 3, 2023 (See "Financing Activity" in Management's Overview and Summary).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48"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jc w:val="both"/>
        <w:ind w:right="80" w:firstLine="445"/>
        <w:spacing w:after="0" w:line="261" w:lineRule="auto"/>
        <w:rPr>
          <w:sz w:val="20"/>
          <w:szCs w:val="20"/>
          <w:color w:val="auto"/>
        </w:rPr>
      </w:pPr>
      <w:r>
        <w:rPr>
          <w:rFonts w:ascii="Times New Roman" w:cs="Times New Roman" w:eastAsia="Times New Roman" w:hAnsi="Times New Roman"/>
          <w:sz w:val="18"/>
          <w:szCs w:val="18"/>
          <w:color w:val="auto"/>
        </w:rPr>
        <w:t>Beginning during the first quarter of 2018, the Company revised its definition of FFO so that FFO excluded the impact of the financing expense in connection with Chandler Freehold. Beginning in 2019, the Company now presents a separate non-GAAP measure - FFO excluding financing expense in connection with Chandler Freehold. The Company has revised the FFO presentation for the years ended December 31, 2018, 2017 and 2016 to conform to the current presentation.</w:t>
      </w:r>
    </w:p>
    <w:p>
      <w:pPr>
        <w:spacing w:after="0" w:line="11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Only the noted expenses related to the changes in fair value and for the payments to the joint venture partner less than or in excess of their pro rata share of net income are excluded from the measure - FFO excluding financing expense in connection with Chandler Freehold.</w:t>
      </w:r>
    </w:p>
    <w:p>
      <w:pPr>
        <w:spacing w:after="0" w:line="10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net and costs related to shareholder activism.</w:t>
      </w:r>
    </w:p>
    <w:p>
      <w:pPr>
        <w:spacing w:after="0" w:line="94"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non-routine costs associated with extinguishment of debt and costs related to shareholder activism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2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Funds From Operations ("FFO") (Continued)</w:t>
      </w:r>
    </w:p>
    <w:p>
      <w:pPr>
        <w:spacing w:after="0" w:line="1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needs. The Company also cautions that FFO, as presented, may not be comparable to similarly titled measures reported by other real estate investment trusts.</w:t>
      </w:r>
    </w:p>
    <w:p>
      <w:pPr>
        <w:spacing w:after="0" w:line="94"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 The following reconciles net (loss) income attributable to the Company to FFO and FFO-basic and diluted, excluding financing expense in connection with Chandler Freehold, loss (gain) on extinguishment of debt, net and costs related to shareholder activism for the years ended December 31, 2020, 2019, 2018, 2017 and 2016 (dollars and shares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516,995</w:t>
            </w: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to FFO attributable to common stockholders and unit holders—basic and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37,780</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consolidated assets,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(415,348)</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remeasurement of consolidated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Add: gain on undepreciated asset sales or write-down from</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Less: loss on write-down of non-real estate sales or write-down of</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assets—consolidated assets</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Add: noncontrolling interests share of (loss) gain on sale or write-down</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assets—consolidated assets</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Loss (gain) on sale or write down of assets—unconsolidated joint</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Add: gain (loss) on sale of undepreciated assets—unconsolidated joint</w:t>
            </w:r>
          </w:p>
        </w:tc>
        <w:tc>
          <w:tcPr>
            <w:tcW w:w="2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on consolidated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348,488</w:t>
            </w:r>
          </w:p>
        </w:tc>
        <w:tc>
          <w:tcPr>
            <w:tcW w:w="0" w:type="dxa"/>
            <w:vAlign w:val="bottom"/>
          </w:tcPr>
          <w:p>
            <w:pPr>
              <w:spacing w:after="0"/>
              <w:rPr>
                <w:sz w:val="1"/>
                <w:szCs w:val="1"/>
                <w:color w:val="auto"/>
              </w:rPr>
            </w:pPr>
          </w:p>
        </w:tc>
      </w:tr>
      <w:tr>
        <w:trPr>
          <w:trHeight w:val="162"/>
        </w:trPr>
        <w:tc>
          <w:tcPr>
            <w:tcW w:w="4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Less: noncontrolling interests in depreciation and amortization—</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(15,126)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(15,023)</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179,600</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(12,430)</w:t>
            </w:r>
          </w:p>
        </w:tc>
        <w:tc>
          <w:tcPr>
            <w:tcW w:w="0" w:type="dxa"/>
            <w:vAlign w:val="bottom"/>
          </w:tcPr>
          <w:p>
            <w:pPr>
              <w:spacing w:after="0"/>
              <w:rPr>
                <w:sz w:val="1"/>
                <w:szCs w:val="1"/>
                <w:color w:val="auto"/>
              </w:rPr>
            </w:pPr>
          </w:p>
        </w:tc>
      </w:tr>
      <w:tr>
        <w:trPr>
          <w:trHeight w:val="145"/>
        </w:trPr>
        <w:tc>
          <w:tcPr>
            <w:tcW w:w="4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573,285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582,878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642,304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48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financing expense in connection with Chandler Freehold—basic and</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582,878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642,304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extinguishment of debt, net—consolidated assets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related to shareholder activism</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financing expense in connection with Chandler Freehold, extinguishment</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339,505</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537,312</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583,805</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582,878</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640,595</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debt, net and costs related to shareholder activism—diluted</w:t>
            </w:r>
          </w:p>
        </w:tc>
        <w:tc>
          <w:tcPr>
            <w:tcW w:w="2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157,320</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for the impact of dilutive securities in computing FFO—</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and unit-based compensation plans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3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holders—diluted(3)</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157,432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8" w:lineRule="exact"/>
        <w:rPr>
          <w:sz w:val="20"/>
          <w:szCs w:val="20"/>
          <w:color w:val="auto"/>
        </w:rPr>
      </w:pPr>
    </w:p>
    <w:p>
      <w:pPr>
        <w:ind w:left="820" w:hanging="407"/>
        <w:spacing w:after="0"/>
        <w:tabs>
          <w:tab w:leader="none" w:pos="8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assets are presented at the Company's pro rata share.</w:t>
      </w:r>
    </w:p>
    <w:p>
      <w:pPr>
        <w:spacing w:after="0" w:line="140" w:lineRule="exact"/>
        <w:rPr>
          <w:rFonts w:ascii="Times New Roman" w:cs="Times New Roman" w:eastAsia="Times New Roman" w:hAnsi="Times New Roman"/>
          <w:sz w:val="16"/>
          <w:szCs w:val="16"/>
          <w:color w:val="auto"/>
        </w:rPr>
      </w:pPr>
    </w:p>
    <w:p>
      <w:pPr>
        <w:ind w:left="820" w:right="280" w:hanging="407"/>
        <w:spacing w:after="0" w:line="280" w:lineRule="auto"/>
        <w:tabs>
          <w:tab w:leader="none" w:pos="8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During the years ended December 31, 2020, 2019, 2018, 2017 and 2016, there were 10.7 million, 10.4 million, 10.4 million, 10.4 million and 10.7 million OP Units outstanding, respectively.</w:t>
      </w:r>
    </w:p>
    <w:p>
      <w:pPr>
        <w:spacing w:after="0" w:line="97" w:lineRule="exact"/>
        <w:rPr>
          <w:rFonts w:ascii="Times New Roman" w:cs="Times New Roman" w:eastAsia="Times New Roman" w:hAnsi="Times New Roman"/>
          <w:sz w:val="16"/>
          <w:szCs w:val="16"/>
          <w:color w:val="auto"/>
        </w:rPr>
      </w:pPr>
    </w:p>
    <w:p>
      <w:pPr>
        <w:ind w:left="820" w:right="120" w:hanging="407"/>
        <w:spacing w:after="0" w:line="263" w:lineRule="auto"/>
        <w:tabs>
          <w:tab w:leader="none" w:pos="8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80" w:firstLine="8"/>
        <w:spacing w:after="0" w:line="253"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2020 concerning the Company's long term debt obligations, including principal cash flows by scheduled maturity, weighted average interest rates and estimated fair value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debt: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878,842</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377,120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378,120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607,399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1,997,742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4,343,895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4,246,422</w:t>
            </w: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1,210,000</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1,711,000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1,698,973</w:t>
            </w: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debt—Consolidated Centers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2,088,842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677,120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114,672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569,120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607,399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1,997,742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6,054,895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5,945,395</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UNCONSOLIDATED JOINT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CENTERS: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Long term debt (at Company's pro</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rata share):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43,832</w:t>
            </w:r>
          </w:p>
        </w:tc>
        <w:tc>
          <w:tcPr>
            <w:tcW w:w="2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497,185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328,564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366,738</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154,838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1,647,184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3,038,341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2,976,120</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34,249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70,509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68,434</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debt—Unconsolidated Joint</w:t>
            </w: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78,081</w:t>
            </w:r>
          </w:p>
        </w:tc>
        <w:tc>
          <w:tcPr>
            <w:tcW w:w="28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497,185</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338,306</w:t>
            </w:r>
          </w:p>
        </w:tc>
        <w:tc>
          <w:tcPr>
            <w:tcW w:w="12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393,256</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154,838</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1,647,184</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3,108,850</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3,044,554</w:t>
            </w:r>
          </w:p>
        </w:tc>
        <w:tc>
          <w:tcPr>
            <w:tcW w:w="0" w:type="dxa"/>
            <w:vAlign w:val="bottom"/>
          </w:tcPr>
          <w:p>
            <w:pPr>
              <w:spacing w:after="0"/>
              <w:rPr>
                <w:sz w:val="1"/>
                <w:szCs w:val="1"/>
                <w:color w:val="auto"/>
              </w:rPr>
            </w:pPr>
          </w:p>
        </w:tc>
      </w:tr>
      <w:tr>
        <w:trPr>
          <w:trHeight w:val="167"/>
        </w:trPr>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Venture Centers</w:t>
            </w: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8" w:lineRule="exact"/>
        <w:rPr>
          <w:sz w:val="20"/>
          <w:szCs w:val="20"/>
          <w:color w:val="auto"/>
        </w:rPr>
      </w:pPr>
    </w:p>
    <w:p>
      <w:pPr>
        <w:ind w:left="820" w:hanging="407"/>
        <w:spacing w:after="0" w:line="263" w:lineRule="auto"/>
        <w:tabs>
          <w:tab w:leader="none" w:pos="8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debt includes $400 million of floating rate bank and other notes payable. The Company has four interest rate swap agreements that effectively convert a total of $400 million of the outstanding balance from floating rate debt of LIBOR plus 1.65% to fixed rate debt of 4.30% until September 30, 2021 (See Note 5—Derivative Instruments and Hedging Activities in the Company's Notes to the Consolidated Financial Statements ).</w:t>
      </w:r>
    </w:p>
    <w:p>
      <w:pPr>
        <w:spacing w:after="0" w:line="97" w:lineRule="exact"/>
        <w:rPr>
          <w:rFonts w:ascii="Times New Roman" w:cs="Times New Roman" w:eastAsia="Times New Roman" w:hAnsi="Times New Roman"/>
          <w:sz w:val="16"/>
          <w:szCs w:val="16"/>
          <w:color w:val="auto"/>
        </w:rPr>
      </w:pPr>
    </w:p>
    <w:p>
      <w:pPr>
        <w:ind w:left="820" w:right="120" w:hanging="407"/>
        <w:spacing w:after="0" w:line="280" w:lineRule="auto"/>
        <w:tabs>
          <w:tab w:leader="none" w:pos="8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22, 2021, the Company closed a two-year extension of the $270.6 million loan on Green Acres Mall, which now matures on February 3, 2023 (See "Financing Activity" in Management's Overview and Summary).</w:t>
      </w:r>
    </w:p>
    <w:p>
      <w:pPr>
        <w:spacing w:after="0" w:line="93"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December 31, 2020 and 2019 was $4.3 billion and $4.4 billion, respectively. The average interest rate on such fixed rate debt at December 31, 2020 and 2019 was 3.98% and 3.99%, respectively. The Consolidated Centers' total floating rate debt at December 31, 2020 and 2019 was $1.7 billion and $0.9 billion. The average interest rate on such floating rate debt at December 31, 2020 and 2019 was 2.08% and 3.36%, respectively.</w:t>
      </w:r>
    </w:p>
    <w:p>
      <w:pPr>
        <w:spacing w:after="0" w:line="112" w:lineRule="exact"/>
        <w:rPr>
          <w:sz w:val="20"/>
          <w:szCs w:val="20"/>
          <w:color w:val="auto"/>
        </w:rPr>
      </w:pPr>
    </w:p>
    <w:p>
      <w:pPr>
        <w:jc w:val="both"/>
        <w:ind w:right="380" w:firstLine="445"/>
        <w:spacing w:after="0" w:line="266"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December 31, 2020 and 2019 was $3.0 billion. The average interest rate on such fixed rate debt at December 31, 2020 and 2019 was 3.82% and 3.81%, respectively. The Company's pro rata share of the Unconsolidated Joint Venture Centers' floating rate debt at December 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2020 and 2019 was $70.5 million and $196.1 million, respectively. The average interest rate on such floating rate debt at December 31, 2020 and 2019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and 3.69%, respectively.</w:t>
      </w:r>
    </w:p>
    <w:p>
      <w:pPr>
        <w:spacing w:after="0" w:line="12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2020, the Company has one interest rate cap agreement and four interest rate swap agreements in place (See Note 5—Derivative Instruments and Hedging Activities in the Company's Notes to the Consolidated Financial Statements).</w:t>
      </w:r>
    </w:p>
    <w:p>
      <w:pPr>
        <w:spacing w:after="0" w:line="116"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$17.8 million per year based on $1.8 billion of floating rate debt outstanding at December 31, 2020.</w:t>
      </w:r>
    </w:p>
    <w:p>
      <w:pPr>
        <w:spacing w:after="0" w:line="94"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1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the Financial Statements and Financial Statement Schedules for the required information appearing in Item 15.</w:t>
      </w:r>
    </w:p>
    <w:p>
      <w:pPr>
        <w:spacing w:after="0" w:line="1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Conclusion Regarding Effectiveness of Disclosure Controls and Procedures</w:t>
      </w:r>
    </w:p>
    <w:p>
      <w:pPr>
        <w:spacing w:after="0" w:line="16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2020,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Rule 13a-15(f) under the Exchange Act). The Company's management assessed the effectiveness of the Company's internal control over financial reporting as of December 31, 2020. In making this assessment, the Company's management used the criteria set forth by the Committee of Sponsoring Organizations of the Treadway Commission in Internal Control—Integrated Framework (2013). The Company's management concluded that, as of December 31, 2020, its internal control over financial reporting was effective based on this assessment.</w:t>
      </w:r>
    </w:p>
    <w:p>
      <w:pPr>
        <w:spacing w:after="0" w:line="121"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2020 consolidated financial statements included in this Annual Report on Form 10-K, has issued a report on the Company's internal control over financial reporting which follows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9" w:name="page60"/>
    <w:bookmarkEnd w:id="59"/>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4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Macerich Company’s and subsidiaries’ (the Company)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Internal Control – Integrated Framework (2013) issued by the Committee of Sponsoring Organizations of the Treadway Commission.</w:t>
      </w:r>
    </w:p>
    <w:p>
      <w:pPr>
        <w:spacing w:after="0" w:line="116"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(loss) income, equity, and cash flows for each of the years in the three-year period ended December 31, 2020, and the related notes and financial statement Schedule III – Real Estate and Accumulated Depreciation (collectively, the consolidated financial statements), and our report dated February 24, 2021 expressed an unqualified opinion on those consolidated financial statements.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46"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61" w:name="page62"/>
    <w:bookmarkEnd w:id="6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AND EXECUTIVE OFFICERS AND CORPORATE GOVERNANCE</w:t>
      </w:r>
    </w:p>
    <w:p>
      <w:pPr>
        <w:spacing w:after="0" w:line="14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which appears under the captions "Information Regarding our Director Nominees," "Executive Officers," "Delinquent Section 16(a) Reports" and "Audit Committee Matters" in the Company's definitive proxy statement for its 2021 Annual Meeting of Stockholders that is responsive to the information required by this Item.</w:t>
      </w:r>
    </w:p>
    <w:p>
      <w:pPr>
        <w:spacing w:after="0" w:line="10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Times New Roman" w:cs="Times New Roman" w:eastAsia="Times New Roman" w:hAnsi="Times New Roman"/>
          <w:sz w:val="18"/>
          <w:szCs w:val="18"/>
          <w:i w:val="1"/>
          <w:iCs w:val="1"/>
          <w:color w:val="auto"/>
        </w:rPr>
        <w:t>www.macerich.com</w:t>
      </w:r>
      <w:r>
        <w:rPr>
          <w:rFonts w:ascii="Times New Roman" w:cs="Times New Roman" w:eastAsia="Times New Roman" w:hAnsi="Times New Roman"/>
          <w:sz w:val="18"/>
          <w:szCs w:val="18"/>
          <w:color w:val="auto"/>
        </w:rPr>
        <w:t xml:space="preserve"> under "Investors—Corporate Governance—Code of Ethics." Each of these Codes of Conduct is available on the Company’s website at </w:t>
      </w:r>
      <w:r>
        <w:rPr>
          <w:rFonts w:ascii="Times New Roman" w:cs="Times New Roman" w:eastAsia="Times New Roman" w:hAnsi="Times New Roman"/>
          <w:sz w:val="18"/>
          <w:szCs w:val="18"/>
          <w:i w:val="1"/>
          <w:iCs w:val="1"/>
          <w:color w:val="auto"/>
        </w:rPr>
        <w:t>www.macerich.com</w:t>
      </w:r>
      <w:r>
        <w:rPr>
          <w:rFonts w:ascii="Times New Roman" w:cs="Times New Roman" w:eastAsia="Times New Roman" w:hAnsi="Times New Roman"/>
          <w:sz w:val="18"/>
          <w:szCs w:val="18"/>
          <w:color w:val="auto"/>
        </w:rPr>
        <w:t xml:space="preserve"> under "Investors—Corporate Governance."</w:t>
      </w:r>
    </w:p>
    <w:p>
      <w:pPr>
        <w:spacing w:after="0" w:line="127"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During 2020, there were no material changes to the procedures described in the Company's proxy statement relating to the 2020 Annual Meeting of Stockholders by which stockholders may recommend director nominees to the Company.</w:t>
      </w:r>
    </w:p>
    <w:p>
      <w:pPr>
        <w:spacing w:after="0" w:line="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6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which appears under the captions "Compensation of Non-Employee Directors," "Compensation Committee Report," "Compensation Discussion and Analysis," "Executive Compensation" and "Compensation Committee Interlocks and Insider Participation" in the Company's definitive proxy statement for its 2021 Annual Meeting of Stockholders that is responsive to the information required by this Item.</w:t>
      </w:r>
    </w:p>
    <w:p>
      <w:pPr>
        <w:spacing w:after="0" w:line="10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78" w:lineRule="exact"/>
        <w:rPr>
          <w:sz w:val="20"/>
          <w:szCs w:val="20"/>
          <w:color w:val="auto"/>
        </w:rPr>
      </w:pPr>
    </w:p>
    <w:p>
      <w:pPr>
        <w:ind w:firstLine="445"/>
        <w:spacing w:after="0" w:line="289" w:lineRule="auto"/>
        <w:rPr>
          <w:sz w:val="20"/>
          <w:szCs w:val="20"/>
          <w:color w:val="auto"/>
        </w:rPr>
      </w:pPr>
      <w:r>
        <w:rPr>
          <w:rFonts w:ascii="Times New Roman" w:cs="Times New Roman" w:eastAsia="Times New Roman" w:hAnsi="Times New Roman"/>
          <w:sz w:val="17"/>
          <w:szCs w:val="17"/>
          <w:color w:val="auto"/>
        </w:rPr>
        <w:t>There is hereby incorporated by reference the information which appears under the captions "Equity Ownership of Directors, Named Executive Officers and Principal Stockholders," "Information Regarding Our Director Nominees," "Executive Officers" and "Equity Compensation Plan Information" in the Company's definitive proxy statement for its 2021 Annual Meeting of Stockholders that is responsive to the information required by this Item.</w:t>
      </w:r>
    </w:p>
    <w:p>
      <w:pPr>
        <w:spacing w:after="0" w:line="8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which appears under the captions "Certain Transactions" and "The Board of Directors and its Committees" in the Company's definitive proxy statement for its 2021 Annual Meeting of Stockholders that is responsive to the information required by this Item.</w:t>
      </w:r>
    </w:p>
    <w:p>
      <w:pPr>
        <w:spacing w:after="0" w:line="9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62"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which appears under the captions "Principal Accountant Fees and Services" and "Audit Committee Pre-Approval Policy" in the Company's definitive proxy statement for its 2021 Annual Meeting of Stockholders that is responsive to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62" w:name="page63"/>
    <w:bookmarkEnd w:id="6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and (c)</w:t>
            </w:r>
          </w:p>
        </w:tc>
        <w:tc>
          <w:tcPr>
            <w:tcW w:w="902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Financial Statements</w:t>
            </w:r>
          </w:p>
        </w:tc>
        <w:tc>
          <w:tcPr>
            <w:tcW w:w="7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9020" w:type="dxa"/>
            <w:vAlign w:val="bottom"/>
            <w:gridSpan w:val="10"/>
          </w:tcPr>
          <w:p>
            <w:pPr>
              <w:ind w:left="58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Report of Independent Registered Public Accounting Firm</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194"/>
        </w:trPr>
        <w:tc>
          <w:tcPr>
            <w:tcW w:w="1180" w:type="dxa"/>
            <w:vAlign w:val="bottom"/>
          </w:tcPr>
          <w:p>
            <w:pPr>
              <w:spacing w:after="0"/>
              <w:rPr>
                <w:sz w:val="16"/>
                <w:szCs w:val="16"/>
                <w:color w:val="auto"/>
              </w:rPr>
            </w:pPr>
          </w:p>
        </w:tc>
        <w:tc>
          <w:tcPr>
            <w:tcW w:w="9020" w:type="dxa"/>
            <w:vAlign w:val="bottom"/>
            <w:gridSpan w:val="10"/>
          </w:tcPr>
          <w:p>
            <w:pPr>
              <w:ind w:left="580"/>
              <w:spacing w:after="0" w:line="194"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Consolidated balance sheets as of December 31,</w:t>
              </w:r>
              <w:r>
                <w:rPr>
                  <w:rFonts w:ascii="Times New Roman" w:cs="Times New Roman" w:eastAsia="Times New Roman" w:hAnsi="Times New Roman"/>
                  <w:sz w:val="18"/>
                  <w:szCs w:val="18"/>
                  <w:color w:val="0000FF"/>
                </w:rPr>
                <w:t xml:space="preserve"> 2020 and 2019</w:t>
              </w:r>
            </w:hyperlink>
          </w:p>
        </w:tc>
        <w:tc>
          <w:tcPr>
            <w:tcW w:w="78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r>
      <w:tr>
        <w:trPr>
          <w:trHeight w:val="20"/>
        </w:trPr>
        <w:tc>
          <w:tcPr>
            <w:tcW w:w="1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020" w:type="dxa"/>
            <w:vAlign w:val="bottom"/>
            <w:gridSpan w:val="10"/>
          </w:tcPr>
          <w:p>
            <w:pPr>
              <w:ind w:left="580"/>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u w:val="single" w:color="auto"/>
                  <w:color w:val="0000FF"/>
                </w:rPr>
                <w:t xml:space="preserve">Consolidated statements of operations for the years ended December 31, </w:t>
              </w:r>
            </w:hyperlink>
            <w:r>
              <w:rPr>
                <w:rFonts w:ascii="Times New Roman" w:cs="Times New Roman" w:eastAsia="Times New Roman" w:hAnsi="Times New Roman"/>
                <w:sz w:val="18"/>
                <w:szCs w:val="18"/>
                <w:color w:val="0000FF"/>
              </w:rPr>
              <w:t xml:space="preserve">2020, </w:t>
            </w:r>
            <w:hyperlink w:anchor="page67">
              <w:r>
                <w:rPr>
                  <w:rFonts w:ascii="Times New Roman" w:cs="Times New Roman" w:eastAsia="Times New Roman" w:hAnsi="Times New Roman"/>
                  <w:sz w:val="18"/>
                  <w:szCs w:val="18"/>
                  <w:color w:val="0000FF"/>
                </w:rPr>
                <w:t>2019 and 2018</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r>
      <w:tr>
        <w:trPr>
          <w:trHeight w:val="20"/>
        </w:trPr>
        <w:tc>
          <w:tcPr>
            <w:tcW w:w="11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9020" w:type="dxa"/>
            <w:vAlign w:val="bottom"/>
            <w:gridSpan w:val="10"/>
          </w:tcPr>
          <w:p>
            <w:pPr>
              <w:ind w:left="58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u w:val="single" w:color="auto"/>
                  <w:color w:val="0000FF"/>
                </w:rPr>
                <w:t xml:space="preserve">Consolidated statements of comprehensive (loss) income for the years ended December 31, </w:t>
              </w:r>
            </w:hyperlink>
            <w:r>
              <w:rPr>
                <w:rFonts w:ascii="Times New Roman" w:cs="Times New Roman" w:eastAsia="Times New Roman" w:hAnsi="Times New Roman"/>
                <w:sz w:val="18"/>
                <w:szCs w:val="18"/>
                <w:color w:val="0000FF"/>
              </w:rPr>
              <w:t xml:space="preserve">2020, </w:t>
            </w:r>
            <w:hyperlink w:anchor="page68">
              <w:r>
                <w:rPr>
                  <w:rFonts w:ascii="Times New Roman" w:cs="Times New Roman" w:eastAsia="Times New Roman" w:hAnsi="Times New Roman"/>
                  <w:sz w:val="18"/>
                  <w:szCs w:val="18"/>
                  <w:color w:val="0000FF"/>
                </w:rPr>
                <w:t>2019 and 2018</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69</w:t>
              </w:r>
            </w:hyperlink>
          </w:p>
        </w:tc>
      </w:tr>
      <w:tr>
        <w:trPr>
          <w:trHeight w:val="209"/>
        </w:trPr>
        <w:tc>
          <w:tcPr>
            <w:tcW w:w="1180" w:type="dxa"/>
            <w:vAlign w:val="bottom"/>
          </w:tcPr>
          <w:p>
            <w:pPr>
              <w:spacing w:after="0"/>
              <w:rPr>
                <w:sz w:val="18"/>
                <w:szCs w:val="18"/>
                <w:color w:val="auto"/>
              </w:rPr>
            </w:pPr>
          </w:p>
        </w:tc>
        <w:tc>
          <w:tcPr>
            <w:tcW w:w="7920" w:type="dxa"/>
            <w:vAlign w:val="bottom"/>
            <w:gridSpan w:val="8"/>
          </w:tcPr>
          <w:p>
            <w:pPr>
              <w:ind w:left="58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u w:val="single" w:color="auto"/>
                  <w:color w:val="0000FF"/>
                </w:rPr>
                <w:t xml:space="preserve">Consolidated statements of equity for the years ended December 31, </w:t>
              </w:r>
            </w:hyperlink>
            <w:r>
              <w:rPr>
                <w:rFonts w:ascii="Times New Roman" w:cs="Times New Roman" w:eastAsia="Times New Roman" w:hAnsi="Times New Roman"/>
                <w:sz w:val="18"/>
                <w:szCs w:val="18"/>
                <w:color w:val="0000FF"/>
              </w:rPr>
              <w:t xml:space="preserve">2020, </w:t>
            </w:r>
            <w:hyperlink w:anchor="page69">
              <w:r>
                <w:rPr>
                  <w:rFonts w:ascii="Times New Roman" w:cs="Times New Roman" w:eastAsia="Times New Roman" w:hAnsi="Times New Roman"/>
                  <w:sz w:val="18"/>
                  <w:szCs w:val="18"/>
                  <w:color w:val="0000FF"/>
                </w:rPr>
                <w:t>2019 and 2018</w:t>
              </w:r>
            </w:hyperlink>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r>
      <w:tr>
        <w:trPr>
          <w:trHeight w:val="20"/>
        </w:trPr>
        <w:tc>
          <w:tcPr>
            <w:tcW w:w="11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020" w:type="dxa"/>
            <w:vAlign w:val="bottom"/>
            <w:gridSpan w:val="10"/>
          </w:tcPr>
          <w:p>
            <w:pPr>
              <w:ind w:left="58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u w:val="single" w:color="auto"/>
                  <w:color w:val="0000FF"/>
                </w:rPr>
                <w:t xml:space="preserve">Consolidated statements of cash flows for the years ended December 31, </w:t>
              </w:r>
            </w:hyperlink>
            <w:r>
              <w:rPr>
                <w:rFonts w:ascii="Times New Roman" w:cs="Times New Roman" w:eastAsia="Times New Roman" w:hAnsi="Times New Roman"/>
                <w:sz w:val="18"/>
                <w:szCs w:val="18"/>
                <w:color w:val="0000FF"/>
              </w:rPr>
              <w:t xml:space="preserve">2020, </w:t>
            </w:r>
            <w:hyperlink w:anchor="page72">
              <w:r>
                <w:rPr>
                  <w:rFonts w:ascii="Times New Roman" w:cs="Times New Roman" w:eastAsia="Times New Roman" w:hAnsi="Times New Roman"/>
                  <w:sz w:val="18"/>
                  <w:szCs w:val="18"/>
                  <w:color w:val="0000FF"/>
                </w:rPr>
                <w:t>2019 and 2018</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73</w:t>
              </w:r>
            </w:hyperlink>
          </w:p>
        </w:tc>
      </w:tr>
      <w:tr>
        <w:trPr>
          <w:trHeight w:val="241"/>
        </w:trPr>
        <w:tc>
          <w:tcPr>
            <w:tcW w:w="1180" w:type="dxa"/>
            <w:vAlign w:val="bottom"/>
          </w:tcPr>
          <w:p>
            <w:pPr>
              <w:spacing w:after="0"/>
              <w:rPr>
                <w:sz w:val="20"/>
                <w:szCs w:val="20"/>
                <w:color w:val="auto"/>
              </w:rPr>
            </w:pPr>
          </w:p>
        </w:tc>
        <w:tc>
          <w:tcPr>
            <w:tcW w:w="6580" w:type="dxa"/>
            <w:vAlign w:val="bottom"/>
            <w:gridSpan w:val="4"/>
          </w:tcPr>
          <w:p>
            <w:pPr>
              <w:ind w:left="58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Notes to consolidated financial statements</w:t>
              </w:r>
            </w:hyperlink>
          </w:p>
        </w:tc>
        <w:tc>
          <w:tcPr>
            <w:tcW w:w="800" w:type="dxa"/>
            <w:vAlign w:val="bottom"/>
            <w:tcBorders>
              <w:top w:val="single" w:sz="8" w:color="0000FF"/>
            </w:tcBorders>
            <w:gridSpan w:val="3"/>
          </w:tcPr>
          <w:p>
            <w:pPr>
              <w:spacing w:after="0"/>
              <w:rPr>
                <w:sz w:val="20"/>
                <w:szCs w:val="20"/>
                <w:color w:val="auto"/>
              </w:rPr>
            </w:pPr>
          </w:p>
        </w:tc>
        <w:tc>
          <w:tcPr>
            <w:tcW w:w="1640" w:type="dxa"/>
            <w:vAlign w:val="bottom"/>
            <w:gridSpan w:val="3"/>
          </w:tcPr>
          <w:p>
            <w:pPr>
              <w:spacing w:after="0"/>
              <w:rPr>
                <w:sz w:val="20"/>
                <w:szCs w:val="20"/>
                <w:color w:val="auto"/>
              </w:rPr>
            </w:pPr>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75</w:t>
              </w:r>
            </w:hyperlink>
          </w:p>
        </w:tc>
      </w:tr>
      <w:tr>
        <w:trPr>
          <w:trHeight w:val="233"/>
        </w:trPr>
        <w:tc>
          <w:tcPr>
            <w:tcW w:w="1180" w:type="dxa"/>
            <w:vAlign w:val="bottom"/>
          </w:tcPr>
          <w:p>
            <w:pPr>
              <w:spacing w:after="0"/>
              <w:rPr>
                <w:sz w:val="20"/>
                <w:szCs w:val="20"/>
                <w:color w:val="auto"/>
              </w:rPr>
            </w:pPr>
          </w:p>
        </w:tc>
        <w:tc>
          <w:tcPr>
            <w:tcW w:w="902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Financial Statement Schedule</w:t>
            </w:r>
          </w:p>
        </w:tc>
        <w:tc>
          <w:tcPr>
            <w:tcW w:w="780" w:type="dxa"/>
            <w:vAlign w:val="bottom"/>
          </w:tcPr>
          <w:p>
            <w:pPr>
              <w:spacing w:after="0"/>
              <w:rPr>
                <w:sz w:val="20"/>
                <w:szCs w:val="20"/>
                <w:color w:val="auto"/>
              </w:rPr>
            </w:pPr>
          </w:p>
        </w:tc>
      </w:tr>
      <w:tr>
        <w:trPr>
          <w:trHeight w:val="234"/>
        </w:trPr>
        <w:tc>
          <w:tcPr>
            <w:tcW w:w="1180" w:type="dxa"/>
            <w:vAlign w:val="bottom"/>
          </w:tcPr>
          <w:p>
            <w:pPr>
              <w:spacing w:after="0"/>
              <w:rPr>
                <w:sz w:val="20"/>
                <w:szCs w:val="20"/>
                <w:color w:val="auto"/>
              </w:rPr>
            </w:pPr>
          </w:p>
        </w:tc>
        <w:tc>
          <w:tcPr>
            <w:tcW w:w="9020" w:type="dxa"/>
            <w:vAlign w:val="bottom"/>
            <w:gridSpan w:val="10"/>
          </w:tcPr>
          <w:p>
            <w:pPr>
              <w:ind w:left="58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Schedule III—Real estate and accumulated depreciation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110</w:t>
              </w:r>
            </w:hyperlink>
          </w:p>
        </w:tc>
      </w:tr>
      <w:tr>
        <w:trPr>
          <w:trHeight w:val="50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9020" w:type="dxa"/>
            <w:vAlign w:val="bottom"/>
            <w:gridSpan w:val="10"/>
          </w:tcPr>
          <w:p>
            <w:pPr>
              <w:ind w:left="580"/>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Exhibits Index</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113</w:t>
              </w:r>
            </w:hyperlink>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35" w:right="57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right="20" w:firstLine="445"/>
        <w:spacing w:after="0" w:line="219"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The Macerich Company and subsidiaries (the Company) as of December 31, 2020 and 2019, the related consolidated statements of operations, comprehensive (loss) income,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in conformity with U.S. generally accepted accounting principles.</w:t>
      </w:r>
    </w:p>
    <w:p>
      <w:pPr>
        <w:spacing w:after="0" w:line="135"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February 24, 2021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effectiveness of the Company’s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6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as of January 1, 2019 due to the adoption of FASB Accounting Standards Codification Topic 842 (ASC 842), Leases.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4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Assessment of the Company’s evaluation of the expected holding period for operating properties</w:t>
      </w:r>
    </w:p>
    <w:p>
      <w:pPr>
        <w:spacing w:after="0" w:line="160" w:lineRule="exact"/>
        <w:rPr>
          <w:sz w:val="20"/>
          <w:szCs w:val="20"/>
          <w:color w:val="auto"/>
        </w:rPr>
      </w:pPr>
    </w:p>
    <w:p>
      <w:pPr>
        <w:ind w:left="740" w:right="60"/>
        <w:spacing w:after="0" w:line="266" w:lineRule="auto"/>
        <w:rPr>
          <w:sz w:val="20"/>
          <w:szCs w:val="20"/>
          <w:color w:val="auto"/>
        </w:rPr>
      </w:pPr>
      <w:r>
        <w:rPr>
          <w:rFonts w:ascii="Times New Roman" w:cs="Times New Roman" w:eastAsia="Times New Roman" w:hAnsi="Times New Roman"/>
          <w:sz w:val="18"/>
          <w:szCs w:val="18"/>
          <w:color w:val="auto"/>
        </w:rPr>
        <w:t>As discussed in Notes 2 and 6 to the consolidated financial statements, the Company assesses whether an indicator of impairment in the carrying value of its properties exists by considering property operating performance, holding periods, capitalization rates, and other market factors. Property, net as of December 31, 2020 was $6,695 million, or 73% of total assets.</w:t>
      </w:r>
    </w:p>
    <w:p>
      <w:pPr>
        <w:spacing w:after="0" w:line="95" w:lineRule="exact"/>
        <w:rPr>
          <w:sz w:val="20"/>
          <w:szCs w:val="20"/>
          <w:color w:val="auto"/>
        </w:rPr>
      </w:pPr>
    </w:p>
    <w:p>
      <w:pPr>
        <w:ind w:left="740" w:right="48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Company’s evaluation of the expected holding period for operating properties as a critical audit matter. Subjective auditor judgment was required to assess the relevant events or changes in circumstances that the Company used to evaluate its expected holding period. A shortening of the expected holding period could indicate a potential impairment.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4" w:name="page65"/>
    <w:bookmarkEnd w:id="64"/>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We evaluated the relevant events or changes in circumstances and the current economic environment that the Company used to evaluate its expected holding period by:</w:t>
      </w:r>
    </w:p>
    <w:p>
      <w:pPr>
        <w:spacing w:after="0" w:line="99" w:lineRule="exact"/>
        <w:rPr>
          <w:sz w:val="20"/>
          <w:szCs w:val="20"/>
          <w:color w:val="auto"/>
        </w:rPr>
      </w:pPr>
    </w:p>
    <w:p>
      <w:pPr>
        <w:ind w:left="560" w:hanging="158"/>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of the meetings of the Company’s Board of Directors</w:t>
      </w:r>
    </w:p>
    <w:p>
      <w:pPr>
        <w:spacing w:after="0" w:line="157" w:lineRule="exact"/>
        <w:rPr>
          <w:rFonts w:ascii="Times New Roman" w:cs="Times New Roman" w:eastAsia="Times New Roman" w:hAnsi="Times New Roman"/>
          <w:sz w:val="18"/>
          <w:szCs w:val="18"/>
          <w:color w:val="auto"/>
        </w:rPr>
      </w:pPr>
    </w:p>
    <w:p>
      <w:pPr>
        <w:ind w:left="560" w:hanging="158"/>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external communications with investors and analysts</w:t>
      </w:r>
    </w:p>
    <w:p>
      <w:pPr>
        <w:spacing w:after="0" w:line="157" w:lineRule="exact"/>
        <w:rPr>
          <w:rFonts w:ascii="Times New Roman" w:cs="Times New Roman" w:eastAsia="Times New Roman" w:hAnsi="Times New Roman"/>
          <w:sz w:val="18"/>
          <w:szCs w:val="18"/>
          <w:color w:val="auto"/>
        </w:rPr>
      </w:pPr>
    </w:p>
    <w:p>
      <w:pPr>
        <w:ind w:left="560" w:hanging="158"/>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documents prepared by the Company regarding proposed real estate transactions</w:t>
      </w:r>
    </w:p>
    <w:p>
      <w:pPr>
        <w:spacing w:after="0" w:line="144" w:lineRule="exact"/>
        <w:rPr>
          <w:rFonts w:ascii="Times New Roman" w:cs="Times New Roman" w:eastAsia="Times New Roman" w:hAnsi="Times New Roman"/>
          <w:sz w:val="18"/>
          <w:szCs w:val="18"/>
          <w:color w:val="auto"/>
        </w:rPr>
      </w:pPr>
    </w:p>
    <w:p>
      <w:pPr>
        <w:ind w:left="560" w:hanging="158"/>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properties with current encumbrances that are set to mature within one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fair value of the Chandler Freehold financing arrangement obligation</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in Notes 2 and 12 to the consolidated financial statements, the Company reports the Chandler Freehold consolidated joint venture as a financing arrangement with the related deferred gain recorded as a liability at fair value. The fair value of the financing arrangement obligation is determined primarily based upon the fair value of the underlying shopping centers, Chandler Fashion Center and Freehold Raceway Mall, owned by the Chandler Freehold consolidated joint venture. The fair value of the shopping centers is estimated using a discounted cash flow model. Subsequent changes in fair value of the financing arrangement obligation are recorded as interest expense. The financing arrangement obligation as of December 31, 2020 was $134 million, or 2% of total liabilities. The adjustment to fair value of the financing arrangement obligation was $140 million, or 73% of net loss.</w:t>
      </w:r>
    </w:p>
    <w:p>
      <w:pPr>
        <w:spacing w:after="0" w:line="10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fair value of the Chandler Freehold financing arrangement obligation as a critical audit matter. A high degree of subjectivity was required in evaluating the discounted cash flow model used to fair value the shopping centers. Specifically, the model was sensitive to reasonably possible changes to significant assumptions, which have a significant effect on the determination of fair value of the financing arrangement obligation. The significant assumptions include market rental rates, discount rates, and terminal capitalization rates.</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fair value determination process for the financing arrangement obligation and specifically the development of the significant assumptions. We involved valuation professionals with specialized skills and knowledge who assisted in evaluating the Company’s significant assumptions used in the discounted cash flow model. The valuation professionals independently developed a range of the market rental rates, discount rates, and terminal capitalization rates using publicly available market data for comparable properties and geographic regions in which Chandler Fashion Center and Freehold Raceway Mall are located and compared the rates to those used by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fair value of Fashion District Philadelphia upon consolidation</w:t>
      </w:r>
    </w:p>
    <w:p>
      <w:pPr>
        <w:spacing w:after="0" w:line="14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As discussed in Notes 2, 4 and 16 to the consolidated financial statements, the Company’s joint venture in Fashion District Philadelphia was restructured. As a result of the restructuring, Fashion District Philadelphia was determined to be a variable interest entity and the Company was determined to be its primary beneficiary. Accordingly, the Company consolidated Fashion District Philadelphia at fair value on December 10, 2020 and recorded a loss of $163 million. The fair value of Fashion District Philadelphia was estimated using a discounted cash flow model.</w:t>
      </w:r>
    </w:p>
    <w:p>
      <w:pPr>
        <w:spacing w:after="0" w:line="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measurement of the fair value of Fashion District Philadelphia upon consolidation as a critical audit matter. A high degree of subjectivity was required in evaluating the discounted cash flow model used to fair value Fashion District Philadelphia. Specifically, the model was sensitive to reasonably possible changes to significant assumptions, including market rental rates, the discount rate, and the terminal capitalization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1039" w:right="339" w:bottom="1440" w:gutter="0" w:footer="0" w:header="0"/>
        </w:sectPr>
      </w:pPr>
    </w:p>
    <w:bookmarkStart w:id="65" w:name="page66"/>
    <w:bookmarkEnd w:id="65"/>
    <w:p>
      <w:pPr>
        <w:ind w:left="74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fair value determination process for the Fashion District Philadelphia upon consolidation and specifically the development of the significant assumptions. We involved valuation professionals with specialized skills and knowledge who assisted in evaluating the Company’s significant assumptions used in the discounted cash flow model. The valuation professionals independently developed a range of the market rental rates, discount rate, and the terminal capitalization rate using publicly available market data for comparable properties and geographic region in which Fashion District Philadelphia is located and compared the rates to those used by the Company.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6,694,579</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6,643,513</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144,035</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277,866</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1,519,697</w:t>
            </w:r>
          </w:p>
        </w:tc>
        <w:tc>
          <w:tcPr>
            <w:tcW w:w="0" w:type="dxa"/>
            <w:vAlign w:val="bottom"/>
          </w:tcPr>
          <w:p>
            <w:pPr>
              <w:spacing w:after="0"/>
              <w:rPr>
                <w:sz w:val="1"/>
                <w:szCs w:val="1"/>
                <w:color w:val="auto"/>
              </w:rPr>
            </w:pPr>
          </w:p>
        </w:tc>
      </w:tr>
      <w:tr>
        <w:trPr>
          <w:trHeight w:val="223"/>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9,184,005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8,853,571</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4,560,810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4,392,599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817,377</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107,902</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6,022,601</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250,000,000 shares authorized, 149,770,575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and 141,407,650 shares issued and outstanding at December 31, 2020</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2019, respectively</w:t>
            </w: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4,603,378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4,583,911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(1,944,012)</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2,632,262</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2,445,260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2,830,970</w:t>
            </w:r>
          </w:p>
        </w:tc>
        <w:tc>
          <w:tcPr>
            <w:tcW w:w="0" w:type="dxa"/>
            <w:vAlign w:val="bottom"/>
          </w:tcPr>
          <w:p>
            <w:pPr>
              <w:spacing w:after="0"/>
              <w:rPr>
                <w:sz w:val="1"/>
                <w:szCs w:val="1"/>
                <w:color w:val="auto"/>
              </w:rPr>
            </w:pPr>
          </w:p>
        </w:tc>
      </w:tr>
      <w:tr>
        <w:trPr>
          <w:trHeight w:val="223"/>
        </w:trPr>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9,184,005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8,853,571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600" w:top="1035" w:right="59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740,323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858,874</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883,996</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27,879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32,875</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23,461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40,709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43,480</w:t>
            </w:r>
          </w:p>
        </w:tc>
        <w:tc>
          <w:tcPr>
            <w:tcW w:w="0" w:type="dxa"/>
            <w:vAlign w:val="bottom"/>
          </w:tcPr>
          <w:p>
            <w:pPr>
              <w:spacing w:after="0"/>
              <w:rPr>
                <w:sz w:val="1"/>
                <w:szCs w:val="1"/>
                <w:color w:val="auto"/>
              </w:rPr>
            </w:pPr>
          </w:p>
        </w:tc>
      </w:tr>
      <w:tr>
        <w:trPr>
          <w:trHeight w:val="183"/>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786,026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927,462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960,351</w:t>
            </w:r>
          </w:p>
        </w:tc>
        <w:tc>
          <w:tcPr>
            <w:tcW w:w="0" w:type="dxa"/>
            <w:vAlign w:val="bottom"/>
          </w:tcPr>
          <w:p>
            <w:pPr>
              <w:spacing w:after="0"/>
              <w:rPr>
                <w:sz w:val="1"/>
                <w:szCs w:val="1"/>
                <w:color w:val="auto"/>
              </w:rPr>
            </w:pPr>
          </w:p>
        </w:tc>
      </w:tr>
      <w:tr>
        <w:trPr>
          <w:trHeight w:val="178"/>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257,212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271,547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277,470</w:t>
            </w:r>
          </w:p>
        </w:tc>
        <w:tc>
          <w:tcPr>
            <w:tcW w:w="0" w:type="dxa"/>
            <w:vAlign w:val="bottom"/>
          </w:tcPr>
          <w:p>
            <w:pPr>
              <w:spacing w:after="0"/>
              <w:rPr>
                <w:sz w:val="1"/>
                <w:szCs w:val="1"/>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w:t>
            </w: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11,624</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65,576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91,910</w:t>
            </w:r>
          </w:p>
        </w:tc>
        <w:tc>
          <w:tcPr>
            <w:tcW w:w="0" w:type="dxa"/>
            <w:vAlign w:val="bottom"/>
          </w:tcPr>
          <w:p>
            <w:pPr>
              <w:spacing w:after="0"/>
              <w:rPr>
                <w:sz w:val="1"/>
                <w:szCs w:val="1"/>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24,160</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Costs related to shareholder activism</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19,369</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319,619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330,726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327,436</w:t>
            </w:r>
          </w:p>
        </w:tc>
        <w:tc>
          <w:tcPr>
            <w:tcW w:w="0" w:type="dxa"/>
            <w:vAlign w:val="bottom"/>
          </w:tcPr>
          <w:p>
            <w:pPr>
              <w:spacing w:after="0"/>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697,937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721,313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751,969</w:t>
            </w:r>
          </w:p>
        </w:tc>
        <w:tc>
          <w:tcPr>
            <w:tcW w:w="0" w:type="dxa"/>
            <w:vAlign w:val="bottom"/>
          </w:tcPr>
          <w:p>
            <w:pPr>
              <w:spacing w:after="0"/>
              <w:rPr>
                <w:sz w:val="1"/>
                <w:szCs w:val="1"/>
                <w:color w:val="auto"/>
              </w:rPr>
            </w:pPr>
          </w:p>
        </w:tc>
      </w:tr>
      <w:tr>
        <w:trPr>
          <w:trHeight w:val="178"/>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expense: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Related parties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6,883</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210,831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200,771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176,079</w:t>
            </w:r>
          </w:p>
        </w:tc>
        <w:tc>
          <w:tcPr>
            <w:tcW w:w="0" w:type="dxa"/>
            <w:vAlign w:val="bottom"/>
          </w:tcPr>
          <w:p>
            <w:pPr>
              <w:spacing w:after="0"/>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75,550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138,254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182,962</w:t>
            </w:r>
          </w:p>
        </w:tc>
        <w:tc>
          <w:tcPr>
            <w:tcW w:w="0" w:type="dxa"/>
            <w:vAlign w:val="bottom"/>
          </w:tcPr>
          <w:p>
            <w:pPr>
              <w:spacing w:after="0"/>
              <w:rPr>
                <w:sz w:val="1"/>
                <w:szCs w:val="1"/>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6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773,487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859,918</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934,931</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48,508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71,773</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Loss on remeasurement of assets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(31,825)</w:t>
            </w:r>
          </w:p>
        </w:tc>
        <w:tc>
          <w:tcPr>
            <w:tcW w:w="0" w:type="dxa"/>
            <w:vAlign w:val="bottom"/>
          </w:tcPr>
          <w:p>
            <w:pPr>
              <w:spacing w:after="0"/>
              <w:rPr>
                <w:sz w:val="1"/>
                <w:szCs w:val="1"/>
                <w:color w:val="auto"/>
              </w:rPr>
            </w:pPr>
          </w:p>
        </w:tc>
      </w:tr>
      <w:tr>
        <w:trPr>
          <w:trHeight w:val="18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68,972</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8,952</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(230,203)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96,820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60,020</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common share attributable to common stockholders: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146,232,000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141,340,000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141,142,000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146,232,000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141,340,000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141,144,000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914" w:right="55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102,554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68,972</w:t>
            </w:r>
          </w:p>
        </w:tc>
      </w:tr>
      <w:tr>
        <w:trPr>
          <w:trHeight w:val="189"/>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r>
      <w:tr>
        <w:trPr>
          <w:trHeight w:val="18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97,969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64,548</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8,952</w:t>
            </w: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the Company</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(229,360)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92,235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55,596</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1035" w:right="5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5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40" w:type="dxa"/>
            <w:vAlign w:val="bottom"/>
          </w:tcPr>
          <w:p>
            <w:pPr>
              <w:spacing w:after="0"/>
              <w:rPr>
                <w:sz w:val="11"/>
                <w:szCs w:val="11"/>
                <w:color w:val="auto"/>
              </w:rPr>
            </w:pPr>
          </w:p>
        </w:tc>
        <w:tc>
          <w:tcPr>
            <w:tcW w:w="6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140,993,985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4,510,489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3,681,578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286,421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3,967,999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68,972</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effect of adoption of ASU 2014-09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share and unit-based plans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33,551</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declared ($2.97) per share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(419,239)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(419,239)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from noncontrolling interests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noncontrolling interests to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 noncontrolling interests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Adjustment of noncontrolling interests in Operating Partnership</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141,221,712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4,567,643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(1,614,357)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3,188,432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0" w:name="page71"/>
    <w:bookmarkEnd w:id="70"/>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1"/>
        </w:trPr>
        <w:tc>
          <w:tcPr>
            <w:tcW w:w="3200" w:type="dxa"/>
            <w:vAlign w:val="bottom"/>
          </w:tcPr>
          <w:p>
            <w:pPr>
              <w:spacing w:after="0"/>
              <w:rPr>
                <w:sz w:val="10"/>
                <w:szCs w:val="10"/>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141,221,712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4,567,643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(1,614,357)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2,950,232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238,200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3,188,432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102,554</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effect of adoption of ASC 842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(4,585)</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share and unit-based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declared ($3.00) per share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(424,272)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(50,262)</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from noncontrolling interests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noncontrolling interests to common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 noncontrolling interests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 interests in Operating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Partnership</w:t>
            </w: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141,407,650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4,583,911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(1,944,012)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2,632,262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2,830,970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1" w:name="page72"/>
    <w:bookmarkEnd w:id="71"/>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center"/>
              <w:ind w:right="118"/>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1"/>
        </w:trPr>
        <w:tc>
          <w:tcPr>
            <w:tcW w:w="2580" w:type="dxa"/>
            <w:vAlign w:val="bottom"/>
          </w:tcPr>
          <w:p>
            <w:pPr>
              <w:spacing w:after="0"/>
              <w:rPr>
                <w:sz w:val="10"/>
                <w:szCs w:val="10"/>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98"/>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141,407,650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4,583,911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(1,944,012)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(9,051)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2,632,262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198,708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2,830,970</w:t>
            </w: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(245,462)</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843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share and unit-based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18,066</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purchases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declared ($1.55) per share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(165,404)</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dividend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7,759,280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from noncontrolling interests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19,203</w:t>
            </w:r>
          </w:p>
        </w:tc>
        <w:tc>
          <w:tcPr>
            <w:tcW w:w="0" w:type="dxa"/>
            <w:vAlign w:val="bottom"/>
          </w:tcPr>
          <w:p>
            <w:pPr>
              <w:spacing w:after="0"/>
              <w:rPr>
                <w:sz w:val="1"/>
                <w:szCs w:val="1"/>
                <w:color w:val="auto"/>
              </w:rPr>
            </w:pPr>
          </w:p>
        </w:tc>
      </w:tr>
      <w:tr>
        <w:trPr>
          <w:trHeight w:val="122"/>
        </w:trPr>
        <w:tc>
          <w:tcPr>
            <w:tcW w:w="2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noncontrolling interests to</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186,791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2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shares</w:t>
            </w: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 noncontrolling interests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22"/>
        </w:trPr>
        <w:tc>
          <w:tcPr>
            <w:tcW w:w="2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 interests in</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2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(12,157)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12,157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Partnership</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149,770,575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4,603,378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(2,339,619)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(8,208)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2,257,049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2,445,260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(245,462)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102,554</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68,972</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Loss on remeasurement of assets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163,298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68,112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31,825</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326,058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337,667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334,682</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Amortization of net premium on mortgage notes payable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Amortization of share and unit-based plans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12,032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27,367</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Straight-line rent and amortization of above and below market leases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(13,701)</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7,682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4,663</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(71,773)</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 in fair value of financing arrangement obligation</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w:t>
            </w:r>
          </w:p>
        </w:tc>
      </w:tr>
      <w:tr>
        <w:trPr>
          <w:trHeight w:val="18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Distributions of income from unconsolidated joint ventures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1,959</w:t>
            </w:r>
          </w:p>
        </w:tc>
      </w:tr>
      <w:tr>
        <w:trPr>
          <w:trHeight w:val="189"/>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dispositions: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6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w:t>
            </w:r>
          </w:p>
        </w:tc>
      </w:tr>
      <w:tr>
        <w:trPr>
          <w:trHeight w:val="189"/>
        </w:trPr>
        <w:tc>
          <w:tcPr>
            <w:tcW w:w="6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8,439</w:t>
            </w:r>
          </w:p>
        </w:tc>
      </w:tr>
      <w:tr>
        <w:trPr>
          <w:trHeight w:val="189"/>
        </w:trPr>
        <w:tc>
          <w:tcPr>
            <w:tcW w:w="6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from affiliates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13,894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w:t>
            </w:r>
          </w:p>
        </w:tc>
      </w:tr>
      <w:tr>
        <w:trPr>
          <w:trHeight w:val="189"/>
        </w:trPr>
        <w:tc>
          <w:tcPr>
            <w:tcW w:w="6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9"/>
        </w:trPr>
        <w:tc>
          <w:tcPr>
            <w:tcW w:w="6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26,350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w:t>
            </w:r>
          </w:p>
        </w:tc>
      </w:tr>
      <w:tr>
        <w:trPr>
          <w:trHeight w:val="182"/>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124,837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355,157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344,311</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Development, redevelopment, expansion and renovation of properties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(181,089)</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improvements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(56,142)</w:t>
            </w: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collection of notes receivable</w:t>
            </w: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68,819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1,043</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leasing costs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(28,769)</w:t>
            </w: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from unconsolidated joint ventures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266,349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536,643</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unconsolidated joint ventures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(181,239)</w:t>
            </w:r>
          </w:p>
        </w:tc>
      </w:tr>
      <w:tr>
        <w:trPr>
          <w:trHeight w:val="189"/>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restricted cash acquired from acquisition of previously unconsolidated joint venture</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to previously unconsolidated joint venture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16,896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85,876</w:t>
            </w:r>
          </w:p>
        </w:tc>
      </w:tr>
      <w:tr>
        <w:trPr>
          <w:trHeight w:val="183"/>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(202,848)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176,323</w:t>
            </w:r>
          </w:p>
        </w:tc>
      </w:tr>
    </w:tbl>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1035" w:right="55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mortgages, bank and other notes payable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415,000</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mortgages, bank and other notes payable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(1,567,089)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(469,814)</w:t>
            </w: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finance deposits, net of refunds received</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on finance arrangement obligation</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finance lease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share and unit-based plans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1,570</w:t>
            </w: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of noncontrolling interests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16</w:t>
            </w:r>
          </w:p>
        </w:tc>
      </w:tr>
      <w:tr>
        <w:trPr>
          <w:trHeight w:val="189"/>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(179,862)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(474,534)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(453,634)</w:t>
            </w:r>
          </w:p>
        </w:tc>
      </w:tr>
      <w:tr>
        <w:trPr>
          <w:trHeight w:val="18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446,454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(514,438)</w:t>
            </w:r>
          </w:p>
        </w:tc>
      </w:tr>
      <w:tr>
        <w:trPr>
          <w:trHeight w:val="182"/>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368,443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6,196</w:t>
            </w:r>
          </w:p>
        </w:tc>
      </w:tr>
      <w:tr>
        <w:trPr>
          <w:trHeight w:val="18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114,216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143,105</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482,659</w:t>
            </w:r>
          </w:p>
        </w:tc>
        <w:tc>
          <w:tcPr>
            <w:tcW w:w="10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114,216</w:t>
            </w: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149,301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199,147</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210,026</w:t>
            </w:r>
          </w:p>
        </w:tc>
        <w:tc>
          <w:tcPr>
            <w:tcW w:w="1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192,254</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development costs included in accounts payable and accrued expenses and other accrued liabilities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29,376</w:t>
            </w:r>
          </w:p>
        </w:tc>
        <w:tc>
          <w:tcPr>
            <w:tcW w:w="1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32,452</w:t>
            </w:r>
          </w:p>
        </w:tc>
        <w:tc>
          <w:tcPr>
            <w:tcW w:w="1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50,006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940" w:type="dxa"/>
            <w:vAlign w:val="bottom"/>
            <w:tcBorders>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Conversion of Operating Partnership Units to common stock</w:t>
            </w:r>
          </w:p>
        </w:tc>
        <w:tc>
          <w:tcPr>
            <w:tcW w:w="260" w:type="dxa"/>
            <w:vAlign w:val="bottom"/>
            <w:tcBorders>
              <w:bottom w:val="single" w:sz="8" w:color="auto"/>
            </w:tcBorders>
            <w:shd w:val="clear" w:color="auto" w:fill="CCEE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12,086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1,005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7"/>
              <w:spacing w:after="0" w:line="156" w:lineRule="exact"/>
              <w:rPr>
                <w:sz w:val="20"/>
                <w:szCs w:val="20"/>
                <w:color w:val="auto"/>
              </w:rPr>
            </w:pPr>
            <w:r>
              <w:rPr>
                <w:rFonts w:ascii="Times New Roman" w:cs="Times New Roman" w:eastAsia="Times New Roman" w:hAnsi="Times New Roman"/>
                <w:sz w:val="14"/>
                <w:szCs w:val="14"/>
                <w:color w:val="auto"/>
              </w:rPr>
              <w:t>75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63"/>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liabilities recorded in connection with right-of-use assets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109,299</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940" w:type="dxa"/>
            <w:vAlign w:val="bottom"/>
            <w:tcBorders>
              <w:bottom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Mortgage notes payable assumed by buyer in exchange for investment in unconsolidated joint venture</w:t>
            </w:r>
          </w:p>
        </w:tc>
        <w:tc>
          <w:tcPr>
            <w:tcW w:w="260" w:type="dxa"/>
            <w:vAlign w:val="bottom"/>
            <w:tcBorders>
              <w:bottom w:val="single" w:sz="8" w:color="auto"/>
            </w:tcBorders>
            <w:shd w:val="clear" w:color="auto" w:fill="CCEE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7"/>
              <w:spacing w:after="0" w:line="156" w:lineRule="exact"/>
              <w:rPr>
                <w:sz w:val="20"/>
                <w:szCs w:val="20"/>
                <w:color w:val="auto"/>
              </w:rPr>
            </w:pPr>
            <w:r>
              <w:rPr>
                <w:rFonts w:ascii="Times New Roman" w:cs="Times New Roman" w:eastAsia="Times New Roman" w:hAnsi="Times New Roman"/>
                <w:sz w:val="14"/>
                <w:szCs w:val="14"/>
                <w:color w:val="auto"/>
              </w:rPr>
              <w:t>139,249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63"/>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Disposition of property in exchange for investments in unconsolidated joint ventures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25,177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acquired from previously unconsolidated joint venture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395,844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90"/>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assumed from previously unconsolidated joint venture</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263,393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distribution from unconsolidated joint venture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580" w:top="1035" w:right="5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48"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December 31, 2020,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("GAAP") in the United States of America.</w:t>
      </w:r>
    </w:p>
    <w:p>
      <w:pPr>
        <w:spacing w:after="0" w:line="8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Investments in entities in which the Company has a controlling financial interest or entities that meet the definition of a variable interest entity ("VIE")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16" w:lineRule="exact"/>
        <w:rPr>
          <w:sz w:val="20"/>
          <w:szCs w:val="20"/>
          <w:color w:val="auto"/>
        </w:rPr>
      </w:pPr>
    </w:p>
    <w:p>
      <w:pPr>
        <w:jc w:val="both"/>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Fashion District Philadelphia and SanTan Village Regional Shopping Center.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VIEs included the following assets and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551,062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254,071</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284,120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420,233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219,140</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32,101</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251,241</w:t>
            </w:r>
          </w:p>
        </w:tc>
      </w:tr>
      <w:tr>
        <w:trPr>
          <w:trHeight w:val="20"/>
        </w:trPr>
        <w:tc>
          <w:tcPr>
            <w:tcW w:w="7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91,038</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52,067</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102,711</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46,590</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6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March 2020, the novel coronavirus ("COVID-19") outbreak was declared a pandemic by the World Health Organization. As a result, all of the markets that the Company operates in were subject to stay-at-home orders, and the majority of its properties were temporarily closed in part or completely. All of the Company’s properties are now open and operating, including the two shopping centers in New York City, which re-opened in early September 2020 after being closed since March 2020, and nine indoor California shopping centers that had previously re-opened in May and early June 2020, but were closed for a second time in July 2020 pursuant to a statewide mandate. Six of the nine California shopping centers re-opened in late August 2020 and three re-opened on October 7, 2020. The Company continues to work with all of its stakeholders to mitigate the impact of COVID-19. All Centers have been open and operating since October 7, 2020, and government mandated restrictions have generally been eased during 2021.</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Lease Accounting:</w:t>
      </w:r>
    </w:p>
    <w:p>
      <w:pPr>
        <w:spacing w:after="0" w:line="160"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twelve months ended December 31, 2020.</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146"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increased by $24,789, $10,533 and $11,755 due to the straight-line rent adjustment during the years ended December 31, 2020, 2019 and 2018,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21"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w:t>
      </w:r>
    </w:p>
    <w:p>
      <w:pPr>
        <w:spacing w:after="0" w:line="160"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is recorded at cost and is depreciated using a straight-line method over the estimated useful lives of the assets as follows:</w:t>
      </w:r>
    </w:p>
    <w:p>
      <w:pPr>
        <w:spacing w:after="0" w:line="200" w:lineRule="exact"/>
        <w:rPr>
          <w:sz w:val="20"/>
          <w:szCs w:val="20"/>
          <w:color w:val="auto"/>
        </w:rPr>
      </w:pPr>
    </w:p>
    <w:p>
      <w:pPr>
        <w:spacing w:after="0" w:line="38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furnishings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Capitalization of Costs:</w:t>
      </w:r>
    </w:p>
    <w:p>
      <w:pPr>
        <w:spacing w:after="0" w:line="160"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Investment in Unconsolidated Joint Ventures:</w:t>
      </w:r>
    </w:p>
    <w:p>
      <w:pPr>
        <w:spacing w:after="0" w:line="160"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using the equity method of accounting unless the Company has a controlling financial interest in the joint venture or the joint venture meets the definition of a variable interest entity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 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VIE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60"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7"/>
          <w:szCs w:val="17"/>
          <w:color w:val="auto"/>
        </w:rPr>
        <w:t>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0" w:lineRule="exact"/>
        <w:rPr>
          <w:sz w:val="20"/>
          <w:szCs w:val="20"/>
          <w:color w:val="auto"/>
        </w:rPr>
      </w:pP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range of the terms of the agreements is as follows:</w:t>
            </w:r>
          </w:p>
        </w:tc>
        <w:tc>
          <w:tcPr>
            <w:tcW w:w="3620" w:type="dxa"/>
            <w:vAlign w:val="bottom"/>
          </w:tcPr>
          <w:p>
            <w:pPr>
              <w:spacing w:after="0"/>
              <w:rPr>
                <w:sz w:val="20"/>
                <w:szCs w:val="20"/>
                <w:color w:val="auto"/>
              </w:rPr>
            </w:pPr>
          </w:p>
        </w:tc>
      </w:tr>
      <w:tr>
        <w:trPr>
          <w:trHeight w:val="175"/>
        </w:trPr>
        <w:tc>
          <w:tcPr>
            <w:tcW w:w="5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230"/>
        </w:trPr>
        <w:tc>
          <w:tcPr>
            <w:tcW w:w="560" w:type="dxa"/>
            <w:vAlign w:val="bottom"/>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costs</w:t>
            </w:r>
          </w:p>
        </w:tc>
        <w:tc>
          <w:tcPr>
            <w:tcW w:w="362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1 - 15 years</w:t>
            </w:r>
          </w:p>
        </w:tc>
      </w:tr>
      <w:tr>
        <w:trPr>
          <w:trHeight w:val="234"/>
        </w:trPr>
        <w:tc>
          <w:tcPr>
            <w:tcW w:w="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6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1 - 15 years</w:t>
            </w:r>
          </w:p>
        </w:tc>
      </w:tr>
    </w:tbl>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for Impairment:</w:t>
      </w:r>
    </w:p>
    <w:p>
      <w:pPr>
        <w:spacing w:after="0" w:line="146"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124"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and Unit-based Compensation Plans:</w:t>
      </w:r>
    </w:p>
    <w:p>
      <w:pPr>
        <w:spacing w:after="0" w:line="146" w:lineRule="exact"/>
        <w:rPr>
          <w:sz w:val="20"/>
          <w:szCs w:val="20"/>
          <w:color w:val="auto"/>
        </w:rPr>
      </w:pPr>
    </w:p>
    <w:p>
      <w:pPr>
        <w:ind w:right="820" w:firstLine="445"/>
        <w:spacing w:after="0" w:line="282" w:lineRule="auto"/>
        <w:rPr>
          <w:sz w:val="20"/>
          <w:szCs w:val="20"/>
          <w:color w:val="auto"/>
        </w:rPr>
      </w:pPr>
      <w:r>
        <w:rPr>
          <w:rFonts w:ascii="Times New Roman" w:cs="Times New Roman" w:eastAsia="Times New Roman" w:hAnsi="Times New Roman"/>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paid (received) as a result of interest rate agreements are recorded as an addition (reduction) to (of) interest expense.</w:t>
      </w:r>
    </w:p>
    <w:p>
      <w:pPr>
        <w:spacing w:after="0" w:line="15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If any derivative instrument used for risk management does not meet the hedging criteria, it is marked-to-market each period with the change in value included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95"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60"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9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07"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0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1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46"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Center or tenant generated more than 10% of total revenues during the years ended December 31, 2020, 2019 or 2018.</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Management Estimates:</w:t>
      </w:r>
    </w:p>
    <w:p>
      <w:pPr>
        <w:spacing w:after="0" w:line="14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Shareholder Activism Costs:</w:t>
      </w:r>
    </w:p>
    <w:p>
      <w:pPr>
        <w:spacing w:after="0" w:line="160"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incurred $19,369 in costs associated with activities related to shareholder activism. These costs were primarily for legal and advisory services.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ind w:right="300" w:firstLine="445"/>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Additionally, under ASC 606, the Company changed its accounting for its joint venture in Chandler Freehold from a co-venture arrangement to a financing arrangement (See Note 12—Financing Arrangement). Upon adoption of the standard on January 1, 2018, the Company replaced its $31,150 distributions in excess of co-venture obligation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pacing w:after="0" w:line="10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FASB, which included (i) relief from re-assessing whether an expired or existing contract meets the definition of a lease,</w:t>
      </w:r>
    </w:p>
    <w:p>
      <w:pPr>
        <w:spacing w:after="0" w:line="3"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from re-assessing the classification of expired or existing leases at the adoption date, (iii) allowing previously capitalized initial direct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costs to continue to be amortized, and (iv) application of the standard as of the adoption date rather than to all periods presented.</w:t>
      </w:r>
    </w:p>
    <w:p>
      <w:pPr>
        <w:spacing w:after="0" w:line="15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new standard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 that were in litigation or bankruptcy. The standard also requires that the provision for bad debts relating to leases be presented as a reduction of leasing revenue. For the year ended December 31, 2018, the provision for bad debts is included in shopping center and operating expenses.</w:t>
      </w:r>
    </w:p>
    <w:p>
      <w:pPr>
        <w:spacing w:after="0" w:line="11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expenses that were included in management companies' operating expenses to leasing expenses for the year ended December 31, 2018, to conform to the presentation for the years ended December 31, 2019 and 2020.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statements of operations. For comparison purposes, the Company has reclassified minimum rents, percentage rents, tenant recoveries and other leasing income to leasing revenue for the year ended December 31, 2018, to conform to the presentation for the years ended December 31, 2019 and 2020.</w:t>
      </w:r>
    </w:p>
    <w:p>
      <w:pPr>
        <w:spacing w:after="0" w:line="107"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The standard requires lessees to classify its leases as either finance or operating leases. The lessee records a right-of-use ("ROU") asset and a lease liability for all leases with a term of greater than twelve months, regardless of their lease classification. Upon adoption, the Company recognized initial ROU assets and corresponding lease liabilities of $109,299, representing the discounted value of future lease payments required for leases classified as operating leases. In addition, the Company reclassified $59,736 from deferred charges and other assets, net, $5,978 from accounts payable and accrued expenses and $4,342 from other accrued liabilities, relating to existing intangible assets and straight-line rent liabilities. The Company's lease liabilities were increased at adoption by $15,268 for lease liabilities associated with finance leases that were previously included in other accrued liabilities. See Note 8—Leases, for further disclosure on the Company's adoption of the new standard.</w:t>
      </w:r>
    </w:p>
    <w:p>
      <w:pPr>
        <w:spacing w:after="0" w:line="121"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In August 2017, the FASB issued ASU 2017-12, “Targeted Improvements to Accounting for Hedging Activities,” which aims to (i) improve the transparency and understandability of information conveyed to financial statement users about an entity’s risk management activities by better aligning the entity’s financial reporting for hedging relationships with those risk management activities and (ii) reduce the complexity of and simplify the application of hedge accounting by preparers. The standard was effective for the Company beginning January 1, 2019. The Company's adoption of this standard did not have a significant impact on its consolidated financial statements.</w:t>
      </w:r>
    </w:p>
    <w:p>
      <w:pPr>
        <w:spacing w:after="0" w:line="116"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March 2020, the FASB issued guidance codified in ASU 2020-04, “Reference Rate Reform (Topic 848): Facilitation of the Effects of Reference Rate Reform on Financial Reporting,” which provides optional expedients for a limited period of time to ease the potential burden in accounting for (or recognizing the effects of) reference rate reform on financial reporting. ASU 2020-04 provides optional expedients and exceptions for applying GAAP to contracts, hedging relationships, and other transactions affected by reference rate reform if certain criteria are met. The standard is effective for the Company as of March 12, 2020 through December 31, 2022. An entity can elect to apply the amendments as of any date from the beginning of an interim period that includes or is subsequent to March 12, 2020, or prospectively from a date within an interim period that includes or is subsequent to March 12, 2020, up to that date that the financial statements are available to be issued. The Company is currently evaluating the optional expedients and exceptions provided by ASU 2020-04 to determine the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62" w:lineRule="exact"/>
        <w:rPr>
          <w:sz w:val="20"/>
          <w:szCs w:val="20"/>
          <w:color w:val="auto"/>
        </w:rPr>
      </w:pPr>
    </w:p>
    <w:p>
      <w:pPr>
        <w:ind w:left="260"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earnings per share for the years ended December 31 (shares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68,972</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156"/>
        </w:trPr>
        <w:tc>
          <w:tcPr>
            <w:tcW w:w="6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Numerator for basic and diluted EPS—net (loss) income attributable to common</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(231,251)</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95,630</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58,914</w:t>
            </w:r>
          </w:p>
        </w:tc>
        <w:tc>
          <w:tcPr>
            <w:tcW w:w="0" w:type="dxa"/>
            <w:vAlign w:val="bottom"/>
          </w:tcPr>
          <w:p>
            <w:pPr>
              <w:spacing w:after="0"/>
              <w:rPr>
                <w:sz w:val="1"/>
                <w:szCs w:val="1"/>
                <w:color w:val="auto"/>
              </w:rPr>
            </w:pPr>
          </w:p>
        </w:tc>
      </w:tr>
      <w:tr>
        <w:trPr>
          <w:trHeight w:val="207"/>
        </w:trPr>
        <w:tc>
          <w:tcPr>
            <w:tcW w:w="61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Denominator for basic EPS—weighted average number of common shares</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146,232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141,142</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and unit based compensation</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5"/>
        </w:trPr>
        <w:tc>
          <w:tcPr>
            <w:tcW w:w="61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Denominator for diluted EPS—weighted average number of common shares</w:t>
            </w: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141,144</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EPS—net (loss) income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58" w:lineRule="exact"/>
        <w:rPr>
          <w:sz w:val="20"/>
          <w:szCs w:val="20"/>
          <w:color w:val="auto"/>
        </w:rPr>
      </w:pPr>
    </w:p>
    <w:p>
      <w:pPr>
        <w:ind w:left="820" w:right="440" w:hanging="407"/>
        <w:spacing w:after="0" w:line="280" w:lineRule="auto"/>
        <w:tabs>
          <w:tab w:leader="none" w:pos="8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97,926, 90,619 and 90,619 convertible preferred units for the years ended December 31, 2020, 2019 and 2018, respectively, as their impact was antidilutive.</w:t>
      </w:r>
    </w:p>
    <w:p>
      <w:pPr>
        <w:spacing w:after="0" w:line="97" w:lineRule="exact"/>
        <w:rPr>
          <w:rFonts w:ascii="Times New Roman" w:cs="Times New Roman" w:eastAsia="Times New Roman" w:hAnsi="Times New Roman"/>
          <w:sz w:val="16"/>
          <w:szCs w:val="16"/>
          <w:color w:val="auto"/>
        </w:rPr>
      </w:pPr>
    </w:p>
    <w:p>
      <w:pPr>
        <w:ind w:left="8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10,688,179, 10,415,291 and 10,360,390 Operating Partnership units ("OP Units") for the years ended December 31, 2020, 2019 and 2018,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w:t>
      </w:r>
    </w:p>
    <w:p>
      <w:pPr>
        <w:spacing w:after="0" w:line="16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are the Company's direct or indirect investments in various unconsolidated joint ventures with third parties. The Company's direct or indirect ownership interest in each joint venture as of December 31, 2020 was as follows:</w:t>
      </w:r>
    </w:p>
    <w:p>
      <w:pPr>
        <w:spacing w:after="0" w:line="12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5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Ownership %(1)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443 Wabash MAB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 Tysons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Biltmore Shopping Center Partners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CAM-CARSON LLC—Los Angeles Premium Outlets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Coolidge Holding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Corte Madera Village,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Club Plaza KC Partners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Peripheral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HPP-MAC WSP, LLC—One Westside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Jaren Associates #4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Kierland Commons Investment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Macerich HHF Broadway Plaza LLC—Broadway Plaza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Macerich HHF Centers LLC—Various Properties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Portfolio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River Associates LLC—Arrowhead Towne Center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Bridge Chicago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Scottsdale Investors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Premier Retail LLC—Various Properties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Propcor II Associates, LLC—Boulevard Shops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Scottsdale Fashion Square Partnership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TM TRS Holding Company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Tysons Corner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Tysons Corner Hotel I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Tysons Corner Property Holdings II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Tysons Corner Property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Acres Development, LLP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Westcor/Surprise Auto Park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4"/>
        </w:trPr>
        <w:tc>
          <w:tcPr>
            <w:tcW w:w="2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WMAP, L.L.C.—Atlas Park, The Shops at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1220" w:hanging="564"/>
        <w:spacing w:after="0" w:line="248" w:lineRule="auto"/>
        <w:tabs>
          <w:tab w:leader="none" w:pos="12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investments, dispositions and financings in unconsolidated joint ventures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139" w:lineRule="exact"/>
        <w:rPr>
          <w:sz w:val="20"/>
          <w:szCs w:val="20"/>
          <w:color w:val="auto"/>
        </w:rPr>
      </w:pPr>
    </w:p>
    <w:p>
      <w:pPr>
        <w:jc w:val="both"/>
        <w:ind w:right="300" w:firstLine="445"/>
        <w:spacing w:after="0" w:line="266" w:lineRule="auto"/>
        <w:rPr>
          <w:sz w:val="20"/>
          <w:szCs w:val="20"/>
          <w:color w:val="auto"/>
        </w:rPr>
      </w:pPr>
      <w:r>
        <w:rPr>
          <w:rFonts w:ascii="Times New Roman" w:cs="Times New Roman" w:eastAsia="Times New Roman" w:hAnsi="Times New Roman"/>
          <w:sz w:val="18"/>
          <w:szCs w:val="18"/>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10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March 1, 2018, the Company formed a 25/75 joint venture with Hudson Pacific Properties, whereby the Company agreed to contribute Westside Pavilion, a 680,000 square foot regional shopping center in Los Angeles, California in exchange for $142,500. From March 1, 2018 to August 31, 2018, the Company accounted for its interest in the property as a collaborative arrangement (See Note 15—Collaborative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 $149,175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also referred to as One Westside, under the equity method of accounting.</w:t>
      </w:r>
    </w:p>
    <w:p>
      <w:pPr>
        <w:spacing w:after="0" w:line="107"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11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stage.</w:t>
      </w:r>
    </w:p>
    <w:p>
      <w:pPr>
        <w:spacing w:after="0" w:line="10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On February 22, 2019, the Company’s joint venture in The Shops at Atlas Park entered into an agreement to increase the total borrowing capacity of the existing loan on the property from $57,751 to $80,000, and to extend the maturity date to October 28, 2021, including extension options. Concurrent with the loan modification, the joint venture borrowed an additional $18,379. The Company used its $9,189 share of the additional proceeds to pay down its line of credit and for general corporate purposes.</w:t>
      </w:r>
    </w:p>
    <w:p>
      <w:pPr>
        <w:spacing w:after="0" w:line="99"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11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September 12, 2019, the Company’s joint venture in Tysons Tower placed a new $190,000 loan on the property that bears interest at an effective rate of 3.38% and matures on November 11, 2029. The Company used its share of the proceeds to pay down its line of credit and for general corporate purposes.</w:t>
      </w:r>
    </w:p>
    <w:p>
      <w:pPr>
        <w:spacing w:after="0" w:line="10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October 17, 2019, the Company’s joint venture in West Acres placed a construction loan on the property that allows for borrowing of up to $6,500, bears interest at an effective rate of 3.72% and matures on October 10, 2029. The joint venture intends to use the proceeds from the loan to fund the expansion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December 18, 2019, the Company’s joint venture in One Westside placed a $414,600 construction loan on the redevelopment project. The loan bears interest at LIBOR plus 1.70%, which can be reduced to LIBOR plus 1.50% upon the completion of certain conditions, and matures on December 18, 2024. This loan is being used to fund the joint venture's remaining cost to complete the project.</w:t>
      </w:r>
    </w:p>
    <w:p>
      <w:pPr>
        <w:spacing w:after="0" w:line="10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On November 17, 2020, the Company’s joint venture in Tysons VITA, the residential tower at Tysons Corner Center, placed a new $95,000 loan on the property that bears interest at an effective rate of 3.43% and matures on January 1, 2030. Initial loan funding for the Company’s joint venture was $90,000 with future advance potential of up to $5,000. The Company used its share of the initial proceeds of $45,000 for general corporate purposes.</w:t>
      </w:r>
    </w:p>
    <w:p>
      <w:pPr>
        <w:spacing w:after="0" w:line="10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On December 10, 2020, the Company made a loan (the “Partnership Loan”) to the Company’s joint venture in Fashion District Philadelphia to fund the entirety of a $100,000 repayment to reduce the mortgage loan on Fashion District Philadelphia from $301,000 to $201,000. This mortgage loan now matures on January 22, 2024, including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As a result of the substantive participation rights of the Company’s joint venture partner being terminated in the amended agreement, the Company determined that the joint venture is a VIE and the Company is the primary beneficiary. Effective December 10, 2020, the Company has consolidated the results of the joint venture into the consolidated financial statements of the Company (See Note 16–Consolidated Joint Venture and Acquisitions).</w:t>
      </w:r>
    </w:p>
    <w:p>
      <w:pPr>
        <w:spacing w:after="0" w:line="11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December 29, 2020, the Company’s joint venture in FlatIron Crossing closed on a one-year maturity date extension for the existing loan to January 5, 2022. The interest rate increased from 3.85% to 4.10%, and the Company’s joint venture repaid $15,000, $7,650 at the Company's pro rata share, of the outstanding loan balance at closing.</w:t>
      </w:r>
    </w:p>
    <w:p>
      <w:pPr>
        <w:spacing w:after="0" w:line="108"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 (See Note 16 – Consolidated Joint Venture and Acquisitions).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 as of December 31:</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8,721,551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9,424,591</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772,116</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9,496,134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10,196,707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6,144,685</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565,412</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1,904,145</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Outside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1,582,465</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9,496,134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10,196,707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1,904,145</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Basis adjustment(2)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(492,350)</w:t>
            </w:r>
          </w:p>
        </w:tc>
      </w:tr>
      <w:tr>
        <w:trPr>
          <w:trHeight w:val="223"/>
        </w:trPr>
        <w:tc>
          <w:tcPr>
            <w:tcW w:w="6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1,519,697</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(107,902)</w:t>
            </w:r>
          </w:p>
        </w:tc>
      </w:tr>
      <w:tr>
        <w:trPr>
          <w:trHeight w:val="223"/>
        </w:trPr>
        <w:tc>
          <w:tcPr>
            <w:tcW w:w="6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1,411,795</w:t>
            </w: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3" w:lineRule="exact"/>
        <w:rPr>
          <w:sz w:val="20"/>
          <w:szCs w:val="20"/>
          <w:color w:val="auto"/>
        </w:rPr>
      </w:pPr>
    </w:p>
    <w:p>
      <w:pPr>
        <w:ind w:left="580" w:right="720" w:hanging="572"/>
        <w:spacing w:after="0" w:line="280"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the assets of $2,857,757 and $2,932,401 of Pacific Premier Retail LLC (the "PPR Portfolio") as of December 31, 2020 and 2019, respectively, and liabilities of $1,687,042 and $1,732,976 of the PPR Portfolio as of December 31, 2020 and 2019, respectively.</w:t>
      </w:r>
    </w:p>
    <w:p>
      <w:pPr>
        <w:spacing w:after="0" w:line="191" w:lineRule="exact"/>
        <w:rPr>
          <w:rFonts w:ascii="Times New Roman" w:cs="Times New Roman" w:eastAsia="Times New Roman" w:hAnsi="Times New Roman"/>
          <w:sz w:val="16"/>
          <w:szCs w:val="16"/>
          <w:color w:val="auto"/>
        </w:rPr>
      </w:pPr>
    </w:p>
    <w:p>
      <w:pPr>
        <w:ind w:left="580" w:hanging="572"/>
        <w:spacing w:after="0" w:line="263"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$13,168, $18,834 and $12,793 for the years ended December 31, 2020, 2019 and 2018, respectively.</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18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Joint</w:t>
            </w:r>
          </w:p>
        </w:tc>
        <w:tc>
          <w:tcPr>
            <w:tcW w:w="22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804,862</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19,053</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651,796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823,915</w:t>
            </w:r>
          </w:p>
        </w:tc>
        <w:tc>
          <w:tcPr>
            <w:tcW w:w="0" w:type="dxa"/>
            <w:vAlign w:val="bottom"/>
          </w:tcPr>
          <w:p>
            <w:pPr>
              <w:spacing w:after="0"/>
              <w:rPr>
                <w:sz w:val="1"/>
                <w:szCs w:val="1"/>
                <w:color w:val="auto"/>
              </w:rPr>
            </w:pPr>
          </w:p>
        </w:tc>
      </w:tr>
      <w:tr>
        <w:trPr>
          <w:trHeight w:val="17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277,157</w:t>
            </w: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216,317</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102,788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285,948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388,736</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682,117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887,708</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equity in net loss</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(16,667)</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(27,038)</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712,860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900,649</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50,782</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762,044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951,431</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288,126</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8,293</w:t>
            </w: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217,465</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273,565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374,055</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206,970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680,969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887,939</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assets</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62,660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(loss) income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48,508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Joint</w:t>
            </w:r>
          </w:p>
        </w:tc>
        <w:tc>
          <w:tcPr>
            <w:tcW w:w="22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2018</w:t>
            </w: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727,328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914,252</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42,325</w:t>
            </w:r>
          </w:p>
        </w:tc>
        <w:tc>
          <w:tcPr>
            <w:tcW w:w="0" w:type="dxa"/>
            <w:vAlign w:val="bottom"/>
          </w:tcPr>
          <w:p>
            <w:pPr>
              <w:spacing w:after="0"/>
              <w:rPr>
                <w:sz w:val="1"/>
                <w:szCs w:val="1"/>
                <w:color w:val="auto"/>
              </w:rPr>
            </w:pPr>
          </w:p>
        </w:tc>
      </w:tr>
      <w:tr>
        <w:trPr>
          <w:trHeight w:val="183"/>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187,829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768,748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956,577</w:t>
            </w:r>
          </w:p>
        </w:tc>
        <w:tc>
          <w:tcPr>
            <w:tcW w:w="0" w:type="dxa"/>
            <w:vAlign w:val="bottom"/>
          </w:tcPr>
          <w:p>
            <w:pPr>
              <w:spacing w:after="0"/>
              <w:rPr>
                <w:sz w:val="1"/>
                <w:szCs w:val="1"/>
                <w:color w:val="auto"/>
              </w:rPr>
            </w:pPr>
          </w:p>
        </w:tc>
      </w:tr>
      <w:tr>
        <w:trPr>
          <w:trHeight w:val="16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285,935</w:t>
            </w:r>
          </w:p>
        </w:tc>
        <w:tc>
          <w:tcPr>
            <w:tcW w:w="0" w:type="dxa"/>
            <w:vAlign w:val="bottom"/>
          </w:tcPr>
          <w:p>
            <w:pPr>
              <w:spacing w:after="0"/>
              <w:rPr>
                <w:sz w:val="1"/>
                <w:szCs w:val="1"/>
                <w:color w:val="auto"/>
              </w:rPr>
            </w:pPr>
          </w:p>
        </w:tc>
      </w:tr>
      <w:tr>
        <w:trPr>
          <w:trHeight w:val="189"/>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expense(1)</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213,032</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248,778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346,663</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204,285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641,345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845,630</w:t>
            </w:r>
          </w:p>
        </w:tc>
        <w:tc>
          <w:tcPr>
            <w:tcW w:w="0" w:type="dxa"/>
            <w:vAlign w:val="bottom"/>
          </w:tcPr>
          <w:p>
            <w:pPr>
              <w:spacing w:after="0"/>
              <w:rPr>
                <w:sz w:val="1"/>
                <w:szCs w:val="1"/>
                <w:color w:val="auto"/>
              </w:rPr>
            </w:pPr>
          </w:p>
        </w:tc>
      </w:tr>
      <w:tr>
        <w:trPr>
          <w:trHeight w:val="18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14,331</w:t>
            </w:r>
          </w:p>
        </w:tc>
        <w:tc>
          <w:tcPr>
            <w:tcW w:w="0" w:type="dxa"/>
            <w:vAlign w:val="bottom"/>
          </w:tcPr>
          <w:p>
            <w:pPr>
              <w:spacing w:after="0"/>
              <w:rPr>
                <w:sz w:val="1"/>
                <w:szCs w:val="1"/>
                <w:color w:val="auto"/>
              </w:rPr>
            </w:pPr>
          </w:p>
        </w:tc>
      </w:tr>
      <w:tr>
        <w:trPr>
          <w:trHeight w:val="18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141,874</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125,278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71,773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3" w:lineRule="exact"/>
        <w:rPr>
          <w:sz w:val="20"/>
          <w:szCs w:val="20"/>
          <w:color w:val="auto"/>
        </w:rPr>
      </w:pPr>
    </w:p>
    <w:p>
      <w:pPr>
        <w:ind w:left="580" w:right="140" w:hanging="572"/>
        <w:spacing w:after="0" w:line="280"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includes $20,197 for the year ended December 31, 2018, related to mortgage notes payable to an affiliate of Northwestern Mutual Life ("NML") (See Note 19—Related Party Transactions).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4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uses an interest rate cap and four interest rate swap agreements to manage the interest rate risk of its floating rate debt. The Company recorded other comprehensive income (loss) related to the marking-to-market of derivative instruments of $843, $(4,585) and $(4,424) during the years ended December 31, 2020, 2019 and 2018, respectively. The fair value of the Company's derivatives was $(8,208) and $(9,051) at December 31, 2020 and 2019, respectively.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derivatives were outstanding at December 31, 2020:</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33"/>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1"/>
                <w:szCs w:val="11"/>
                <w:color w:val="auto"/>
              </w:rPr>
            </w:pPr>
          </w:p>
        </w:tc>
        <w:tc>
          <w:tcPr>
            <w:tcW w:w="1140" w:type="dxa"/>
            <w:vAlign w:val="bottom"/>
          </w:tcPr>
          <w:p>
            <w:pPr>
              <w:jc w:val="center"/>
              <w:ind w:right="104"/>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080" w:type="dxa"/>
            <w:vAlign w:val="bottom"/>
          </w:tcPr>
          <w:p>
            <w:pPr>
              <w:jc w:val="center"/>
              <w:ind w:right="84"/>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5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Santa Monica Place</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Swaps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(8,208)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firstLine="802"/>
        <w:spacing w:after="0" w:line="258" w:lineRule="auto"/>
        <w:rPr>
          <w:sz w:val="20"/>
          <w:szCs w:val="20"/>
          <w:color w:val="auto"/>
        </w:rPr>
      </w:pPr>
      <w:r>
        <w:rPr>
          <w:rFonts w:ascii="Times New Roman" w:cs="Times New Roman" w:eastAsia="Times New Roman" w:hAnsi="Times New Roman"/>
          <w:sz w:val="18"/>
          <w:szCs w:val="18"/>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70" w:right="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at December 31, 2020 and 2019 consists of the following:</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1,520,678</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6,389,458</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726,533</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230,215</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126,165</w:t>
            </w:r>
          </w:p>
        </w:tc>
      </w:tr>
      <w:tr>
        <w:trPr>
          <w:trHeight w:val="223"/>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8,993,049</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(2,562,133)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(2,349,536)</w:t>
            </w:r>
          </w:p>
        </w:tc>
      </w:tr>
      <w:tr>
        <w:trPr>
          <w:trHeight w:val="223"/>
        </w:trPr>
        <w:tc>
          <w:tcPr>
            <w:tcW w:w="6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6,694,579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6,643,513</w:t>
            </w: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right="540" w:hanging="572"/>
        <w:spacing w:after="0" w:line="288" w:lineRule="auto"/>
        <w:tabs>
          <w:tab w:leader="none" w:pos="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Equipment and furnishings and accumulated depreciation include the cost and accumulated amortization of ROU assets in connection with finance leases at December 31, 2020 and </w:t>
      </w:r>
      <w:r>
        <w:rPr>
          <w:rFonts w:ascii="Times New Roman" w:cs="Times New Roman" w:eastAsia="Times New Roman" w:hAnsi="Times New Roman"/>
          <w:sz w:val="17"/>
          <w:szCs w:val="17"/>
          <w:color w:val="auto"/>
        </w:rPr>
        <w:t>2019</w:t>
      </w:r>
      <w:r>
        <w:rPr>
          <w:rFonts w:ascii="Times New Roman" w:cs="Times New Roman" w:eastAsia="Times New Roman" w:hAnsi="Times New Roman"/>
          <w:sz w:val="16"/>
          <w:szCs w:val="16"/>
          <w:color w:val="auto"/>
        </w:rPr>
        <w:t xml:space="preserve"> (See Note 8—Leases).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2020, 2019 and 2018 was $287,925, $287,846 and $275,236,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(loss) gain on sale or write down of assets, net for the years ended December 31, 2020, 2019 and 2018 consist of the following:</w:t>
      </w:r>
    </w:p>
    <w:p>
      <w:pPr>
        <w:spacing w:after="0" w:line="200" w:lineRule="exact"/>
        <w:rPr>
          <w:sz w:val="20"/>
          <w:szCs w:val="20"/>
          <w:color w:val="auto"/>
        </w:rPr>
      </w:pPr>
    </w:p>
    <w:p>
      <w:pPr>
        <w:spacing w:after="0" w:line="37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sales(1)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 of assets(2)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(82,745)</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sales(3)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3"/>
        </w:trPr>
        <w:tc>
          <w:tcPr>
            <w:tcW w:w="46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(31,825)</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3" w:lineRule="exact"/>
        <w:rPr>
          <w:sz w:val="20"/>
          <w:szCs w:val="20"/>
          <w:color w:val="auto"/>
        </w:rPr>
      </w:pPr>
    </w:p>
    <w:p>
      <w:pPr>
        <w:ind w:left="580" w:right="740" w:hanging="572"/>
        <w:spacing w:after="0" w:line="280" w:lineRule="auto"/>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sales during the year ended December 31, 2018 includes a $46,242 gain on the sale of a 75% ownership interest in One Westside (See Note 4— Investments in Unconsolidated Joint Ventures) and a loss of on the sale of $311 on the sale of Promenade at Casa Grande (See Note 17—Dispositions).</w:t>
      </w:r>
    </w:p>
    <w:p>
      <w:pPr>
        <w:spacing w:after="0" w:line="191" w:lineRule="exact"/>
        <w:rPr>
          <w:rFonts w:ascii="Times New Roman" w:cs="Times New Roman" w:eastAsia="Times New Roman" w:hAnsi="Times New Roman"/>
          <w:sz w:val="16"/>
          <w:szCs w:val="16"/>
          <w:color w:val="auto"/>
        </w:rPr>
      </w:pPr>
    </w:p>
    <w:p>
      <w:pPr>
        <w:ind w:left="580" w:right="80" w:hanging="572"/>
        <w:spacing w:after="0" w:line="258" w:lineRule="auto"/>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 losses of $30,063 on Wilton Mall, $6,640 on Paradise Valley Mall and $4,154 on the write-down of non-real estate assets during the year ended December 31, 2020 and $36,338 on Southpark Mall, $7,907 on La Cumbre Plaza, $7,494 on two freestanding stores, $1,697 on Southridge Center and $1,043 on Promenade at Casa Grande during the year ended December 31, 2018. The impairment losses were due to the reduction of the estimated holding periods of the properties. The remaining balances represent the write off of development costs in 2020, 2019 and 2018.</w:t>
      </w:r>
    </w:p>
    <w:p>
      <w:pPr>
        <w:spacing w:after="0" w:line="207"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 losses of $5,047 for undeveloped land that is currently under contract for sale as of December 31, 2020.</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impairment charges recorded for the years ended December 31, 2020 and 2018 as described above:</w:t>
      </w:r>
    </w:p>
    <w:p>
      <w:pPr>
        <w:spacing w:after="0" w:line="320"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0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Years ended</w:t>
            </w:r>
          </w:p>
        </w:tc>
        <w:tc>
          <w:tcPr>
            <w:tcW w:w="180" w:type="dxa"/>
            <w:vAlign w:val="bottom"/>
          </w:tcPr>
          <w:p>
            <w:pPr>
              <w:spacing w:after="0"/>
              <w:rPr>
                <w:sz w:val="18"/>
                <w:szCs w:val="18"/>
                <w:color w:val="auto"/>
              </w:rPr>
            </w:pPr>
          </w:p>
        </w:tc>
        <w:tc>
          <w:tcPr>
            <w:tcW w:w="17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Total Fair Value</w:t>
            </w:r>
          </w:p>
        </w:tc>
        <w:tc>
          <w:tcPr>
            <w:tcW w:w="30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8"/>
                <w:szCs w:val="18"/>
                <w:color w:val="auto"/>
              </w:rPr>
            </w:pPr>
          </w:p>
        </w:tc>
        <w:tc>
          <w:tcPr>
            <w:tcW w:w="16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44"/>
        </w:trPr>
        <w:tc>
          <w:tcPr>
            <w:tcW w:w="17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 w:type="dxa"/>
            <w:vAlign w:val="bottom"/>
          </w:tcPr>
          <w:p>
            <w:pPr>
              <w:spacing w:after="0"/>
              <w:rPr>
                <w:sz w:val="3"/>
                <w:szCs w:val="3"/>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3"/>
                <w:szCs w:val="3"/>
                <w:color w:val="auto"/>
              </w:rPr>
            </w:pPr>
          </w:p>
        </w:tc>
        <w:tc>
          <w:tcPr>
            <w:tcW w:w="160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4"/>
        </w:trPr>
        <w:tc>
          <w:tcPr>
            <w:tcW w:w="17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top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2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relating to impairments that were based on sales contracts were classified within Level 2 of the fair value hierarchy.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62" w:lineRule="exact"/>
        <w:rPr>
          <w:sz w:val="20"/>
          <w:szCs w:val="20"/>
          <w:color w:val="auto"/>
        </w:rPr>
      </w:pPr>
    </w:p>
    <w:p>
      <w:pPr>
        <w:ind w:right="280" w:firstLine="445"/>
        <w:spacing w:after="0" w:line="289" w:lineRule="auto"/>
        <w:rPr>
          <w:sz w:val="20"/>
          <w:szCs w:val="20"/>
          <w:color w:val="auto"/>
        </w:rPr>
      </w:pPr>
      <w:r>
        <w:rPr>
          <w:rFonts w:ascii="Times New Roman" w:cs="Times New Roman" w:eastAsia="Times New Roman" w:hAnsi="Times New Roman"/>
          <w:sz w:val="17"/>
          <w:szCs w:val="17"/>
          <w:color w:val="auto"/>
        </w:rPr>
        <w:t>Included in tenant and other receivables, net is an allowance for doubtful accounts of $37,545 and $4,836 at December 31, 2020 and 2019, respectively. Also included in tenant and other receivables, net are accrued percentage rents of $4,673 and $9,618 at December 31, 2020 and 2019, respectively, and a deferred rent receivable due to straight-line rent adjustments of $107,003 and $82,214 at December 31, 2020 and 2019,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6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years ended December 31, 2020, 2019 and 2018:</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 - fixed payments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592,858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659,991</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 - variable payments</w:t>
            </w:r>
          </w:p>
        </w:tc>
        <w:tc>
          <w:tcPr>
            <w:tcW w:w="320" w:type="dxa"/>
            <w:vAlign w:val="bottom"/>
          </w:tcPr>
          <w:p>
            <w:pPr>
              <w:spacing w:after="0"/>
              <w:rPr>
                <w:sz w:val="19"/>
                <w:szCs w:val="19"/>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191,715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228,668</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(44,250)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r>
      <w:tr>
        <w:trPr>
          <w:trHeight w:val="223"/>
        </w:trPr>
        <w:tc>
          <w:tcPr>
            <w:tcW w:w="46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740,323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883,996</w:t>
            </w:r>
          </w:p>
        </w:tc>
      </w:tr>
      <w:tr>
        <w:trPr>
          <w:trHeight w:val="21"/>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2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15"/>
                <w:szCs w:val="15"/>
                <w:color w:val="auto"/>
              </w:rPr>
            </w:pPr>
          </w:p>
        </w:tc>
        <w:tc>
          <w:tcPr>
            <w:tcW w:w="7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8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407,044</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254,894</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208,161</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610,154</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2,161,834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60"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lease costs for the year ended December 31, 2020:</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15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158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r>
      <w:tr>
        <w:trPr>
          <w:trHeight w:val="230"/>
        </w:trPr>
        <w:tc>
          <w:tcPr>
            <w:tcW w:w="15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1580" w:type="dxa"/>
            <w:vAlign w:val="bottom"/>
          </w:tcPr>
          <w:p>
            <w:pPr>
              <w:spacing w:after="0"/>
              <w:rPr>
                <w:sz w:val="19"/>
                <w:szCs w:val="19"/>
                <w:color w:val="auto"/>
              </w:rPr>
            </w:pPr>
          </w:p>
        </w:tc>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30"/>
        </w:trPr>
        <w:tc>
          <w:tcPr>
            <w:tcW w:w="1580" w:type="dxa"/>
            <w:vAlign w:val="bottom"/>
          </w:tcPr>
          <w:p>
            <w:pPr>
              <w:spacing w:after="0"/>
              <w:rPr>
                <w:sz w:val="19"/>
                <w:szCs w:val="19"/>
                <w:color w:val="auto"/>
              </w:rPr>
            </w:pPr>
          </w:p>
        </w:tc>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48"/>
        </w:trPr>
        <w:tc>
          <w:tcPr>
            <w:tcW w:w="158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r>
      <w:tr>
        <w:trPr>
          <w:trHeight w:val="20"/>
        </w:trPr>
        <w:tc>
          <w:tcPr>
            <w:tcW w:w="158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 as of December 31, 2020:</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4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Company's weighted average remaining lease term of its operating and finance leases at December 31, 2020 was 34.5 and 1.1, respectively. The Company's weighted average incremental borrowing rate of its operating and finance leases at December 31, 2020 was 7.7% and 3.7%,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charges and other assets, net at December 31, 2020 and 2019 consist of the following:</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202,540</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78,171</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59,916</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55,349</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60,475</w:t>
            </w:r>
          </w:p>
        </w:tc>
      </w:tr>
      <w:tr>
        <w:trPr>
          <w:trHeight w:val="223"/>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507,726</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(229,860)</w:t>
            </w:r>
          </w:p>
        </w:tc>
      </w:tr>
      <w:tr>
        <w:trPr>
          <w:trHeight w:val="248"/>
        </w:trPr>
        <w:tc>
          <w:tcPr>
            <w:tcW w:w="6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48" w:lineRule="exact"/>
        <w:rPr>
          <w:sz w:val="20"/>
          <w:szCs w:val="20"/>
          <w:color w:val="auto"/>
        </w:rPr>
      </w:pPr>
    </w:p>
    <w:p>
      <w:pPr>
        <w:ind w:left="1220" w:hanging="564"/>
        <w:spacing w:after="0"/>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these intangible assets for the next five years and thereafter is as follows:</w:t>
      </w:r>
    </w:p>
    <w:p>
      <w:pPr>
        <w:spacing w:after="0" w:line="43"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w:t>
            </w:r>
          </w:p>
        </w:tc>
      </w:tr>
      <w:tr>
        <w:trPr>
          <w:trHeight w:val="248"/>
        </w:trPr>
        <w:tc>
          <w:tcPr>
            <w:tcW w:w="6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1220" w:hanging="564"/>
        <w:spacing w:after="0" w:line="266" w:lineRule="auto"/>
        <w:tabs>
          <w:tab w:leader="none" w:pos="12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amortization includes $47,249 and $66,322 relating to in-place lease values, leasing commissions and legal costs at December 31, 2020 and 2019, respectively. Amortization expense for in-place lease values, leasing commissions and legal costs was $9,412, $13,821 and $13,635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270" w:right="81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rPr>
              <w:t>59,916</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(35,737)</w:t>
            </w:r>
          </w:p>
        </w:tc>
      </w:tr>
      <w:tr>
        <w:trPr>
          <w:trHeight w:val="223"/>
        </w:trPr>
        <w:tc>
          <w:tcPr>
            <w:tcW w:w="6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rPr>
              <w:t>24,179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rPr>
              <w:t>90,790</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(53,727)</w:t>
            </w:r>
          </w:p>
        </w:tc>
      </w:tr>
      <w:tr>
        <w:trPr>
          <w:trHeight w:val="223"/>
        </w:trPr>
        <w:tc>
          <w:tcPr>
            <w:tcW w:w="6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rPr>
              <w:t>37,063</w:t>
            </w:r>
          </w:p>
        </w:tc>
      </w:tr>
      <w:tr>
        <w:trPr>
          <w:trHeight w:val="21"/>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 w:lineRule="exact"/>
        <w:rPr>
          <w:sz w:val="20"/>
          <w:szCs w:val="20"/>
          <w:color w:val="auto"/>
        </w:rPr>
      </w:pPr>
    </w:p>
    <w:p>
      <w:pPr>
        <w:ind w:left="1220" w:hanging="564"/>
        <w:spacing w:after="0"/>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Below-market leases are included in other accrued liabilities.</w:t>
      </w:r>
    </w:p>
    <w:p>
      <w:pPr>
        <w:spacing w:after="0" w:line="38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p>
      <w:pPr>
        <w:spacing w:after="0" w:line="10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8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300" w:type="dxa"/>
            <w:vAlign w:val="bottom"/>
          </w:tcPr>
          <w:p>
            <w:pPr>
              <w:spacing w:after="0"/>
              <w:rPr>
                <w:sz w:val="13"/>
                <w:szCs w:val="13"/>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189"/>
        </w:trPr>
        <w:tc>
          <w:tcPr>
            <w:tcW w:w="6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70" w:right="5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Mortgage notes payable at December 31, 2020 and 2019 consist of the following: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Carrying Amounts of Mortgage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Notes(1)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Monthly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Pledged as Collateral</w:t>
            </w:r>
          </w:p>
        </w:tc>
        <w:tc>
          <w:tcPr>
            <w:tcW w:w="180" w:type="dxa"/>
            <w:vAlign w:val="bottom"/>
          </w:tcPr>
          <w:p>
            <w:pPr>
              <w:spacing w:after="0"/>
              <w:rPr>
                <w:sz w:val="12"/>
                <w:szCs w:val="12"/>
                <w:color w:val="auto"/>
              </w:rPr>
            </w:pPr>
          </w:p>
        </w:tc>
        <w:tc>
          <w:tcPr>
            <w:tcW w:w="10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2"/>
                <w:szCs w:val="12"/>
                <w:color w:val="auto"/>
              </w:rPr>
            </w:pPr>
          </w:p>
        </w:tc>
        <w:tc>
          <w:tcPr>
            <w:tcW w:w="1380" w:type="dxa"/>
            <w:vAlign w:val="bottom"/>
            <w:gridSpan w:val="3"/>
          </w:tcPr>
          <w:p>
            <w:pPr>
              <w:jc w:val="center"/>
              <w:ind w:right="190"/>
              <w:spacing w:after="0" w:line="14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w w:val="97"/>
              </w:rPr>
              <w:t>Debt</w:t>
            </w:r>
          </w:p>
        </w:tc>
        <w:tc>
          <w:tcPr>
            <w:tcW w:w="10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14"/>
        </w:trPr>
        <w:tc>
          <w:tcPr>
            <w:tcW w:w="3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Rate(2)</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Service(3)</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Date(4)</w:t>
            </w:r>
          </w:p>
        </w:tc>
        <w:tc>
          <w:tcPr>
            <w:tcW w:w="0" w:type="dxa"/>
            <w:vAlign w:val="bottom"/>
          </w:tcPr>
          <w:p>
            <w:pPr>
              <w:spacing w:after="0"/>
              <w:rPr>
                <w:sz w:val="1"/>
                <w:szCs w:val="1"/>
                <w:color w:val="auto"/>
              </w:rPr>
            </w:pPr>
          </w:p>
        </w:tc>
      </w:tr>
      <w:tr>
        <w:trPr>
          <w:trHeight w:val="225"/>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255,361</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398,545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Commons(9)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298,566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Towne Mall</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Tucson La Encantada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246,380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4,560,810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4,392,599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820" w:right="380" w:hanging="407"/>
        <w:spacing w:after="0" w:line="282" w:lineRule="auto"/>
        <w:tabs>
          <w:tab w:leader="none" w:pos="8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$14,085 and $16,042 at December 31, 2020 and 2019, respectively.</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36" w:lineRule="exact"/>
        <w:rPr>
          <w:rFonts w:ascii="Times New Roman" w:cs="Times New Roman" w:eastAsia="Times New Roman" w:hAnsi="Times New Roman"/>
          <w:sz w:val="14"/>
          <w:szCs w:val="14"/>
          <w:color w:val="auto"/>
        </w:rPr>
      </w:pPr>
    </w:p>
    <w:p>
      <w:pPr>
        <w:ind w:left="820" w:right="40" w:hanging="407"/>
        <w:spacing w:after="0" w:line="282" w:lineRule="auto"/>
        <w:tabs>
          <w:tab w:leader="none" w:pos="8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149" w:lineRule="exact"/>
        <w:rPr>
          <w:rFonts w:ascii="Times New Roman" w:cs="Times New Roman" w:eastAsia="Times New Roman" w:hAnsi="Times New Roman"/>
          <w:sz w:val="14"/>
          <w:szCs w:val="14"/>
          <w:color w:val="auto"/>
        </w:rPr>
      </w:pPr>
    </w:p>
    <w:p>
      <w:pPr>
        <w:ind w:left="820" w:hanging="407"/>
        <w:spacing w:after="0" w:line="261" w:lineRule="auto"/>
        <w:tabs>
          <w:tab w:leader="none" w:pos="8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The loan may be further extended to July 1, 2021, subject to certain conditions. The loan amount and interest rate are unchanged following the extension.</w:t>
      </w:r>
    </w:p>
    <w:p>
      <w:pPr>
        <w:spacing w:after="0" w:line="95"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December 10, 2020, the Company began consolidating this joint venture and assumed this debt (See Note 16—Consolidated Joint Venture and Acquisitions).</w:t>
      </w:r>
    </w:p>
    <w:p>
      <w:pPr>
        <w:spacing w:after="0" w:line="149" w:lineRule="exact"/>
        <w:rPr>
          <w:rFonts w:ascii="Times New Roman" w:cs="Times New Roman" w:eastAsia="Times New Roman" w:hAnsi="Times New Roman"/>
          <w:sz w:val="14"/>
          <w:szCs w:val="14"/>
          <w:color w:val="auto"/>
        </w:rPr>
      </w:pPr>
    </w:p>
    <w:p>
      <w:pPr>
        <w:ind w:left="820" w:right="40" w:hanging="407"/>
        <w:spacing w:after="0" w:line="255" w:lineRule="auto"/>
        <w:tabs>
          <w:tab w:leader="none" w:pos="8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included unamortized debt premium of $0 and $773 at December 31, 2020 and 2019, respectively. The debt premiums represented the excess of the fair value of the loan over the principal value of the loan assumed at acquisition and was amortized into interest expense over the remaining term of the loan in a manner that approximated the effective interest method. On December 15, 2020, the Company closed on a loan extension agreement for the Fashion Outlets of Niagara. Under the extension agreement the original loan maturity date of October 6, 2020 was extended to October 6, 2023. The loan amount and interest rate are unchanged following the extension.</w:t>
      </w:r>
    </w:p>
    <w:p>
      <w:pPr>
        <w:sectPr>
          <w:pgSz w:w="11900" w:h="16838" w:orient="portrait"/>
          <w:cols w:equalWidth="0" w:num="1">
            <w:col w:w="11160"/>
          </w:cols>
          <w:pgMar w:left="320" w:top="27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70" w:right="41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3" w:lineRule="exact"/>
        <w:rPr>
          <w:rFonts w:ascii="Times New Roman" w:cs="Times New Roman" w:eastAsia="Times New Roman" w:hAnsi="Times New Roman"/>
          <w:sz w:val="18"/>
          <w:szCs w:val="18"/>
          <w:b w:val="1"/>
          <w:bCs w:val="1"/>
          <w:color w:val="auto"/>
        </w:rPr>
      </w:pPr>
    </w:p>
    <w:p>
      <w:pPr>
        <w:ind w:left="820" w:hanging="407"/>
        <w:spacing w:after="0" w:line="282" w:lineRule="auto"/>
        <w:tabs>
          <w:tab w:leader="none" w:pos="8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2.15%. At December 31, 2020 and 2019, the total interest rate was 2.87% and 4.40%, respectively. The Company is in the process of securing a two-year extension on this loan.</w:t>
      </w:r>
    </w:p>
    <w:p>
      <w:pPr>
        <w:spacing w:after="0" w:line="94" w:lineRule="exact"/>
        <w:rPr>
          <w:rFonts w:ascii="Times New Roman" w:cs="Times New Roman" w:eastAsia="Times New Roman" w:hAnsi="Times New Roman"/>
          <w:sz w:val="14"/>
          <w:szCs w:val="14"/>
          <w:color w:val="auto"/>
        </w:rPr>
      </w:pPr>
    </w:p>
    <w:p>
      <w:pPr>
        <w:ind w:left="820" w:right="420" w:hanging="407"/>
        <w:spacing w:after="0" w:line="282" w:lineRule="auto"/>
        <w:tabs>
          <w:tab w:leader="none" w:pos="81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includes a one-year extension option to February 3, 2023. The interest rate remained unchanged, and the Company repaid $9,000 of the outstanding loan balance at closing.</w:t>
      </w:r>
    </w:p>
    <w:p>
      <w:pPr>
        <w:spacing w:after="0" w:line="94" w:lineRule="exact"/>
        <w:rPr>
          <w:rFonts w:ascii="Times New Roman" w:cs="Times New Roman" w:eastAsia="Times New Roman" w:hAnsi="Times New Roman"/>
          <w:sz w:val="14"/>
          <w:szCs w:val="14"/>
          <w:color w:val="auto"/>
        </w:rPr>
      </w:pPr>
    </w:p>
    <w:p>
      <w:pPr>
        <w:ind w:left="820" w:right="60" w:hanging="407"/>
        <w:spacing w:after="0" w:line="282" w:lineRule="auto"/>
        <w:tabs>
          <w:tab w:leader="none" w:pos="811"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1.48%. The loan is covered by an interest rate cap agreement that effectively prevents LIBOR from exceeding 4.0% during the period ending December 9, 2021 (See Note 5—Derivative Instruments and Hedging Activities). At December 31, 2020 and 2019, the total interest rate was 1.88% and 3.34%, respectively.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2020, all of the Company's mortgage notes payable are secured by the properties on which they are placed and are non-recourse to the Company.</w:t>
      </w:r>
    </w:p>
    <w:p>
      <w:pPr>
        <w:spacing w:after="0" w:line="9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and in July 2020, the Company secured agreements with its mortgage lenders on nine property mortgage loans to defer approximately $28,683 of both second and third quarter of 2020 debt service payments. Of the deferred payments, $15,208 and $20,195 was repaid in the three months and twelve months ended December 31, 2020, respectively, and the remaining balance has now been fully repaid during the first quarter of 2021.</w:t>
      </w:r>
    </w:p>
    <w:p>
      <w:pPr>
        <w:spacing w:after="0" w:line="99"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all loan maturities during the next twelve months will be refinanced, restructured, extended and/or paid off from the Company's line of credit or with cash on hand.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interest expense capitalized during the years ended December 31, 2020, 2019 and 2018 was $5,247, $9,614 and $15,422, respectively.</w:t>
      </w:r>
    </w:p>
    <w:p>
      <w:pPr>
        <w:spacing w:after="0" w:line="15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December 31, 2020 and 2019 was $4,459,797 and $4,427,790,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future maturities of mortgage notes payable are as follows:</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47"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355,614</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685,811</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359,209</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569,120</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607,399</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1,997,742</w:t>
            </w:r>
          </w:p>
        </w:tc>
      </w:tr>
      <w:tr>
        <w:trPr>
          <w:trHeight w:val="212"/>
        </w:trPr>
        <w:tc>
          <w:tcPr>
            <w:tcW w:w="7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4,574,895</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finance cost, net</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(14,085)</w:t>
            </w:r>
          </w:p>
        </w:tc>
      </w:tr>
      <w:tr>
        <w:trPr>
          <w:trHeight w:val="235"/>
        </w:trPr>
        <w:tc>
          <w:tcPr>
            <w:tcW w:w="7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4,560,810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future maturities reflected above reflect the extension options that the Company believes will be exercised.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and other notes payable at December 31, 2020 and 2019 consist of the following:</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146"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has a $1,500,000 revolving line of credit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$2,000,000. The Company anticipates refinancing its revolving line of credit in</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advance of its maturity date. While the Company cannot predict what the terms of any new facility will be, it may include a lower lending commitment and require security. Any final terms of a new credit facility are subject to ongoing negotiations and may change.</w:t>
      </w:r>
    </w:p>
    <w:p>
      <w:pPr>
        <w:spacing w:after="0" w:line="9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Based on the Company's leverage level as of December 31, 2020, the borrowing rate on the facility was LIBOR plus 1.65%. The Company has four interest rate swap agreements that effectively convert a total of $400,000 of the outstanding balance from floating rate debt of LIBOR plus 1.65% to fixed rate debt of 4.30% until September 30, 2021 (See Note 5—Derivative Instruments and Hedging Activities). As of December 31, 2020 and 2019, borrowings under the line of credit were $1,480,000 and $820,000, respectively, less unamortized deferred finance costs of $2,460 and $2,623, respectively, at a total interest rate of 2.73% and 3.92%, respectively. As of December 31, 2020 and 2019, the Company's availability under the line of credit for additional borrowings was $19,719 and $679,719, respectively, The estimated fair value (Level 2 measurement) of the line of credit at December 31, 2020 and 2019 was $1,485,598 and $826,280, respectively, based on a present value model using a credit interest rate spread offered to the Company for comparable debt.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Prasada Note:</w:t>
      </w:r>
    </w:p>
    <w:p>
      <w:pPr>
        <w:spacing w:after="0" w:line="146" w:lineRule="exact"/>
        <w:rPr>
          <w:sz w:val="20"/>
          <w:szCs w:val="20"/>
          <w:color w:val="auto"/>
        </w:rPr>
      </w:pPr>
    </w:p>
    <w:p>
      <w:pPr>
        <w:jc w:val="both"/>
        <w:ind w:right="160" w:firstLine="445"/>
        <w:spacing w:after="0" w:line="312" w:lineRule="auto"/>
        <w:rPr>
          <w:sz w:val="20"/>
          <w:szCs w:val="20"/>
          <w:color w:val="auto"/>
        </w:rPr>
      </w:pPr>
      <w:r>
        <w:rPr>
          <w:rFonts w:ascii="Times New Roman" w:cs="Times New Roman" w:eastAsia="Times New Roman" w:hAnsi="Times New Roman"/>
          <w:sz w:val="17"/>
          <w:szCs w:val="17"/>
          <w:color w:val="auto"/>
        </w:rPr>
        <w:t>On March 29, 2013, the Company issued a $13,330 note payable that bore interest at 5.25% and was to mature on May 30, 2021. The note payable was collateralized by a portion of a development reimbursement agreement with the City of Surprise, Arizona. On October 7, 2019, the loan was paid off.</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2020 and 2019,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48"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1,318,000 square foot regional shopping center in Chandler, Arizona, and Freehold Raceway Mall, a 1,552,000 square foot regional shopping center in Freehold, New Jersey, referred to herein as Chandler Freehold. As a result of the Company having certain rights under the agreement to repurchase the assets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Upon adoption of ASC 606 on January 1, 2018, the Company changed its accounting for Chandler Freehold from a co-venture arrangement to a financing arrangement. Accordingly, the Company replaced its $31,150 distributions in excess of co-venture obligation with a financing arrangement liability of $393,709 on its consolidated balance sheets. This resulted in the recognition of a $424,859 increase in the Company’s accumulated deficit as a cumulative effect adjustment under the modified retrospective method of adoption. As a result of adopting ASC 606, the Company no longer records co-venture expense for its partner's share of the income of Chandler Freehold. Under the Financing Arrangement, the Company recognizes interest expense on</w:t>
      </w:r>
    </w:p>
    <w:p>
      <w:pPr>
        <w:spacing w:after="0" w:line="3" w:lineRule="exact"/>
        <w:rPr>
          <w:sz w:val="20"/>
          <w:szCs w:val="20"/>
          <w:color w:val="auto"/>
        </w:rPr>
      </w:pPr>
    </w:p>
    <w:p>
      <w:pPr>
        <w:ind w:right="480" w:firstLine="8"/>
        <w:spacing w:after="0" w:line="260"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114"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incurred interest (income) expense in connection with the financing arrangement as follows:</w:t>
      </w:r>
    </w:p>
    <w:p>
      <w:pPr>
        <w:spacing w:after="0" w:line="200" w:lineRule="exact"/>
        <w:rPr>
          <w:sz w:val="20"/>
          <w:szCs w:val="20"/>
          <w:color w:val="auto"/>
        </w:rPr>
      </w:pP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5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of the partner's share of 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r>
      <w:tr>
        <w:trPr>
          <w:trHeight w:val="223"/>
        </w:trPr>
        <w:tc>
          <w:tcPr>
            <w:tcW w:w="5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December 31, 2020 and 2019 was based upon a terminal capitalization rate of 5.5% and 5.0%, respectively, a discount rate of 7.0% and 6.0%, respectively, and market rents per square foot ranging from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16"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mortgage note payable on Chandler Fashion Center with a new $256,000 loan (See Note 10— Mortgage Notes Payable). In connection with the refinancing transaction, the Company distributed $27,945 of the excess loan proceeds to its joint venture partner, which was recorded as a reduction to the financing arrangement obligation.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93% ownership interest in the Operating Partnership as of December 31, 2020 and 2019. The remaining 7% limited partnership interest as of December 31, 2020 and 2019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2020 and 2019, the aggregate redemption value of the then-outstanding OP Units not owned by the Company was $117,602 and $277,524, respectively.</w:t>
      </w:r>
    </w:p>
    <w:p>
      <w:pPr>
        <w:spacing w:after="0" w:line="12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Dividend:</w:t>
      </w:r>
    </w:p>
    <w:p>
      <w:pPr>
        <w:spacing w:after="0" w:line="16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6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accounted for the stock portion of its distribution as a stock issuance as opposed to a stock dividend. Accordingly, the impact of the shares issued is reflected in the Company'e earnings per share calculation on a prospective basis. The issuance of the stock dividend resulted in a reduction of $0.05 on both basic and diluted earnings per share for the year ended December 31, 2020.</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4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years ended December 31, 2020, 2019 and 2018.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Collaborative Arrangement:</w:t>
      </w:r>
    </w:p>
    <w:p>
      <w:pPr>
        <w:spacing w:after="0" w:line="14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On March 1, 2018, the Company formed a 25/75 joint venture with Hudson Pacific Properties, whereby the Company agreed to contribute One Westside in exchange for a cash payment of $142,500. The Company completed the transfer on August 31, 2018.</w:t>
      </w:r>
    </w:p>
    <w:p>
      <w:pPr>
        <w:spacing w:after="0" w:line="94"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During the period from March 1, 2018 to August 31, 2018, the Company accounted for the operations of One Westside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minimum rents, percentage rents, tenant recoveries,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One Westside under the equity method of accounting (See Note 4— Investments in Unconsolidated Joint Ventures).</w:t>
      </w:r>
    </w:p>
    <w:p>
      <w:pPr>
        <w:spacing w:after="0" w:line="120" w:lineRule="exact"/>
        <w:rPr>
          <w:sz w:val="20"/>
          <w:szCs w:val="20"/>
          <w:color w:val="auto"/>
        </w:rPr>
      </w:pPr>
    </w:p>
    <w:p>
      <w:pPr>
        <w:ind w:left="460" w:right="7480" w:hanging="452"/>
        <w:spacing w:after="0" w:line="417" w:lineRule="auto"/>
        <w:tabs>
          <w:tab w:leader="none" w:pos="28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Joint Venture and Acquisitions: </w:t>
      </w:r>
      <w:r>
        <w:rPr>
          <w:rFonts w:ascii="Times New Roman" w:cs="Times New Roman" w:eastAsia="Times New Roman" w:hAnsi="Times New Roman"/>
          <w:sz w:val="18"/>
          <w:szCs w:val="18"/>
          <w:i w:val="1"/>
          <w:iCs w:val="1"/>
          <w:color w:val="auto"/>
        </w:rPr>
        <w:t>Fashion District Philadelphia:</w:t>
      </w:r>
    </w:p>
    <w:p>
      <w:pPr>
        <w:ind w:firstLine="445"/>
        <w:spacing w:after="0" w:line="254" w:lineRule="auto"/>
        <w:rPr>
          <w:sz w:val="20"/>
          <w:szCs w:val="20"/>
          <w:color w:val="auto"/>
        </w:rPr>
      </w:pPr>
      <w:r>
        <w:rPr>
          <w:rFonts w:ascii="Times New Roman" w:cs="Times New Roman" w:eastAsia="Times New Roman" w:hAnsi="Times New Roman"/>
          <w:sz w:val="18"/>
          <w:szCs w:val="18"/>
          <w:color w:val="auto"/>
        </w:rPr>
        <w:t>Effective December 10, 2020, the Company made the Partnership Loan to the Company’s joint venture in Fashion District Philadelphia, pursuant to the joint venture’s amended and restated partnership agreement, to fund a $100,000 repayment to reduce the mortgage notes payable on Fashion District Philadelphia from $301,000 to $201,000. The Partnership Loan plus 15% accrued interest must be repaid prior to the resumption of 50/50 cash distributions to the Company and its joint venture partner. Prior to the restructuring, the Company had accounted for its investment in Fashion District Philadelphia under the equity method of accounting due to substantive participation rights held by the Company’s joint venture partner. Pursuant to the amended and restated partnership agreement, the substantive participation rights of the Company’s joint venture partner were terminated and as a result, the joint venture is treated as a VIE. The Company became the primary beneficiary of the VIE and commenced consolidating Fashion District Philadelphia in its consolidated financial statements effective December 10, 2020. Prior to December 10, 2020, the Company’s share of the joint venture’s net (loss) income was included in its consolidated statements of operations in equity in (loss) income of unconsolidated joint ventures.</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consolidation of the joint venture required the Company to recognize the joint venture’s identifiable assets and liabilities at fair value in the Company’s consolidated financial statements, along with the fair value of the non-controlling interest. The fair value of the joint venture’s assets and liabilities upon initial consolidation were measured using estimates of expected future cash flows and other valuation techniques. The fair value of the joint venture property was determined by using income and market or sales comparison valuation approaches which included, but are not limited to estimates of rental rates, comparable sales, revenue and expense growth rates, capitalization rates and discount rates. The allocation of fair value to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Consolidated Joint Venture and Acquisitions: (Continued)</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assets was estimated by the market or sales comparison, cost and income approaches. Assumed debt was recorded at fair value based upon the present value of the expected future payments and current interest rates. Other acquired assets, including cash, and assumed liabilities were recorded at cost due to the short-term nature of the balances.</w:t>
      </w:r>
    </w:p>
    <w:p>
      <w:pPr>
        <w:spacing w:after="0" w:line="200" w:lineRule="exact"/>
        <w:rPr>
          <w:sz w:val="20"/>
          <w:szCs w:val="20"/>
          <w:color w:val="auto"/>
        </w:rPr>
      </w:pP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Fashion District Philadelphia:</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67"/>
        </w:trPr>
        <w:tc>
          <w:tcPr>
            <w:tcW w:w="3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36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331,514</w:t>
            </w:r>
          </w:p>
        </w:tc>
      </w:tr>
      <w:tr>
        <w:trPr>
          <w:trHeight w:val="230"/>
        </w:trPr>
        <w:tc>
          <w:tcPr>
            <w:tcW w:w="3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25,272</w:t>
            </w:r>
          </w:p>
        </w:tc>
      </w:tr>
      <w:tr>
        <w:trPr>
          <w:trHeight w:val="229"/>
        </w:trPr>
        <w:tc>
          <w:tcPr>
            <w:tcW w:w="36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29"/>
        </w:trPr>
        <w:tc>
          <w:tcPr>
            <w:tcW w:w="3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36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receivables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r>
      <w:tr>
        <w:trPr>
          <w:trHeight w:val="229"/>
        </w:trPr>
        <w:tc>
          <w:tcPr>
            <w:tcW w:w="360" w:type="dxa"/>
            <w:vAlign w:val="bottom"/>
          </w:tcPr>
          <w:p>
            <w:pPr>
              <w:spacing w:after="0"/>
              <w:rPr>
                <w:sz w:val="19"/>
                <w:szCs w:val="19"/>
                <w:color w:val="auto"/>
              </w:rPr>
            </w:pPr>
          </w:p>
        </w:tc>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30,582</w:t>
            </w:r>
          </w:p>
        </w:tc>
      </w:tr>
      <w:tr>
        <w:trPr>
          <w:trHeight w:val="223"/>
        </w:trPr>
        <w:tc>
          <w:tcPr>
            <w:tcW w:w="36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401,655</w:t>
            </w:r>
          </w:p>
        </w:tc>
      </w:tr>
      <w:tr>
        <w:trPr>
          <w:trHeight w:val="223"/>
        </w:trPr>
        <w:tc>
          <w:tcPr>
            <w:tcW w:w="3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201,000</w:t>
            </w:r>
          </w:p>
        </w:tc>
      </w:tr>
      <w:tr>
        <w:trPr>
          <w:trHeight w:val="230"/>
        </w:trPr>
        <w:tc>
          <w:tcPr>
            <w:tcW w:w="36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loan(1)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3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0"/>
        </w:trPr>
        <w:tc>
          <w:tcPr>
            <w:tcW w:w="36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60" w:type="dxa"/>
            <w:vAlign w:val="bottom"/>
          </w:tcPr>
          <w:p>
            <w:pPr>
              <w:spacing w:after="0"/>
              <w:rPr>
                <w:sz w:val="19"/>
                <w:szCs w:val="19"/>
                <w:color w:val="auto"/>
              </w:rPr>
            </w:pPr>
          </w:p>
        </w:tc>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55,717</w:t>
            </w:r>
          </w:p>
        </w:tc>
      </w:tr>
      <w:tr>
        <w:trPr>
          <w:trHeight w:val="223"/>
        </w:trPr>
        <w:tc>
          <w:tcPr>
            <w:tcW w:w="36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363,393</w:t>
            </w:r>
          </w:p>
        </w:tc>
      </w:tr>
      <w:tr>
        <w:trPr>
          <w:trHeight w:val="223"/>
        </w:trPr>
        <w:tc>
          <w:tcPr>
            <w:tcW w:w="36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38,262</w:t>
            </w:r>
          </w:p>
        </w:tc>
      </w:tr>
      <w:tr>
        <w:trPr>
          <w:trHeight w:val="20"/>
        </w:trPr>
        <w:tc>
          <w:tcPr>
            <w:tcW w:w="3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820" w:hanging="407"/>
        <w:spacing w:after="0"/>
        <w:tabs>
          <w:tab w:leader="none" w:pos="8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Partnership Loan is eliminated in the Company's consolidated financial statements.</w:t>
      </w:r>
    </w:p>
    <w:p>
      <w:pPr>
        <w:spacing w:after="0" w:line="15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recognized a remeasurement loss to adjust the carrying value of its existing investment in the joint venture to its estimated fair value in the Company’s consolidated financial statements. The remeasurement loss was determined by taking the difference between the fair value of assets less its liabilities and the sum of the carrying value of the Company’s existing investment in the joint venture and the fair value of the noncontrolling interest.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the following remeasurement loss on the Fashion District Philadelphia restructuring:</w:t>
      </w:r>
    </w:p>
    <w:p>
      <w:pPr>
        <w:spacing w:after="0" w:line="200" w:lineRule="exact"/>
        <w:rPr>
          <w:sz w:val="20"/>
          <w:szCs w:val="20"/>
          <w:color w:val="auto"/>
        </w:rPr>
      </w:pPr>
    </w:p>
    <w:p>
      <w:pPr>
        <w:spacing w:after="0" w:line="39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38,262</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the noncontrolling interest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existing investment in the joint venture</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(182,429)</w:t>
            </w:r>
          </w:p>
        </w:tc>
      </w:tr>
      <w:tr>
        <w:trPr>
          <w:trHeight w:val="22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remeasurement of asset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(163,298)</w:t>
            </w:r>
          </w:p>
        </w:tc>
      </w:tr>
      <w:tr>
        <w:trPr>
          <w:trHeight w:val="21"/>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right="6460" w:hanging="452"/>
        <w:spacing w:after="0" w:line="424" w:lineRule="auto"/>
        <w:tabs>
          <w:tab w:leader="none" w:pos="28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Joint Venture and Acquisitions: (Continued) </w:t>
      </w:r>
      <w:r>
        <w:rPr>
          <w:rFonts w:ascii="Times New Roman" w:cs="Times New Roman" w:eastAsia="Times New Roman" w:hAnsi="Times New Roman"/>
          <w:sz w:val="18"/>
          <w:szCs w:val="18"/>
          <w:i w:val="1"/>
          <w:iCs w:val="1"/>
          <w:color w:val="auto"/>
        </w:rPr>
        <w:t>Sears South Plains:</w:t>
      </w:r>
    </w:p>
    <w:p>
      <w:pPr>
        <w:spacing w:after="0" w:line="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Sears South Plains: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5"/>
        </w:trPr>
        <w:tc>
          <w:tcPr>
            <w:tcW w:w="56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56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r>
      <w:tr>
        <w:trPr>
          <w:trHeight w:val="230"/>
        </w:trPr>
        <w:tc>
          <w:tcPr>
            <w:tcW w:w="56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r>
      <w:tr>
        <w:trPr>
          <w:trHeight w:val="248"/>
        </w:trPr>
        <w:tc>
          <w:tcPr>
            <w:tcW w:w="56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r>
      <w:tr>
        <w:trPr>
          <w:trHeight w:val="20"/>
        </w:trPr>
        <w:tc>
          <w:tcPr>
            <w:tcW w:w="56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Dispositions:</w:t>
      </w:r>
    </w:p>
    <w:p>
      <w:pPr>
        <w:spacing w:after="0" w:line="148"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was contingently liable for $40,915 in letters of credit guaranteeing performance by the Company of certain obligations relating to the Centers. The Company does not believe that these letters of credit will result in a liability to the Company.</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2020, the Company had $3,861 in outstanding obligations, which it believes will be settled in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129"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15,297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w:t>
            </w: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22,248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Certain mortgage notes on the properties are held by NML. NML was considered a related party due to its ownership interest in Broadway Plaza until it sold its ownership interest in the property to a third party on October 12, 2018. Interest expense in connection with these notes, during the period that NML was a related party, was $6,653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Interest (income) expense from related party transactions also includes $(135,281), $(62,517) and $230 for the years ended December 31, 2020, 2019 and 2018, respectively, in connection with the Financing Arrangement (See Note 12—Financing Arrangement).</w:t>
      </w:r>
    </w:p>
    <w:p>
      <w:pPr>
        <w:spacing w:after="0" w:line="94" w:lineRule="exact"/>
        <w:rPr>
          <w:sz w:val="20"/>
          <w:szCs w:val="20"/>
          <w:color w:val="auto"/>
        </w:rPr>
      </w:pPr>
    </w:p>
    <w:p>
      <w:pPr>
        <w:ind w:right="840" w:firstLine="445"/>
        <w:spacing w:after="0" w:line="282" w:lineRule="auto"/>
        <w:rPr>
          <w:sz w:val="20"/>
          <w:szCs w:val="20"/>
          <w:color w:val="auto"/>
        </w:rPr>
      </w:pPr>
      <w:r>
        <w:rPr>
          <w:rFonts w:ascii="Times New Roman" w:cs="Times New Roman" w:eastAsia="Times New Roman" w:hAnsi="Times New Roman"/>
          <w:sz w:val="18"/>
          <w:szCs w:val="18"/>
          <w:color w:val="auto"/>
        </w:rPr>
        <w:t>Due from affiliates includes $1,612 and $6,157 of unreimbursed costs and fees due from unconsolidated joint ventures under management agreements at December 31, 2020 and 2019, respectively.</w:t>
      </w:r>
    </w:p>
    <w:p>
      <w:pPr>
        <w:spacing w:after="0" w:line="9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due from affiliates included a note receivable from RED/303 LLC ("RED") that bore interest at 5.25% and was to mature on May 30, 2021. Interest income earned on this note was $0, $141 and $224 for the years ended December 31, 2020, 2019 and 2018, respectively. On October 7, 2019, the note was collected in full. RED was considered a related party because it was a partner in a joint venture development project. The note was collateralized by RED's membership interest in the development project.</w:t>
      </w:r>
    </w:p>
    <w:p>
      <w:pPr>
        <w:spacing w:after="0" w:line="9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Also included in due from affiliates was a note receivable from Lennar Corporation that bore interest at LIBOR plus 2% and was to mature upon the completion of certain milestones in connection with the planned development of Fashion Outlets of San Francisco. As a result of those milestones not being completed, the Company elected to terminate the development agreement and the note was collected in full on February 13, 2019. Interest income earned on this note was $0, $1,112 and $3,152 for the years ended December 31, 2020, 2019 and 2018, respectively. Lennar Corporation was considered a related party because it was a joint venture partner in the project.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and Unit-based Plans:</w:t>
      </w:r>
    </w:p>
    <w:p>
      <w:pPr>
        <w:spacing w:after="0" w:line="162"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Company has established share and unit-based compensation plans for the purpose of attracting and retaining executive officers, directors and key employees.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2003 Equity Incentive Plan:</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2020,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20,912,331 shares. As of December 31, 2020, there were 6,620,968 shares available for issuance under the 2003 Plan.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Units:</w:t>
      </w:r>
    </w:p>
    <w:p>
      <w:pPr>
        <w:spacing w:after="0" w:line="14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exercise, the recipients received unrestricted common shares for the appreciation in value of the SARs from the grant date to the exercise date.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SARs awards during the years ended December 31, 2020,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244"/>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24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9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980" w:type="dxa"/>
            <w:vAlign w:val="bottom"/>
          </w:tcPr>
          <w:p>
            <w:pPr>
              <w:jc w:val="center"/>
              <w:ind w:left="224"/>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Incentive Plan Units:</w:t>
      </w:r>
    </w:p>
    <w:p>
      <w:pPr>
        <w:spacing w:after="0" w:line="14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116"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LTIP Units vest over the service period of the award based on the percentile ranking of the Company in terms of total return to stockholders (the "Total Return") per common stock share relative to the Total Return of a group of peer REITs, as measured at the end of the measurement period.</w:t>
      </w:r>
    </w:p>
    <w:p>
      <w:pPr>
        <w:spacing w:after="0" w:line="108"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fair value of the service-based LTIP Units was determined by the market price of the Company's common stock on the date of the grant. The fair value of the market-indexed LTIP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granted the following LTIP units during the years ended December 31, 2020, 2019 and 2018:</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80" w:type="dxa"/>
            <w:vAlign w:val="bottom"/>
          </w:tcPr>
          <w:p>
            <w:pPr>
              <w:spacing w:after="0"/>
              <w:rPr>
                <w:sz w:val="16"/>
                <w:szCs w:val="16"/>
                <w:color w:val="auto"/>
              </w:rPr>
            </w:pPr>
          </w:p>
        </w:tc>
        <w:tc>
          <w:tcPr>
            <w:tcW w:w="2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LTIP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1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12/31/2020</w:t>
            </w: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291,326</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12/31/2020</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1/29/2018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2/1/2022</w:t>
            </w:r>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1/29/2018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12/31/2020</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1/29/2018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12/31/2020</w:t>
            </w: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99,407</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4/26/2018</w:t>
            </w: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89,637</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4/26/2018</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569,136</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81,732</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12/31/2021</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1/1/2019</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12/31/2021</w:t>
            </w: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9/1/2019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8/31/2022</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9/1/2019</w:t>
            </w: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8/31/2022</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343,431</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321,940</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1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2/28/2023</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3/1/2020</w:t>
            </w: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2/28/2023</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552,866</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fair value of the market-indexed LTIP Units (Level 3) were estimated on the date of grant using a Monte Carlo Simulation model that based on the following assumptions:</w:t>
      </w:r>
    </w:p>
    <w:p>
      <w:pPr>
        <w:spacing w:after="0" w:line="108" w:lineRule="exact"/>
        <w:rPr>
          <w:sz w:val="20"/>
          <w:szCs w:val="20"/>
          <w:color w:val="auto"/>
        </w:rPr>
      </w:pPr>
    </w:p>
    <w:tbl>
      <w:tblPr>
        <w:tblLayout w:type="fixed"/>
        <w:tblInd w:w="3140" w:type="dxa"/>
        <w:tblCellMar>
          <w:top w:w="0" w:type="dxa"/>
          <w:left w:w="0" w:type="dxa"/>
          <w:bottom w:w="0" w:type="dxa"/>
          <w:right w:w="0" w:type="dxa"/>
        </w:tblCellMar>
      </w:tblPr>
      <w:tr>
        <w:trPr>
          <w:trHeight w:val="207"/>
        </w:trPr>
        <w:tc>
          <w:tcPr>
            <w:tcW w:w="1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Risk Free Interest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Expected Volatility</w:t>
            </w:r>
          </w:p>
        </w:tc>
        <w:tc>
          <w:tcPr>
            <w:tcW w:w="0" w:type="dxa"/>
            <w:vAlign w:val="bottom"/>
          </w:tcPr>
          <w:p>
            <w:pPr>
              <w:spacing w:after="0"/>
              <w:rPr>
                <w:sz w:val="1"/>
                <w:szCs w:val="1"/>
                <w:color w:val="auto"/>
              </w:rPr>
            </w:pPr>
          </w:p>
        </w:tc>
      </w:tr>
      <w:tr>
        <w:trPr>
          <w:trHeight w:val="230"/>
        </w:trPr>
        <w:tc>
          <w:tcPr>
            <w:tcW w:w="1620" w:type="dxa"/>
            <w:vAlign w:val="bottom"/>
            <w:gridSpan w:val="2"/>
            <w:vMerge w:val="continue"/>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23.38 %</w:t>
            </w:r>
          </w:p>
        </w:tc>
        <w:tc>
          <w:tcPr>
            <w:tcW w:w="0" w:type="dxa"/>
            <w:vAlign w:val="bottom"/>
          </w:tcPr>
          <w:p>
            <w:pPr>
              <w:spacing w:after="0"/>
              <w:rPr>
                <w:sz w:val="1"/>
                <w:szCs w:val="1"/>
                <w:color w:val="auto"/>
              </w:rPr>
            </w:pP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1/29/2018</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23.86 %</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1/1/2019</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23.52 %</w:t>
            </w:r>
          </w:p>
        </w:tc>
        <w:tc>
          <w:tcPr>
            <w:tcW w:w="0" w:type="dxa"/>
            <w:vAlign w:val="bottom"/>
          </w:tcPr>
          <w:p>
            <w:pPr>
              <w:spacing w:after="0"/>
              <w:rPr>
                <w:sz w:val="1"/>
                <w:szCs w:val="1"/>
                <w:color w:val="auto"/>
              </w:rPr>
            </w:pP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9/1/2019</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24.91 %</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26.08 %</w:t>
            </w:r>
          </w:p>
        </w:tc>
        <w:tc>
          <w:tcPr>
            <w:tcW w:w="0" w:type="dxa"/>
            <w:vAlign w:val="bottom"/>
          </w:tcPr>
          <w:p>
            <w:pPr>
              <w:spacing w:after="0"/>
              <w:rPr>
                <w:sz w:val="1"/>
                <w:szCs w:val="1"/>
                <w:color w:val="auto"/>
              </w:rPr>
            </w:pPr>
          </w:p>
        </w:tc>
      </w:tr>
      <w:tr>
        <w:trPr>
          <w:trHeight w:val="234"/>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3/1/2020</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70" w:right="5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LTIP Units during the years ended December 31, 2020,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8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616,219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636,632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552,866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9"/>
                <w:szCs w:val="19"/>
                <w:color w:val="auto"/>
              </w:rPr>
            </w:pPr>
          </w:p>
        </w:tc>
        <w:tc>
          <w:tcPr>
            <w:tcW w:w="130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569,136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(102,884)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(253,625)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w w:val="99"/>
              </w:rPr>
              <w:t>(282,149)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9"/>
              </w:rPr>
              <w:t>(290,565)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8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784,052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661,578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On May 30, 2017, the Company granted 25,000 non-qualified stock options with a grant date fair value of $10.02 that vested on May 30, 2019. The Company measured the value of each option awarded using the Black-Scholes Option Pricing Model based upon the following assumptions: volatility of 30.19%, dividend yield of 4.93%, risk free rate of 2.08%, current value of $57.55 and an expected term of 8 years.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stock options for the years ended December 31, 2020,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820" w:right="120" w:hanging="407"/>
        <w:spacing w:after="0" w:line="282" w:lineRule="auto"/>
        <w:tabs>
          <w:tab w:leader="none" w:pos="812"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Pursuant to the terms of the Company's equity plan, the exercise price and number of options were adjusted so that the stock dividend paid on June 3, 2020 had no negative impact on the outstanding stock options (See Note 14–Stockholder's Equity).</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Phantom Stock Plan:</w:t>
      </w:r>
    </w:p>
    <w:p>
      <w:pPr>
        <w:spacing w:after="0" w:line="162"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2020, there were 110,062 stock units available for grant under the Directors' Phantom Stock Plan.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and Unit-Based Plans: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phantom stock units for the years ended December 31, 2020,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791,117 shares of common stock is available for purchase under the ESPP. The number of shares available for future purchase under the plan at December 31, 2020 was 132,553.</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 for the years ended December 31, 2020, 2019 and 2018:</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$4,223, $4,691 and $6,184 for the years ended December 31, 2020, 2019 and 2018, respectively.</w:t>
      </w:r>
    </w:p>
    <w:p>
      <w:pPr>
        <w:spacing w:after="0" w:line="9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fair value of the stock awards and stock units that vested during the years ended December 31, 2020, 2019 and 2018 was $1,376, $3,577 and $6,479, respectively. Unrecognized compensation costs of share and unit-based plans at December 31, 2020 consisted of $3,007 from LTIP Units, $2,257 from stock units and $165 from phantom stock units.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 Plans: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6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This Plan includes The Macerich Company Common Stock Fund as a new investment alternative under the Plan with 650,000 shares of common stock reserved for issuance under the Plan. In accordance with the Plan, the Company makes matching contributions equal to 100 percent of the first three percent of compensation deferred by a participant and 50 percent of the next two percent of compensation deferred by a participant. During the years ended December 31, 2020, 2019 and 2018, these matching contributions made by the Company were $3,455, $3,346 and $3,422, respectively. Contributions and matching contributions to the Plan by the plan sponsor and/or participating affiliates are recognized as an expense of the Company in the period that they are made.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16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$695, $814 and $813 to the plans during the years ended December 31, 2020, 2019 and 2018, respectively. Contributions are recognized as compensation in the periods they are made.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6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2020, 2019 and 2018:</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3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2018(1)</w:t>
            </w:r>
          </w:p>
        </w:tc>
        <w:tc>
          <w:tcPr>
            <w:tcW w:w="780" w:type="dxa"/>
            <w:vAlign w:val="bottom"/>
            <w:tcBorders>
              <w:bottom w:val="single" w:sz="8" w:color="auto"/>
            </w:tcBorders>
          </w:tcPr>
          <w:p>
            <w:pPr>
              <w:spacing w:after="0"/>
              <w:rPr>
                <w:sz w:val="16"/>
                <w:szCs w:val="16"/>
                <w:color w:val="auto"/>
              </w:rPr>
            </w:pP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gains</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3" w:lineRule="exact"/>
        <w:rPr>
          <w:sz w:val="20"/>
          <w:szCs w:val="20"/>
          <w:color w:val="auto"/>
        </w:rPr>
      </w:pPr>
    </w:p>
    <w:p>
      <w:pPr>
        <w:ind w:left="580" w:hanging="572"/>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2020, 2019 and 2018 taxable ordinary dividends are treated as "qualified REIT dividends" for purposes of Internal Revenue Code Section 199A.</w:t>
      </w:r>
    </w:p>
    <w:p>
      <w:pPr>
        <w:spacing w:after="0" w:line="37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of the TRSs for the years ended December 31, 2020, 2019 and 2018 are as follows: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270" w:right="3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income tax provision of the TRSs for the years ended December 31, 2020, 2019 and 2018 are reconciled to the amount computed by applying the Federal Corporate tax rate as follows:</w:t>
      </w:r>
    </w:p>
    <w:p>
      <w:pPr>
        <w:spacing w:after="0" w:line="128"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loss (income) for TRSs</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Tax at statutory rate on earnings from continuing operations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80" w:type="dxa"/>
            <w:vAlign w:val="bottom"/>
            <w:vMerge w:val="continue"/>
          </w:tcPr>
          <w:p>
            <w:pPr>
              <w:spacing w:after="0"/>
              <w:rPr>
                <w:sz w:val="10"/>
                <w:szCs w:val="10"/>
                <w:color w:val="auto"/>
              </w:rPr>
            </w:pPr>
          </w:p>
        </w:tc>
        <w:tc>
          <w:tcPr>
            <w:tcW w:w="900" w:type="dxa"/>
            <w:vAlign w:val="bottom"/>
            <w:vMerge w:val="restart"/>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0"/>
                <w:szCs w:val="10"/>
                <w:color w:val="auto"/>
              </w:rPr>
            </w:pPr>
          </w:p>
        </w:tc>
        <w:tc>
          <w:tcPr>
            <w:tcW w:w="880" w:type="dxa"/>
            <w:vAlign w:val="bottom"/>
            <w:vMerge w:val="restart"/>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29"/>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income taxes</w:t>
            </w:r>
          </w:p>
        </w:tc>
        <w:tc>
          <w:tcPr>
            <w:tcW w:w="9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of the TRSs included in the net deferred tax assets at December 31, 2020 and 2019 are summarized as follows:</w:t>
      </w:r>
    </w:p>
    <w:p>
      <w:pPr>
        <w:spacing w:after="0" w:line="128"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primarily differences in depreciation and amortization, the tax basis of land</w:t>
            </w:r>
          </w:p>
        </w:tc>
        <w:tc>
          <w:tcPr>
            <w:tcW w:w="8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0" w:type="dxa"/>
            <w:vAlign w:val="bottom"/>
          </w:tcPr>
          <w:p>
            <w:pPr>
              <w:spacing w:after="0"/>
              <w:rPr>
                <w:sz w:val="1"/>
                <w:szCs w:val="1"/>
                <w:color w:val="auto"/>
              </w:rPr>
            </w:pPr>
          </w:p>
        </w:tc>
      </w:tr>
      <w:tr>
        <w:trPr>
          <w:trHeight w:val="229"/>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and treatment of certain other costs</w:t>
            </w:r>
          </w:p>
        </w:tc>
        <w:tc>
          <w:tcPr>
            <w:tcW w:w="8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30,767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net operating loss ("NOL") carryforwards for NOLs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2020, 2019 and 2018 there were no unrecognized tax benefits.</w:t>
      </w:r>
    </w:p>
    <w:p>
      <w:pPr>
        <w:spacing w:after="0" w:line="14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2020, the Company had no valuation allowance recorded.</w:t>
      </w:r>
    </w:p>
    <w:p>
      <w:pPr>
        <w:spacing w:after="0" w:line="112"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tax years 2017 through 2019 remain open to examination by the taxing jurisdictions to which the Company is subject. The Company does not expect that the total amount of unrecognized tax benefit will materially change within the next 12 months.</w:t>
      </w:r>
    </w:p>
    <w:p>
      <w:pPr>
        <w:sectPr>
          <w:pgSz w:w="11900" w:h="16838" w:orient="portrait"/>
          <w:cols w:equalWidth="0" w:num="1">
            <w:col w:w="11120"/>
          </w:cols>
          <w:pgMar w:left="32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70" w:right="45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Quarterly Financial Data (Unaudited):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quarterly results of operations for the years ended December 31, 2020 and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2020 Quarter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2019 Quarter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 30</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2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 30</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180" w:type="dxa"/>
            <w:vAlign w:val="bottom"/>
          </w:tcPr>
          <w:p>
            <w:pPr>
              <w:spacing w:after="0"/>
              <w:rPr>
                <w:sz w:val="16"/>
                <w:szCs w:val="16"/>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194,643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178,587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226,952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241,841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226,522</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income attributable to the</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(190,418)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(22,191)</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(25,116)</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26,891</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46,371</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7,824</w:t>
            </w:r>
          </w:p>
        </w:tc>
        <w:tc>
          <w:tcPr>
            <w:tcW w:w="0" w:type="dxa"/>
            <w:vAlign w:val="bottom"/>
          </w:tcPr>
          <w:p>
            <w:pPr>
              <w:spacing w:after="0"/>
              <w:rPr>
                <w:sz w:val="1"/>
                <w:szCs w:val="1"/>
                <w:color w:val="auto"/>
              </w:rPr>
            </w:pPr>
          </w:p>
        </w:tc>
      </w:tr>
      <w:tr>
        <w:trPr>
          <w:trHeight w:val="213"/>
        </w:trPr>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Company(1)</w:t>
            </w: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stockholders per share-</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stockholders per share-</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0"/>
        </w:trPr>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820" w:right="260" w:hanging="407"/>
        <w:spacing w:after="0" w:line="261" w:lineRule="auto"/>
        <w:tabs>
          <w:tab w:leader="none" w:pos="812"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attributable to the Company for the quarter ended December 31, 2020 includes the loss on remeasurement of assets of $163,298 resulting from the consolidation of the Company’s joint venture in Fashion District Philadelphia (See Note 16–Consolidated Joint Venture and Acquisitions).</w:t>
      </w:r>
    </w:p>
    <w:p>
      <w:pPr>
        <w:spacing w:after="0" w:line="82"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January 28, 2021, the Company announced a dividend/distribution of $0.15 per share for common stockholders and OP Unit holders of record on February 19, 2021. All dividends/distributions will be paid 100% in cash on March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2460" w:type="dxa"/>
            <w:vAlign w:val="bottom"/>
            <w:tcBorders>
              <w:bottom w:val="single" w:sz="8" w:color="auto"/>
            </w:tcBorders>
            <w:gridSpan w:val="7"/>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Gross Amount at Which Carried at Close of Period</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Cost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7"/>
              <w:spacing w:after="0" w:line="108"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Building and</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Net of</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Shopping Centers/Entities</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6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gridSpan w:val="3"/>
            <w:vMerge w:val="continue"/>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Furnishings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Furnishings</w:t>
            </w: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in Progress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0" w:type="dxa"/>
            <w:vAlign w:val="bottom"/>
          </w:tcPr>
          <w:p>
            <w:pPr>
              <w:spacing w:after="0"/>
              <w:rPr>
                <w:sz w:val="1"/>
                <w:szCs w:val="1"/>
                <w:color w:val="auto"/>
              </w:rPr>
            </w:pPr>
          </w:p>
        </w:tc>
      </w:tr>
      <w:tr>
        <w:trPr>
          <w:trHeight w:val="174"/>
        </w:trPr>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Chandler Fashion Center</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24,188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223,143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27,118</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24,188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274,449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149,442</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Danbury Fair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120,938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380,517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568,256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396,980</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Desert Sky Mall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38,117</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Eastland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141,258</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Estrella Falls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56,215</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Fashion District Philadelphia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331,514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330,993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Fashion Outlets of Chicago</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269,570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193,167</w:t>
            </w:r>
          </w:p>
        </w:tc>
        <w:tc>
          <w:tcPr>
            <w:tcW w:w="0" w:type="dxa"/>
            <w:vAlign w:val="bottom"/>
          </w:tcPr>
          <w:p>
            <w:pPr>
              <w:spacing w:after="0"/>
              <w:rPr>
                <w:sz w:val="1"/>
                <w:szCs w:val="1"/>
                <w:color w:val="auto"/>
              </w:rPr>
            </w:pPr>
          </w:p>
        </w:tc>
      </w:tr>
      <w:tr>
        <w:trPr>
          <w:trHeight w:val="121"/>
        </w:trPr>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Fashion Outlets of Niagara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18,581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210,139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106,751</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309,409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335,471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97,743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237,728</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Falls USA</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Marketplace at Flagstaff</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18,714</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Freehold Raceway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126,946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477,057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221,660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433,113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Fresno Fashion Fair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54,340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79,724</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Green Acres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197,842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675,516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521,975</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Inland Center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31,899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94,969</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Kings Plaza Shopping Center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282,891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683,575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997,480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837,851</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Cumbre Plaza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31,317</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Macerich Management Co.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42,541</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MACWH, LP</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26,779</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NorthPark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68,591</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Oaks, The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268,674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418,130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239,149</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Pacific View</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137,903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74,518</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Paradise Valley Mall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96,211</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Prasada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Queens Center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1,039,922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56,956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1,085,788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1,348,352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1,165,591</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Santa Monica Place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351,922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483,922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323,153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SanTan Adjacent Land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38,924</w:t>
            </w:r>
          </w:p>
        </w:tc>
        <w:tc>
          <w:tcPr>
            <w:tcW w:w="0" w:type="dxa"/>
            <w:vAlign w:val="bottom"/>
          </w:tcPr>
          <w:p>
            <w:pPr>
              <w:spacing w:after="0"/>
              <w:rPr>
                <w:sz w:val="1"/>
                <w:szCs w:val="1"/>
                <w:color w:val="auto"/>
              </w:rPr>
            </w:pPr>
          </w:p>
        </w:tc>
      </w:tr>
      <w:tr>
        <w:trPr>
          <w:trHeight w:val="121"/>
        </w:trPr>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SanTan Village Regional</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7,827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215,839</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216,095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223,666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107,764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115,902</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Sears South Plains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19,300</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SouthPark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20,750</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Southridge Center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7,284</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Stonewood Center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314,948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259,296</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Superstition Springs Center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106,964</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2460" w:type="dxa"/>
            <w:vAlign w:val="bottom"/>
            <w:tcBorders>
              <w:bottom w:val="single" w:sz="8" w:color="auto"/>
            </w:tcBorders>
            <w:gridSpan w:val="6"/>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Gross Amount at Which Carried at Close of Period</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Cost</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7"/>
              <w:spacing w:after="0" w:line="108"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Net of</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Shopping Centers/Entities</w:t>
            </w:r>
          </w:p>
        </w:tc>
        <w:tc>
          <w:tcPr>
            <w:tcW w:w="6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980" w:type="dxa"/>
            <w:vAlign w:val="bottom"/>
            <w:gridSpan w:val="3"/>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6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gridSpan w:val="3"/>
            <w:vMerge w:val="continue"/>
          </w:tcPr>
          <w:p>
            <w:pPr>
              <w:spacing w:after="0"/>
              <w:rPr>
                <w:sz w:val="10"/>
                <w:szCs w:val="10"/>
                <w:color w:val="auto"/>
              </w:rPr>
            </w:pPr>
          </w:p>
        </w:tc>
        <w:tc>
          <w:tcPr>
            <w:tcW w:w="6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vMerge w:val="restart"/>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Improvements</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Furnishings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Improvements</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Furnishings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in Progress</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0" w:type="dxa"/>
            <w:vAlign w:val="bottom"/>
          </w:tcPr>
          <w:p>
            <w:pPr>
              <w:spacing w:after="0"/>
              <w:rPr>
                <w:sz w:val="1"/>
                <w:szCs w:val="1"/>
                <w:color w:val="auto"/>
              </w:rPr>
            </w:pPr>
          </w:p>
        </w:tc>
      </w:tr>
      <w:tr>
        <w:trPr>
          <w:trHeight w:val="120"/>
        </w:trPr>
        <w:tc>
          <w:tcPr>
            <w:tcW w:w="158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Superstition Springs Power</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The Macerich Partnership,</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4,860</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w:t>
            </w: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Towne Mall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25,055</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Tucson La Encantada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12,800</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59,230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Valley Mall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41,526</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Valley River Center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24,854</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207,505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134,229</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Victor Valley, Mall of</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54,163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82,410</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Vintage Faire Mall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14,902</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58,719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56,834</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Wilton Mall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37,790</w:t>
            </w:r>
          </w:p>
        </w:tc>
        <w:tc>
          <w:tcPr>
            <w:tcW w:w="0" w:type="dxa"/>
            <w:vAlign w:val="bottom"/>
          </w:tcPr>
          <w:p>
            <w:pPr>
              <w:spacing w:after="0"/>
              <w:rPr>
                <w:sz w:val="1"/>
                <w:szCs w:val="1"/>
                <w:color w:val="auto"/>
              </w:rPr>
            </w:pPr>
          </w:p>
        </w:tc>
      </w:tr>
      <w:tr>
        <w:trPr>
          <w:trHeight w:val="170"/>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freestanding stores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26,771</w:t>
            </w:r>
          </w:p>
        </w:tc>
        <w:tc>
          <w:tcPr>
            <w:tcW w:w="0" w:type="dxa"/>
            <w:vAlign w:val="bottom"/>
          </w:tcPr>
          <w:p>
            <w:pPr>
              <w:spacing w:after="0"/>
              <w:rPr>
                <w:sz w:val="1"/>
                <w:szCs w:val="1"/>
                <w:color w:val="auto"/>
              </w:rPr>
            </w:pPr>
          </w:p>
        </w:tc>
      </w:tr>
      <w:tr>
        <w:trPr>
          <w:trHeight w:val="127"/>
        </w:trPr>
        <w:tc>
          <w:tcPr>
            <w:tcW w:w="15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land and development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63,338</w:t>
            </w: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(24,938)</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37,882</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properties</w:t>
            </w: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$ 1,453,152</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5,021,262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2,735,724</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$ 1,538,270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7,370,958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194,231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153,253</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$ 9,256,712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2,562,133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6,694,579</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Depreciation of the Company's investment in buildings and improvements reflected in the consolidated statements of operations are calculated over the estimated useful lives of the asset as follows:</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6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30"/>
        </w:trPr>
        <w:tc>
          <w:tcPr>
            <w:tcW w:w="60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9"/>
        </w:trPr>
        <w:tc>
          <w:tcPr>
            <w:tcW w:w="6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furnishings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716"/>
        </w:trPr>
        <w:tc>
          <w:tcPr>
            <w:tcW w:w="720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w w:val="99"/>
              </w:rPr>
              <w:t>The changes in total real estate assets for the three years ended December 31, 2020 are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89"/>
        </w:trPr>
        <w:tc>
          <w:tcPr>
            <w:tcW w:w="600" w:type="dxa"/>
            <w:vAlign w:val="bottom"/>
          </w:tcPr>
          <w:p>
            <w:pPr>
              <w:spacing w:after="0"/>
              <w:rPr>
                <w:sz w:val="24"/>
                <w:szCs w:val="24"/>
                <w:color w:val="auto"/>
              </w:rPr>
            </w:pPr>
          </w:p>
        </w:tc>
        <w:tc>
          <w:tcPr>
            <w:tcW w:w="46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8,993,049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9,127,533</w:t>
            </w:r>
          </w:p>
        </w:tc>
      </w:tr>
      <w:tr>
        <w:trPr>
          <w:trHeight w:val="229"/>
        </w:trPr>
        <w:tc>
          <w:tcPr>
            <w:tcW w:w="60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246,719</w:t>
            </w:r>
          </w:p>
        </w:tc>
      </w:tr>
      <w:tr>
        <w:trPr>
          <w:trHeight w:val="230"/>
        </w:trPr>
        <w:tc>
          <w:tcPr>
            <w:tcW w:w="6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(495,432)</w:t>
            </w:r>
          </w:p>
        </w:tc>
      </w:tr>
      <w:tr>
        <w:trPr>
          <w:trHeight w:val="223"/>
        </w:trPr>
        <w:tc>
          <w:tcPr>
            <w:tcW w:w="60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9,256,712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8,993,049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8,878,820</w:t>
            </w:r>
          </w:p>
        </w:tc>
      </w:tr>
      <w:tr>
        <w:trPr>
          <w:trHeight w:val="20"/>
        </w:trPr>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aggregate cost of the property included in the table above for federal income tax purposes was $9,178,539 (unaudited) at December 31, 2020.</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accumulated depreciation for the three years ended December 31, 2020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4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2,018,303</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275,236</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(200,495)</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2,349,536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2,093,044</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70" w:right="4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0" w:type="dxa"/>
            <w:vAlign w:val="bottom"/>
            <w:gridSpan w:val="2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21"/>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auto"/>
            </w:tcBorders>
          </w:tcPr>
          <w:p>
            <w:pPr>
              <w:jc w:val="right"/>
              <w:spacing w:after="0" w:line="182" w:lineRule="exact"/>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2.1</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8"/>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Master Agreement, dated November 14, 2014, by and among Pacific Premier Retail LLC, MACPT LLC, Macerich PPR GP LLC,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Queens JV LP, Macerich Queens JV LP, Queens JV GP LLC, 1700480 Ontario Inc. and the Company (incorporated by reference</w:t>
              </w:r>
            </w:hyperlink>
          </w:p>
        </w:tc>
        <w:tc>
          <w:tcPr>
            <w:tcW w:w="460" w:type="dxa"/>
            <w:vAlign w:val="bottom"/>
            <w:gridSpan w:val="1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 an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exhibit to the Company’s Current Report on Form 8-K, event date November 14, 2014).</w:t>
              </w:r>
            </w:hyperlink>
          </w:p>
        </w:tc>
        <w:tc>
          <w:tcPr>
            <w:tcW w:w="34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of Amendment and Restatement of the Company (incorporated by reference as an exhibit to the Company's Registration</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auto"/>
              </w:rPr>
              <w:t>Statement on Form S-11, as amended (No. 33-68964)) (Filed in paper - hyperlink is not required pursuant to Rule 105 of Regulation S-</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w:t>
            </w:r>
          </w:p>
        </w:tc>
        <w:tc>
          <w:tcPr>
            <w:tcW w:w="0" w:type="dxa"/>
            <w:vAlign w:val="bottom"/>
          </w:tcPr>
          <w:p>
            <w:pPr>
              <w:spacing w:after="0"/>
              <w:rPr>
                <w:sz w:val="1"/>
                <w:szCs w:val="1"/>
                <w:color w:val="auto"/>
              </w:rPr>
            </w:pPr>
          </w:p>
        </w:tc>
      </w:tr>
      <w:tr>
        <w:trPr>
          <w:trHeight w:val="427"/>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Supplementary of the Company (incorporated by reference as an exhibit to the Company's Current Report on Form 8-K, event</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date May 30, 1995) (Filed in paper - hyperlink is not required pursuant to Rule 105 of Regulation S-T).</w:t>
            </w:r>
          </w:p>
        </w:tc>
        <w:tc>
          <w:tcPr>
            <w:tcW w:w="0" w:type="dxa"/>
            <w:vAlign w:val="bottom"/>
          </w:tcPr>
          <w:p>
            <w:pPr>
              <w:spacing w:after="0"/>
              <w:rPr>
                <w:sz w:val="1"/>
                <w:szCs w:val="1"/>
                <w:color w:val="auto"/>
              </w:rPr>
            </w:pPr>
          </w:p>
        </w:tc>
      </w:tr>
      <w:tr>
        <w:trPr>
          <w:trHeight w:val="441"/>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3.1.2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1998 Form 10-K).</w:t>
              </w:r>
            </w:hyperlink>
          </w:p>
        </w:tc>
        <w:tc>
          <w:tcPr>
            <w:tcW w:w="84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3.1.3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Report on Form 8-K, event date July 26,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3.1.4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Articles Supplementary of the Company (incorporated by reference as an exhibit to the Company's Registration Statement on Form 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3, as amended (No. 333-88718)).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3.1.5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Form 10-K).</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3.1.6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Articles Supplementary of the Company (incorporated by reference as an exhibit to the Company's Current Report on Form 8-K, event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date February 5, 2009).</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3.1.7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Articles of Amendment of the Company (increased authorized shares) (incorporated by reference as an exhibit to the Company's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Quarterly Report on Form 10-Q for the quarter ended June 30, 2009).</w:t>
              </w:r>
            </w:hyperlink>
          </w:p>
        </w:tc>
        <w:tc>
          <w:tcPr>
            <w:tcW w:w="2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3.1.8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Articles of Amendment of the Company (to eliminate the supermajority vote requirement to amend the charter and to clarify a</w:t>
              </w:r>
            </w:hyperlink>
          </w:p>
        </w:tc>
        <w:tc>
          <w:tcPr>
            <w:tcW w:w="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gridSpan w:val="2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in Article NINTH) (incorporated by reference as an exhibit to the Company’s Current Report on Form 8-K, event date May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30, 2014).</w:t>
              </w:r>
            </w:hyperlink>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3.1.9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Articles Supplementary (election to be subject to Section 3-803 of the Maryland General Corporation Law) (incorporated by reference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 an exhibit to the Company's Current Report on Form 8-K, event date March 17, 2015).</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7"/>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3.1.10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Articles Supplementary (designation of Series E Preferred Stock) (incorporated by reference as an exhibit to the Company's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Report on Form 8-K, event date March 18, 2015).</w:t>
              </w:r>
            </w:hyperlink>
          </w:p>
        </w:tc>
        <w:tc>
          <w:tcPr>
            <w:tcW w:w="590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3.1.11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Articles Supplementary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Company's Current Report on Form 8-K, event date May 7, 2015).</w:t>
              </w:r>
            </w:hyperlink>
          </w:p>
        </w:tc>
        <w:tc>
          <w:tcPr>
            <w:tcW w:w="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8"/>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3.1.12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Articles Supplementary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reference as an exhibit to the Company's Current Report on Form 8-K, event date May 28, 2015).</w:t>
              </w:r>
            </w:hyperlink>
          </w:p>
        </w:tc>
        <w:tc>
          <w:tcPr>
            <w:tcW w:w="2560" w:type="dxa"/>
            <w:vAlign w:val="bottom"/>
            <w:tcBorders>
              <w:top w:val="single" w:sz="8" w:color="0000FF"/>
            </w:tcBorders>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3.1.13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Articles Supplementary (opting out of provisions of Subtitle 8 of Title 3 of the Maryland General Corporate Law (MUTA Provisions))</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top w:val="single" w:sz="8" w:color="0000FF"/>
            </w:tcBorders>
            <w:gridSpan w:val="23"/>
          </w:tcPr>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(incorporated by reference as an exhibit to the Company’s Current Report on Form 8-K, event date April 24, 2019).</w:t>
              </w:r>
            </w:hyperlink>
          </w:p>
        </w:tc>
        <w:tc>
          <w:tcPr>
            <w:tcW w:w="1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3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540" w:type="dxa"/>
            <w:vAlign w:val="bottom"/>
            <w:gridSpan w:val="18"/>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3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4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0" w:type="dxa"/>
            <w:vAlign w:val="bottom"/>
            <w:tcBorders>
              <w:top w:val="single" w:sz="8" w:color="auto"/>
            </w:tcBorders>
            <w:gridSpan w:val="3"/>
          </w:tcPr>
          <w:p>
            <w:pPr>
              <w:jc w:val="right"/>
              <w:ind w:right="20"/>
              <w:spacing w:after="0" w:line="182" w:lineRule="exact"/>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3.2</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2"/>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Bylaws of the Company (incorporated by reference as an exhibit to the Company's Current Report on Form 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K, event date April 24, 2019).</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4.1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Description of the Company's Securities (incorporated by reference as an exhibit to the Company's 2019 Form 10-K).</w:t>
              </w:r>
            </w:hyperlink>
          </w:p>
        </w:tc>
        <w:tc>
          <w:tcPr>
            <w:tcW w:w="0" w:type="dxa"/>
            <w:vAlign w:val="bottom"/>
          </w:tcPr>
          <w:p>
            <w:pPr>
              <w:spacing w:after="0"/>
              <w:rPr>
                <w:sz w:val="1"/>
                <w:szCs w:val="1"/>
                <w:color w:val="auto"/>
              </w:rPr>
            </w:pPr>
          </w:p>
        </w:tc>
      </w:tr>
      <w:tr>
        <w:trPr>
          <w:trHeight w:val="445"/>
        </w:trPr>
        <w:tc>
          <w:tcPr>
            <w:tcW w:w="1000" w:type="dxa"/>
            <w:vAlign w:val="bottom"/>
            <w:gridSpan w:val="3"/>
          </w:tcPr>
          <w:p>
            <w:pPr>
              <w:jc w:val="right"/>
              <w:ind w:righ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Common Stock Certificate (incorporated by reference as an exhibit to the Company's Current Report on Form 8-K, as</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event date November 10, 1998).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Statement on Form S-3 (No. 333-107063)).</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as an exhibit to the Company's 1996 Form 10-K).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to Amended and Restated Limited Partnership Agreement for the Operating Partnership dated June 27, 1997 (incorporated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by reference as an exhibit to the Company's Current Report on Form 8-K, event date June 20, 1997).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(incorporated by reference as an exhibit to the Company's 1997 Form 10-K).</w:t>
              </w:r>
            </w:hyperlink>
          </w:p>
        </w:tc>
        <w:tc>
          <w:tcPr>
            <w:tcW w:w="366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(incorporated by reference as an exhibit to the Company's 1997 Form 10-K).</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(incorporated by reference as an exhibit to the Company's 1997 Form 10-K).</w:t>
              </w:r>
            </w:hyperlink>
          </w:p>
        </w:tc>
        <w:tc>
          <w:tcPr>
            <w:tcW w:w="392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by reference as an exhibit to the Company's 1998 Form 10-K).</w:t>
              </w:r>
            </w:hyperlink>
          </w:p>
        </w:tc>
        <w:tc>
          <w:tcPr>
            <w:tcW w:w="3640" w:type="dxa"/>
            <w:vAlign w:val="bottom"/>
            <w:tcBorders>
              <w:top w:val="single" w:sz="8" w:color="0000FF"/>
            </w:tcBorders>
            <w:gridSpan w:val="3"/>
          </w:tcPr>
          <w:p>
            <w:pPr>
              <w:spacing w:after="0"/>
              <w:rPr>
                <w:sz w:val="13"/>
                <w:szCs w:val="13"/>
                <w:color w:val="auto"/>
              </w:rPr>
            </w:pPr>
          </w:p>
        </w:tc>
        <w:tc>
          <w:tcPr>
            <w:tcW w:w="2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by reference as an exhibit to the Company's 1998 Form 10-K).</w:t>
              </w:r>
            </w:hyperlink>
          </w:p>
        </w:tc>
        <w:tc>
          <w:tcPr>
            <w:tcW w:w="42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(incorporated by reference as an exhibit to the Company's 2000 Form 10-K).</w:t>
              </w:r>
            </w:hyperlink>
          </w:p>
        </w:tc>
        <w:tc>
          <w:tcPr>
            <w:tcW w:w="4080" w:type="dxa"/>
            <w:vAlign w:val="bottom"/>
            <w:tcBorders>
              <w:top w:val="single" w:sz="8" w:color="0000FF"/>
            </w:tcBorders>
            <w:gridSpan w:val="11"/>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tcBorders>
              <w:top w:val="single" w:sz="8" w:color="0000FF"/>
            </w:tcBorders>
            <w:gridSpan w:val="9"/>
          </w:tcPr>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(incorporated by reference as an exhibit to the Company's Current Report on Form 8-K event date July 26, 2002).</w:t>
              </w:r>
            </w:hyperlink>
          </w:p>
        </w:tc>
        <w:tc>
          <w:tcPr>
            <w:tcW w:w="26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(incorporated by reference as an exhibit to the Company's 2006 Form 10-K).</w:t>
              </w:r>
            </w:hyperlink>
          </w:p>
        </w:tc>
        <w:tc>
          <w:tcPr>
            <w:tcW w:w="3900" w:type="dxa"/>
            <w:vAlign w:val="bottom"/>
            <w:tcBorders>
              <w:top w:val="single" w:sz="8" w:color="0000FF"/>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10.1.10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Eleventh Amendment to Amended and Restated Limited Partnership Agreement for the Operating Partnership dated as of March 16,</w:t>
              </w:r>
            </w:hyperlink>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2007 (incorporated by reference as an exhibit to the Company's Current Report on Form 8-K, event date March 16, 2007).</w:t>
              </w:r>
            </w:hyperlink>
          </w:p>
        </w:tc>
        <w:tc>
          <w:tcPr>
            <w:tcW w:w="20" w:type="dxa"/>
            <w:vAlign w:val="bottom"/>
          </w:tcPr>
          <w:p>
            <w:pPr>
              <w:spacing w:after="0"/>
              <w:rPr>
                <w:sz w:val="19"/>
                <w:szCs w:val="19"/>
                <w:color w:val="auto"/>
              </w:rPr>
            </w:pPr>
          </w:p>
        </w:tc>
        <w:tc>
          <w:tcPr>
            <w:tcW w:w="2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Twelfth Amendment to the Amended and Restated Limited Partnership Agreement of the Operating Partnership dated as of April 30,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80" w:type="dxa"/>
            <w:vAlign w:val="bottom"/>
            <w:gridSpan w:val="15"/>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2"/>
          </w:tcPr>
          <w:p>
            <w:pPr>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2009 (incorporated by reference as an exhibit to the Company's Quarterly Report on Form 10-Q for the quarter ended June 30, 2009).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40" w:type="dxa"/>
            <w:vAlign w:val="bottom"/>
            <w:gridSpan w:val="1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4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auto"/>
            </w:tcBorders>
          </w:tcPr>
          <w:p>
            <w:pPr>
              <w:jc w:val="right"/>
              <w:spacing w:after="0" w:line="182" w:lineRule="exact"/>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10.1.12</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3"/>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Thirteenth Amendment to the Amended and Restated Limited Partnership Agreement of the Operating Partnership dated as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October 29, 2009 (incorporated by reference as an exhibit to the Company's 2009 Form 10-K).</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Fourteenth Amendment to Amended and Restated Limited Partnership Agreement for the Operating Partnership (incorporated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by reference as an exhibit to the Company's Current Report on Form 8-K, event date April 25, 2005).</w:t>
              </w:r>
            </w:hyperlink>
          </w:p>
        </w:tc>
        <w:tc>
          <w:tcPr>
            <w:tcW w:w="2460" w:type="dxa"/>
            <w:vAlign w:val="bottom"/>
            <w:tcBorders>
              <w:top w:val="single" w:sz="8" w:color="0000FF"/>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10.2</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Deferred Compensation Plan for Executives (2003) (incorporated by reference as an exhibit to the Company's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2003 Form 10-K).</w:t>
              </w:r>
            </w:hyperlink>
          </w:p>
        </w:tc>
        <w:tc>
          <w:tcPr>
            <w:tcW w:w="8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10.2.1</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as an exhibit to the Company's 2008 Form 10-K).</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10.2.2</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Number 2 to Amended and Restated Deferred Compensation Plan for Executives (May 1, 2011) (incorporated by</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reference as an exhibit to the Company's Quarterly Report on Form 10-Q for the quarter ended June 30, 2011).</w:t>
              </w:r>
            </w:hyperlink>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10.2.3</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top w:val="single" w:sz="8" w:color="0000FF"/>
            </w:tcBorders>
            <w:gridSpan w:val="19"/>
          </w:tcPr>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reference as an exhibit to the Company's Quarterly Report on Form 10-Q for the quarter ended September 30, 2012).</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10.3</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Company's 2003 Form 10-K).</w:t>
              </w:r>
            </w:hyperlink>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10.3.1</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Number 1 to Amended and Restated Deferred Compensation Plan for Senior Executives (October 30, 2008) (incorporated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as an exhibit to the Company's 2008 Form 10-K).</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10.3.2</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tcBorders>
              <w:top w:val="single" w:sz="8" w:color="0000FF"/>
            </w:tcBorders>
            <w:gridSpan w:val="17"/>
          </w:tcPr>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reference as an exhibit to the Company's Quarterly Report on Form 10-Q for the quarter ended June 30, 2011).</w:t>
              </w:r>
            </w:hyperlink>
          </w:p>
        </w:tc>
        <w:tc>
          <w:tcPr>
            <w:tcW w:w="60" w:type="dxa"/>
            <w:vAlign w:val="bottom"/>
            <w:gridSpan w:val="3"/>
          </w:tcPr>
          <w:p>
            <w:pPr>
              <w:spacing w:after="0"/>
              <w:rPr>
                <w:sz w:val="19"/>
                <w:szCs w:val="19"/>
                <w:color w:val="auto"/>
              </w:rPr>
            </w:pPr>
          </w:p>
        </w:tc>
        <w:tc>
          <w:tcPr>
            <w:tcW w:w="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10.3.3</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Number 3 to Amended and Restated Deferred Compensation Plan for Senior Executives (September 27, 2012)</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00" w:type="dxa"/>
            <w:vAlign w:val="bottom"/>
            <w:tcBorders>
              <w:top w:val="single" w:sz="8" w:color="0000FF"/>
            </w:tcBorders>
            <w:gridSpan w:val="9"/>
          </w:tcPr>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(incorporated by reference as an exhibit to the Company's Quarterly Report on Form 10-Q for the quarter ended September</w:t>
              </w:r>
            </w:hyperlink>
          </w:p>
        </w:tc>
        <w:tc>
          <w:tcPr>
            <w:tcW w:w="940" w:type="dxa"/>
            <w:vAlign w:val="bottom"/>
            <w:gridSpan w:val="15"/>
          </w:tcPr>
          <w:p>
            <w:pPr>
              <w:jc w:val="right"/>
              <w:ind w:right="200"/>
              <w:spacing w:after="0"/>
              <w:rPr>
                <w:rFonts w:ascii="Times New Roman" w:cs="Times New Roman" w:eastAsia="Times New Roman" w:hAnsi="Times New Roman"/>
                <w:sz w:val="18"/>
                <w:szCs w:val="18"/>
                <w:u w:val="single" w:color="auto"/>
                <w:color w:val="0000FF"/>
                <w:w w:val="97"/>
              </w:rPr>
            </w:pPr>
            <w:hyperlink r:id="rId163">
              <w:r>
                <w:rPr>
                  <w:rFonts w:ascii="Times New Roman" w:cs="Times New Roman" w:eastAsia="Times New Roman" w:hAnsi="Times New Roman"/>
                  <w:sz w:val="18"/>
                  <w:szCs w:val="18"/>
                  <w:u w:val="single" w:color="auto"/>
                  <w:color w:val="0000FF"/>
                  <w:w w:val="97"/>
                </w:rPr>
                <w:t>30, 2012).</w:t>
              </w:r>
            </w:hyperlink>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10.4</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Eligible Directors' Deferred Compensation/Phantom Stock Plan (as amended and restated as of January 1, 2013) (incorporated by</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reference as an exhibit to the Company's Quarterly Report on Form 10-Q for the quarter ended June 30, 2013).</w:t>
              </w:r>
            </w:hyperlink>
          </w:p>
        </w:tc>
        <w:tc>
          <w:tcPr>
            <w:tcW w:w="2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10.5</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exhibit to the Company's 2015 Form 10-K).</w:t>
              </w:r>
            </w:hyperlink>
          </w:p>
        </w:tc>
        <w:tc>
          <w:tcPr>
            <w:tcW w:w="6500" w:type="dxa"/>
            <w:vAlign w:val="bottom"/>
            <w:tcBorders>
              <w:top w:val="single" w:sz="8" w:color="0000FF"/>
            </w:tcBorders>
            <w:gridSpan w:val="16"/>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10.6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Deferred Compensation Plan Amended and Restated Trust Agreement between the Company and Wells Fargo Bank, National</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Association, effective as of June 17, 2019 (incorporated by reference as an exhibit to the Company’s Quarterly Report on Form</w:t>
              </w:r>
            </w:hyperlink>
          </w:p>
        </w:tc>
        <w:tc>
          <w:tcPr>
            <w:tcW w:w="760" w:type="dxa"/>
            <w:vAlign w:val="bottom"/>
            <w:gridSpan w:val="14"/>
          </w:tcPr>
          <w:p>
            <w:pPr>
              <w:ind w:left="120"/>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10-Q</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 the quarter ended June 30, 2019).</w:t>
              </w:r>
            </w:hyperlink>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71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March 16, 1994, among the Company and Mace Siegel, Dana K. Anderson, Arthur M.</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Coppola and Edward C. Coppola (incorporated by reference as an exhibit to the Company's 1994 Form 10-K) (Filed in paper -</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hyperlink is not required pursuant to Rule 105 of Regulation S-T).</w:t>
            </w:r>
          </w:p>
        </w:tc>
        <w:tc>
          <w:tcPr>
            <w:tcW w:w="0" w:type="dxa"/>
            <w:vAlign w:val="bottom"/>
          </w:tcPr>
          <w:p>
            <w:pPr>
              <w:spacing w:after="0"/>
              <w:rPr>
                <w:sz w:val="1"/>
                <w:szCs w:val="1"/>
                <w:color w:val="auto"/>
              </w:rPr>
            </w:pPr>
          </w:p>
        </w:tc>
      </w:tr>
      <w:tr>
        <w:trPr>
          <w:trHeight w:val="427"/>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March 16, 1994, between the Company and The Northwestern Mutual Life Insurance</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auto"/>
              </w:rPr>
              <w:t>Company (incorporated by reference as an exhibit to the Company’s 1994 Form 10-K) (Filed in paper - hyperlink is not required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pursuant to Rule 105 of Regulation S-T).</w:t>
            </w:r>
          </w:p>
        </w:tc>
        <w:tc>
          <w:tcPr>
            <w:tcW w:w="0" w:type="dxa"/>
            <w:vAlign w:val="bottom"/>
          </w:tcPr>
          <w:p>
            <w:pPr>
              <w:spacing w:after="0"/>
              <w:rPr>
                <w:sz w:val="1"/>
                <w:szCs w:val="1"/>
                <w:color w:val="auto"/>
              </w:rPr>
            </w:pPr>
          </w:p>
        </w:tc>
      </w:tr>
      <w:tr>
        <w:trPr>
          <w:trHeight w:val="873"/>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2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780" w:type="dxa"/>
            <w:vAlign w:val="bottom"/>
            <w:gridSpan w:val="2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0" w:type="dxa"/>
            <w:vAlign w:val="bottom"/>
            <w:tcBorders>
              <w:top w:val="single" w:sz="8" w:color="auto"/>
            </w:tcBorders>
          </w:tcPr>
          <w:p>
            <w:pPr>
              <w:jc w:val="right"/>
              <w:spacing w:after="0" w:line="182" w:lineRule="exact"/>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10.9</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Registration Rights Agreement dated as of December 18, 2003 by the Operating Partnership, the Company and Taubman Realty Group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Limited Partnership (Registration rights assigned by Taubman to three assignees) (incorporated by reference as an exhibit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Company's 2003 Form 10-K).</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Incidental Registration Rights Agreement dated March 16, 1994 (incorporated by reference as an exhibit to the Company's 1994</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Form 10-K) (Filed in paper - hyperlink is not required pursuant to Rule 105 of Regulation S-T).</w:t>
            </w:r>
          </w:p>
        </w:tc>
        <w:tc>
          <w:tcPr>
            <w:tcW w:w="0" w:type="dxa"/>
            <w:vAlign w:val="bottom"/>
          </w:tcPr>
          <w:p>
            <w:pPr>
              <w:spacing w:after="0"/>
              <w:rPr>
                <w:sz w:val="1"/>
                <w:szCs w:val="1"/>
                <w:color w:val="auto"/>
              </w:rPr>
            </w:pPr>
          </w:p>
        </w:tc>
      </w:tr>
      <w:tr>
        <w:trPr>
          <w:trHeight w:val="441"/>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Form 10-K).</w:t>
              </w:r>
            </w:hyperlink>
          </w:p>
        </w:tc>
        <w:tc>
          <w:tcPr>
            <w:tcW w:w="85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Form 10-K).</w:t>
              </w:r>
            </w:hyperlink>
          </w:p>
        </w:tc>
        <w:tc>
          <w:tcPr>
            <w:tcW w:w="8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Incidental Registration Rights Agreement dated as of December 21, 1995 (incorporated by reference as an exhibit to the Company's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1997 Form 10-K).</w:t>
              </w:r>
            </w:hyperlink>
          </w:p>
        </w:tc>
        <w:tc>
          <w:tcPr>
            <w:tcW w:w="8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Form 10-K).</w:t>
              </w:r>
            </w:hyperlink>
          </w:p>
        </w:tc>
        <w:tc>
          <w:tcPr>
            <w:tcW w:w="864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Redemption, Registration Rights and Lock-Up Agreement dated as of July 24, 1998 between the Company and Harry S. Newman, Jr.</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and LeRoy H. Brettin (incorporated by reference as an exhibit to the Company's 1998 Form 10-K).</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Indemnification Agreement between the Company and its executive officers and directors (incorporated by reference as an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exhibit to the Company's 2008 Form 10-K).</w:t>
              </w:r>
            </w:hyperlink>
          </w:p>
        </w:tc>
        <w:tc>
          <w:tcPr>
            <w:tcW w:w="63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Current Report on Form 8-K, event date July 26,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10.17.1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List of Omitted Registration Rights Agreements (incorporated by reference as an exhibit to the Company's Current Report on Form 8-</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K, event date July 26, 2002).</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Registration Rights Agreement between the Company and 1700480 Ontario Inc. dated as of November 14, 2014 (incorporated by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reference as an exhibit to the Company’s Current Report on Form 8-K, event date November 14, 2014).</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Amended and Restated Credit Agreement, dated as of July 6, 2016, by and among the Company, The Macerich Partnership,</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L.P., Deutsche Bank AG New York Branch, as administrative agent; Deutsche Bank Securities Inc., JPMorgan Chase Bank, N.A.,</w:t>
              </w:r>
            </w:hyperlink>
          </w:p>
        </w:tc>
        <w:tc>
          <w:tcPr>
            <w:tcW w:w="16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Wells Fargo Securities, LLC, Goldman Sachs Bank USA and U.S. Bank National Association, as joint lead arrangers and joint</w:t>
              </w:r>
            </w:hyperlink>
          </w:p>
        </w:tc>
        <w:tc>
          <w:tcPr>
            <w:tcW w:w="100" w:type="dxa"/>
            <w:vAlign w:val="bottom"/>
          </w:tcPr>
          <w:p>
            <w:pPr>
              <w:spacing w:after="0"/>
              <w:rPr>
                <w:sz w:val="12"/>
                <w:szCs w:val="12"/>
                <w:color w:val="auto"/>
              </w:rPr>
            </w:pPr>
          </w:p>
        </w:tc>
        <w:tc>
          <w:tcPr>
            <w:tcW w:w="240" w:type="dxa"/>
            <w:vAlign w:val="bottom"/>
            <w:gridSpan w:val="9"/>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gridSpan w:val="30"/>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bookrunning managers; JPMorgan Chase Bank, N.A., Wells Fargo Bank, National Association, Goldman Sachs Bank USA and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U.S.Bank National Association, N.A. as co-syndication agents, PNC Bank, National Association, as documentation agent, and</w:t>
              </w:r>
            </w:hyperlink>
          </w:p>
        </w:tc>
        <w:tc>
          <w:tcPr>
            <w:tcW w:w="660" w:type="dxa"/>
            <w:vAlign w:val="bottom"/>
            <w:gridSpan w:val="18"/>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various</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top w:val="single" w:sz="8" w:color="0000FF"/>
            </w:tcBorders>
            <w:gridSpan w:val="25"/>
          </w:tcPr>
          <w:p>
            <w:pPr>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lenders party thereto (incorporated by reference as an exhibit to the Company's Current Report on Form 8-K, event date July 6, 2016).</w:t>
              </w:r>
            </w:hyperlink>
          </w:p>
        </w:tc>
        <w:tc>
          <w:tcPr>
            <w:tcW w:w="6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10.20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Guaranty, dated as of July 6, 2016, by the Company in favor of Deutsche Bank AG New York Branch, as administrative agent</w:t>
              </w:r>
            </w:hyperlink>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8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(incorporated by reference as an exhibit to the Company's Current Report on Form 8-K, event date July 6, 2016).</w:t>
              </w:r>
            </w:hyperlink>
          </w:p>
        </w:tc>
        <w:tc>
          <w:tcPr>
            <w:tcW w:w="380" w:type="dxa"/>
            <w:vAlign w:val="bottom"/>
            <w:gridSpan w:val="5"/>
          </w:tcPr>
          <w:p>
            <w:pPr>
              <w:spacing w:after="0"/>
              <w:rPr>
                <w:sz w:val="19"/>
                <w:szCs w:val="19"/>
                <w:color w:val="auto"/>
              </w:rPr>
            </w:pPr>
          </w:p>
        </w:tc>
        <w:tc>
          <w:tcPr>
            <w:tcW w:w="300" w:type="dxa"/>
            <w:vAlign w:val="bottom"/>
            <w:gridSpan w:val="11"/>
          </w:tcPr>
          <w:p>
            <w:pPr>
              <w:spacing w:after="0"/>
              <w:rPr>
                <w:sz w:val="19"/>
                <w:szCs w:val="19"/>
                <w:color w:val="auto"/>
              </w:rPr>
            </w:pP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10.21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April 25, 2005).</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10.22</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2003 Equity Incentive Plan, as amended and restated as of May 26, 2016 (incorporated by reference as an exhibit to the Company's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Current Report on Form 8-K, event date May 26, 2016).</w:t>
              </w:r>
            </w:hyperlink>
          </w:p>
        </w:tc>
        <w:tc>
          <w:tcPr>
            <w:tcW w:w="5400" w:type="dxa"/>
            <w:vAlign w:val="bottom"/>
            <w:tcBorders>
              <w:top w:val="single" w:sz="8" w:color="0000FF"/>
            </w:tcBorders>
            <w:gridSpan w:val="8"/>
          </w:tcPr>
          <w:p>
            <w:pPr>
              <w:spacing w:after="0"/>
              <w:rPr>
                <w:sz w:val="13"/>
                <w:szCs w:val="13"/>
                <w:color w:val="auto"/>
              </w:rPr>
            </w:pPr>
          </w:p>
        </w:tc>
        <w:tc>
          <w:tcPr>
            <w:tcW w:w="3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10"/>
          </w:tcPr>
          <w:p>
            <w:pPr>
              <w:jc w:val="right"/>
              <w:ind w:right="2688"/>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60" w:type="dxa"/>
            <w:vAlign w:val="bottom"/>
            <w:gridSpan w:val="2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gridSpan w:val="2"/>
          </w:tcPr>
          <w:p>
            <w:pPr>
              <w:ind w:left="440"/>
              <w:spacing w:after="0" w:line="182" w:lineRule="exact"/>
              <w:rPr>
                <w:rFonts w:ascii="Times New Roman" w:cs="Times New Roman" w:eastAsia="Times New Roman" w:hAnsi="Times New Roman"/>
                <w:sz w:val="18"/>
                <w:szCs w:val="18"/>
                <w:u w:val="single" w:color="auto"/>
                <w:color w:val="0000FF"/>
                <w:w w:val="96"/>
              </w:rPr>
            </w:pPr>
            <w:hyperlink r:id="rId180">
              <w:r>
                <w:rPr>
                  <w:rFonts w:ascii="Times New Roman" w:cs="Times New Roman" w:eastAsia="Times New Roman" w:hAnsi="Times New Roman"/>
                  <w:sz w:val="18"/>
                  <w:szCs w:val="18"/>
                  <w:u w:val="single" w:color="auto"/>
                  <w:color w:val="0000FF"/>
                  <w:w w:val="96"/>
                </w:rPr>
                <w:t>10.22.1</w:t>
              </w:r>
            </w:hyperlink>
          </w:p>
        </w:tc>
        <w:tc>
          <w:tcPr>
            <w:tcW w:w="20" w:type="dxa"/>
            <w:vAlign w:val="bottom"/>
          </w:tcPr>
          <w:p>
            <w:pPr>
              <w:spacing w:after="0"/>
              <w:rPr>
                <w:sz w:val="15"/>
                <w:szCs w:val="15"/>
                <w:color w:val="auto"/>
              </w:rPr>
            </w:pPr>
          </w:p>
        </w:tc>
        <w:tc>
          <w:tcPr>
            <w:tcW w:w="38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9820" w:type="dxa"/>
            <w:vAlign w:val="bottom"/>
            <w:gridSpan w:val="26"/>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(incorporated by reference as an exhibit to the Company's 2010 Form 10-K).</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1">
              <w:r>
                <w:rPr>
                  <w:rFonts w:ascii="Times New Roman" w:cs="Times New Roman" w:eastAsia="Times New Roman" w:hAnsi="Times New Roman"/>
                  <w:sz w:val="18"/>
                  <w:szCs w:val="18"/>
                  <w:u w:val="single" w:color="auto"/>
                  <w:color w:val="0000FF"/>
                  <w:w w:val="96"/>
                </w:rPr>
                <w:t>10.22.2</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Restricted Stock Award Agreement under 2003 Equity Incentive Plan (incorporated by reference as an exhibit to the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Company's 2008 Form 10-K).</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2">
              <w:r>
                <w:rPr>
                  <w:rFonts w:ascii="Times New Roman" w:cs="Times New Roman" w:eastAsia="Times New Roman" w:hAnsi="Times New Roman"/>
                  <w:sz w:val="18"/>
                  <w:szCs w:val="18"/>
                  <w:u w:val="single" w:color="auto"/>
                  <w:color w:val="0000FF"/>
                  <w:w w:val="96"/>
                </w:rPr>
                <w:t>10.22.3</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Stock Unit Award Agreement under 2003 Equity Incentive Plan (incorporated by reference as an exhibit to the Company's</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2014 Form 10-K).</w:t>
              </w:r>
            </w:hyperlink>
          </w:p>
        </w:tc>
        <w:tc>
          <w:tcPr>
            <w:tcW w:w="812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3">
              <w:r>
                <w:rPr>
                  <w:rFonts w:ascii="Times New Roman" w:cs="Times New Roman" w:eastAsia="Times New Roman" w:hAnsi="Times New Roman"/>
                  <w:sz w:val="18"/>
                  <w:szCs w:val="18"/>
                  <w:u w:val="single" w:color="auto"/>
                  <w:color w:val="0000FF"/>
                  <w:w w:val="96"/>
                </w:rPr>
                <w:t>10.22.4</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Employee Stock Option Agreement under 2003 Equity Incentive Plan (incorporated by reference as an exhibit to the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Company's 2008 Form 10-K).</w:t>
              </w:r>
            </w:hyperlink>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4">
              <w:r>
                <w:rPr>
                  <w:rFonts w:ascii="Times New Roman" w:cs="Times New Roman" w:eastAsia="Times New Roman" w:hAnsi="Times New Roman"/>
                  <w:sz w:val="18"/>
                  <w:szCs w:val="18"/>
                  <w:u w:val="single" w:color="auto"/>
                  <w:color w:val="0000FF"/>
                  <w:w w:val="96"/>
                </w:rPr>
                <w:t>10.22.5</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Non-Qualified Stock Option Grant under 2003 Equity Incentive Plan (incorporated by reference as an exhibit to the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Company's 2008 Form 10-K).</w:t>
              </w:r>
            </w:hyperlink>
          </w:p>
        </w:tc>
        <w:tc>
          <w:tcPr>
            <w:tcW w:w="24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5">
              <w:r>
                <w:rPr>
                  <w:rFonts w:ascii="Times New Roman" w:cs="Times New Roman" w:eastAsia="Times New Roman" w:hAnsi="Times New Roman"/>
                  <w:sz w:val="18"/>
                  <w:szCs w:val="18"/>
                  <w:u w:val="single" w:color="auto"/>
                  <w:color w:val="0000FF"/>
                  <w:w w:val="96"/>
                </w:rPr>
                <w:t>10.22.6</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Restricted Stock Award Agreement for Non-Management Directors (incorporated by reference as an exhibit to the Company's</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2008 Form 10-K).</w:t>
              </w:r>
            </w:hyperlink>
          </w:p>
        </w:tc>
        <w:tc>
          <w:tcPr>
            <w:tcW w:w="84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6">
              <w:r>
                <w:rPr>
                  <w:rFonts w:ascii="Times New Roman" w:cs="Times New Roman" w:eastAsia="Times New Roman" w:hAnsi="Times New Roman"/>
                  <w:sz w:val="18"/>
                  <w:szCs w:val="18"/>
                  <w:u w:val="single" w:color="auto"/>
                  <w:color w:val="0000FF"/>
                  <w:w w:val="96"/>
                </w:rPr>
                <w:t>10.22.7</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Stock Unit Award Agreement under 2003 Equity Incentive Plan for Non-Employee Directors (incorporated by reference as an</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exhibit to the Company's 2015 Form 10-K).</w:t>
              </w:r>
            </w:hyperlink>
          </w:p>
        </w:tc>
        <w:tc>
          <w:tcPr>
            <w:tcW w:w="65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7">
              <w:r>
                <w:rPr>
                  <w:rFonts w:ascii="Times New Roman" w:cs="Times New Roman" w:eastAsia="Times New Roman" w:hAnsi="Times New Roman"/>
                  <w:sz w:val="18"/>
                  <w:szCs w:val="18"/>
                  <w:u w:val="single" w:color="auto"/>
                  <w:color w:val="0000FF"/>
                  <w:w w:val="96"/>
                </w:rPr>
                <w:t>10.22.8</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Stock Appreciation Right under 2003 Equity Incentive Plan (incorporated by reference as an exhibit to the Company's 2008</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Form 10-K).</w:t>
              </w:r>
            </w:hyperlink>
          </w:p>
        </w:tc>
        <w:tc>
          <w:tcPr>
            <w:tcW w:w="86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88">
              <w:r>
                <w:rPr>
                  <w:rFonts w:ascii="Times New Roman" w:cs="Times New Roman" w:eastAsia="Times New Roman" w:hAnsi="Times New Roman"/>
                  <w:sz w:val="18"/>
                  <w:szCs w:val="18"/>
                  <w:u w:val="single" w:color="auto"/>
                  <w:color w:val="0000FF"/>
                  <w:w w:val="96"/>
                </w:rPr>
                <w:t>10.22.9</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LTIP Unit Award Agreement under 2003 Equity Incentive Plan (service-based) (incorporated by reference as an exhibit to the</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Company's Quarterly Report on Form 10-Q for the quarter ended March 31, 2019).</w:t>
              </w:r>
            </w:hyperlink>
          </w:p>
        </w:tc>
        <w:tc>
          <w:tcPr>
            <w:tcW w:w="36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10.22.10</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LTIP Unit Award Agreement under 2003 Equity Incentive Plan (performance-based) (incorporated by reference as an exhibit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to the Company's Quarterly Report on Form 10-Q for the quarter ended March 31, 2020).</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10.22.11</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LTIP Unit Award Agreement under 2003 Equity Incentive Plan (fully-vested) (incorporated by reference as an exhibit to the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Company’s Quarterly Report on Form 10-Q for the quarter ended March 31, 2014).</w:t>
              </w:r>
            </w:hyperlink>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10.23</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Amendment and Restatement of the Employee Stock Purchase Plan (as amended and restated as of June 1, 2013) (incorporated by</w:t>
              </w:r>
            </w:hyperlink>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tcBorders>
              <w:top w:val="single" w:sz="8" w:color="0000FF"/>
            </w:tcBorders>
            <w:gridSpan w:val="15"/>
          </w:tcPr>
          <w:p>
            <w:pPr>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reference as an exhibit to the Company's Quarterly Report on Form 10-Q for the quarter ended June 30, 2013).</w:t>
              </w:r>
            </w:hyperlink>
          </w:p>
        </w:tc>
        <w:tc>
          <w:tcPr>
            <w:tcW w:w="320" w:type="dxa"/>
            <w:vAlign w:val="bottom"/>
            <w:gridSpan w:val="7"/>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00" w:type="dxa"/>
            <w:vAlign w:val="bottom"/>
            <w:gridSpan w:val="3"/>
          </w:tcPr>
          <w:p>
            <w:pPr>
              <w:ind w:left="440"/>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23.1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First Amendment to Amended and Restated Employee Stock Purchase Plan (October 23, 2014) (incorporated by reference as an exhibit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to the Company’s Quarterly Report on Form 10-Q for the quarter ended September 30, 2014).</w:t>
              </w:r>
            </w:hyperlink>
          </w:p>
        </w:tc>
        <w:tc>
          <w:tcPr>
            <w:tcW w:w="302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gridSpan w:val="2"/>
          </w:tcPr>
          <w:p>
            <w:pPr>
              <w:ind w:left="440"/>
              <w:spacing w:after="0"/>
              <w:rPr>
                <w:rFonts w:ascii="Times New Roman" w:cs="Times New Roman" w:eastAsia="Times New Roman" w:hAnsi="Times New Roman"/>
                <w:sz w:val="18"/>
                <w:szCs w:val="18"/>
                <w:u w:val="single" w:color="auto"/>
                <w:color w:val="0000FF"/>
                <w:w w:val="96"/>
              </w:rPr>
            </w:pPr>
            <w:hyperlink r:id="rId193">
              <w:r>
                <w:rPr>
                  <w:rFonts w:ascii="Times New Roman" w:cs="Times New Roman" w:eastAsia="Times New Roman" w:hAnsi="Times New Roman"/>
                  <w:sz w:val="18"/>
                  <w:szCs w:val="18"/>
                  <w:u w:val="single" w:color="auto"/>
                  <w:color w:val="0000FF"/>
                  <w:w w:val="96"/>
                </w:rPr>
                <w:t>10.23.2</w:t>
              </w:r>
            </w:hyperlink>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Second Amendment to Amended and Restated Employee Stock Purchase Plan (July 25, 2019) (incorporated by reference as an exhibit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to the Company’s Quarterly Report on Form 10-Q for the quarter ended June 30, 2019).</w:t>
              </w:r>
            </w:hyperlink>
          </w:p>
        </w:tc>
        <w:tc>
          <w:tcPr>
            <w:tcW w:w="3380" w:type="dxa"/>
            <w:vAlign w:val="bottom"/>
            <w:tcBorders>
              <w:top w:val="single" w:sz="8" w:color="0000FF"/>
            </w:tcBorders>
            <w:gridSpan w:val="14"/>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3"/>
          </w:tcPr>
          <w:p>
            <w:pPr>
              <w:jc w:val="right"/>
              <w:ind w:right="2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10.24</w:t>
              </w:r>
            </w:hyperlink>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Change in Control Severance Pay Plan for Executive Vice Presidents (incorporated by reference as an exhibit to the Company’s</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Quarterly Report on Form 10-Q for the quarter ended March 31, 2019).</w:t>
              </w:r>
            </w:hyperlink>
          </w:p>
        </w:tc>
        <w:tc>
          <w:tcPr>
            <w:tcW w:w="6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60" w:type="dxa"/>
            <w:vAlign w:val="bottom"/>
            <w:gridSpan w:val="16"/>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36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0" w:type="dxa"/>
            <w:vAlign w:val="bottom"/>
            <w:gridSpan w:val="4"/>
          </w:tcPr>
          <w:p>
            <w:pPr>
              <w:jc w:val="right"/>
              <w:ind w:right="20"/>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25</w:t>
            </w:r>
          </w:p>
        </w:tc>
        <w:tc>
          <w:tcPr>
            <w:tcW w:w="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9820" w:type="dxa"/>
            <w:vAlign w:val="bottom"/>
            <w:gridSpan w:val="17"/>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Change in Control Severance Pay Plan for Senior Executives (incorporated by reference as an exhibit to the Company's Quarterly</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Report on Form 10-Q for the quarter ended September 30, 2017).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10.26</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Change in Control Agreement between the Company and Ann C. Menard, effective February 24, 2018 (incorporated by reference as an</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exhibit to the Company’s Quarterly Report on Form 10-Q for the quarter ended March 31, 2018).</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9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27</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Offer of Employment between the Company and Ann C. Menard, effective April 30, 2018 (incorporated by</w:t>
              </w:r>
            </w:hyperlink>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reference as an exhibit to the Company’s Quarterly Report on Form 10-Q for the quarter ended March 31, 2018).</w:t>
              </w:r>
            </w:hyperlink>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27.1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to Amended and Restated Offer of Employment between the Company and Ann C. Menard, effective January 1,</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2020) (incorporated by reference as an exhibit to the Company’s Quarterly Report on Form 10-Q for the quarter ended September</w:t>
              </w:r>
            </w:hyperlink>
          </w:p>
        </w:tc>
        <w:tc>
          <w:tcPr>
            <w:tcW w:w="220" w:type="dxa"/>
            <w:vAlign w:val="bottom"/>
            <w:tcBorders>
              <w:bottom w:val="single" w:sz="8" w:color="0000FF"/>
            </w:tcBorders>
            <w:gridSpan w:val="3"/>
          </w:tcPr>
          <w:p>
            <w:pPr>
              <w:jc w:val="right"/>
              <w:spacing w:after="0" w:line="156" w:lineRule="exact"/>
              <w:rPr>
                <w:rFonts w:ascii="Times New Roman" w:cs="Times New Roman" w:eastAsia="Times New Roman" w:hAnsi="Times New Roman"/>
                <w:sz w:val="18"/>
                <w:szCs w:val="18"/>
                <w:color w:val="0000FF"/>
                <w:w w:val="88"/>
              </w:rPr>
            </w:pPr>
            <w:hyperlink r:id="rId199">
              <w:r>
                <w:rPr>
                  <w:rFonts w:ascii="Times New Roman" w:cs="Times New Roman" w:eastAsia="Times New Roman" w:hAnsi="Times New Roman"/>
                  <w:sz w:val="18"/>
                  <w:szCs w:val="18"/>
                  <w:color w:val="0000FF"/>
                  <w:w w:val="88"/>
                </w:rPr>
                <w:t>30,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99">
              <w:r>
                <w:rPr>
                  <w:rFonts w:ascii="Times New Roman" w:cs="Times New Roman" w:eastAsia="Times New Roman" w:hAnsi="Times New Roman"/>
                  <w:sz w:val="18"/>
                  <w:szCs w:val="18"/>
                  <w:color w:val="0000FF"/>
                  <w:w w:val="94"/>
                </w:rPr>
                <w:t>2019).</w:t>
              </w:r>
            </w:hyperlink>
          </w:p>
        </w:tc>
        <w:tc>
          <w:tcPr>
            <w:tcW w:w="4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Employment Agreement between the Company and Thomas E. O’Hern, effective April 26, 2018 (incorporated by reference as an</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exhibit to the Company’s Quarterly Report on Form 10-Q for the quarter ended March 31, 2018).</w:t>
              </w:r>
            </w:hyperlink>
          </w:p>
        </w:tc>
        <w:tc>
          <w:tcPr>
            <w:tcW w:w="8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00" w:type="dxa"/>
            <w:vAlign w:val="bottom"/>
            <w:gridSpan w:val="4"/>
          </w:tcPr>
          <w:p>
            <w:pPr>
              <w:jc w:val="right"/>
              <w:ind w:right="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28.1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First Amendment to Employment Agreement between the Company and Thomas E. O’Hern, effective January 1, 2020 (First</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Amendment to Employment Agreement between the Company and Thomas E. O’Hern, effective January 1, 2020 (incorporated</w:t>
              </w:r>
            </w:hyperlink>
          </w:p>
        </w:tc>
        <w:tc>
          <w:tcPr>
            <w:tcW w:w="840" w:type="dxa"/>
            <w:vAlign w:val="bottom"/>
            <w:gridSpan w:val="10"/>
          </w:tcPr>
          <w:p>
            <w:pPr>
              <w:ind w:left="260"/>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2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reference as an exhibit to the Company’s Quarterly Report on Form 10-Q for the quarter ended September 30, 2019).</w:t>
              </w:r>
            </w:hyperlink>
          </w:p>
        </w:tc>
        <w:tc>
          <w:tcPr>
            <w:tcW w:w="2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10.29</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Employment Agreement between the Company and William P. Voegele, effective September 1, 2019 (incorporated by reference as an</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to the Company’s Quarterly Report on Form 10-Q for the quarter ended September 30, 2019).</w:t>
              </w:r>
            </w:hyperlink>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10.30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2005 Amended and Restated Agreement of Limited Partnership of MACWH, LP dated as of April 25, 2005 (incorporated by reference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as an exhibit to the Company's Current Report on Form 8-K, event date April 25, 2005).</w:t>
              </w:r>
            </w:hyperlink>
          </w:p>
        </w:tc>
        <w:tc>
          <w:tcPr>
            <w:tcW w:w="336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10.31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Registration Rights Agreement dated as of April 25, 2005 among the Company and the persons names on Exhibit A thereto</w:t>
              </w:r>
            </w:hyperlink>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tcBorders>
              <w:top w:val="single" w:sz="8" w:color="0000FF"/>
            </w:tcBorders>
            <w:gridSpan w:val="6"/>
          </w:tcPr>
          <w:p>
            <w:pPr>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(incorporated by reference as an exhibit to the Company's Current Report on Form 8-K, event date April 25, 2005).</w:t>
              </w:r>
            </w:hyperlink>
          </w:p>
        </w:tc>
        <w:tc>
          <w:tcPr>
            <w:tcW w:w="9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21.1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List of Subsidiaries</w:t>
              </w:r>
            </w:hyperlink>
          </w:p>
        </w:tc>
        <w:tc>
          <w:tcPr>
            <w:tcW w:w="0" w:type="dxa"/>
            <w:vAlign w:val="bottom"/>
          </w:tcPr>
          <w:p>
            <w:pPr>
              <w:spacing w:after="0"/>
              <w:rPr>
                <w:sz w:val="1"/>
                <w:szCs w:val="1"/>
                <w:color w:val="auto"/>
              </w:rPr>
            </w:pPr>
          </w:p>
        </w:tc>
      </w:tr>
      <w:tr>
        <w:trPr>
          <w:trHeight w:val="500"/>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23.1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Consent of Independent Registered Public Accounting Firm (KPMG LLP)</w:t>
              </w:r>
            </w:hyperlink>
          </w:p>
        </w:tc>
        <w:tc>
          <w:tcPr>
            <w:tcW w:w="0" w:type="dxa"/>
            <w:vAlign w:val="bottom"/>
          </w:tcPr>
          <w:p>
            <w:pPr>
              <w:spacing w:after="0"/>
              <w:rPr>
                <w:sz w:val="1"/>
                <w:szCs w:val="1"/>
                <w:color w:val="auto"/>
              </w:rPr>
            </w:pPr>
          </w:p>
        </w:tc>
      </w:tr>
      <w:tr>
        <w:trPr>
          <w:trHeight w:val="486"/>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31.1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Section 302 Certification of Thomas E. O'Hern, Chief Executive Officer and Director</w:t>
              </w:r>
            </w:hyperlink>
          </w:p>
        </w:tc>
        <w:tc>
          <w:tcPr>
            <w:tcW w:w="0" w:type="dxa"/>
            <w:vAlign w:val="bottom"/>
          </w:tcPr>
          <w:p>
            <w:pPr>
              <w:spacing w:after="0"/>
              <w:rPr>
                <w:sz w:val="1"/>
                <w:szCs w:val="1"/>
                <w:color w:val="auto"/>
              </w:rPr>
            </w:pPr>
          </w:p>
        </w:tc>
      </w:tr>
      <w:tr>
        <w:trPr>
          <w:trHeight w:val="486"/>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31.2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Section 302 Certification of Scott W. Kingsmore, Chief Financial Officer</w:t>
              </w:r>
            </w:hyperlink>
          </w:p>
        </w:tc>
        <w:tc>
          <w:tcPr>
            <w:tcW w:w="0" w:type="dxa"/>
            <w:vAlign w:val="bottom"/>
          </w:tcPr>
          <w:p>
            <w:pPr>
              <w:spacing w:after="0"/>
              <w:rPr>
                <w:sz w:val="1"/>
                <w:szCs w:val="1"/>
                <w:color w:val="auto"/>
              </w:rPr>
            </w:pPr>
          </w:p>
        </w:tc>
      </w:tr>
      <w:tr>
        <w:trPr>
          <w:trHeight w:val="486"/>
        </w:trPr>
        <w:tc>
          <w:tcPr>
            <w:tcW w:w="1000" w:type="dxa"/>
            <w:vAlign w:val="bottom"/>
            <w:gridSpan w:val="4"/>
          </w:tcPr>
          <w:p>
            <w:pPr>
              <w:jc w:val="right"/>
              <w:ind w:right="20"/>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32.1</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Section 906 Certifications of Thomas E. O'Hern and Scott W. Kingsmore</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2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81"/>
        </w:trPr>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86"/>
        </w:trPr>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400" w:right="360" w:hanging="681"/>
        <w:spacing w:after="0" w:line="237" w:lineRule="auto"/>
        <w:tabs>
          <w:tab w:leader="none" w:pos="14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a management contract, or compensatory plan, contract or arrangement required to be filed pursuant to Regulation S-K.</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6" w:right="35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24, 2021.</w:t>
      </w:r>
    </w:p>
    <w:p>
      <w:pPr>
        <w:spacing w:after="0" w:line="1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43" w:lineRule="exact"/>
        <w:rPr>
          <w:sz w:val="20"/>
          <w:szCs w:val="20"/>
          <w:color w:val="auto"/>
        </w:rPr>
      </w:pPr>
    </w:p>
    <w:tbl>
      <w:tblPr>
        <w:tblLayout w:type="fixed"/>
        <w:tblInd w:w="5120" w:type="dxa"/>
        <w:tblCellMar>
          <w:top w:w="0" w:type="dxa"/>
          <w:left w:w="0" w:type="dxa"/>
          <w:bottom w:w="0" w:type="dxa"/>
          <w:right w:w="0" w:type="dxa"/>
        </w:tblCellMar>
      </w:tblPr>
      <w:tr>
        <w:trPr>
          <w:trHeight w:val="27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O'HERN</w:t>
            </w:r>
          </w:p>
        </w:tc>
      </w:tr>
      <w:tr>
        <w:trPr>
          <w:trHeight w:val="216"/>
        </w:trPr>
        <w:tc>
          <w:tcPr>
            <w:tcW w:w="9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 O'Hern</w:t>
            </w:r>
          </w:p>
        </w:tc>
      </w:tr>
      <w:tr>
        <w:trPr>
          <w:trHeight w:val="236"/>
        </w:trPr>
        <w:tc>
          <w:tcPr>
            <w:tcW w:w="9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20" w:name="page121"/>
    <w:bookmarkEnd w:id="120"/>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00"/>
          </w:cols>
          <w:pgMar w:left="320" w:top="1039" w:right="679" w:bottom="1440" w:gutter="0" w:footer="0" w:header="0"/>
        </w:sectPr>
      </w:pPr>
    </w:p>
    <w:p>
      <w:pPr>
        <w:spacing w:after="0" w:line="358" w:lineRule="exact"/>
        <w:rPr>
          <w:sz w:val="20"/>
          <w:szCs w:val="20"/>
          <w:color w:val="auto"/>
        </w:rPr>
      </w:pPr>
    </w:p>
    <w:p>
      <w:pPr>
        <w:ind w:left="1740"/>
        <w:spacing w:after="0"/>
        <w:tabs>
          <w:tab w:leader="none" w:pos="62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Capacity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00" w:lineRule="exact"/>
        <w:rPr>
          <w:sz w:val="20"/>
          <w:szCs w:val="20"/>
          <w:color w:val="auto"/>
        </w:rPr>
      </w:pPr>
    </w:p>
    <w:p>
      <w:pPr>
        <w:sectPr>
          <w:pgSz w:w="11900" w:h="16838" w:orient="portrait"/>
          <w:cols w:equalWidth="0" w:num="2">
            <w:col w:w="9200" w:space="720"/>
            <w:col w:w="980"/>
          </w:cols>
          <w:pgMar w:left="320" w:top="1039" w:right="679" w:bottom="1440" w:gutter="0" w:footer="0" w:header="0"/>
          <w:type w:val="continuous"/>
        </w:sectPr>
      </w:pPr>
    </w:p>
    <w:p>
      <w:pPr>
        <w:spacing w:after="0" w:line="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Thomas E. O'Hern</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EDWARD C.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Edward C. Coppola</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PEGGY ALFORD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Peggy Alford</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JOHN H. ALSCHULER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John H. Alschuler</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ERIC K.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Eric K. Brandt</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Steven R. Hash</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Daniel J. Hirsch</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Diana M. Laing</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STEVEN L. SOBOROFF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Steven L. Soboroff</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Andrea M. Stephen</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Scott W. Kingsmore</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71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Christopher J. Zecchini</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Board of Directors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Senior Executive Vice President, Treasurer and Chief Financial Officer (Principal Financial Officer)</w:t>
      </w:r>
    </w:p>
    <w:p>
      <w:pPr>
        <w:spacing w:after="0" w:line="29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480" w:lineRule="exact"/>
        <w:rPr>
          <w:sz w:val="20"/>
          <w:szCs w:val="20"/>
          <w:color w:val="auto"/>
        </w:rPr>
      </w:pPr>
    </w:p>
    <w:p>
      <w:pPr>
        <w:sectPr>
          <w:pgSz w:w="11900" w:h="16838" w:orient="portrait"/>
          <w:cols w:equalWidth="0" w:num="3">
            <w:col w:w="3460" w:space="720"/>
            <w:col w:w="4560" w:space="660"/>
            <w:col w:w="1500"/>
          </w:cols>
          <w:pgMar w:left="320" w:top="1039"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00"/>
          </w:cols>
          <w:pgMar w:left="320" w:top="1039" w:right="67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SUBSIDIARIES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443 WABASH MA OWNER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801-GALLERY ASSOCIATES, L.P., a Pennsylvania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801-GALLERY C-3 ASSOCIATES,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801-GALLERY GP, LLC, a Pennsylvania limited liability company</w:t>
      </w:r>
    </w:p>
    <w:p>
      <w:pPr>
        <w:spacing w:after="0" w:line="108" w:lineRule="exact"/>
        <w:rPr>
          <w:sz w:val="20"/>
          <w:szCs w:val="20"/>
          <w:color w:val="auto"/>
        </w:rPr>
      </w:pPr>
    </w:p>
    <w:p>
      <w:pPr>
        <w:ind w:right="5300"/>
        <w:spacing w:after="0" w:line="352" w:lineRule="auto"/>
        <w:rPr>
          <w:sz w:val="20"/>
          <w:szCs w:val="20"/>
          <w:color w:val="auto"/>
        </w:rPr>
      </w:pPr>
      <w:r>
        <w:rPr>
          <w:rFonts w:ascii="Times New Roman" w:cs="Times New Roman" w:eastAsia="Times New Roman" w:hAnsi="Times New Roman"/>
          <w:sz w:val="20"/>
          <w:szCs w:val="20"/>
          <w:color w:val="auto"/>
        </w:rPr>
        <w:t>801 MARKET VENTURE GP LLC, a Delaware limited liability company AM TYSONS LLC, a Delaware limited liability company</w:t>
      </w:r>
    </w:p>
    <w:p>
      <w:pPr>
        <w:spacing w:after="0"/>
        <w:rPr>
          <w:sz w:val="20"/>
          <w:szCs w:val="20"/>
          <w:color w:val="auto"/>
        </w:rPr>
      </w:pPr>
      <w:r>
        <w:rPr>
          <w:rFonts w:ascii="Times New Roman" w:cs="Times New Roman" w:eastAsia="Times New Roman" w:hAnsi="Times New Roman"/>
          <w:sz w:val="20"/>
          <w:szCs w:val="20"/>
          <w:color w:val="auto"/>
        </w:rPr>
        <w:t>BILTMORE SHOPPING CENTER PARTNERS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BROOKLYN KINGS PLAZA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CAM-CARSON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COOLIDGE HOLDING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CORTE MADERA VILLAGE,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COUNTRY CLUB PLAZA KC PARTNERS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DANBURY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DESERT SKY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EAST MESA ADJACENT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EAST MESA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FASHION OUTLETS II LLC, a Delaware limited liability company</w:t>
      </w:r>
    </w:p>
    <w:p>
      <w:pPr>
        <w:spacing w:after="0" w:line="108" w:lineRule="exact"/>
        <w:rPr>
          <w:sz w:val="20"/>
          <w:szCs w:val="20"/>
          <w:color w:val="auto"/>
        </w:rPr>
      </w:pPr>
    </w:p>
    <w:p>
      <w:pPr>
        <w:ind w:right="3580"/>
        <w:spacing w:after="0" w:line="345" w:lineRule="auto"/>
        <w:rPr>
          <w:sz w:val="20"/>
          <w:szCs w:val="20"/>
          <w:color w:val="auto"/>
        </w:rPr>
      </w:pPr>
      <w:r>
        <w:rPr>
          <w:rFonts w:ascii="Times New Roman" w:cs="Times New Roman" w:eastAsia="Times New Roman" w:hAnsi="Times New Roman"/>
          <w:sz w:val="20"/>
          <w:szCs w:val="20"/>
          <w:color w:val="auto"/>
        </w:rPr>
        <w:t>FASHION OUTLETS OF CHICAGO EXPANSION LLC, a Delaware limited liability company FASHION OUTLETS OF CHICAGO LLC, a Delaware limited liability company</w:t>
      </w:r>
    </w:p>
    <w:p>
      <w:pPr>
        <w:spacing w:after="0"/>
        <w:rPr>
          <w:sz w:val="20"/>
          <w:szCs w:val="20"/>
          <w:color w:val="auto"/>
        </w:rPr>
      </w:pPr>
      <w:r>
        <w:rPr>
          <w:rFonts w:ascii="Times New Roman" w:cs="Times New Roman" w:eastAsia="Times New Roman" w:hAnsi="Times New Roman"/>
          <w:sz w:val="20"/>
          <w:szCs w:val="20"/>
          <w:color w:val="auto"/>
        </w:rPr>
        <w:t>FIFTH WALL VENTURES, L.P., a Delaware limited partnership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FIFTH WALL VENTURES II, L.P., a Cayman Islands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FIFTH WALL VENTURES RETAIL FUND,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FOC ADJACENT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 RACE MALL REST., L.P., a New Jersey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FREEHOLD CHANDLER HOLDINGS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GOODYEAR PERIPHERAL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 ACRES ADJACENT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HPP-MAC WSP, LLC, a Delaware limited liability company</w:t>
      </w:r>
    </w:p>
    <w:p>
      <w:pPr>
        <w:spacing w:after="0" w:line="108" w:lineRule="exact"/>
        <w:rPr>
          <w:sz w:val="20"/>
          <w:szCs w:val="20"/>
          <w:color w:val="auto"/>
        </w:rPr>
      </w:pPr>
    </w:p>
    <w:p>
      <w:pPr>
        <w:ind w:right="4360"/>
        <w:spacing w:after="0" w:line="331" w:lineRule="auto"/>
        <w:rPr>
          <w:sz w:val="20"/>
          <w:szCs w:val="20"/>
          <w:color w:val="auto"/>
        </w:rPr>
      </w:pPr>
      <w:r>
        <w:rPr>
          <w:rFonts w:ascii="Times New Roman" w:cs="Times New Roman" w:eastAsia="Times New Roman" w:hAnsi="Times New Roman"/>
          <w:sz w:val="20"/>
          <w:szCs w:val="20"/>
          <w:color w:val="auto"/>
        </w:rPr>
        <w:t>KIERLAND COMMONS INVESTMENT LLC, a Delaware limited liability company KINGS PLAZA ENERGY LLC, a Delaware limited liability company</w:t>
      </w:r>
    </w:p>
    <w:p>
      <w:pPr>
        <w:ind w:right="4300"/>
        <w:spacing w:after="0" w:line="399" w:lineRule="auto"/>
        <w:rPr>
          <w:sz w:val="20"/>
          <w:szCs w:val="20"/>
          <w:color w:val="auto"/>
        </w:rPr>
      </w:pPr>
      <w:r>
        <w:rPr>
          <w:rFonts w:ascii="Times New Roman" w:cs="Times New Roman" w:eastAsia="Times New Roman" w:hAnsi="Times New Roman"/>
          <w:sz w:val="19"/>
          <w:szCs w:val="19"/>
          <w:color w:val="auto"/>
        </w:rPr>
        <w:t>KINGS PLAZA GROUND LEASE LLC, a Delaware limited liability company MACERICH ARIZONA MANAGEMENT LLC, a Delaware limited liability company</w:t>
      </w:r>
    </w:p>
    <w:p>
      <w:pPr>
        <w:sectPr>
          <w:pgSz w:w="11900" w:h="16838" w:orient="portrait"/>
          <w:cols w:equalWidth="0" w:num="1">
            <w:col w:w="11240"/>
          </w:cols>
          <w:pgMar w:left="320" w:top="1409" w:right="339" w:bottom="1440" w:gutter="0" w:footer="0" w:header="0"/>
        </w:sectPr>
      </w:pPr>
    </w:p>
    <w:bookmarkStart w:id="122" w:name="page123"/>
    <w:bookmarkEnd w:id="12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ARIZONA PARTNERS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BUENAVENTURA LIMITED PARTNERSHIP, a California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FARGO ASSOCIATES, a California general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FRESNO ADJACENT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FRESNO LIMITED PARTNERSHIP, a California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HHF BROADWAY PLAZA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HHF CENTERS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HOLDINGS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INLAND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INVESTMENTS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JANSS MARKETPLACE HOLDINGS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LA CUMBRE 9.45 AC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LA CUMBRE GP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LA CUMBRE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MANAGEMENT COMPANY, a California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NIAGARA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NORTH PARK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OAKS LP, a Delaware limited partnership</w:t>
      </w:r>
    </w:p>
    <w:p>
      <w:pPr>
        <w:spacing w:after="0" w:line="108" w:lineRule="exact"/>
        <w:rPr>
          <w:sz w:val="20"/>
          <w:szCs w:val="20"/>
          <w:color w:val="auto"/>
        </w:rPr>
      </w:pPr>
    </w:p>
    <w:p>
      <w:pPr>
        <w:ind w:right="3159"/>
        <w:spacing w:after="0" w:line="352" w:lineRule="auto"/>
        <w:rPr>
          <w:sz w:val="20"/>
          <w:szCs w:val="20"/>
          <w:color w:val="auto"/>
        </w:rPr>
      </w:pPr>
      <w:r>
        <w:rPr>
          <w:rFonts w:ascii="Times New Roman" w:cs="Times New Roman" w:eastAsia="Times New Roman" w:hAnsi="Times New Roman"/>
          <w:sz w:val="20"/>
          <w:szCs w:val="20"/>
          <w:color w:val="auto"/>
        </w:rPr>
        <w:t>MACERICH PARTNERS OF COLORADO LLC, a Colorado limited liability company MACERICH PPR CORP., a Maryland corporation</w:t>
      </w:r>
    </w:p>
    <w:p>
      <w:pPr>
        <w:ind w:right="2039"/>
        <w:spacing w:after="0" w:line="352" w:lineRule="auto"/>
        <w:rPr>
          <w:sz w:val="20"/>
          <w:szCs w:val="20"/>
          <w:color w:val="auto"/>
        </w:rPr>
      </w:pPr>
      <w:r>
        <w:rPr>
          <w:rFonts w:ascii="Times New Roman" w:cs="Times New Roman" w:eastAsia="Times New Roman" w:hAnsi="Times New Roman"/>
          <w:sz w:val="20"/>
          <w:szCs w:val="20"/>
          <w:color w:val="auto"/>
        </w:rPr>
        <w:t>MACERICH PROPERTY MANAGEMENT COMPANY, LLC, a Delaware limited liability company MACERICH SMP LP, a Delaware limited partnership</w:t>
      </w:r>
    </w:p>
    <w:p>
      <w:pPr>
        <w:spacing w:after="0"/>
        <w:rPr>
          <w:sz w:val="20"/>
          <w:szCs w:val="20"/>
          <w:color w:val="auto"/>
        </w:rPr>
      </w:pPr>
      <w:r>
        <w:rPr>
          <w:rFonts w:ascii="Times New Roman" w:cs="Times New Roman" w:eastAsia="Times New Roman" w:hAnsi="Times New Roman"/>
          <w:sz w:val="20"/>
          <w:szCs w:val="20"/>
          <w:color w:val="auto"/>
        </w:rPr>
        <w:t>MACERICH SOUTH PARK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SOUTHRIDGE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STONEWOOD CORP., a Delaware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MACERICH TYSONS LLC, a Delaware limited liability company</w:t>
      </w:r>
    </w:p>
    <w:p>
      <w:pPr>
        <w:spacing w:after="0" w:line="108" w:lineRule="exact"/>
        <w:rPr>
          <w:sz w:val="20"/>
          <w:szCs w:val="20"/>
          <w:color w:val="auto"/>
        </w:rPr>
      </w:pPr>
    </w:p>
    <w:p>
      <w:pPr>
        <w:ind w:right="3339"/>
        <w:spacing w:after="0" w:line="352" w:lineRule="auto"/>
        <w:rPr>
          <w:sz w:val="20"/>
          <w:szCs w:val="20"/>
          <w:color w:val="auto"/>
        </w:rPr>
      </w:pPr>
      <w:r>
        <w:rPr>
          <w:rFonts w:ascii="Times New Roman" w:cs="Times New Roman" w:eastAsia="Times New Roman" w:hAnsi="Times New Roman"/>
          <w:sz w:val="20"/>
          <w:szCs w:val="20"/>
          <w:color w:val="auto"/>
        </w:rPr>
        <w:t>MACERICH VALLEY RIVER CENTER LLC, a Delaware limited liability company MACERICH VICTOR VALLEY LP, a Delaware limited partnership</w:t>
      </w:r>
    </w:p>
    <w:p>
      <w:pPr>
        <w:spacing w:after="0"/>
        <w:rPr>
          <w:sz w:val="20"/>
          <w:szCs w:val="20"/>
          <w:color w:val="auto"/>
        </w:rPr>
      </w:pPr>
      <w:r>
        <w:rPr>
          <w:rFonts w:ascii="Times New Roman" w:cs="Times New Roman" w:eastAsia="Times New Roman" w:hAnsi="Times New Roman"/>
          <w:sz w:val="20"/>
          <w:szCs w:val="20"/>
          <w:color w:val="auto"/>
        </w:rPr>
        <w:t>MACERICH VINTAGE FAIRE LIMITED PARTNERSHIP,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MACJ,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MACPT LLC, a Delaware limited liability company</w:t>
      </w:r>
    </w:p>
    <w:p>
      <w:pPr>
        <w:spacing w:after="0" w:line="108" w:lineRule="exact"/>
        <w:rPr>
          <w:sz w:val="20"/>
          <w:szCs w:val="20"/>
          <w:color w:val="auto"/>
        </w:rPr>
      </w:pPr>
    </w:p>
    <w:p>
      <w:pPr>
        <w:ind w:right="4899"/>
        <w:spacing w:after="0" w:line="352" w:lineRule="auto"/>
        <w:rPr>
          <w:sz w:val="20"/>
          <w:szCs w:val="20"/>
          <w:color w:val="auto"/>
        </w:rPr>
      </w:pPr>
      <w:r>
        <w:rPr>
          <w:rFonts w:ascii="Times New Roman" w:cs="Times New Roman" w:eastAsia="Times New Roman" w:hAnsi="Times New Roman"/>
          <w:sz w:val="20"/>
          <w:szCs w:val="20"/>
          <w:color w:val="auto"/>
        </w:rPr>
        <w:t>MACW FREEHOLD, LLC, a Delaware limited liability company MACWH, LP, a Delaware limited partnership</w:t>
      </w:r>
    </w:p>
    <w:p>
      <w:pPr>
        <w:spacing w:after="0"/>
        <w:rPr>
          <w:sz w:val="20"/>
          <w:szCs w:val="20"/>
          <w:color w:val="auto"/>
        </w:rPr>
      </w:pPr>
      <w:r>
        <w:rPr>
          <w:rFonts w:ascii="Times New Roman" w:cs="Times New Roman" w:eastAsia="Times New Roman" w:hAnsi="Times New Roman"/>
          <w:sz w:val="20"/>
          <w:szCs w:val="20"/>
          <w:color w:val="auto"/>
        </w:rPr>
        <w:t>MACW MALL MANAGEMENT, INC., a New York corporation</w:t>
      </w:r>
    </w:p>
    <w:p>
      <w:pPr>
        <w:sectPr>
          <w:pgSz w:w="11900" w:h="16838" w:orient="portrait"/>
          <w:cols w:equalWidth="0" w:num="1">
            <w:col w:w="10139"/>
          </w:cols>
          <w:pgMar w:left="320" w:top="1440" w:right="1440" w:bottom="1440" w:gutter="0" w:footer="0" w:header="0"/>
        </w:sectPr>
      </w:pPr>
    </w:p>
    <w:bookmarkStart w:id="123" w:name="page124"/>
    <w:bookmarkEnd w:id="123"/>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MACW PROPERTY MANAGEMENT, LLC, a New York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MACW TYSONS,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 PORTFOLIO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MVRC HOLDING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MW INVESTMENT GP CORP., a Delaware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RIVER ASSOCIATES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 BRIDGE CHICAGO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SCOTTSDALE INVESTORS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PACIFIC PREMIER RETAIL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PARADISE VALLEY MALL SPE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PM GALLERY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PROPCOR II ASSOCIATES,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QUEENS CENTER REIT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QUEENS CENTER SPE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RAILHEAD ASSOCIATES,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SCOTTSDALE FASHION SQUARE PARTNERSHIP, an Arizona general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 EASTLAND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 VALLEY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MACERICH PARTNERSHIP, L.P., a Delaware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WESTCOR COMPANY LIMITED PARTNERSHIP, an Arizona limited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II LIMITED PARTNERSHIP, an Arizona limited partnership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TM TRS HOLDING COMPANY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TOWNE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TWC TUCSON,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TYSONS CORNER LLC, a Virginia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TYSONS CORNER HOTEL I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PROPERTY HOLDINGS II LLC, a Delaware limited liability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TYSONS CORNER PROPERTY LLC, a Virginia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VALLEY STREAM GREEN ACRES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WESTCOR/GOODYEAR,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GOODYEAR RSC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MARANA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WESTCOR/PARADISE RIDGE,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REALTY LIMITED PARTNERSHIP, a Delaware limited partnership</w:t>
      </w:r>
    </w:p>
    <w:p>
      <w:pPr>
        <w:sectPr>
          <w:pgSz w:w="11900" w:h="16838" w:orient="portrait"/>
          <w:cols w:equalWidth="0" w:num="1">
            <w:col w:w="10139"/>
          </w:cols>
          <w:pgMar w:left="320" w:top="1440" w:right="1440" w:bottom="1440" w:gutter="0" w:footer="0" w:header="0"/>
        </w:sectPr>
      </w:pPr>
    </w:p>
    <w:bookmarkStart w:id="124" w:name="page125"/>
    <w:bookmarkEnd w:id="124"/>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ADJACENT LLC, a Delaware limited liability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SANTAN VILLAGE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SURPRISE CPC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 SURPRISE RSC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WESTCOR/SURPRISE LLC, an Arizona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WILTON MALL, LLC,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WMAP, L.L.C., a Delaware limited liability company</w:t>
      </w:r>
    </w:p>
    <w:p>
      <w:pPr>
        <w:sectPr>
          <w:pgSz w:w="11900" w:h="16838" w:orient="portrait"/>
          <w:cols w:equalWidth="0" w:num="1">
            <w:col w:w="10139"/>
          </w:cols>
          <w:pgMar w:left="320" w:top="1440"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333-240975, 333-107063, and 333-121630) on Form S-3 and (Nos. 333-00584, 333-42309, 333-42303, 333-69995, 333-108193, 333-120585, 333-161371, 333-186915, 333-186916, and 333-211816) on Form S-8 of The Macerich Company of our reports dated February 24, 2021, with respect to the consolidated balance sheets of The Macerich Company as of December 31, 2020 and 2019, the related consolidated statements of operations, comprehensive (loss) income, equity, and cash flows for each of the years in the three-year period ended December 31, 2020, and the related notes and financial statement Schedule III – Real Estate and Accumulated Depreciation, and the effectiveness of internal control over financial reporting as of December 31, 2020, which reports appear in the December 31, 2020 annual report on Form 10-K of The Macerich Company.</w:t>
      </w:r>
    </w:p>
    <w:p>
      <w:pPr>
        <w:spacing w:after="0" w:line="10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Our report dated February 24, 2021 includes an explanatory paragraph related to The Macerich Company’s change in method of accounting for leases as of January 1, 2019 due to the adoption of FASB Accounting Standards Codification Topic 842 (ASC 842), Leases.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141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44" w:lineRule="exact"/>
        <w:rPr>
          <w:sz w:val="20"/>
          <w:szCs w:val="20"/>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2020 of The Macerich Company;</w:t>
      </w:r>
    </w:p>
    <w:p>
      <w:pPr>
        <w:spacing w:after="0" w:line="15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140" w:right="320" w:hanging="565"/>
        <w:spacing w:after="0" w:line="282"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0772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4" w:lineRule="exact"/>
        <w:rPr>
          <w:sz w:val="20"/>
          <w:szCs w:val="20"/>
          <w:color w:val="auto"/>
        </w:rPr>
      </w:pPr>
    </w:p>
    <w:p>
      <w:pPr>
        <w:ind w:left="440"/>
        <w:spacing w:after="0"/>
        <w:tabs>
          <w:tab w:leader="none" w:pos="1240" w:val="left"/>
          <w:tab w:leader="none" w:pos="5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2021</w:t>
      </w:r>
      <w:r>
        <w:rPr>
          <w:sz w:val="20"/>
          <w:szCs w:val="20"/>
          <w:color w:val="auto"/>
        </w:rPr>
        <w:tab/>
      </w:r>
      <w:r>
        <w:rPr>
          <w:rFonts w:ascii="Times New Roman" w:cs="Times New Roman" w:eastAsia="Times New Roman" w:hAnsi="Times New Roman"/>
          <w:sz w:val="17"/>
          <w:szCs w:val="17"/>
          <w:i w:val="1"/>
          <w:iCs w:val="1"/>
          <w:color w:val="auto"/>
        </w:rPr>
        <w:t>Chief Executive Officer and Director</w:t>
      </w:r>
    </w:p>
    <w:p>
      <w:pPr>
        <w:sectPr>
          <w:pgSz w:w="11900" w:h="16838" w:orient="portrait"/>
          <w:cols w:equalWidth="0" w:num="1">
            <w:col w:w="11240"/>
          </w:cols>
          <w:pgMar w:left="320" w:top="103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44"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2020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220" w:right="20" w:hanging="564"/>
        <w:spacing w:after="0" w:line="266" w:lineRule="auto"/>
        <w:tabs>
          <w:tab w:leader="none" w:pos="12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220" w:right="540" w:hanging="564"/>
        <w:spacing w:after="0" w:line="282" w:lineRule="auto"/>
        <w:tabs>
          <w:tab w:leader="none" w:pos="12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220" w:right="240" w:hanging="564"/>
        <w:spacing w:after="0" w:line="282" w:lineRule="auto"/>
        <w:tabs>
          <w:tab w:leader="none" w:pos="12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488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4" w:lineRule="exact"/>
        <w:rPr>
          <w:sz w:val="20"/>
          <w:szCs w:val="20"/>
          <w:color w:val="auto"/>
        </w:rPr>
      </w:pPr>
    </w:p>
    <w:p>
      <w:pPr>
        <w:ind w:left="380"/>
        <w:spacing w:after="0"/>
        <w:tabs>
          <w:tab w:leader="none" w:pos="120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2021</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103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PURSUANT TO 18 U.S.C. SECTION 1350</w:t>
      </w:r>
    </w:p>
    <w:p>
      <w:pPr>
        <w:spacing w:after="0" w:line="13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94" w:lineRule="exact"/>
        <w:rPr>
          <w:sz w:val="20"/>
          <w:szCs w:val="20"/>
          <w:color w:val="auto"/>
        </w:rPr>
      </w:pPr>
    </w:p>
    <w:p>
      <w:pPr>
        <w:ind w:left="1300" w:right="760" w:hanging="563"/>
        <w:spacing w:after="0" w:line="282" w:lineRule="auto"/>
        <w:tabs>
          <w:tab w:leader="none" w:pos="12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2020 of the Company (the "Report") fully complies with the requirements of Section 13(a) and 15(d) of the Securities Exchange Act of 1934; and</w:t>
      </w:r>
    </w:p>
    <w:p>
      <w:pPr>
        <w:spacing w:after="0" w:line="80" w:lineRule="exact"/>
        <w:rPr>
          <w:rFonts w:ascii="Times New Roman" w:cs="Times New Roman" w:eastAsia="Times New Roman" w:hAnsi="Times New Roman"/>
          <w:sz w:val="18"/>
          <w:szCs w:val="18"/>
          <w:color w:val="auto"/>
        </w:rPr>
      </w:pPr>
    </w:p>
    <w:p>
      <w:pPr>
        <w:ind w:left="1300" w:right="340" w:hanging="563"/>
        <w:spacing w:after="0" w:line="282" w:lineRule="auto"/>
        <w:tabs>
          <w:tab w:leader="none" w:pos="12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744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74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7"/>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lvl>
    <w:lvl w:ilvl="1">
      <w:lvlJc w:val="left"/>
      <w:lvlText w:val="$"/>
      <w:numFmt w:val="bullet"/>
      <w:start w:val="1"/>
    </w:lvl>
  </w:abstractNum>
  <w:abstractNum w:abstractNumId="22">
    <w:nsid w:val="580BD78F"/>
    <w:multiLevelType w:val="hybridMultilevel"/>
    <w:lvl w:ilvl="0">
      <w:lvlJc w:val="left"/>
      <w:lvlText w:val="(%1)"/>
      <w:numFmt w:val="decimal"/>
      <w:start w:val="2"/>
    </w:lvl>
  </w:abstractNum>
  <w:abstractNum w:abstractNumId="23">
    <w:nsid w:val="153EA438"/>
    <w:multiLevelType w:val="hybridMultilevel"/>
    <w:lvl w:ilvl="0">
      <w:lvlJc w:val="left"/>
      <w:lvlText w:val="(%1)"/>
      <w:numFmt w:val="decimal"/>
      <w:start w:val="7"/>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9"/>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Roman"/>
      <w:start w:val="2"/>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2"/>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0"/>
    </w:lvl>
    <w:lvl w:ilvl="1">
      <w:lvlJc w:val="left"/>
      <w:lvlText w:val="(%2)"/>
      <w:numFmt w:val="decimal"/>
      <w:start w:val="9"/>
    </w:lvl>
  </w:abstractNum>
  <w:abstractNum w:abstractNumId="45">
    <w:nsid w:val="75C6C33A"/>
    <w:multiLevelType w:val="hybridMultilevel"/>
    <w:lvl w:ilvl="0">
      <w:lvlJc w:val="left"/>
      <w:lvlText w:val="(%1)"/>
      <w:numFmt w:val="lowerRoman"/>
      <w:start w:val="1"/>
    </w:lvl>
  </w:abstractNum>
  <w:abstractNum w:abstractNumId="46">
    <w:nsid w:val="12E685FB"/>
    <w:multiLevelType w:val="hybridMultilevel"/>
    <w:lvl w:ilvl="0">
      <w:lvlJc w:val="left"/>
      <w:lvlText w:val="%1."/>
      <w:numFmt w:val="decimal"/>
      <w:start w:val="16"/>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6"/>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lvl w:ilvl="1">
      <w:lvlJc w:val="left"/>
      <w:lvlText w:val="(%2)"/>
      <w:numFmt w:val="decimal"/>
      <w:start w:val="1"/>
    </w:lvl>
  </w:abstractNum>
  <w:abstractNum w:abstractNumId="52">
    <w:nsid w:val="649BB77C"/>
    <w:multiLevelType w:val="hybridMultilevel"/>
    <w:lvl w:ilvl="0">
      <w:lvlJc w:val="left"/>
      <w:lvlText w:val="%1."/>
      <w:numFmt w:val="decimal"/>
      <w:start w:val="24"/>
    </w:lvl>
    <w:lvl w:ilvl="1">
      <w:lvlJc w:val="left"/>
      <w:lvlText w:val="%2"/>
      <w:numFmt w:val="decimal"/>
      <w:start w:val="1"/>
    </w:lvl>
  </w:abstractNum>
  <w:abstractNum w:abstractNumId="53">
    <w:nsid w:val="275AC794"/>
    <w:multiLevelType w:val="hybridMultilevel"/>
    <w:lvl w:ilvl="0">
      <w:lvlJc w:val="left"/>
      <w:lvlText w:val="*"/>
      <w:numFmt w:val="bullet"/>
      <w:start w:val="1"/>
    </w:lvl>
    <w:lvl w:ilvl="1">
      <w:lvlJc w:val="left"/>
      <w:lvlText w:val="%2"/>
      <w:numFmt w:val="decimal"/>
      <w:start w:val="104"/>
    </w:lvl>
  </w:abstractNum>
  <w:abstractNum w:abstractNumId="54">
    <w:nsid w:val="39386575"/>
    <w:multiLevelType w:val="hybridMultilevel"/>
    <w:lvl w:ilvl="0">
      <w:lvlJc w:val="left"/>
      <w:lvlText w:val="**"/>
      <w:numFmt w:val="bullet"/>
      <w:start w:val="1"/>
    </w:lvl>
    <w:lvl w:ilvl="1">
      <w:lvlJc w:val="left"/>
      <w:lvlText w:val="%2"/>
      <w:numFmt w:val="decimal"/>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0" Type="http://schemas.openxmlformats.org/officeDocument/2006/relationships/image" Target="media/image120.png"/><Relationship Id="rId153"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95" Type="http://schemas.openxmlformats.org/officeDocument/2006/relationships/image" Target="media/image126.png"/><Relationship Id="rId205" Type="http://schemas.openxmlformats.org/officeDocument/2006/relationships/image" Target="media/image127.png"/><Relationship Id="rId206"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09" Type="http://schemas.openxmlformats.org/officeDocument/2006/relationships/image" Target="media/image131.png"/><Relationship Id="rId210"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127" Type="http://schemas.openxmlformats.org/officeDocument/2006/relationships/hyperlink" Target="http://www.sec.gov/Archives/edgar/data/912242/000110465914081468/a14-24669_1ex2d1.htm" TargetMode="External"/><Relationship Id="rId128" Type="http://schemas.openxmlformats.org/officeDocument/2006/relationships/hyperlink" Target="http://www.sec.gov/Archives/edgar/data/912242/0001047469-99-012492.txt" TargetMode="External"/><Relationship Id="rId129" Type="http://schemas.openxmlformats.org/officeDocument/2006/relationships/hyperlink" Target="http://www.sec.gov/Archives/edgar/data/912242/000091205702030706/a2086079zex-3_1.htm" TargetMode="External"/><Relationship Id="rId130" Type="http://schemas.openxmlformats.org/officeDocument/2006/relationships/hyperlink" Target="http://www.sec.gov/Archives/edgar/data/912242/000091205702021417/a2080342zex-4_6.htm" TargetMode="External"/><Relationship Id="rId131" Type="http://schemas.openxmlformats.org/officeDocument/2006/relationships/hyperlink" Target="http://www.sec.gov/Archives/edgar/data/912242/000104746909001981/a2189901zex-3_15.htm" TargetMode="External"/><Relationship Id="rId132" Type="http://schemas.openxmlformats.org/officeDocument/2006/relationships/hyperlink" Target="http://www.sec.gov/Archives/edgar/data/912242/000110465909008348/a09-5253_1ex3d1.htm" TargetMode="External"/><Relationship Id="rId133" Type="http://schemas.openxmlformats.org/officeDocument/2006/relationships/hyperlink" Target="http://www.sec.gov/Archives/edgar/data/912242/000104746909007391/a2193924zex-3_17.htm" TargetMode="External"/><Relationship Id="rId134" Type="http://schemas.openxmlformats.org/officeDocument/2006/relationships/hyperlink" Target="http://www.sec.gov/Archives/edgar/data/912242/000110465914043330/a14-14485_1ex3d1.htm" TargetMode="External"/><Relationship Id="rId135" Type="http://schemas.openxmlformats.org/officeDocument/2006/relationships/hyperlink" Target="http://www.sec.gov/Archives/edgar/data/912242/000110465915020412/a15-6870_1ex3d1.htm" TargetMode="External"/><Relationship Id="rId136" Type="http://schemas.openxmlformats.org/officeDocument/2006/relationships/hyperlink" Target="http://www.sec.gov/Archives/edgar/data/912242/000110465915020810/a15-6873_1ex3d1.htm" TargetMode="External"/><Relationship Id="rId137" Type="http://schemas.openxmlformats.org/officeDocument/2006/relationships/hyperlink" Target="http://www.sec.gov/Archives/edgar/data/912242/000110465915037228/a15-11185_1ex3d1.htm" TargetMode="External"/><Relationship Id="rId138" Type="http://schemas.openxmlformats.org/officeDocument/2006/relationships/hyperlink" Target="http://www.sec.gov/Archives/edgar/data/912242/000110465915042631/a15-13305_1ex3d1.htm" TargetMode="External"/><Relationship Id="rId139" Type="http://schemas.openxmlformats.org/officeDocument/2006/relationships/hyperlink" Target="http://www.sec.gov/Archives/edgar/data/912242/000119312519129272/d731295dex31.htm" TargetMode="External"/><Relationship Id="rId141" Type="http://schemas.openxmlformats.org/officeDocument/2006/relationships/hyperlink" Target="http://www.sec.gov/Archives/edgar/data/912242/000119312519129272/d731295dex32.htm" TargetMode="External"/><Relationship Id="rId142" Type="http://schemas.openxmlformats.org/officeDocument/2006/relationships/hyperlink" Target="https://www.sec.gov/Archives/edgar/data/912242/000091224220000004/mac-20191231x10kex4des.htm" TargetMode="External"/><Relationship Id="rId143" Type="http://schemas.openxmlformats.org/officeDocument/2006/relationships/hyperlink" Target="http://www.sec.gov/Archives/edgar/data/912242/0000898822-98-001027.txt" TargetMode="External"/><Relationship Id="rId144" Type="http://schemas.openxmlformats.org/officeDocument/2006/relationships/hyperlink" Target="http://www.sec.gov/Archives/edgar/data/912242/000104746903024203/a2114547zex-4_13.htm" TargetMode="External"/><Relationship Id="rId145" Type="http://schemas.openxmlformats.org/officeDocument/2006/relationships/hyperlink" Target="http://www.sec.gov/Archives/edgar/data/912242/0000912242-97-000007.txt" TargetMode="External"/><Relationship Id="rId146" Type="http://schemas.openxmlformats.org/officeDocument/2006/relationships/hyperlink" Target="http://www.sec.gov/Archives/edgar/data/912242/0000912057-97-023459.txt" TargetMode="External"/><Relationship Id="rId147" Type="http://schemas.openxmlformats.org/officeDocument/2006/relationships/hyperlink" Target="http://www.sec.gov/Archives/edgar/data/912242/0001047469-98-011649.txt" TargetMode="External"/><Relationship Id="rId148" Type="http://schemas.openxmlformats.org/officeDocument/2006/relationships/hyperlink" Target="http://www.sec.gov/Archives/edgar/data/912242/000091205701505482/a2042811zex-10_17.htm" TargetMode="External"/><Relationship Id="rId149" Type="http://schemas.openxmlformats.org/officeDocument/2006/relationships/hyperlink" Target="http://www.sec.gov/Archives/edgar/data/912242/000091205702030706/a2086079zex-10_1.htm" TargetMode="External"/><Relationship Id="rId150" Type="http://schemas.openxmlformats.org/officeDocument/2006/relationships/hyperlink" Target="http://www.sec.gov/Archives/edgar/data/912242/000104746907001438/a2175451zex-10_19.htm" TargetMode="External"/><Relationship Id="rId151" Type="http://schemas.openxmlformats.org/officeDocument/2006/relationships/hyperlink" Target="http://www.sec.gov/Archives/edgar/data/912242/000110465907021619/a07-8493_1ex10d1.htm" TargetMode="External"/><Relationship Id="rId152" Type="http://schemas.openxmlformats.org/officeDocument/2006/relationships/hyperlink" Target="http://www.sec.gov/Archives/edgar/data/912242/000104746909007391/a2193924zex-10_1.htm" TargetMode="External"/><Relationship Id="rId154" Type="http://schemas.openxmlformats.org/officeDocument/2006/relationships/hyperlink" Target="http://www.sec.gov/Archives/edgar/data/912242/000104746910001497/a2196442zex-10_112.htm" TargetMode="External"/><Relationship Id="rId155" Type="http://schemas.openxmlformats.org/officeDocument/2006/relationships/hyperlink" Target="http://www.sec.gov/Archives/edgar/data/912242/000110465905019358/a05-7552_1ex10d2.htm" TargetMode="External"/><Relationship Id="rId156" Type="http://schemas.openxmlformats.org/officeDocument/2006/relationships/hyperlink" Target="http://www.sec.gov/Archives/edgar/data/912242/000104746904007699/a2130493zex-10_5.htm" TargetMode="External"/><Relationship Id="rId157" Type="http://schemas.openxmlformats.org/officeDocument/2006/relationships/hyperlink" Target="http://www.sec.gov/Archives/edgar/data/912242/000104746909001981/a2189901zex-10_51.htm" TargetMode="External"/><Relationship Id="rId158" Type="http://schemas.openxmlformats.org/officeDocument/2006/relationships/hyperlink" Target="http://www.sec.gov/Archives/edgar/data/912242/000104746911006998/a2204925zex-10_1.htm" TargetMode="External"/><Relationship Id="rId159" Type="http://schemas.openxmlformats.org/officeDocument/2006/relationships/hyperlink" Target="http://www.sec.gov/Archives/edgar/data/912242/000104746912010061/a2211558zex-10_1.htm" TargetMode="External"/><Relationship Id="rId160" Type="http://schemas.openxmlformats.org/officeDocument/2006/relationships/hyperlink" Target="http://www.sec.gov/Archives/edgar/data/912242/000104746904007699/a2130493zex-10_6.htm" TargetMode="External"/><Relationship Id="rId161" Type="http://schemas.openxmlformats.org/officeDocument/2006/relationships/hyperlink" Target="http://www.sec.gov/Archives/edgar/data/912242/000104746909001981/a2189901zex-10_61.htm" TargetMode="External"/><Relationship Id="rId162" Type="http://schemas.openxmlformats.org/officeDocument/2006/relationships/hyperlink" Target="http://www.sec.gov/Archives/edgar/data/912242/000104746911006998/a2204925zex-10_3.htm" TargetMode="External"/><Relationship Id="rId163" Type="http://schemas.openxmlformats.org/officeDocument/2006/relationships/hyperlink" Target="http://www.sec.gov/Archives/edgar/data/912242/000104746912010061/a2211558zex-10_2.htm" TargetMode="External"/><Relationship Id="rId164" Type="http://schemas.openxmlformats.org/officeDocument/2006/relationships/hyperlink" Target="http://www.sec.gov/Archives/edgar/data/912242/000104746913008247/a2216262zex-10_1.htm" TargetMode="External"/><Relationship Id="rId165" Type="http://schemas.openxmlformats.org/officeDocument/2006/relationships/hyperlink" Target="http://www.sec.gov/Archives/edgar/data/912242/000091224216000020/mac-2015x12x31x10kxex108.htm" TargetMode="External"/><Relationship Id="rId166" Type="http://schemas.openxmlformats.org/officeDocument/2006/relationships/hyperlink" Target="http://www.sec.gov/Archives/edgar/data/912242/000091224219000013/mac-6302019xexhibit101.htm" TargetMode="External"/><Relationship Id="rId169" Type="http://schemas.openxmlformats.org/officeDocument/2006/relationships/hyperlink" Target="http://www.sec.gov/Archives/edgar/data/912242/000104746904007699/a2130493zex-10_48.htm" TargetMode="External"/><Relationship Id="rId170" Type="http://schemas.openxmlformats.org/officeDocument/2006/relationships/hyperlink" Target="http://www.sec.gov/Archives/edgar/data/912242/000104746909001981/a2189901zex-10_19.htm" TargetMode="External"/><Relationship Id="rId171" Type="http://schemas.openxmlformats.org/officeDocument/2006/relationships/hyperlink" Target="http://www.sec.gov/Archives/edgar/data/912242/000091205702030706/a2086079zex-10_2.htm" TargetMode="External"/><Relationship Id="rId172" Type="http://schemas.openxmlformats.org/officeDocument/2006/relationships/hyperlink" Target="http://www.sec.gov/Archives/edgar/data/912242/000091205702030706/a2086079zex-10_3.htm" TargetMode="External"/><Relationship Id="rId173" Type="http://schemas.openxmlformats.org/officeDocument/2006/relationships/hyperlink" Target="http://www.sec.gov/Archives/edgar/data/912242/000110465914081468/a14-24669_1ex10d1.htm" TargetMode="External"/><Relationship Id="rId174" Type="http://schemas.openxmlformats.org/officeDocument/2006/relationships/hyperlink" Target="http://www.sec.gov/Archives/edgar/data/912242/000110465916132238/a16-14660_1ex10d1.htm" TargetMode="External"/><Relationship Id="rId175" Type="http://schemas.openxmlformats.org/officeDocument/2006/relationships/hyperlink" Target="http://www.sec.gov/Archives/edgar/data/912242/000110465916132238/a16-14660_1ex10d2.htm" TargetMode="External"/><Relationship Id="rId176" Type="http://schemas.openxmlformats.org/officeDocument/2006/relationships/hyperlink" Target="http://www.sec.gov/Archives/edgar/data/912242/000110465905019358/a05-7552_1ex10d3.htm" TargetMode="External"/><Relationship Id="rId177" Type="http://schemas.openxmlformats.org/officeDocument/2006/relationships/hyperlink" Target="http://www.sec.gov/Archives/edgar/data/912242/000110465916124837/a16-12376_1ex10d1.htm" TargetMode="External"/><Relationship Id="rId180" Type="http://schemas.openxmlformats.org/officeDocument/2006/relationships/hyperlink" Target="http://www.sec.gov/Archives/edgar/data/912242/000104746911001377/a2201763zex-10_271.htm" TargetMode="External"/><Relationship Id="rId181" Type="http://schemas.openxmlformats.org/officeDocument/2006/relationships/hyperlink" Target="http://www.sec.gov/Archives/edgar/data/912242/000104746909001981/a2189901zex-10_28.htm" TargetMode="External"/><Relationship Id="rId182" Type="http://schemas.openxmlformats.org/officeDocument/2006/relationships/hyperlink" Target="http://www.sec.gov/Archives/edgar/data/912242/000091224215000005/mac-2014x1231x10kxex10273.htm" TargetMode="External"/><Relationship Id="rId183" Type="http://schemas.openxmlformats.org/officeDocument/2006/relationships/hyperlink" Target="http://www.sec.gov/Archives/edgar/data/912242/000104746909001981/a2189901zex-10_30.htm" TargetMode="External"/><Relationship Id="rId184" Type="http://schemas.openxmlformats.org/officeDocument/2006/relationships/hyperlink" Target="http://www.sec.gov/Archives/edgar/data/912242/000104746909001981/a2189901zex-10_31.htm" TargetMode="External"/><Relationship Id="rId185" Type="http://schemas.openxmlformats.org/officeDocument/2006/relationships/hyperlink" Target="http://www.sec.gov/Archives/edgar/data/912242/000104746909001981/a2189901zex-10_32.htm" TargetMode="External"/><Relationship Id="rId186" Type="http://schemas.openxmlformats.org/officeDocument/2006/relationships/hyperlink" Target="http://www.sec.gov/Archives/edgar/data/912242/000091224216000020/mac-2015x12x31x10kxex10277.htm" TargetMode="External"/><Relationship Id="rId187" Type="http://schemas.openxmlformats.org/officeDocument/2006/relationships/hyperlink" Target="http://www.sec.gov/Archives/edgar/data/912242/000104746909001981/a2189901zex-10_323.htm" TargetMode="External"/><Relationship Id="rId188" Type="http://schemas.openxmlformats.org/officeDocument/2006/relationships/hyperlink" Target="http://www.sec.gov/Archives/edgar/data/912242/000091224219000007/mac-3312019xexhibit102.htm" TargetMode="External"/><Relationship Id="rId189" Type="http://schemas.openxmlformats.org/officeDocument/2006/relationships/hyperlink" Target="http://www.sec.gov/Archives/edgar/data/912242/000091224219000007/mac-3312019xexhibit101.htm" TargetMode="External"/><Relationship Id="rId190" Type="http://schemas.openxmlformats.org/officeDocument/2006/relationships/hyperlink" Target="http://www.sec.gov/Archives/edgar/data/912242/000091224214000006/mac-3312014exhibit104fully.htm" TargetMode="External"/><Relationship Id="rId191" Type="http://schemas.openxmlformats.org/officeDocument/2006/relationships/hyperlink" Target="http://www.sec.gov/Archives/edgar/data/912242/000104746913008247/a2216262zex-10_2.htm" TargetMode="External"/><Relationship Id="rId192" Type="http://schemas.openxmlformats.org/officeDocument/2006/relationships/hyperlink" Target="http://www.sec.gov/Archives/edgar/data/912242/000091224214000013/mac-9302014xexhibit101espp.htm" TargetMode="External"/><Relationship Id="rId193" Type="http://schemas.openxmlformats.org/officeDocument/2006/relationships/hyperlink" Target="http://www.sec.gov/Archives/edgar/data/912242/000091224219000013/mac-6302019xexhibit102.htm" TargetMode="External"/><Relationship Id="rId194" Type="http://schemas.openxmlformats.org/officeDocument/2006/relationships/hyperlink" Target="http://www.sec.gov/Archives/edgar/data/912242/000091224219000007/mac-3312019xexhibit103.htm" TargetMode="External"/><Relationship Id="rId196" Type="http://schemas.openxmlformats.org/officeDocument/2006/relationships/hyperlink" Target="http://www.sec.gov/Archives/edgar/data/912242/000091224217000017/mac-9302017xexhibit101.htm" TargetMode="External"/><Relationship Id="rId197" Type="http://schemas.openxmlformats.org/officeDocument/2006/relationships/hyperlink" Target="http://www.sec.gov/Archives/edgar/data/912242/000091224218000007/mac-3312018xexhibit101.htm" TargetMode="External"/><Relationship Id="rId198" Type="http://schemas.openxmlformats.org/officeDocument/2006/relationships/hyperlink" Target="http://www.sec.gov/Archives/edgar/data/912242/000091224218000007/mac-3312018xexhibit103.htm" TargetMode="External"/><Relationship Id="rId199" Type="http://schemas.openxmlformats.org/officeDocument/2006/relationships/hyperlink" Target="http://www.sec.gov/Archives/edgar/data/912242/000091224219000017/mac-9302019xexhibit103.htm" TargetMode="External"/><Relationship Id="rId200" Type="http://schemas.openxmlformats.org/officeDocument/2006/relationships/hyperlink" Target="http://www.sec.gov/Archives/edgar/data/912242/000091224218000007/mac-3312018xexhibit102.htm" TargetMode="External"/><Relationship Id="rId201" Type="http://schemas.openxmlformats.org/officeDocument/2006/relationships/hyperlink" Target="http://www.sec.gov/Archives/edgar/data/912242/000091224219000017/mac-9302019xexhibit102.htm" TargetMode="External"/><Relationship Id="rId202" Type="http://schemas.openxmlformats.org/officeDocument/2006/relationships/hyperlink" Target="http://www.sec.gov/Archives/edgar/data/912242/000091224219000017/mac-9302019xexhibit101.htm" TargetMode="External"/><Relationship Id="rId203" Type="http://schemas.openxmlformats.org/officeDocument/2006/relationships/hyperlink" Target="http://www.sec.gov/Archives/edgar/data/912242/000110465905019358/a05-7552_1ex10d1.htm" TargetMode="External"/><Relationship Id="rId204"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2021-02-24T10:32:10Z</dcterms:created>
  <dcterms:modified xsi:type="dcterms:W3CDTF">2021-02-24T10:32:10Z</dcterms:modified>
</cp:coreProperties>
</file>