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92"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QUARTERLY REPORT PURSUANT TO SECTION 13 OR 15(d) OF THE</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7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1-12504</w:t>
      </w: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THE MACERICH COMPANY</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351" w:right="259" w:bottom="1440" w:gutter="0" w:footer="0" w:header="0"/>
        </w:sectPr>
      </w:pPr>
    </w:p>
    <w:p>
      <w:pPr>
        <w:spacing w:after="0" w:line="286" w:lineRule="exact"/>
        <w:rPr>
          <w:sz w:val="24"/>
          <w:szCs w:val="24"/>
          <w:color w:val="auto"/>
        </w:rPr>
      </w:pPr>
    </w:p>
    <w:p>
      <w:pPr>
        <w:ind w:left="2280"/>
        <w:spacing w:after="0"/>
        <w:rPr>
          <w:sz w:val="20"/>
          <w:szCs w:val="20"/>
          <w:color w:val="auto"/>
        </w:rPr>
      </w:pPr>
      <w:r>
        <w:rPr>
          <w:rFonts w:ascii="Arial" w:cs="Arial" w:eastAsia="Arial" w:hAnsi="Arial"/>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95-4448705</w:t>
      </w:r>
    </w:p>
    <w:p>
      <w:pPr>
        <w:spacing w:after="0" w:line="89" w:lineRule="exact"/>
        <w:rPr>
          <w:sz w:val="24"/>
          <w:szCs w:val="24"/>
          <w:color w:val="auto"/>
        </w:rPr>
      </w:pPr>
    </w:p>
    <w:p>
      <w:pPr>
        <w:sectPr>
          <w:pgSz w:w="11900" w:h="16838" w:orient="portrait"/>
          <w:cols w:equalWidth="0" w:num="2">
            <w:col w:w="7420" w:space="720"/>
            <w:col w:w="3260"/>
          </w:cols>
          <w:pgMar w:left="240" w:top="351" w:right="259" w:bottom="1440" w:gutter="0" w:footer="0" w:header="0"/>
          <w:type w:val="continuous"/>
        </w:sect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35"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Number)</w:t>
      </w:r>
    </w:p>
    <w:p>
      <w:pPr>
        <w:spacing w:after="0" w:line="298" w:lineRule="exact"/>
        <w:rPr>
          <w:sz w:val="24"/>
          <w:szCs w:val="24"/>
          <w:color w:val="auto"/>
        </w:rPr>
      </w:pPr>
    </w:p>
    <w:p>
      <w:pPr>
        <w:sectPr>
          <w:pgSz w:w="11900" w:h="16838" w:orient="portrait"/>
          <w:cols w:equalWidth="0" w:num="2">
            <w:col w:w="6380" w:space="720"/>
            <w:col w:w="4300"/>
          </w:cols>
          <w:pgMar w:left="240" w:top="351" w:right="25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401 Wilshire Boulevard, Suite 700, Santa Monica, California 90401</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 including zip code)</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(310) 394-6000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57" w:lineRule="exact"/>
        <w:rPr>
          <w:sz w:val="24"/>
          <w:szCs w:val="24"/>
          <w:color w:val="auto"/>
        </w:rPr>
      </w:pPr>
    </w:p>
    <w:p>
      <w:pPr>
        <w:ind w:right="20" w:firstLine="432"/>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(12) months (or for such shorter period that the Registrant was required to file such reports) and (2) has been subject to such filing requirements for the past ninety (90) days.</w:t>
      </w:r>
    </w:p>
    <w:p>
      <w:pPr>
        <w:spacing w:after="0" w:line="235" w:lineRule="exact"/>
        <w:rPr>
          <w:sz w:val="24"/>
          <w:szCs w:val="24"/>
          <w:color w:val="auto"/>
        </w:rPr>
      </w:pPr>
    </w:p>
    <w:p>
      <w:pPr>
        <w:jc w:val="center"/>
        <w:ind w:right="-19"/>
        <w:spacing w:after="0"/>
        <w:tabs>
          <w:tab w:leader="none" w:pos="3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NO o</w:t>
      </w:r>
    </w:p>
    <w:p>
      <w:pPr>
        <w:spacing w:after="0" w:line="279" w:lineRule="exact"/>
        <w:rPr>
          <w:sz w:val="24"/>
          <w:szCs w:val="24"/>
          <w:color w:val="auto"/>
        </w:rPr>
      </w:pPr>
    </w:p>
    <w:p>
      <w:pPr>
        <w:jc w:val="both"/>
        <w:ind w:right="420" w:firstLine="432"/>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twelve (12) months (or for such shorter period that the registrant was required to submit and post such files).</w:t>
      </w:r>
    </w:p>
    <w:p>
      <w:pPr>
        <w:spacing w:after="0" w:line="235" w:lineRule="exact"/>
        <w:rPr>
          <w:sz w:val="24"/>
          <w:szCs w:val="24"/>
          <w:color w:val="auto"/>
        </w:rPr>
      </w:pPr>
    </w:p>
    <w:p>
      <w:pPr>
        <w:jc w:val="center"/>
        <w:ind w:right="-19"/>
        <w:spacing w:after="0"/>
        <w:tabs>
          <w:tab w:leader="none" w:pos="3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NO o</w:t>
      </w:r>
    </w:p>
    <w:p>
      <w:pPr>
        <w:spacing w:after="0" w:line="279" w:lineRule="exact"/>
        <w:rPr>
          <w:sz w:val="24"/>
          <w:szCs w:val="24"/>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27" w:lineRule="exact"/>
        <w:rPr>
          <w:sz w:val="24"/>
          <w:szCs w:val="24"/>
          <w:color w:val="auto"/>
        </w:rPr>
      </w:pPr>
    </w:p>
    <w:p>
      <w:pPr>
        <w:ind w:left="500"/>
        <w:spacing w:after="0"/>
        <w:tabs>
          <w:tab w:leader="none" w:pos="3500" w:val="left"/>
          <w:tab w:leader="none" w:pos="6080" w:val="left"/>
          <w:tab w:leader="none" w:pos="922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45" w:lineRule="exact"/>
        <w:rPr>
          <w:sz w:val="24"/>
          <w:szCs w:val="24"/>
          <w:color w:val="auto"/>
        </w:rPr>
      </w:pPr>
    </w:p>
    <w:p>
      <w:pPr>
        <w:ind w:left="6200"/>
        <w:spacing w:after="0"/>
        <w:rPr>
          <w:sz w:val="20"/>
          <w:szCs w:val="20"/>
          <w:color w:val="auto"/>
        </w:rPr>
      </w:pPr>
      <w:r>
        <w:rPr>
          <w:rFonts w:ascii="Arial" w:cs="Arial" w:eastAsia="Arial" w:hAnsi="Arial"/>
          <w:sz w:val="14"/>
          <w:szCs w:val="14"/>
          <w:color w:val="auto"/>
        </w:rPr>
        <w:t>(Do not check if a smaller</w:t>
      </w:r>
    </w:p>
    <w:p>
      <w:pPr>
        <w:spacing w:after="0" w:line="21" w:lineRule="exact"/>
        <w:rPr>
          <w:sz w:val="24"/>
          <w:szCs w:val="24"/>
          <w:color w:val="auto"/>
        </w:rPr>
      </w:pPr>
    </w:p>
    <w:p>
      <w:pPr>
        <w:ind w:left="6360"/>
        <w:spacing w:after="0"/>
        <w:rPr>
          <w:sz w:val="20"/>
          <w:szCs w:val="20"/>
          <w:color w:val="auto"/>
        </w:rPr>
      </w:pPr>
      <w:r>
        <w:rPr>
          <w:rFonts w:ascii="Arial" w:cs="Arial" w:eastAsia="Arial" w:hAnsi="Arial"/>
          <w:sz w:val="14"/>
          <w:szCs w:val="14"/>
          <w:color w:val="auto"/>
        </w:rPr>
        <w:t>reporting company)</w:t>
      </w:r>
    </w:p>
    <w:p>
      <w:pPr>
        <w:spacing w:after="0" w:line="39" w:lineRule="exact"/>
        <w:rPr>
          <w:sz w:val="24"/>
          <w:szCs w:val="24"/>
          <w:color w:val="auto"/>
        </w:rPr>
      </w:pPr>
    </w:p>
    <w:p>
      <w:pPr>
        <w:ind w:left="9300"/>
        <w:spacing w:after="0"/>
        <w:rPr>
          <w:sz w:val="20"/>
          <w:szCs w:val="20"/>
          <w:color w:val="auto"/>
        </w:rPr>
      </w:pPr>
      <w:r>
        <w:rPr>
          <w:rFonts w:ascii="Arial" w:cs="Arial" w:eastAsia="Arial" w:hAnsi="Arial"/>
          <w:sz w:val="16"/>
          <w:szCs w:val="16"/>
          <w:color w:val="auto"/>
        </w:rPr>
        <w:t>Emerging growth company o</w:t>
      </w:r>
    </w:p>
    <w:p>
      <w:pPr>
        <w:spacing w:after="0" w:line="19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Act.o</w:t>
      </w:r>
    </w:p>
    <w:p>
      <w:pPr>
        <w:spacing w:after="0" w:line="8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79" w:lineRule="exact"/>
        <w:rPr>
          <w:sz w:val="24"/>
          <w:szCs w:val="24"/>
          <w:color w:val="auto"/>
        </w:rPr>
      </w:pPr>
    </w:p>
    <w:p>
      <w:pPr>
        <w:jc w:val="center"/>
        <w:ind w:right="-19"/>
        <w:spacing w:after="0"/>
        <w:tabs>
          <w:tab w:leader="none" w:pos="3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NO x</w:t>
      </w:r>
    </w:p>
    <w:p>
      <w:pPr>
        <w:spacing w:after="0" w:line="27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Number of shares outstanding as of August 3, 2018 of the registrant's common stock, par value $0.01 per share: 141,050,902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40" w:type="dxa"/>
            <w:vAlign w:val="bottom"/>
            <w:gridSpan w:val="8"/>
          </w:tcPr>
          <w:p>
            <w:pPr>
              <w:jc w:val="center"/>
              <w:ind w:right="2760"/>
              <w:spacing w:after="0"/>
              <w:rPr>
                <w:sz w:val="20"/>
                <w:szCs w:val="20"/>
                <w:color w:val="auto"/>
              </w:rPr>
            </w:pPr>
            <w:r>
              <w:rPr>
                <w:rFonts w:ascii="Arial" w:cs="Arial" w:eastAsia="Arial" w:hAnsi="Arial"/>
                <w:sz w:val="18"/>
                <w:szCs w:val="18"/>
                <w:b w:val="1"/>
                <w:bCs w:val="1"/>
                <w:color w:val="auto"/>
              </w:rPr>
              <w:t>THE MACERICH COMPANY</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20" w:type="dxa"/>
            <w:vAlign w:val="bottom"/>
            <w:gridSpan w:val="7"/>
          </w:tcPr>
          <w:p>
            <w:pPr>
              <w:jc w:val="center"/>
              <w:ind w:right="3480"/>
              <w:spacing w:after="0"/>
              <w:rPr>
                <w:sz w:val="20"/>
                <w:szCs w:val="20"/>
                <w:color w:val="auto"/>
              </w:rPr>
            </w:pPr>
            <w:r>
              <w:rPr>
                <w:rFonts w:ascii="Arial" w:cs="Arial" w:eastAsia="Arial" w:hAnsi="Arial"/>
                <w:sz w:val="18"/>
                <w:szCs w:val="18"/>
                <w:b w:val="1"/>
                <w:bCs w:val="1"/>
                <w:color w:val="auto"/>
                <w:w w:val="99"/>
              </w:rPr>
              <w:t>FORM 10-Q</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20" w:type="dxa"/>
            <w:vAlign w:val="bottom"/>
            <w:gridSpan w:val="7"/>
          </w:tcPr>
          <w:p>
            <w:pPr>
              <w:jc w:val="center"/>
              <w:ind w:right="3480"/>
              <w:spacing w:after="0"/>
              <w:rPr>
                <w:sz w:val="20"/>
                <w:szCs w:val="20"/>
                <w:color w:val="auto"/>
              </w:rPr>
            </w:pPr>
            <w:r>
              <w:rPr>
                <w:rFonts w:ascii="Arial" w:cs="Arial" w:eastAsia="Arial" w:hAnsi="Arial"/>
                <w:sz w:val="18"/>
                <w:szCs w:val="18"/>
                <w:b w:val="1"/>
                <w:bCs w:val="1"/>
                <w:color w:val="auto"/>
              </w:rPr>
              <w:t>INDEX</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13"/>
        </w:trPr>
        <w:tc>
          <w:tcPr>
            <w:tcW w:w="860" w:type="dxa"/>
            <w:vAlign w:val="bottom"/>
            <w:gridSpan w:val="4"/>
          </w:tcPr>
          <w:p>
            <w:pPr>
              <w:spacing w:after="0"/>
              <w:rPr>
                <w:sz w:val="20"/>
                <w:szCs w:val="20"/>
                <w:color w:val="auto"/>
              </w:rPr>
            </w:pPr>
            <w:r>
              <w:rPr>
                <w:rFonts w:ascii="Arial" w:cs="Arial" w:eastAsia="Arial" w:hAnsi="Arial"/>
                <w:sz w:val="18"/>
                <w:szCs w:val="18"/>
                <w:b w:val="1"/>
                <w:bCs w:val="1"/>
                <w:color w:val="auto"/>
              </w:rPr>
              <w:t>Part I</w:t>
            </w:r>
          </w:p>
        </w:tc>
        <w:tc>
          <w:tcPr>
            <w:tcW w:w="7760" w:type="dxa"/>
            <w:vAlign w:val="bottom"/>
            <w:gridSpan w:val="16"/>
          </w:tcPr>
          <w:p>
            <w:pPr>
              <w:spacing w:after="0"/>
              <w:rPr>
                <w:sz w:val="20"/>
                <w:szCs w:val="20"/>
                <w:color w:val="auto"/>
              </w:rPr>
            </w:pPr>
            <w:r>
              <w:rPr>
                <w:rFonts w:ascii="Arial" w:cs="Arial" w:eastAsia="Arial" w:hAnsi="Arial"/>
                <w:sz w:val="18"/>
                <w:szCs w:val="18"/>
                <w:b w:val="1"/>
                <w:bCs w:val="1"/>
                <w:color w:val="auto"/>
              </w:rPr>
              <w:t>Financial Information</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860" w:type="dxa"/>
            <w:vAlign w:val="bottom"/>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776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54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June 30, 2018 and December 31, 2017</w:t>
              </w:r>
            </w:hyperlink>
          </w:p>
        </w:tc>
        <w:tc>
          <w:tcPr>
            <w:tcW w:w="2460" w:type="dxa"/>
            <w:vAlign w:val="bottom"/>
            <w:gridSpan w:val="5"/>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37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60" w:type="dxa"/>
            <w:vAlign w:val="bottom"/>
            <w:gridSpan w:val="16"/>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Consolidated Statements of Operations for the three and six months ended June 30, 2018 and 2017</w:t>
              </w:r>
            </w:hyperlink>
          </w:p>
        </w:tc>
        <w:tc>
          <w:tcPr>
            <w:tcW w:w="54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60" w:type="dxa"/>
            <w:vAlign w:val="bottom"/>
            <w:gridSpan w:val="16"/>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Consolidated Statements of Comprehensive Income (Loss) for the three and six months ended June 30,</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2018 and 2017</w:t>
              </w:r>
            </w:hyperlink>
          </w:p>
        </w:tc>
        <w:tc>
          <w:tcPr>
            <w:tcW w:w="6340" w:type="dxa"/>
            <w:vAlign w:val="bottom"/>
            <w:tcBorders>
              <w:top w:val="single" w:sz="8" w:color="0000EE"/>
            </w:tcBorders>
            <w:gridSpan w:val="12"/>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37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6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Equity for the six months ended June 30, 2018</w:t>
              </w:r>
            </w:hyperlink>
          </w:p>
        </w:tc>
        <w:tc>
          <w:tcPr>
            <w:tcW w:w="54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 for the six months ended June 30, 2018 and 2017</w:t>
              </w:r>
            </w:hyperlink>
          </w:p>
        </w:tc>
        <w:tc>
          <w:tcPr>
            <w:tcW w:w="1300" w:type="dxa"/>
            <w:vAlign w:val="bottom"/>
            <w:gridSpan w:val="3"/>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r>
      <w:tr>
        <w:trPr>
          <w:trHeight w:val="37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60" w:type="dxa"/>
            <w:vAlign w:val="bottom"/>
            <w:gridSpan w:val="16"/>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Consolidated Financial Statements</w:t>
              </w:r>
            </w:hyperlink>
          </w:p>
        </w:tc>
        <w:tc>
          <w:tcPr>
            <w:tcW w:w="540" w:type="dxa"/>
            <w:vAlign w:val="bottom"/>
            <w:gridSpan w:val="3"/>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860" w:type="dxa"/>
            <w:vAlign w:val="bottom"/>
            <w:gridSpan w:val="4"/>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2.</w:t>
              </w:r>
            </w:hyperlink>
          </w:p>
        </w:tc>
        <w:tc>
          <w:tcPr>
            <w:tcW w:w="7760" w:type="dxa"/>
            <w:vAlign w:val="bottom"/>
            <w:gridSpan w:val="16"/>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Management's Discussion and Analysis of Financial Condition and Results of Operations</w:t>
              </w:r>
            </w:hyperlink>
          </w:p>
        </w:tc>
        <w:tc>
          <w:tcPr>
            <w:tcW w:w="54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gridSpan w:val="3"/>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860" w:type="dxa"/>
            <w:vAlign w:val="bottom"/>
            <w:gridSpan w:val="4"/>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Item 3.</w:t>
              </w:r>
            </w:hyperlink>
          </w:p>
        </w:tc>
        <w:tc>
          <w:tcPr>
            <w:tcW w:w="7760" w:type="dxa"/>
            <w:vAlign w:val="bottom"/>
            <w:gridSpan w:val="16"/>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Quantitative and Qualitative Disclosures About Market Risk</w:t>
              </w:r>
            </w:hyperlink>
          </w:p>
        </w:tc>
        <w:tc>
          <w:tcPr>
            <w:tcW w:w="540" w:type="dxa"/>
            <w:vAlign w:val="bottom"/>
            <w:gridSpan w:val="3"/>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gridSpan w:val="3"/>
            <w:shd w:val="clear" w:color="auto" w:fill="0000FF"/>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860" w:type="dxa"/>
            <w:vAlign w:val="bottom"/>
            <w:gridSpan w:val="4"/>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4.</w:t>
              </w:r>
            </w:hyperlink>
          </w:p>
        </w:tc>
        <w:tc>
          <w:tcPr>
            <w:tcW w:w="7760" w:type="dxa"/>
            <w:vAlign w:val="bottom"/>
            <w:gridSpan w:val="16"/>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Controls and Procedures</w:t>
              </w:r>
            </w:hyperlink>
          </w:p>
        </w:tc>
        <w:tc>
          <w:tcPr>
            <w:tcW w:w="54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12"/>
        </w:trPr>
        <w:tc>
          <w:tcPr>
            <w:tcW w:w="860" w:type="dxa"/>
            <w:vAlign w:val="bottom"/>
            <w:gridSpan w:val="4"/>
          </w:tcPr>
          <w:p>
            <w:pPr>
              <w:spacing w:after="0"/>
              <w:rPr>
                <w:sz w:val="20"/>
                <w:szCs w:val="20"/>
                <w:color w:val="auto"/>
              </w:rPr>
            </w:pPr>
            <w:r>
              <w:rPr>
                <w:rFonts w:ascii="Arial" w:cs="Arial" w:eastAsia="Arial" w:hAnsi="Arial"/>
                <w:sz w:val="18"/>
                <w:szCs w:val="18"/>
                <w:b w:val="1"/>
                <w:bCs w:val="1"/>
                <w:color w:val="auto"/>
              </w:rPr>
              <w:t>Part II</w:t>
            </w:r>
          </w:p>
        </w:tc>
        <w:tc>
          <w:tcPr>
            <w:tcW w:w="7760" w:type="dxa"/>
            <w:vAlign w:val="bottom"/>
            <w:gridSpan w:val="16"/>
          </w:tcPr>
          <w:p>
            <w:pPr>
              <w:spacing w:after="0"/>
              <w:rPr>
                <w:sz w:val="20"/>
                <w:szCs w:val="20"/>
                <w:color w:val="auto"/>
              </w:rPr>
            </w:pPr>
            <w:r>
              <w:rPr>
                <w:rFonts w:ascii="Arial" w:cs="Arial" w:eastAsia="Arial" w:hAnsi="Arial"/>
                <w:sz w:val="18"/>
                <w:szCs w:val="18"/>
                <w:b w:val="1"/>
                <w:bCs w:val="1"/>
                <w:color w:val="auto"/>
              </w:rPr>
              <w:t>Other Information</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640" w:type="dxa"/>
            <w:vAlign w:val="bottom"/>
            <w:tcBorders>
              <w:bottom w:val="single" w:sz="8" w:color="0000FF"/>
            </w:tcBorders>
            <w:gridSpan w:val="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1.</w:t>
              </w:r>
            </w:hyperlink>
          </w:p>
        </w:tc>
        <w:tc>
          <w:tcPr>
            <w:tcW w:w="220" w:type="dxa"/>
            <w:vAlign w:val="bottom"/>
            <w:gridSpan w:val="2"/>
          </w:tcPr>
          <w:p>
            <w:pPr>
              <w:spacing w:after="0"/>
              <w:rPr>
                <w:sz w:val="24"/>
                <w:szCs w:val="24"/>
                <w:color w:val="auto"/>
              </w:rPr>
            </w:pPr>
          </w:p>
        </w:tc>
        <w:tc>
          <w:tcPr>
            <w:tcW w:w="13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43">
              <w:r>
                <w:rPr>
                  <w:rFonts w:ascii="Arial" w:cs="Arial" w:eastAsia="Arial" w:hAnsi="Arial"/>
                  <w:sz w:val="18"/>
                  <w:szCs w:val="18"/>
                  <w:color w:val="0000FF"/>
                  <w:w w:val="88"/>
                </w:rPr>
                <w:t>Legal Proceedings</w:t>
              </w:r>
            </w:hyperlink>
          </w:p>
        </w:tc>
        <w:tc>
          <w:tcPr>
            <w:tcW w:w="6420" w:type="dxa"/>
            <w:vAlign w:val="bottom"/>
            <w:gridSpan w:val="11"/>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372"/>
        </w:trPr>
        <w:tc>
          <w:tcPr>
            <w:tcW w:w="640" w:type="dxa"/>
            <w:vAlign w:val="bottom"/>
            <w:gridSpan w:val="2"/>
          </w:tcPr>
          <w:p>
            <w:pPr>
              <w:spacing w:after="0"/>
              <w:rPr>
                <w:rFonts w:ascii="Arial" w:cs="Arial" w:eastAsia="Arial" w:hAnsi="Arial"/>
                <w:sz w:val="18"/>
                <w:szCs w:val="18"/>
                <w:color w:val="0000FF"/>
                <w:w w:val="92"/>
              </w:rPr>
            </w:pPr>
            <w:hyperlink w:anchor="page43">
              <w:r>
                <w:rPr>
                  <w:rFonts w:ascii="Arial" w:cs="Arial" w:eastAsia="Arial" w:hAnsi="Arial"/>
                  <w:sz w:val="18"/>
                  <w:szCs w:val="18"/>
                  <w:color w:val="0000FF"/>
                  <w:w w:val="92"/>
                </w:rPr>
                <w:t>Item 1A.</w:t>
              </w:r>
            </w:hyperlink>
          </w:p>
        </w:tc>
        <w:tc>
          <w:tcPr>
            <w:tcW w:w="220" w:type="dxa"/>
            <w:vAlign w:val="bottom"/>
            <w:gridSpan w:val="2"/>
          </w:tcPr>
          <w:p>
            <w:pPr>
              <w:spacing w:after="0"/>
              <w:rPr>
                <w:sz w:val="24"/>
                <w:szCs w:val="24"/>
                <w:color w:val="auto"/>
              </w:rPr>
            </w:pPr>
          </w:p>
        </w:tc>
        <w:tc>
          <w:tcPr>
            <w:tcW w:w="7760" w:type="dxa"/>
            <w:vAlign w:val="bottom"/>
            <w:gridSpan w:val="16"/>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Risk Factors</w:t>
              </w:r>
            </w:hyperlink>
          </w:p>
        </w:tc>
        <w:tc>
          <w:tcPr>
            <w:tcW w:w="54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640" w:type="dxa"/>
            <w:vAlign w:val="bottom"/>
            <w:gridSpan w:val="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2.</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60" w:type="dxa"/>
            <w:vAlign w:val="bottom"/>
            <w:gridSpan w:val="16"/>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Unregistered Sales of Equity Securities and Use of Proceeds</w:t>
              </w:r>
            </w:hyperlink>
          </w:p>
        </w:tc>
        <w:tc>
          <w:tcPr>
            <w:tcW w:w="54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372"/>
        </w:trPr>
        <w:tc>
          <w:tcPr>
            <w:tcW w:w="740" w:type="dxa"/>
            <w:vAlign w:val="bottom"/>
            <w:tcBorders>
              <w:top w:val="single" w:sz="8" w:color="0000FF"/>
            </w:tcBorders>
            <w:gridSpan w:val="3"/>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3.</w:t>
              </w:r>
            </w:hyperlink>
          </w:p>
        </w:tc>
        <w:tc>
          <w:tcPr>
            <w:tcW w:w="120" w:type="dxa"/>
            <w:vAlign w:val="bottom"/>
          </w:tcPr>
          <w:p>
            <w:pPr>
              <w:spacing w:after="0"/>
              <w:rPr>
                <w:sz w:val="24"/>
                <w:szCs w:val="24"/>
                <w:color w:val="auto"/>
              </w:rPr>
            </w:pPr>
          </w:p>
        </w:tc>
        <w:tc>
          <w:tcPr>
            <w:tcW w:w="4360" w:type="dxa"/>
            <w:vAlign w:val="bottom"/>
            <w:tcBorders>
              <w:top w:val="single" w:sz="8" w:color="0000FF"/>
            </w:tcBorders>
            <w:gridSpan w:val="10"/>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Defaults Upon Senior Securities</w:t>
              </w:r>
            </w:hyperlink>
          </w:p>
        </w:tc>
        <w:tc>
          <w:tcPr>
            <w:tcW w:w="3400" w:type="dxa"/>
            <w:vAlign w:val="bottom"/>
            <w:gridSpan w:val="6"/>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372"/>
        </w:trPr>
        <w:tc>
          <w:tcPr>
            <w:tcW w:w="740" w:type="dxa"/>
            <w:vAlign w:val="bottom"/>
            <w:tcBorders>
              <w:top w:val="single" w:sz="8" w:color="0000FF"/>
            </w:tcBorders>
            <w:gridSpan w:val="3"/>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4.</w:t>
              </w:r>
            </w:hyperlink>
          </w:p>
        </w:tc>
        <w:tc>
          <w:tcPr>
            <w:tcW w:w="120" w:type="dxa"/>
            <w:vAlign w:val="bottom"/>
          </w:tcPr>
          <w:p>
            <w:pPr>
              <w:spacing w:after="0"/>
              <w:rPr>
                <w:sz w:val="24"/>
                <w:szCs w:val="24"/>
                <w:color w:val="auto"/>
              </w:rPr>
            </w:pPr>
          </w:p>
        </w:tc>
        <w:tc>
          <w:tcPr>
            <w:tcW w:w="2320" w:type="dxa"/>
            <w:vAlign w:val="bottom"/>
            <w:tcBorders>
              <w:top w:val="single" w:sz="8" w:color="0000FF"/>
            </w:tcBorders>
            <w:gridSpan w:val="7"/>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Mine Safety Disclosures</w:t>
              </w:r>
            </w:hyperlink>
          </w:p>
        </w:tc>
        <w:tc>
          <w:tcPr>
            <w:tcW w:w="5440" w:type="dxa"/>
            <w:vAlign w:val="bottom"/>
            <w:gridSpan w:val="9"/>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0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860" w:type="dxa"/>
            <w:vAlign w:val="bottom"/>
            <w:gridSpan w:val="4"/>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5.</w:t>
              </w:r>
            </w:hyperlink>
          </w:p>
        </w:tc>
        <w:tc>
          <w:tcPr>
            <w:tcW w:w="7760" w:type="dxa"/>
            <w:vAlign w:val="bottom"/>
            <w:gridSpan w:val="16"/>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Other Information</w:t>
              </w:r>
            </w:hyperlink>
          </w:p>
        </w:tc>
        <w:tc>
          <w:tcPr>
            <w:tcW w:w="54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44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860" w:type="dxa"/>
            <w:vAlign w:val="bottom"/>
            <w:gridSpan w:val="4"/>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6.</w:t>
              </w:r>
            </w:hyperlink>
          </w:p>
        </w:tc>
        <w:tc>
          <w:tcPr>
            <w:tcW w:w="7760" w:type="dxa"/>
            <w:vAlign w:val="bottom"/>
            <w:gridSpan w:val="16"/>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Exhibits</w:t>
              </w:r>
            </w:hyperlink>
          </w:p>
        </w:tc>
        <w:tc>
          <w:tcPr>
            <w:tcW w:w="54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860" w:type="dxa"/>
            <w:vAlign w:val="bottom"/>
            <w:gridSpan w:val="4"/>
          </w:tcPr>
          <w:p>
            <w:pPr>
              <w:spacing w:after="0"/>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Signature</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507"/>
        </w:trPr>
        <w:tc>
          <w:tcPr>
            <w:tcW w:w="5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10"/>
          </w:tcPr>
          <w:p>
            <w:pPr>
              <w:jc w:val="center"/>
              <w:ind w:left="2970"/>
              <w:spacing w:after="0"/>
              <w:rPr>
                <w:sz w:val="20"/>
                <w:szCs w:val="20"/>
                <w:color w:val="auto"/>
              </w:rPr>
            </w:pPr>
            <w:r>
              <w:rPr>
                <w:rFonts w:ascii="Arial" w:cs="Arial" w:eastAsia="Arial" w:hAnsi="Arial"/>
                <w:sz w:val="18"/>
                <w:szCs w:val="18"/>
                <w:color w:val="auto"/>
                <w:w w:val="99"/>
              </w:rPr>
              <w:t>2</w:t>
            </w: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9160"/>
          </w:cols>
          <w:pgMar w:left="1380" w:top="364" w:right="13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27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89"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60" w:type="dxa"/>
            <w:vAlign w:val="bottom"/>
          </w:tcPr>
          <w:p>
            <w:pPr>
              <w:jc w:val="right"/>
              <w:ind w:right="111"/>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7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Property,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6,868,844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7,109,230</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held for sale</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143,327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92,452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91,038</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52,067</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Tenant and other receivables, net</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92,143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112,653</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charges and other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403,758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449,190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Due from affiliates</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83,275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82,162</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joint ventures</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1,381,358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1,709,522</w:t>
            </w:r>
          </w:p>
        </w:tc>
      </w:tr>
      <w:tr>
        <w:trPr>
          <w:trHeight w:val="297"/>
        </w:trPr>
        <w:tc>
          <w:tcPr>
            <w:tcW w:w="6700" w:type="dxa"/>
            <w:vAlign w:val="bottom"/>
            <w:tcBorders>
              <w:bottom w:val="single" w:sz="8" w:color="CCEEFF"/>
            </w:tcBorders>
          </w:tcPr>
          <w:p>
            <w:pPr>
              <w:ind w:left="5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9,115,217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9,605,862</w:t>
            </w:r>
          </w:p>
        </w:tc>
      </w:tr>
      <w:tr>
        <w:trPr>
          <w:trHeight w:val="23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AND EQUITY:</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Mortgage notes payable:</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Related parties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169,038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171,569</w:t>
            </w: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Others</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4,066,059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4,066,511</w:t>
            </w:r>
          </w:p>
        </w:tc>
      </w:tr>
      <w:tr>
        <w:trPr>
          <w:trHeight w:val="27"/>
        </w:trPr>
        <w:tc>
          <w:tcPr>
            <w:tcW w:w="6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4,235,097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4,238,080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Bank and other notes payable</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732,801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932,184</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58,412</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292,725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325,701</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in excess of investments in unconsolidated joint ventures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83,486</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Financing arrangement obligation</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389,323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7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5,800,042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5,637,863</w:t>
            </w: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6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Common stock, $0.01 par value, 250,000,000 shares authorized, 141,184,335 and</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6"/>
        </w:trPr>
        <w:tc>
          <w:tcPr>
            <w:tcW w:w="6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140,993,985 shares issued and outstanding at June 30, 2018 and December 31, 2017,</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7"/>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w:t>
            </w: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4,558,873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4,510,489</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(1,489,742)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(830,279)</w:t>
            </w: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6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3,070,510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3,681,578</w:t>
            </w: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244,665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286,421</w:t>
            </w:r>
          </w:p>
        </w:tc>
      </w:tr>
      <w:tr>
        <w:trPr>
          <w:trHeight w:val="27"/>
        </w:trPr>
        <w:tc>
          <w:tcPr>
            <w:tcW w:w="6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7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3,315,175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3,967,999</w:t>
            </w:r>
          </w:p>
        </w:tc>
      </w:tr>
      <w:tr>
        <w:trPr>
          <w:trHeight w:val="257"/>
        </w:trPr>
        <w:tc>
          <w:tcPr>
            <w:tcW w:w="6700" w:type="dxa"/>
            <w:vAlign w:val="bottom"/>
          </w:tcPr>
          <w:p>
            <w:pPr>
              <w:ind w:left="58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9,115,217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9,605,862</w:t>
            </w:r>
          </w:p>
        </w:tc>
      </w:tr>
      <w:tr>
        <w:trPr>
          <w:trHeight w:val="20"/>
        </w:trPr>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320"/>
          </w:cols>
          <w:pgMar w:left="240" w:top="121" w:right="13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370"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For the Three Months Ended</w:t>
            </w:r>
          </w:p>
        </w:tc>
        <w:tc>
          <w:tcPr>
            <w:tcW w:w="2020" w:type="dxa"/>
            <w:vAlign w:val="bottom"/>
            <w:gridSpan w:val="6"/>
          </w:tcPr>
          <w:p>
            <w:pPr>
              <w:jc w:val="right"/>
              <w:spacing w:after="0"/>
              <w:rPr>
                <w:sz w:val="20"/>
                <w:szCs w:val="20"/>
                <w:color w:val="auto"/>
              </w:rPr>
            </w:pPr>
            <w:r>
              <w:rPr>
                <w:rFonts w:ascii="Arial" w:cs="Arial" w:eastAsia="Arial" w:hAnsi="Arial"/>
                <w:sz w:val="14"/>
                <w:szCs w:val="14"/>
                <w:b w:val="1"/>
                <w:bCs w:val="1"/>
                <w:color w:val="auto"/>
                <w:w w:val="94"/>
              </w:rPr>
              <w:t>For the Six Months Ended June</w:t>
            </w:r>
          </w:p>
        </w:tc>
        <w:tc>
          <w:tcPr>
            <w:tcW w:w="0" w:type="dxa"/>
            <w:vAlign w:val="bottom"/>
          </w:tcPr>
          <w:p>
            <w:pPr>
              <w:spacing w:after="0"/>
              <w:rPr>
                <w:sz w:val="1"/>
                <w:szCs w:val="1"/>
                <w:color w:val="auto"/>
              </w:rPr>
            </w:pPr>
          </w:p>
        </w:tc>
      </w:tr>
      <w:tr>
        <w:trPr>
          <w:trHeight w:val="192"/>
        </w:trPr>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w w:val="92"/>
              </w:rPr>
              <w:t>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440" w:type="dxa"/>
            <w:vAlign w:val="bottom"/>
          </w:tcPr>
          <w:p>
            <w:pPr>
              <w:ind w:left="140"/>
              <w:spacing w:after="0"/>
              <w:rPr>
                <w:sz w:val="20"/>
                <w:szCs w:val="20"/>
                <w:color w:val="auto"/>
              </w:rPr>
            </w:pPr>
            <w:r>
              <w:rPr>
                <w:rFonts w:ascii="Arial" w:cs="Arial" w:eastAsia="Arial" w:hAnsi="Arial"/>
                <w:sz w:val="14"/>
                <w:szCs w:val="14"/>
                <w:color w:val="auto"/>
              </w:rPr>
              <w:t>Minimum rents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142,883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152,893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285,290</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298,448</w:t>
            </w:r>
          </w:p>
        </w:tc>
        <w:tc>
          <w:tcPr>
            <w:tcW w:w="0" w:type="dxa"/>
            <w:vAlign w:val="bottom"/>
          </w:tcPr>
          <w:p>
            <w:pPr>
              <w:spacing w:after="0"/>
              <w:rPr>
                <w:sz w:val="1"/>
                <w:szCs w:val="1"/>
                <w:color w:val="auto"/>
              </w:rPr>
            </w:pPr>
          </w:p>
        </w:tc>
      </w:tr>
      <w:tr>
        <w:trPr>
          <w:trHeight w:val="276"/>
        </w:trPr>
        <w:tc>
          <w:tcPr>
            <w:tcW w:w="4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Percentage rents</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3,399</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3,978</w:t>
            </w:r>
          </w:p>
        </w:tc>
        <w:tc>
          <w:tcPr>
            <w:tcW w:w="0" w:type="dxa"/>
            <w:vAlign w:val="bottom"/>
          </w:tcPr>
          <w:p>
            <w:pPr>
              <w:spacing w:after="0"/>
              <w:rPr>
                <w:sz w:val="1"/>
                <w:szCs w:val="1"/>
                <w:color w:val="auto"/>
              </w:rPr>
            </w:pPr>
          </w:p>
        </w:tc>
      </w:tr>
      <w:tr>
        <w:trPr>
          <w:trHeight w:val="264"/>
        </w:trPr>
        <w:tc>
          <w:tcPr>
            <w:tcW w:w="4440" w:type="dxa"/>
            <w:vAlign w:val="bottom"/>
          </w:tcPr>
          <w:p>
            <w:pPr>
              <w:ind w:left="140"/>
              <w:spacing w:after="0"/>
              <w:rPr>
                <w:sz w:val="20"/>
                <w:szCs w:val="20"/>
                <w:color w:val="auto"/>
              </w:rPr>
            </w:pPr>
            <w:r>
              <w:rPr>
                <w:rFonts w:ascii="Arial" w:cs="Arial" w:eastAsia="Arial" w:hAnsi="Arial"/>
                <w:sz w:val="14"/>
                <w:szCs w:val="14"/>
                <w:color w:val="auto"/>
              </w:rPr>
              <w:t>Tenant recoveries</w:t>
            </w:r>
          </w:p>
        </w:tc>
        <w:tc>
          <w:tcPr>
            <w:tcW w:w="12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66,762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68,948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134,854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141,360</w:t>
            </w:r>
          </w:p>
        </w:tc>
        <w:tc>
          <w:tcPr>
            <w:tcW w:w="0" w:type="dxa"/>
            <w:vAlign w:val="bottom"/>
          </w:tcPr>
          <w:p>
            <w:pPr>
              <w:spacing w:after="0"/>
              <w:rPr>
                <w:sz w:val="1"/>
                <w:szCs w:val="1"/>
                <w:color w:val="auto"/>
              </w:rPr>
            </w:pPr>
          </w:p>
        </w:tc>
      </w:tr>
      <w:tr>
        <w:trPr>
          <w:trHeight w:val="276"/>
        </w:trPr>
        <w:tc>
          <w:tcPr>
            <w:tcW w:w="4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12,889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26,698</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28,783</w:t>
            </w:r>
          </w:p>
        </w:tc>
        <w:tc>
          <w:tcPr>
            <w:tcW w:w="0" w:type="dxa"/>
            <w:vAlign w:val="bottom"/>
          </w:tcPr>
          <w:p>
            <w:pPr>
              <w:spacing w:after="0"/>
              <w:rPr>
                <w:sz w:val="1"/>
                <w:szCs w:val="1"/>
                <w:color w:val="auto"/>
              </w:rPr>
            </w:pPr>
          </w:p>
        </w:tc>
      </w:tr>
      <w:tr>
        <w:trPr>
          <w:trHeight w:val="264"/>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Management Companies</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10,496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10,003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21,038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21,899</w:t>
            </w:r>
          </w:p>
        </w:tc>
        <w:tc>
          <w:tcPr>
            <w:tcW w:w="0" w:type="dxa"/>
            <w:vAlign w:val="bottom"/>
          </w:tcPr>
          <w:p>
            <w:pPr>
              <w:spacing w:after="0"/>
              <w:rPr>
                <w:sz w:val="1"/>
                <w:szCs w:val="1"/>
                <w:color w:val="auto"/>
              </w:rPr>
            </w:pPr>
          </w:p>
        </w:tc>
      </w:tr>
      <w:tr>
        <w:trPr>
          <w:trHeight w:val="256"/>
        </w:trPr>
        <w:tc>
          <w:tcPr>
            <w:tcW w:w="4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revenues</w:t>
            </w: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234,545</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247,423</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471,279</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494,468</w:t>
            </w:r>
          </w:p>
        </w:tc>
        <w:tc>
          <w:tcPr>
            <w:tcW w:w="0" w:type="dxa"/>
            <w:vAlign w:val="bottom"/>
          </w:tcPr>
          <w:p>
            <w:pPr>
              <w:spacing w:after="0"/>
              <w:rPr>
                <w:sz w:val="1"/>
                <w:szCs w:val="1"/>
                <w:color w:val="auto"/>
              </w:rPr>
            </w:pPr>
          </w:p>
        </w:tc>
      </w:tr>
      <w:tr>
        <w:trPr>
          <w:trHeight w:val="258"/>
        </w:trPr>
        <w:tc>
          <w:tcPr>
            <w:tcW w:w="4440" w:type="dxa"/>
            <w:vAlign w:val="bottom"/>
          </w:tcPr>
          <w:p>
            <w:pPr>
              <w:ind w:left="2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Shopping center and operating expenses</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68,072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71,032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142,582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146,929</w:t>
            </w:r>
          </w:p>
        </w:tc>
        <w:tc>
          <w:tcPr>
            <w:tcW w:w="0" w:type="dxa"/>
            <w:vAlign w:val="bottom"/>
          </w:tcPr>
          <w:p>
            <w:pPr>
              <w:spacing w:after="0"/>
              <w:rPr>
                <w:sz w:val="1"/>
                <w:szCs w:val="1"/>
                <w:color w:val="auto"/>
              </w:rPr>
            </w:pPr>
          </w:p>
        </w:tc>
      </w:tr>
      <w:tr>
        <w:trPr>
          <w:trHeight w:val="264"/>
        </w:trPr>
        <w:tc>
          <w:tcPr>
            <w:tcW w:w="4440" w:type="dxa"/>
            <w:vAlign w:val="bottom"/>
          </w:tcPr>
          <w:p>
            <w:pPr>
              <w:ind w:left="140"/>
              <w:spacing w:after="0"/>
              <w:rPr>
                <w:sz w:val="20"/>
                <w:szCs w:val="20"/>
                <w:color w:val="auto"/>
              </w:rPr>
            </w:pPr>
            <w:r>
              <w:rPr>
                <w:rFonts w:ascii="Arial" w:cs="Arial" w:eastAsia="Arial" w:hAnsi="Arial"/>
                <w:sz w:val="14"/>
                <w:szCs w:val="14"/>
                <w:color w:val="auto"/>
              </w:rPr>
              <w:t>Management Companies' operating expenses</w:t>
            </w:r>
          </w:p>
        </w:tc>
        <w:tc>
          <w:tcPr>
            <w:tcW w:w="12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20,966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26,216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59,289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54,733</w:t>
            </w:r>
          </w:p>
        </w:tc>
        <w:tc>
          <w:tcPr>
            <w:tcW w:w="0" w:type="dxa"/>
            <w:vAlign w:val="bottom"/>
          </w:tcPr>
          <w:p>
            <w:pPr>
              <w:spacing w:after="0"/>
              <w:rPr>
                <w:sz w:val="1"/>
                <w:szCs w:val="1"/>
                <w:color w:val="auto"/>
              </w:rPr>
            </w:pPr>
          </w:p>
        </w:tc>
      </w:tr>
      <w:tr>
        <w:trPr>
          <w:trHeight w:val="276"/>
        </w:trPr>
        <w:tc>
          <w:tcPr>
            <w:tcW w:w="4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REIT general and administrative expenses</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4,956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12,975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15,921</w:t>
            </w:r>
          </w:p>
        </w:tc>
        <w:tc>
          <w:tcPr>
            <w:tcW w:w="0" w:type="dxa"/>
            <w:vAlign w:val="bottom"/>
          </w:tcPr>
          <w:p>
            <w:pPr>
              <w:spacing w:after="0"/>
              <w:rPr>
                <w:sz w:val="1"/>
                <w:szCs w:val="1"/>
                <w:color w:val="auto"/>
              </w:rPr>
            </w:pPr>
          </w:p>
        </w:tc>
      </w:tr>
      <w:tr>
        <w:trPr>
          <w:trHeight w:val="264"/>
        </w:trPr>
        <w:tc>
          <w:tcPr>
            <w:tcW w:w="4440" w:type="dxa"/>
            <w:vAlign w:val="bottom"/>
          </w:tcPr>
          <w:p>
            <w:pPr>
              <w:ind w:left="140"/>
              <w:spacing w:after="0"/>
              <w:rPr>
                <w:sz w:val="20"/>
                <w:szCs w:val="20"/>
                <w:color w:val="auto"/>
              </w:rPr>
            </w:pPr>
            <w:r>
              <w:rPr>
                <w:rFonts w:ascii="Arial" w:cs="Arial" w:eastAsia="Arial" w:hAnsi="Arial"/>
                <w:sz w:val="14"/>
                <w:szCs w:val="14"/>
                <w:color w:val="auto"/>
              </w:rPr>
              <w:t>Costs related to shareholder activism</w:t>
            </w:r>
          </w:p>
        </w:tc>
        <w:tc>
          <w:tcPr>
            <w:tcW w:w="12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19,369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19,369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78,868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83,243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158,805</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166,316</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192,231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187,949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393,020</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383,899</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(income) expense:</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440" w:type="dxa"/>
            <w:vAlign w:val="bottom"/>
          </w:tcPr>
          <w:p>
            <w:pPr>
              <w:ind w:left="360"/>
              <w:spacing w:after="0"/>
              <w:rPr>
                <w:sz w:val="20"/>
                <w:szCs w:val="20"/>
                <w:color w:val="auto"/>
              </w:rPr>
            </w:pPr>
            <w:r>
              <w:rPr>
                <w:rFonts w:ascii="Arial" w:cs="Arial" w:eastAsia="Arial" w:hAnsi="Arial"/>
                <w:sz w:val="14"/>
                <w:szCs w:val="14"/>
                <w:color w:val="auto"/>
              </w:rPr>
              <w:t>Related parties</w:t>
            </w: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(2,762)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2,181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7,407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4,392</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41,677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40,140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84,143</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79,230</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38,915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42,321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91,550</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83,622</w:t>
            </w:r>
          </w:p>
        </w:tc>
        <w:tc>
          <w:tcPr>
            <w:tcW w:w="0" w:type="dxa"/>
            <w:vAlign w:val="bottom"/>
          </w:tcPr>
          <w:p>
            <w:pPr>
              <w:spacing w:after="0"/>
              <w:rPr>
                <w:sz w:val="1"/>
                <w:szCs w:val="1"/>
                <w:color w:val="auto"/>
              </w:rPr>
            </w:pPr>
          </w:p>
        </w:tc>
      </w:tr>
      <w:tr>
        <w:trPr>
          <w:trHeight w:val="256"/>
        </w:trPr>
        <w:tc>
          <w:tcPr>
            <w:tcW w:w="4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expenses</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231,146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230,270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484,570</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467,521</w:t>
            </w:r>
          </w:p>
        </w:tc>
        <w:tc>
          <w:tcPr>
            <w:tcW w:w="0" w:type="dxa"/>
            <w:vAlign w:val="bottom"/>
          </w:tcPr>
          <w:p>
            <w:pPr>
              <w:spacing w:after="0"/>
              <w:rPr>
                <w:sz w:val="1"/>
                <w:szCs w:val="1"/>
                <w:color w:val="auto"/>
              </w:rPr>
            </w:pPr>
          </w:p>
        </w:tc>
      </w:tr>
      <w:tr>
        <w:trPr>
          <w:trHeight w:val="264"/>
        </w:trPr>
        <w:tc>
          <w:tcPr>
            <w:tcW w:w="4440" w:type="dxa"/>
            <w:vAlign w:val="bottom"/>
          </w:tcPr>
          <w:p>
            <w:pPr>
              <w:ind w:left="20"/>
              <w:spacing w:after="0"/>
              <w:rPr>
                <w:sz w:val="20"/>
                <w:szCs w:val="20"/>
                <w:color w:val="auto"/>
              </w:rPr>
            </w:pPr>
            <w:r>
              <w:rPr>
                <w:rFonts w:ascii="Arial" w:cs="Arial" w:eastAsia="Arial" w:hAnsi="Arial"/>
                <w:sz w:val="14"/>
                <w:szCs w:val="14"/>
                <w:color w:val="auto"/>
              </w:rPr>
              <w:t>Equity in income of unconsolidated joint ventures</w:t>
            </w:r>
          </w:p>
        </w:tc>
        <w:tc>
          <w:tcPr>
            <w:tcW w:w="12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15,669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16,936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32,541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32,779</w:t>
            </w:r>
          </w:p>
        </w:tc>
        <w:tc>
          <w:tcPr>
            <w:tcW w:w="0" w:type="dxa"/>
            <w:vAlign w:val="bottom"/>
          </w:tcPr>
          <w:p>
            <w:pPr>
              <w:spacing w:after="0"/>
              <w:rPr>
                <w:sz w:val="1"/>
                <w:szCs w:val="1"/>
                <w:color w:val="auto"/>
              </w:rPr>
            </w:pPr>
          </w:p>
        </w:tc>
      </w:tr>
      <w:tr>
        <w:trPr>
          <w:trHeight w:val="276"/>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Co-venture expense</w:t>
            </w: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w:t>
            </w:r>
          </w:p>
        </w:tc>
        <w:tc>
          <w:tcPr>
            <w:tcW w:w="0" w:type="dxa"/>
            <w:vAlign w:val="bottom"/>
          </w:tcPr>
          <w:p>
            <w:pPr>
              <w:spacing w:after="0"/>
              <w:rPr>
                <w:sz w:val="1"/>
                <w:szCs w:val="1"/>
                <w:color w:val="auto"/>
              </w:rPr>
            </w:pPr>
          </w:p>
        </w:tc>
      </w:tr>
      <w:tr>
        <w:trPr>
          <w:trHeight w:val="264"/>
        </w:trPr>
        <w:tc>
          <w:tcPr>
            <w:tcW w:w="4440" w:type="dxa"/>
            <w:vAlign w:val="bottom"/>
          </w:tcPr>
          <w:p>
            <w:pPr>
              <w:ind w:left="20"/>
              <w:spacing w:after="0"/>
              <w:rPr>
                <w:sz w:val="20"/>
                <w:szCs w:val="20"/>
                <w:color w:val="auto"/>
              </w:rPr>
            </w:pPr>
            <w:r>
              <w:rPr>
                <w:rFonts w:ascii="Arial" w:cs="Arial" w:eastAsia="Arial" w:hAnsi="Arial"/>
                <w:sz w:val="14"/>
                <w:szCs w:val="14"/>
                <w:color w:val="auto"/>
              </w:rPr>
              <w:t>Income tax (expense) benefit</w:t>
            </w: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2,265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3,047</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gain on sale or write down of assets, net</w:t>
            </w: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(9,518)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(47,030)</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49,088</w:t>
            </w:r>
          </w:p>
        </w:tc>
        <w:tc>
          <w:tcPr>
            <w:tcW w:w="0" w:type="dxa"/>
            <w:vAlign w:val="bottom"/>
          </w:tcPr>
          <w:p>
            <w:pPr>
              <w:spacing w:after="0"/>
              <w:rPr>
                <w:sz w:val="1"/>
                <w:szCs w:val="1"/>
                <w:color w:val="auto"/>
              </w:rPr>
            </w:pPr>
          </w:p>
        </w:tc>
      </w:tr>
      <w:tr>
        <w:trPr>
          <w:trHeight w:val="250"/>
        </w:trPr>
        <w:tc>
          <w:tcPr>
            <w:tcW w:w="44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8,866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29,052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(25,515)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103,861</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2,414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7,980</w:t>
            </w:r>
          </w:p>
        </w:tc>
        <w:tc>
          <w:tcPr>
            <w:tcW w:w="0" w:type="dxa"/>
            <w:vAlign w:val="bottom"/>
          </w:tcPr>
          <w:p>
            <w:pPr>
              <w:spacing w:after="0"/>
              <w:rPr>
                <w:sz w:val="1"/>
                <w:szCs w:val="1"/>
                <w:color w:val="auto"/>
              </w:rPr>
            </w:pPr>
          </w:p>
        </w:tc>
      </w:tr>
      <w:tr>
        <w:trPr>
          <w:trHeight w:val="283"/>
        </w:trPr>
        <w:tc>
          <w:tcPr>
            <w:tcW w:w="4440" w:type="dxa"/>
            <w:vAlign w:val="bottom"/>
          </w:tcPr>
          <w:p>
            <w:pPr>
              <w:ind w:left="20"/>
              <w:spacing w:after="0"/>
              <w:rPr>
                <w:sz w:val="20"/>
                <w:szCs w:val="20"/>
                <w:color w:val="auto"/>
              </w:rPr>
            </w:pPr>
            <w:r>
              <w:rPr>
                <w:rFonts w:ascii="Arial" w:cs="Arial" w:eastAsia="Arial" w:hAnsi="Arial"/>
                <w:sz w:val="14"/>
                <w:szCs w:val="14"/>
                <w:color w:val="auto"/>
              </w:rPr>
              <w:t>Net income (loss) attributable to the Company</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7,816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26,638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(25,757)</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95,881</w:t>
            </w:r>
          </w:p>
        </w:tc>
        <w:tc>
          <w:tcPr>
            <w:tcW w:w="0" w:type="dxa"/>
            <w:vAlign w:val="bottom"/>
          </w:tcPr>
          <w:p>
            <w:pPr>
              <w:spacing w:after="0"/>
              <w:rPr>
                <w:sz w:val="1"/>
                <w:szCs w:val="1"/>
                <w:color w:val="auto"/>
              </w:rPr>
            </w:pPr>
          </w:p>
        </w:tc>
      </w:tr>
      <w:tr>
        <w:trPr>
          <w:trHeight w:val="251"/>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6"/>
              </w:rPr>
              <w:t>Earnings per common share—attributable to common stockholders:</w:t>
            </w:r>
          </w:p>
        </w:tc>
        <w:tc>
          <w:tcPr>
            <w:tcW w:w="12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Basic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0.05</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(0.19)</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0.67</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0.67</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 average number of common shares outstanding: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4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5"/>
              </w:rPr>
              <w:t>141,137,000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2"/>
              </w:rPr>
              <w:t>141,695,000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141,081,000</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2"/>
              </w:rPr>
              <w:t>142,640,000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tcPr>
          <w:p>
            <w:pPr>
              <w:ind w:left="140"/>
              <w:spacing w:after="0"/>
              <w:rPr>
                <w:sz w:val="20"/>
                <w:szCs w:val="20"/>
                <w:color w:val="auto"/>
              </w:rPr>
            </w:pPr>
            <w:r>
              <w:rPr>
                <w:rFonts w:ascii="Arial" w:cs="Arial" w:eastAsia="Arial" w:hAnsi="Arial"/>
                <w:sz w:val="14"/>
                <w:szCs w:val="14"/>
                <w:color w:val="auto"/>
              </w:rPr>
              <w:t>Diluted</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5"/>
              </w:rPr>
              <w:t>141,137,000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2"/>
              </w:rPr>
              <w:t>141,728,000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141,081,000</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2"/>
              </w:rPr>
              <w:t>142,687,000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122" w:right="1440"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0219"/>
          </w:cols>
          <w:pgMar w:left="240" w:top="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Other comprehensive income (loss):</w:t>
      </w:r>
    </w:p>
    <w:p>
      <w:pPr>
        <w:spacing w:after="0" w:line="109"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Interest rate cap</w:t>
      </w:r>
    </w:p>
    <w:p>
      <w:pPr>
        <w:spacing w:after="0" w:line="109"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Comprehensive income (loss)</w:t>
      </w:r>
    </w:p>
    <w:p>
      <w:pPr>
        <w:spacing w:after="0" w:line="109" w:lineRule="exact"/>
        <w:rPr>
          <w:sz w:val="20"/>
          <w:szCs w:val="20"/>
          <w:color w:val="auto"/>
        </w:rPr>
      </w:pPr>
    </w:p>
    <w:p>
      <w:pPr>
        <w:ind w:left="1440" w:right="480"/>
        <w:spacing w:after="0" w:line="486" w:lineRule="auto"/>
        <w:rPr>
          <w:sz w:val="20"/>
          <w:szCs w:val="20"/>
          <w:color w:val="auto"/>
        </w:rPr>
      </w:pPr>
      <w:r>
        <w:rPr>
          <w:rFonts w:ascii="Arial" w:cs="Arial" w:eastAsia="Arial" w:hAnsi="Arial"/>
          <w:sz w:val="13"/>
          <w:szCs w:val="13"/>
          <w:color w:val="auto"/>
        </w:rPr>
        <w:t>Less net income attributable to noncontrolling interests Comprehensive income (loss) attributable to the Company</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3"/>
              </w:rPr>
              <w:t>For the Three Months Ended</w:t>
            </w:r>
          </w:p>
        </w:tc>
        <w:tc>
          <w:tcPr>
            <w:tcW w:w="120" w:type="dxa"/>
            <w:vAlign w:val="bottom"/>
          </w:tcPr>
          <w:p>
            <w:pPr>
              <w:spacing w:after="0"/>
              <w:rPr>
                <w:sz w:val="14"/>
                <w:szCs w:val="14"/>
                <w:color w:val="auto"/>
              </w:rPr>
            </w:pPr>
          </w:p>
        </w:tc>
        <w:tc>
          <w:tcPr>
            <w:tcW w:w="182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w w:val="94"/>
              </w:rPr>
              <w:t>For the Six Months Ended</w:t>
            </w:r>
          </w:p>
        </w:tc>
      </w:tr>
      <w:tr>
        <w:trPr>
          <w:trHeight w:val="192"/>
        </w:trPr>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left="388"/>
              <w:spacing w:after="0"/>
              <w:rPr>
                <w:sz w:val="20"/>
                <w:szCs w:val="20"/>
                <w:color w:val="auto"/>
              </w:rPr>
            </w:pPr>
            <w:r>
              <w:rPr>
                <w:rFonts w:ascii="Arial" w:cs="Arial" w:eastAsia="Arial" w:hAnsi="Arial"/>
                <w:sz w:val="14"/>
                <w:szCs w:val="14"/>
                <w:b w:val="1"/>
                <w:bCs w:val="1"/>
                <w:color w:val="auto"/>
                <w:w w:val="89"/>
              </w:rPr>
              <w:t>June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r>
      <w:tr>
        <w:trPr>
          <w:trHeight w:val="264"/>
        </w:trPr>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r>
      <w:tr>
        <w:trPr>
          <w:trHeight w:val="244"/>
        </w:trPr>
        <w:tc>
          <w:tcPr>
            <w:tcW w:w="220" w:type="dxa"/>
            <w:vAlign w:val="bottom"/>
          </w:tcPr>
          <w:p>
            <w:pPr>
              <w:spacing w:after="0"/>
              <w:rPr>
                <w:sz w:val="21"/>
                <w:szCs w:val="21"/>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8,866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29,052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(25,515)</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103,861</w:t>
            </w:r>
          </w:p>
        </w:tc>
      </w:tr>
      <w:tr>
        <w:trPr>
          <w:trHeight w:val="546"/>
        </w:trPr>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4"/>
        </w:trPr>
        <w:tc>
          <w:tcPr>
            <w:tcW w:w="2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8,814</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29,052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(25,506)</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103,861</w:t>
            </w:r>
          </w:p>
        </w:tc>
      </w:tr>
      <w:tr>
        <w:trPr>
          <w:trHeight w:val="276"/>
        </w:trPr>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1,050</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2,414</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7,980</w:t>
            </w:r>
          </w:p>
        </w:tc>
      </w:tr>
      <w:tr>
        <w:trPr>
          <w:trHeight w:val="237"/>
        </w:trPr>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7,764</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26,638</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(25,748)</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95,881</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-1045845</wp:posOffset>
            </wp:positionV>
            <wp:extent cx="547116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71160" cy="17145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-702310</wp:posOffset>
            </wp:positionV>
            <wp:extent cx="547116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71160" cy="17145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-359410</wp:posOffset>
            </wp:positionV>
            <wp:extent cx="547116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71160" cy="171450"/>
                    </a:xfrm>
                    <a:prstGeom prst="rect">
                      <a:avLst/>
                    </a:prstGeom>
                    <a:noFill/>
                  </pic:spPr>
                </pic:pic>
              </a:graphicData>
            </a:graphic>
          </wp:anchor>
        </w:drawing>
      </w:r>
    </w:p>
    <w:p>
      <w:pPr>
        <w:spacing w:after="0" w:line="256" w:lineRule="exact"/>
        <w:rPr>
          <w:sz w:val="20"/>
          <w:szCs w:val="20"/>
          <w:color w:val="auto"/>
        </w:rPr>
      </w:pPr>
    </w:p>
    <w:p>
      <w:pPr>
        <w:sectPr>
          <w:pgSz w:w="11900" w:h="16838" w:orient="portrait"/>
          <w:cols w:equalWidth="0" w:num="2">
            <w:col w:w="5280" w:space="720"/>
            <w:col w:w="4219"/>
          </w:cols>
          <w:pgMar w:left="240" w:top="122" w:right="1440" w:bottom="1440" w:gutter="0" w:footer="0" w:header="0"/>
          <w:type w:val="continuous"/>
        </w:sectPr>
      </w:pPr>
    </w:p>
    <w:p>
      <w:pPr>
        <w:ind w:left="280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122" w:right="1440"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159"/>
        <w:spacing w:after="0"/>
        <w:rPr>
          <w:sz w:val="20"/>
          <w:szCs w:val="20"/>
          <w:color w:val="auto"/>
        </w:rPr>
      </w:pPr>
      <w:r>
        <w:rPr>
          <w:rFonts w:ascii="Arial" w:cs="Arial" w:eastAsia="Arial" w:hAnsi="Arial"/>
          <w:sz w:val="18"/>
          <w:szCs w:val="18"/>
          <w:b w:val="1"/>
          <w:bCs w:val="1"/>
          <w:color w:val="auto"/>
        </w:rPr>
        <w:t>CONSOLIDATED STATEMENT OF EQUITY</w:t>
      </w:r>
    </w:p>
    <w:p>
      <w:pPr>
        <w:spacing w:after="0" w:line="279" w:lineRule="exact"/>
        <w:rPr>
          <w:sz w:val="20"/>
          <w:szCs w:val="20"/>
          <w:color w:val="auto"/>
        </w:rPr>
      </w:pPr>
    </w:p>
    <w:p>
      <w:pPr>
        <w:jc w:val="center"/>
        <w:ind w:right="-115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7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1180" w:type="dxa"/>
        <w:tblCellMar>
          <w:top w:w="0" w:type="dxa"/>
          <w:left w:w="0" w:type="dxa"/>
          <w:bottom w:w="0" w:type="dxa"/>
          <w:right w:w="0" w:type="dxa"/>
        </w:tblCellMar>
      </w:tblPr>
      <w:tr>
        <w:trPr>
          <w:trHeight w:val="174"/>
        </w:trPr>
        <w:tc>
          <w:tcPr>
            <w:tcW w:w="9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ind w:left="660"/>
              <w:spacing w:after="0"/>
              <w:rPr>
                <w:sz w:val="20"/>
                <w:szCs w:val="20"/>
                <w:color w:val="auto"/>
              </w:rPr>
            </w:pPr>
            <w:r>
              <w:rPr>
                <w:rFonts w:ascii="Arial" w:cs="Arial" w:eastAsia="Arial" w:hAnsi="Arial"/>
                <w:sz w:val="13"/>
                <w:szCs w:val="13"/>
                <w:b w:val="1"/>
                <w:bCs w:val="1"/>
                <w:color w:val="auto"/>
                <w:w w:val="97"/>
              </w:rPr>
              <w:t>Stockholders' Equity</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80" w:type="dxa"/>
            <w:vAlign w:val="bottom"/>
          </w:tcPr>
          <w:p>
            <w:pPr>
              <w:spacing w:after="0"/>
              <w:rPr>
                <w:sz w:val="22"/>
                <w:szCs w:val="22"/>
                <w:color w:val="auto"/>
              </w:rPr>
            </w:pPr>
          </w:p>
        </w:tc>
        <w:tc>
          <w:tcPr>
            <w:tcW w:w="1560" w:type="dxa"/>
            <w:vAlign w:val="bottom"/>
            <w:tcBorders>
              <w:bottom w:val="single" w:sz="8" w:color="auto"/>
            </w:tcBorders>
            <w:gridSpan w:val="4"/>
          </w:tcPr>
          <w:p>
            <w:pPr>
              <w:jc w:val="right"/>
              <w:ind w:right="289"/>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3"/>
          </w:tcPr>
          <w:p>
            <w:pPr>
              <w:ind w:left="40"/>
              <w:spacing w:after="0"/>
              <w:rPr>
                <w:sz w:val="20"/>
                <w:szCs w:val="20"/>
                <w:color w:val="auto"/>
              </w:rPr>
            </w:pPr>
            <w:r>
              <w:rPr>
                <w:rFonts w:ascii="Arial" w:cs="Arial" w:eastAsia="Arial" w:hAnsi="Arial"/>
                <w:sz w:val="13"/>
                <w:szCs w:val="13"/>
                <w:b w:val="1"/>
                <w:bCs w:val="1"/>
                <w:color w:val="auto"/>
              </w:rPr>
              <w:t>Accumulated Other</w:t>
            </w:r>
          </w:p>
        </w:tc>
        <w:tc>
          <w:tcPr>
            <w:tcW w:w="120" w:type="dxa"/>
            <w:vAlign w:val="bottom"/>
          </w:tcPr>
          <w:p>
            <w:pPr>
              <w:spacing w:after="0"/>
              <w:rPr>
                <w:sz w:val="22"/>
                <w:szCs w:val="2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Total</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5"/>
              </w:rPr>
              <w:t>Par</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7"/>
              </w:rPr>
              <w:t>Paid-in</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4"/>
              </w:rPr>
              <w:t>Comprehensive</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6"/>
              </w:rPr>
              <w:t>Stockholders'</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6"/>
              </w:rPr>
              <w:t>Noncontrolling</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980" w:type="dxa"/>
            <w:vAlign w:val="bottom"/>
          </w:tcPr>
          <w:p>
            <w:pPr>
              <w:spacing w:after="0"/>
              <w:rPr>
                <w:sz w:val="15"/>
                <w:szCs w:val="15"/>
                <w:color w:val="auto"/>
              </w:rPr>
            </w:pPr>
          </w:p>
        </w:tc>
        <w:tc>
          <w:tcPr>
            <w:tcW w:w="96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(Loss) Income</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Interests</w:t>
            </w:r>
          </w:p>
        </w:tc>
        <w:tc>
          <w:tcPr>
            <w:tcW w:w="82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w w:val="96"/>
              </w:rPr>
              <w:t>Total Equity</w:t>
            </w:r>
          </w:p>
        </w:tc>
        <w:tc>
          <w:tcPr>
            <w:tcW w:w="0" w:type="dxa"/>
            <w:vAlign w:val="bottom"/>
          </w:tcPr>
          <w:p>
            <w:pPr>
              <w:spacing w:after="0"/>
              <w:rPr>
                <w:sz w:val="1"/>
                <w:szCs w:val="1"/>
                <w:color w:val="auto"/>
              </w:rPr>
            </w:pPr>
          </w:p>
        </w:tc>
      </w:tr>
      <w:tr>
        <w:trPr>
          <w:trHeight w:val="143"/>
        </w:trPr>
        <w:tc>
          <w:tcPr>
            <w:tcW w:w="98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Balance at</w:t>
            </w: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January 1, 2018</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140,993,985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4,510,489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(830,279)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3,681,578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286,421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3,967,999</w:t>
            </w:r>
          </w:p>
        </w:tc>
        <w:tc>
          <w:tcPr>
            <w:tcW w:w="0" w:type="dxa"/>
            <w:vAlign w:val="bottom"/>
          </w:tcPr>
          <w:p>
            <w:pPr>
              <w:spacing w:after="0"/>
              <w:rPr>
                <w:sz w:val="1"/>
                <w:szCs w:val="1"/>
                <w:color w:val="auto"/>
              </w:rPr>
            </w:pPr>
          </w:p>
        </w:tc>
      </w:tr>
      <w:tr>
        <w:trPr>
          <w:trHeight w:val="264"/>
        </w:trPr>
        <w:tc>
          <w:tcPr>
            <w:tcW w:w="980" w:type="dxa"/>
            <w:vAlign w:val="bottom"/>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(25,757)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(25,757)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(25,515)</w:t>
            </w: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effect of</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adoption of</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ASU 2014-09</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(424,859)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(424,859)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(424,859)</w:t>
            </w:r>
          </w:p>
        </w:tc>
        <w:tc>
          <w:tcPr>
            <w:tcW w:w="0" w:type="dxa"/>
            <w:vAlign w:val="bottom"/>
          </w:tcPr>
          <w:p>
            <w:pPr>
              <w:spacing w:after="0"/>
              <w:rPr>
                <w:sz w:val="1"/>
                <w:szCs w:val="1"/>
                <w:color w:val="auto"/>
              </w:rPr>
            </w:pPr>
          </w:p>
        </w:tc>
      </w:tr>
      <w:tr>
        <w:trPr>
          <w:trHeight w:val="157"/>
        </w:trPr>
        <w:tc>
          <w:tcPr>
            <w:tcW w:w="980" w:type="dxa"/>
            <w:vAlign w:val="bottom"/>
          </w:tcPr>
          <w:p>
            <w:pPr>
              <w:ind w:left="20"/>
              <w:spacing w:after="0" w:line="157" w:lineRule="exact"/>
              <w:rPr>
                <w:sz w:val="20"/>
                <w:szCs w:val="20"/>
                <w:color w:val="auto"/>
              </w:rPr>
            </w:pPr>
            <w:r>
              <w:rPr>
                <w:rFonts w:ascii="Arial" w:cs="Arial" w:eastAsia="Arial" w:hAnsi="Arial"/>
                <w:sz w:val="14"/>
                <w:szCs w:val="14"/>
                <w:color w:val="auto"/>
              </w:rPr>
              <w:t>Interest rate</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rPr>
                <w:sz w:val="20"/>
                <w:szCs w:val="20"/>
                <w:color w:val="auto"/>
              </w:rPr>
            </w:pPr>
            <w:r>
              <w:rPr>
                <w:rFonts w:ascii="Arial" w:cs="Arial" w:eastAsia="Arial" w:hAnsi="Arial"/>
                <w:sz w:val="14"/>
                <w:szCs w:val="14"/>
                <w:color w:val="auto"/>
              </w:rPr>
              <w:t>cap</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of share and</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unit-based</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118,407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23,602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23,603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23,603</w:t>
            </w:r>
          </w:p>
        </w:tc>
        <w:tc>
          <w:tcPr>
            <w:tcW w:w="0" w:type="dxa"/>
            <w:vAlign w:val="bottom"/>
          </w:tcPr>
          <w:p>
            <w:pPr>
              <w:spacing w:after="0"/>
              <w:rPr>
                <w:sz w:val="1"/>
                <w:szCs w:val="1"/>
                <w:color w:val="auto"/>
              </w:rPr>
            </w:pPr>
          </w:p>
        </w:tc>
      </w:tr>
      <w:tr>
        <w:trPr>
          <w:trHeight w:val="157"/>
        </w:trPr>
        <w:tc>
          <w:tcPr>
            <w:tcW w:w="980" w:type="dxa"/>
            <w:vAlign w:val="bottom"/>
          </w:tcPr>
          <w:p>
            <w:pPr>
              <w:ind w:left="20"/>
              <w:spacing w:after="0" w:line="157" w:lineRule="exact"/>
              <w:rPr>
                <w:sz w:val="20"/>
                <w:szCs w:val="20"/>
                <w:color w:val="auto"/>
              </w:rPr>
            </w:pPr>
            <w:r>
              <w:rPr>
                <w:rFonts w:ascii="Arial" w:cs="Arial" w:eastAsia="Arial" w:hAnsi="Arial"/>
                <w:sz w:val="14"/>
                <w:szCs w:val="14"/>
                <w:color w:val="auto"/>
              </w:rPr>
              <w:t>Employee</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rPr>
                <w:sz w:val="20"/>
                <w:szCs w:val="20"/>
                <w:color w:val="auto"/>
              </w:rPr>
            </w:pPr>
            <w:r>
              <w:rPr>
                <w:rFonts w:ascii="Arial" w:cs="Arial" w:eastAsia="Arial" w:hAnsi="Arial"/>
                <w:sz w:val="14"/>
                <w:szCs w:val="14"/>
                <w:color w:val="auto"/>
                <w:w w:val="92"/>
              </w:rPr>
              <w:t>stock purchases</w:t>
            </w:r>
          </w:p>
        </w:tc>
        <w:tc>
          <w:tcPr>
            <w:tcW w:w="860" w:type="dxa"/>
            <w:vAlign w:val="bottom"/>
          </w:tcPr>
          <w:p>
            <w:pPr>
              <w:jc w:val="right"/>
              <w:spacing w:after="0"/>
              <w:rPr>
                <w:sz w:val="20"/>
                <w:szCs w:val="20"/>
                <w:color w:val="auto"/>
              </w:rPr>
            </w:pPr>
            <w:r>
              <w:rPr>
                <w:rFonts w:ascii="Arial" w:cs="Arial" w:eastAsia="Arial" w:hAnsi="Arial"/>
                <w:sz w:val="14"/>
                <w:szCs w:val="14"/>
                <w:color w:val="auto"/>
              </w:rPr>
              <w:t>17,240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806</w:t>
            </w: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declared</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($1.48) per</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(208,847)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(208,847)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(208,847)</w:t>
            </w:r>
          </w:p>
        </w:tc>
        <w:tc>
          <w:tcPr>
            <w:tcW w:w="0" w:type="dxa"/>
            <w:vAlign w:val="bottom"/>
          </w:tcPr>
          <w:p>
            <w:pPr>
              <w:spacing w:after="0"/>
              <w:rPr>
                <w:sz w:val="1"/>
                <w:szCs w:val="1"/>
                <w:color w:val="auto"/>
              </w:rPr>
            </w:pPr>
          </w:p>
        </w:tc>
      </w:tr>
      <w:tr>
        <w:trPr>
          <w:trHeight w:val="157"/>
        </w:trPr>
        <w:tc>
          <w:tcPr>
            <w:tcW w:w="980" w:type="dxa"/>
            <w:vAlign w:val="bottom"/>
          </w:tcPr>
          <w:p>
            <w:pPr>
              <w:ind w:left="20"/>
              <w:spacing w:after="0" w:line="157" w:lineRule="exact"/>
              <w:rPr>
                <w:sz w:val="20"/>
                <w:szCs w:val="20"/>
                <w:color w:val="auto"/>
              </w:rPr>
            </w:pPr>
            <w:r>
              <w:rPr>
                <w:rFonts w:ascii="Arial" w:cs="Arial" w:eastAsia="Arial" w:hAnsi="Arial"/>
                <w:sz w:val="14"/>
                <w:szCs w:val="14"/>
                <w:color w:val="auto"/>
              </w:rPr>
              <w:t>Distributions to</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20"/>
              <w:spacing w:after="0" w:line="149" w:lineRule="exact"/>
              <w:rPr>
                <w:sz w:val="20"/>
                <w:szCs w:val="20"/>
                <w:color w:val="auto"/>
              </w:rPr>
            </w:pPr>
            <w:r>
              <w:rPr>
                <w:rFonts w:ascii="Arial" w:cs="Arial" w:eastAsia="Arial" w:hAnsi="Arial"/>
                <w:sz w:val="14"/>
                <w:szCs w:val="14"/>
                <w:color w:val="auto"/>
              </w:rPr>
              <w:t>noncontrolling</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rPr>
                <w:sz w:val="20"/>
                <w:szCs w:val="20"/>
                <w:color w:val="auto"/>
              </w:rPr>
            </w:pPr>
            <w:r>
              <w:rPr>
                <w:rFonts w:ascii="Arial" w:cs="Arial" w:eastAsia="Arial" w:hAnsi="Arial"/>
                <w:sz w:val="14"/>
                <w:szCs w:val="14"/>
                <w:color w:val="auto"/>
              </w:rPr>
              <w:t>interests</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(17,898)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(17,898)</w:t>
            </w: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noncontrolling</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interests to</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common shares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980" w:type="dxa"/>
            <w:vAlign w:val="bottom"/>
          </w:tcPr>
          <w:p>
            <w:pPr>
              <w:ind w:left="20"/>
              <w:spacing w:after="0" w:line="157" w:lineRule="exact"/>
              <w:rPr>
                <w:sz w:val="20"/>
                <w:szCs w:val="20"/>
                <w:color w:val="auto"/>
              </w:rPr>
            </w:pPr>
            <w:r>
              <w:rPr>
                <w:rFonts w:ascii="Arial" w:cs="Arial" w:eastAsia="Arial" w:hAnsi="Arial"/>
                <w:sz w:val="14"/>
                <w:szCs w:val="14"/>
                <w:color w:val="auto"/>
              </w:rPr>
              <w:t>Redemption of</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20"/>
              <w:spacing w:after="0" w:line="149" w:lineRule="exact"/>
              <w:rPr>
                <w:sz w:val="20"/>
                <w:szCs w:val="20"/>
                <w:color w:val="auto"/>
              </w:rPr>
            </w:pPr>
            <w:r>
              <w:rPr>
                <w:rFonts w:ascii="Arial" w:cs="Arial" w:eastAsia="Arial" w:hAnsi="Arial"/>
                <w:sz w:val="14"/>
                <w:szCs w:val="14"/>
                <w:color w:val="auto"/>
              </w:rPr>
              <w:t>noncontrolling</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rPr>
                <w:sz w:val="20"/>
                <w:szCs w:val="20"/>
                <w:color w:val="auto"/>
              </w:rPr>
            </w:pPr>
            <w:r>
              <w:rPr>
                <w:rFonts w:ascii="Arial" w:cs="Arial" w:eastAsia="Arial" w:hAnsi="Arial"/>
                <w:sz w:val="14"/>
                <w:szCs w:val="14"/>
                <w:color w:val="auto"/>
              </w:rPr>
              <w:t>interests</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 of</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noncontrolling</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interests in</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Operating</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Partnership</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23,986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23,986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(23,986)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980" w:type="dxa"/>
            <w:vAlign w:val="bottom"/>
          </w:tcPr>
          <w:p>
            <w:pPr>
              <w:ind w:left="20"/>
              <w:spacing w:after="0" w:line="137" w:lineRule="exact"/>
              <w:rPr>
                <w:sz w:val="20"/>
                <w:szCs w:val="20"/>
                <w:color w:val="auto"/>
              </w:rPr>
            </w:pPr>
            <w:r>
              <w:rPr>
                <w:rFonts w:ascii="Arial" w:cs="Arial" w:eastAsia="Arial" w:hAnsi="Arial"/>
                <w:sz w:val="14"/>
                <w:szCs w:val="14"/>
                <w:color w:val="auto"/>
                <w:w w:val="93"/>
              </w:rPr>
              <w:t>Balance at June</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141,184,335</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1,412</w:t>
            </w:r>
          </w:p>
        </w:tc>
        <w:tc>
          <w:tcPr>
            <w:tcW w:w="12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4"/>
                <w:szCs w:val="14"/>
                <w:color w:val="auto"/>
              </w:rPr>
              <w:t>4,558,873</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(1,489,742)</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4"/>
                <w:szCs w:val="14"/>
                <w:color w:val="auto"/>
              </w:rPr>
              <w:t>3,070,510</w:t>
            </w:r>
          </w:p>
        </w:tc>
        <w:tc>
          <w:tcPr>
            <w:tcW w:w="10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244,665</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w w:val="96"/>
              </w:rPr>
              <w:t>3,315,175</w:t>
            </w:r>
          </w:p>
        </w:tc>
        <w:tc>
          <w:tcPr>
            <w:tcW w:w="0" w:type="dxa"/>
            <w:vAlign w:val="bottom"/>
          </w:tcPr>
          <w:p>
            <w:pPr>
              <w:spacing w:after="0"/>
              <w:rPr>
                <w:sz w:val="1"/>
                <w:szCs w:val="1"/>
                <w:color w:val="auto"/>
              </w:rPr>
            </w:pP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30, 2018</w:t>
            </w: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60"/>
          </w:cols>
          <w:pgMar w:left="240" w:top="121" w:right="139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MACERICH COMPANY</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(Dollars in thousands)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auto"/>
        </w:rPr>
        <w:t>For the Six Months Ended June</w:t>
      </w:r>
    </w:p>
    <w:p>
      <w:pPr>
        <w:spacing w:after="0" w:line="4"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13335</wp:posOffset>
            </wp:positionV>
            <wp:extent cx="1346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87" w:lineRule="exact"/>
        <w:rPr>
          <w:sz w:val="20"/>
          <w:szCs w:val="20"/>
          <w:color w:val="auto"/>
        </w:rPr>
      </w:pPr>
    </w:p>
    <w:tbl>
      <w:tblPr>
        <w:tblLayout w:type="fixed"/>
        <w:tblInd w:w="1320" w:type="dxa"/>
        <w:tblCellMar>
          <w:top w:w="0" w:type="dxa"/>
          <w:left w:w="0" w:type="dxa"/>
          <w:bottom w:w="0" w:type="dxa"/>
          <w:right w:w="0" w:type="dxa"/>
        </w:tblCellMar>
      </w:tblPr>
      <w:tr>
        <w:trPr>
          <w:trHeight w:val="192"/>
        </w:trPr>
        <w:tc>
          <w:tcPr>
            <w:tcW w:w="66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r>
      <w:tr>
        <w:trPr>
          <w:trHeight w:val="236"/>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Net (loss) income</w:t>
            </w:r>
          </w:p>
        </w:tc>
        <w:tc>
          <w:tcPr>
            <w:tcW w:w="1000" w:type="dxa"/>
            <w:vAlign w:val="bottom"/>
          </w:tcPr>
          <w:p>
            <w:pPr>
              <w:jc w:val="right"/>
              <w:spacing w:after="0"/>
              <w:rPr>
                <w:sz w:val="20"/>
                <w:szCs w:val="20"/>
                <w:color w:val="auto"/>
              </w:rPr>
            </w:pPr>
            <w:r>
              <w:rPr>
                <w:rFonts w:ascii="Arial" w:cs="Arial" w:eastAsia="Arial" w:hAnsi="Arial"/>
                <w:sz w:val="18"/>
                <w:szCs w:val="18"/>
                <w:color w:val="auto"/>
              </w:rPr>
              <w:t>$   (25,515)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103,861</w:t>
            </w:r>
          </w:p>
        </w:tc>
      </w:tr>
      <w:tr>
        <w:trPr>
          <w:trHeight w:val="27"/>
        </w:trPr>
        <w:tc>
          <w:tcPr>
            <w:tcW w:w="6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4"/>
              </w:rPr>
              <w:t>Adjustments to reconcile net (loss) income to net cash provided by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260"/>
              <w:spacing w:after="0"/>
              <w:rPr>
                <w:sz w:val="20"/>
                <w:szCs w:val="20"/>
                <w:color w:val="auto"/>
              </w:rPr>
            </w:pPr>
            <w:r>
              <w:rPr>
                <w:rFonts w:ascii="Arial" w:cs="Arial" w:eastAsia="Arial" w:hAnsi="Arial"/>
                <w:sz w:val="18"/>
                <w:szCs w:val="18"/>
                <w:color w:val="auto"/>
              </w:rPr>
              <w:t>Loss (gain) on sale or write down of assets, net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47,030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(49,088)</w:t>
            </w:r>
          </w:p>
        </w:tc>
      </w:tr>
      <w:tr>
        <w:trPr>
          <w:trHeight w:val="27"/>
        </w:trPr>
        <w:tc>
          <w:tcPr>
            <w:tcW w:w="6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162,418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169,216</w:t>
            </w:r>
          </w:p>
        </w:tc>
      </w:tr>
      <w:tr>
        <w:trPr>
          <w:trHeight w:val="243"/>
        </w:trPr>
        <w:tc>
          <w:tcPr>
            <w:tcW w:w="6680" w:type="dxa"/>
            <w:vAlign w:val="bottom"/>
          </w:tcPr>
          <w:p>
            <w:pPr>
              <w:ind w:left="260"/>
              <w:spacing w:after="0"/>
              <w:rPr>
                <w:sz w:val="20"/>
                <w:szCs w:val="20"/>
                <w:color w:val="auto"/>
              </w:rPr>
            </w:pPr>
            <w:r>
              <w:rPr>
                <w:rFonts w:ascii="Arial" w:cs="Arial" w:eastAsia="Arial" w:hAnsi="Arial"/>
                <w:sz w:val="18"/>
                <w:szCs w:val="18"/>
                <w:color w:val="auto"/>
              </w:rPr>
              <w:t>Amortization of premium on mortgage notes payable</w:t>
            </w:r>
          </w:p>
        </w:tc>
        <w:tc>
          <w:tcPr>
            <w:tcW w:w="1000" w:type="dxa"/>
            <w:vAlign w:val="bottom"/>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(1,860)</w:t>
            </w:r>
          </w:p>
        </w:tc>
      </w:tr>
      <w:tr>
        <w:trPr>
          <w:trHeight w:val="27"/>
        </w:trPr>
        <w:tc>
          <w:tcPr>
            <w:tcW w:w="6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share and unit-based plans</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19,652</w:t>
            </w:r>
          </w:p>
        </w:tc>
      </w:tr>
      <w:tr>
        <w:trPr>
          <w:trHeight w:val="243"/>
        </w:trPr>
        <w:tc>
          <w:tcPr>
            <w:tcW w:w="6680" w:type="dxa"/>
            <w:vAlign w:val="bottom"/>
          </w:tcPr>
          <w:p>
            <w:pPr>
              <w:ind w:left="260"/>
              <w:spacing w:after="0"/>
              <w:rPr>
                <w:sz w:val="20"/>
                <w:szCs w:val="20"/>
                <w:color w:val="auto"/>
              </w:rPr>
            </w:pPr>
            <w:r>
              <w:rPr>
                <w:rFonts w:ascii="Arial" w:cs="Arial" w:eastAsia="Arial" w:hAnsi="Arial"/>
                <w:sz w:val="18"/>
                <w:szCs w:val="18"/>
                <w:color w:val="auto"/>
              </w:rPr>
              <w:t>Straight-line rent adjustment</w:t>
            </w:r>
          </w:p>
        </w:tc>
        <w:tc>
          <w:tcPr>
            <w:tcW w:w="1000" w:type="dxa"/>
            <w:vAlign w:val="bottom"/>
          </w:tcPr>
          <w:p>
            <w:pPr>
              <w:jc w:val="right"/>
              <w:spacing w:after="0"/>
              <w:rPr>
                <w:sz w:val="20"/>
                <w:szCs w:val="20"/>
                <w:color w:val="auto"/>
              </w:rPr>
            </w:pPr>
            <w:r>
              <w:rPr>
                <w:rFonts w:ascii="Arial" w:cs="Arial" w:eastAsia="Arial" w:hAnsi="Arial"/>
                <w:sz w:val="18"/>
                <w:szCs w:val="18"/>
                <w:color w:val="auto"/>
              </w:rPr>
              <w:t>(5,419)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(4,544)</w:t>
            </w:r>
          </w:p>
        </w:tc>
      </w:tr>
      <w:tr>
        <w:trPr>
          <w:trHeight w:val="27"/>
        </w:trPr>
        <w:tc>
          <w:tcPr>
            <w:tcW w:w="6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above and below-market leases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r>
      <w:tr>
        <w:trPr>
          <w:trHeight w:val="243"/>
        </w:trPr>
        <w:tc>
          <w:tcPr>
            <w:tcW w:w="6680" w:type="dxa"/>
            <w:vAlign w:val="bottom"/>
          </w:tcPr>
          <w:p>
            <w:pPr>
              <w:ind w:left="260"/>
              <w:spacing w:after="0"/>
              <w:rPr>
                <w:sz w:val="20"/>
                <w:szCs w:val="20"/>
                <w:color w:val="auto"/>
              </w:rPr>
            </w:pPr>
            <w:r>
              <w:rPr>
                <w:rFonts w:ascii="Arial" w:cs="Arial" w:eastAsia="Arial" w:hAnsi="Arial"/>
                <w:sz w:val="18"/>
                <w:szCs w:val="18"/>
                <w:color w:val="auto"/>
              </w:rPr>
              <w:t>Provision for doubtful accounts</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3,358</w:t>
            </w:r>
          </w:p>
        </w:tc>
      </w:tr>
      <w:tr>
        <w:trPr>
          <w:trHeight w:val="27"/>
        </w:trPr>
        <w:tc>
          <w:tcPr>
            <w:tcW w:w="6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tax benefit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(3,047)</w:t>
            </w:r>
          </w:p>
        </w:tc>
      </w:tr>
      <w:tr>
        <w:trPr>
          <w:trHeight w:val="243"/>
        </w:trPr>
        <w:tc>
          <w:tcPr>
            <w:tcW w:w="6680" w:type="dxa"/>
            <w:vAlign w:val="bottom"/>
          </w:tcPr>
          <w:p>
            <w:pPr>
              <w:ind w:left="260"/>
              <w:spacing w:after="0"/>
              <w:rPr>
                <w:sz w:val="20"/>
                <w:szCs w:val="20"/>
                <w:color w:val="auto"/>
              </w:rPr>
            </w:pPr>
            <w:r>
              <w:rPr>
                <w:rFonts w:ascii="Arial" w:cs="Arial" w:eastAsia="Arial" w:hAnsi="Arial"/>
                <w:sz w:val="18"/>
                <w:szCs w:val="18"/>
                <w:color w:val="auto"/>
              </w:rPr>
              <w:t>Equity in income of unconsolidated joint ventures</w:t>
            </w:r>
          </w:p>
        </w:tc>
        <w:tc>
          <w:tcPr>
            <w:tcW w:w="1000" w:type="dxa"/>
            <w:vAlign w:val="bottom"/>
          </w:tcPr>
          <w:p>
            <w:pPr>
              <w:jc w:val="right"/>
              <w:spacing w:after="0"/>
              <w:rPr>
                <w:sz w:val="20"/>
                <w:szCs w:val="20"/>
                <w:color w:val="auto"/>
              </w:rPr>
            </w:pPr>
            <w:r>
              <w:rPr>
                <w:rFonts w:ascii="Arial" w:cs="Arial" w:eastAsia="Arial" w:hAnsi="Arial"/>
                <w:sz w:val="18"/>
                <w:szCs w:val="18"/>
                <w:color w:val="auto"/>
              </w:rPr>
              <w:t>(32,541)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(32,779)</w:t>
            </w:r>
          </w:p>
        </w:tc>
      </w:tr>
      <w:tr>
        <w:trPr>
          <w:trHeight w:val="27"/>
        </w:trPr>
        <w:tc>
          <w:tcPr>
            <w:tcW w:w="6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Distributions of income from unconsolidated joint ventures</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680" w:type="dxa"/>
            <w:vAlign w:val="bottom"/>
          </w:tcPr>
          <w:p>
            <w:pPr>
              <w:ind w:left="260"/>
              <w:spacing w:after="0"/>
              <w:rPr>
                <w:sz w:val="20"/>
                <w:szCs w:val="20"/>
                <w:color w:val="auto"/>
              </w:rPr>
            </w:pPr>
            <w:r>
              <w:rPr>
                <w:rFonts w:ascii="Arial" w:cs="Arial" w:eastAsia="Arial" w:hAnsi="Arial"/>
                <w:sz w:val="18"/>
                <w:szCs w:val="18"/>
                <w:color w:val="auto"/>
              </w:rPr>
              <w:t>Change in fair value of financing arrangement obligation</w:t>
            </w:r>
          </w:p>
        </w:tc>
        <w:tc>
          <w:tcPr>
            <w:tcW w:w="1000" w:type="dxa"/>
            <w:vAlign w:val="bottom"/>
          </w:tcPr>
          <w:p>
            <w:pPr>
              <w:jc w:val="right"/>
              <w:spacing w:after="0"/>
              <w:rPr>
                <w:sz w:val="20"/>
                <w:szCs w:val="20"/>
                <w:color w:val="auto"/>
              </w:rPr>
            </w:pPr>
            <w:r>
              <w:rPr>
                <w:rFonts w:ascii="Arial" w:cs="Arial" w:eastAsia="Arial" w:hAnsi="Arial"/>
                <w:sz w:val="18"/>
                <w:szCs w:val="18"/>
                <w:color w:val="auto"/>
              </w:rPr>
              <w:t>(4,386)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Co-venture expense</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8,000</w:t>
            </w:r>
          </w:p>
        </w:tc>
      </w:tr>
      <w:tr>
        <w:trPr>
          <w:trHeight w:val="243"/>
        </w:trPr>
        <w:tc>
          <w:tcPr>
            <w:tcW w:w="6680" w:type="dxa"/>
            <w:vAlign w:val="bottom"/>
          </w:tcPr>
          <w:p>
            <w:pPr>
              <w:ind w:left="260"/>
              <w:spacing w:after="0"/>
              <w:rPr>
                <w:sz w:val="20"/>
                <w:szCs w:val="20"/>
                <w:color w:val="auto"/>
              </w:rPr>
            </w:pPr>
            <w:r>
              <w:rPr>
                <w:rFonts w:ascii="Arial" w:cs="Arial" w:eastAsia="Arial" w:hAnsi="Arial"/>
                <w:sz w:val="18"/>
                <w:szCs w:val="18"/>
                <w:color w:val="auto"/>
              </w:rPr>
              <w:t>Changes in assets and liabilities, net of dispositions:</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Tenant and other receivables</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5,401</w:t>
            </w:r>
          </w:p>
        </w:tc>
      </w:tr>
      <w:tr>
        <w:trPr>
          <w:trHeight w:val="243"/>
        </w:trPr>
        <w:tc>
          <w:tcPr>
            <w:tcW w:w="668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1000" w:type="dxa"/>
            <w:vAlign w:val="bottom"/>
          </w:tcPr>
          <w:p>
            <w:pPr>
              <w:jc w:val="right"/>
              <w:spacing w:after="0"/>
              <w:rPr>
                <w:sz w:val="20"/>
                <w:szCs w:val="20"/>
                <w:color w:val="auto"/>
              </w:rPr>
            </w:pPr>
            <w:r>
              <w:rPr>
                <w:rFonts w:ascii="Arial" w:cs="Arial" w:eastAsia="Arial" w:hAnsi="Arial"/>
                <w:sz w:val="18"/>
                <w:szCs w:val="18"/>
                <w:color w:val="auto"/>
              </w:rPr>
              <w:t>(2,676)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2,346</w:t>
            </w:r>
          </w:p>
        </w:tc>
      </w:tr>
      <w:tr>
        <w:trPr>
          <w:trHeight w:val="27"/>
        </w:trPr>
        <w:tc>
          <w:tcPr>
            <w:tcW w:w="6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Due from affiliates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(13,365)</w:t>
            </w:r>
          </w:p>
        </w:tc>
      </w:tr>
      <w:tr>
        <w:trPr>
          <w:trHeight w:val="243"/>
        </w:trPr>
        <w:tc>
          <w:tcPr>
            <w:tcW w:w="668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27"/>
        </w:trPr>
        <w:tc>
          <w:tcPr>
            <w:tcW w:w="6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 accrued liabilities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(13,840)</w:t>
            </w:r>
          </w:p>
        </w:tc>
      </w:tr>
      <w:tr>
        <w:trPr>
          <w:trHeight w:val="237"/>
        </w:trPr>
        <w:tc>
          <w:tcPr>
            <w:tcW w:w="6680" w:type="dxa"/>
            <w:vAlign w:val="bottom"/>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164,850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190,227</w:t>
            </w:r>
          </w:p>
        </w:tc>
      </w:tr>
      <w:tr>
        <w:trPr>
          <w:trHeight w:val="27"/>
        </w:trPr>
        <w:tc>
          <w:tcPr>
            <w:tcW w:w="66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Development, redevelopment, expansion and renovation of properties</w:t>
            </w:r>
          </w:p>
        </w:tc>
        <w:tc>
          <w:tcPr>
            <w:tcW w:w="1000" w:type="dxa"/>
            <w:vAlign w:val="bottom"/>
          </w:tcPr>
          <w:p>
            <w:pPr>
              <w:jc w:val="right"/>
              <w:spacing w:after="0"/>
              <w:rPr>
                <w:sz w:val="20"/>
                <w:szCs w:val="20"/>
                <w:color w:val="auto"/>
              </w:rPr>
            </w:pPr>
            <w:r>
              <w:rPr>
                <w:rFonts w:ascii="Arial" w:cs="Arial" w:eastAsia="Arial" w:hAnsi="Arial"/>
                <w:sz w:val="18"/>
                <w:szCs w:val="18"/>
                <w:color w:val="auto"/>
              </w:rPr>
              <w:t>(98,852)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(60,603)</w:t>
            </w:r>
          </w:p>
        </w:tc>
      </w:tr>
      <w:tr>
        <w:trPr>
          <w:trHeight w:val="27"/>
        </w:trPr>
        <w:tc>
          <w:tcPr>
            <w:tcW w:w="6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improvements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(16,750)</w:t>
            </w: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Proceeds from repayment of notes receivable</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619</w:t>
            </w:r>
          </w:p>
        </w:tc>
      </w:tr>
      <w:tr>
        <w:trPr>
          <w:trHeight w:val="27"/>
        </w:trPr>
        <w:tc>
          <w:tcPr>
            <w:tcW w:w="6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leasing costs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(19,553)</w:t>
            </w: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Distributions from unconsolidated joint ventures</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448,067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170,734</w:t>
            </w:r>
          </w:p>
        </w:tc>
      </w:tr>
      <w:tr>
        <w:trPr>
          <w:trHeight w:val="27"/>
        </w:trPr>
        <w:tc>
          <w:tcPr>
            <w:tcW w:w="6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Contributions to unconsolidated joint ventures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(51,303)</w:t>
            </w: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Proceeds from sale of assets</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27,063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167,631</w:t>
            </w:r>
          </w:p>
        </w:tc>
      </w:tr>
      <w:tr>
        <w:trPr>
          <w:trHeight w:val="27"/>
        </w:trPr>
        <w:tc>
          <w:tcPr>
            <w:tcW w:w="66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investing activities</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266,135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190,775</w:t>
            </w:r>
          </w:p>
        </w:tc>
      </w:tr>
      <w:tr>
        <w:trPr>
          <w:trHeight w:val="574"/>
        </w:trPr>
        <w:tc>
          <w:tcPr>
            <w:tcW w:w="6680" w:type="dxa"/>
            <w:vAlign w:val="bottom"/>
          </w:tcPr>
          <w:p>
            <w:pPr>
              <w:ind w:left="4340"/>
              <w:spacing w:after="0"/>
              <w:rPr>
                <w:sz w:val="20"/>
                <w:szCs w:val="20"/>
                <w:color w:val="auto"/>
              </w:rPr>
            </w:pPr>
            <w:r>
              <w:rPr>
                <w:rFonts w:ascii="Arial" w:cs="Arial" w:eastAsia="Arial" w:hAnsi="Arial"/>
                <w:sz w:val="18"/>
                <w:szCs w:val="18"/>
                <w:color w:val="auto"/>
              </w:rPr>
              <w:t>7</w:t>
            </w: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bl>
    <w:p>
      <w:pPr>
        <w:sectPr>
          <w:pgSz w:w="11900" w:h="16838" w:orient="portrait"/>
          <w:cols w:equalWidth="0" w:num="1">
            <w:col w:w="10219"/>
          </w:cols>
          <w:pgMar w:left="240" w:top="121" w:right="1440"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MACERICH COMPANY</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(Dollars in thousands)</w:t>
      </w:r>
    </w:p>
    <w:p>
      <w:pPr>
        <w:spacing w:after="0" w:line="18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13"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auto"/>
        </w:rPr>
        <w:t>For the Six Months Ended June</w:t>
      </w:r>
    </w:p>
    <w:p>
      <w:pPr>
        <w:spacing w:after="0" w:line="4"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13335</wp:posOffset>
            </wp:positionV>
            <wp:extent cx="13462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87" w:lineRule="exact"/>
        <w:rPr>
          <w:sz w:val="20"/>
          <w:szCs w:val="20"/>
          <w:color w:val="auto"/>
        </w:rPr>
      </w:pPr>
    </w:p>
    <w:tbl>
      <w:tblPr>
        <w:tblLayout w:type="fixed"/>
        <w:tblInd w:w="1320" w:type="dxa"/>
        <w:tblCellMar>
          <w:top w:w="0" w:type="dxa"/>
          <w:left w:w="0" w:type="dxa"/>
          <w:bottom w:w="0" w:type="dxa"/>
          <w:right w:w="0" w:type="dxa"/>
        </w:tblCellMar>
      </w:tblPr>
      <w:tr>
        <w:trPr>
          <w:trHeight w:val="192"/>
        </w:trPr>
        <w:tc>
          <w:tcPr>
            <w:tcW w:w="66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Proceeds from mortgages, bank and other notes payable</w:t>
            </w: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195,000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Payments on mortgages, bank and other notes payable</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(400,338)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(279,419)</w:t>
            </w:r>
          </w:p>
        </w:tc>
        <w:tc>
          <w:tcPr>
            <w:tcW w:w="0" w:type="dxa"/>
            <w:vAlign w:val="bottom"/>
          </w:tcPr>
          <w:p>
            <w:pPr>
              <w:spacing w:after="0"/>
              <w:rPr>
                <w:sz w:val="1"/>
                <w:szCs w:val="1"/>
                <w:color w:val="auto"/>
              </w:rPr>
            </w:pP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Deferred financing costs</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share and unit-based plans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Stock repurchases</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(181,740)</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Redemption of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Dividends and distributions</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(226,745)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(219,946)</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Distributions to co-venture partner</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(7,326)</w:t>
            </w:r>
          </w:p>
        </w:tc>
        <w:tc>
          <w:tcPr>
            <w:tcW w:w="0" w:type="dxa"/>
            <w:vAlign w:val="bottom"/>
          </w:tcPr>
          <w:p>
            <w:pPr>
              <w:spacing w:after="0"/>
              <w:rPr>
                <w:sz w:val="1"/>
                <w:szCs w:val="1"/>
                <w:color w:val="auto"/>
              </w:rPr>
            </w:pPr>
          </w:p>
        </w:tc>
      </w:tr>
      <w:tr>
        <w:trPr>
          <w:trHeight w:val="237"/>
        </w:trPr>
        <w:tc>
          <w:tcPr>
            <w:tcW w:w="6680" w:type="dxa"/>
            <w:vAlign w:val="bottom"/>
          </w:tcPr>
          <w:p>
            <w:pPr>
              <w:ind w:left="16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(431,578)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(387,562)</w:t>
            </w:r>
          </w:p>
        </w:tc>
        <w:tc>
          <w:tcPr>
            <w:tcW w:w="0" w:type="dxa"/>
            <w:vAlign w:val="bottom"/>
          </w:tcPr>
          <w:p>
            <w:pPr>
              <w:spacing w:after="0"/>
              <w:rPr>
                <w:sz w:val="1"/>
                <w:szCs w:val="1"/>
                <w:color w:val="auto"/>
              </w:rPr>
            </w:pPr>
          </w:p>
        </w:tc>
      </w:tr>
      <w:tr>
        <w:trPr>
          <w:trHeight w:val="27"/>
        </w:trPr>
        <w:tc>
          <w:tcPr>
            <w:tcW w:w="6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decrease in cash, cash equivalents and 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143,105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143,997</w:t>
            </w:r>
          </w:p>
        </w:tc>
        <w:tc>
          <w:tcPr>
            <w:tcW w:w="0" w:type="dxa"/>
            <w:vAlign w:val="bottom"/>
          </w:tcPr>
          <w:p>
            <w:pPr>
              <w:spacing w:after="0"/>
              <w:rPr>
                <w:sz w:val="1"/>
                <w:szCs w:val="1"/>
                <w:color w:val="auto"/>
              </w:rPr>
            </w:pPr>
          </w:p>
        </w:tc>
      </w:tr>
      <w:tr>
        <w:trPr>
          <w:trHeight w:val="27"/>
        </w:trPr>
        <w:tc>
          <w:tcPr>
            <w:tcW w:w="6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142,512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137,437</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20"/>
              <w:spacing w:after="0"/>
              <w:rPr>
                <w:sz w:val="20"/>
                <w:szCs w:val="20"/>
                <w:color w:val="auto"/>
              </w:rPr>
            </w:pPr>
            <w:r>
              <w:rPr>
                <w:rFonts w:ascii="Arial" w:cs="Arial" w:eastAsia="Arial" w:hAnsi="Arial"/>
                <w:sz w:val="18"/>
                <w:szCs w:val="18"/>
                <w:color w:val="auto"/>
              </w:rPr>
              <w:t>Supplemental cash flow information:</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payments for interest, net of amounts capitalized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93,032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82,864</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20"/>
              <w:spacing w:after="0"/>
              <w:rPr>
                <w:sz w:val="20"/>
                <w:szCs w:val="20"/>
                <w:color w:val="auto"/>
              </w:rPr>
            </w:pPr>
            <w:r>
              <w:rPr>
                <w:rFonts w:ascii="Arial" w:cs="Arial" w:eastAsia="Arial" w:hAnsi="Arial"/>
                <w:sz w:val="18"/>
                <w:szCs w:val="18"/>
                <w:color w:val="auto"/>
              </w:rPr>
              <w:t>Non-cash investing and financing transactions:</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Accrued development costs included in accounts payable and accrued expenses and other</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36,841</w:t>
            </w:r>
          </w:p>
        </w:tc>
        <w:tc>
          <w:tcPr>
            <w:tcW w:w="12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31,500</w:t>
            </w:r>
          </w:p>
        </w:tc>
        <w:tc>
          <w:tcPr>
            <w:tcW w:w="0" w:type="dxa"/>
            <w:vAlign w:val="bottom"/>
          </w:tcPr>
          <w:p>
            <w:pPr>
              <w:spacing w:after="0"/>
              <w:rPr>
                <w:sz w:val="1"/>
                <w:szCs w:val="1"/>
                <w:color w:val="auto"/>
              </w:rPr>
            </w:pPr>
          </w:p>
        </w:tc>
      </w:tr>
      <w:tr>
        <w:trPr>
          <w:trHeight w:val="237"/>
        </w:trPr>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680" w:type="dxa"/>
            <w:vAlign w:val="bottom"/>
          </w:tcPr>
          <w:p>
            <w:pPr>
              <w:ind w:left="160"/>
              <w:spacing w:after="0"/>
              <w:rPr>
                <w:sz w:val="20"/>
                <w:szCs w:val="20"/>
                <w:color w:val="auto"/>
              </w:rPr>
            </w:pPr>
            <w:r>
              <w:rPr>
                <w:rFonts w:ascii="Arial" w:cs="Arial" w:eastAsia="Arial" w:hAnsi="Arial"/>
                <w:sz w:val="18"/>
                <w:szCs w:val="18"/>
                <w:color w:val="auto"/>
              </w:rPr>
              <w:t>Conversion of Operating Partnership Units to common stock</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11,796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121" w:right="1440"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8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Macerich Company (the "Company") is involved in the acquisition, ownership, development, redevelopment, management and leasing of regional and community/power shopping centers (the "Centers") located throughout the United States.</w:t>
      </w:r>
    </w:p>
    <w:p>
      <w:pPr>
        <w:spacing w:after="0" w:line="224"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Company commenced operations effective with the completion of its initial public offering on March 16, 1994. As of June 30, 2018, the Company was the sole general partner of and held a 93% ownership interest in The Macerich Partnership, L.P. (the "Operating Partnership"). The Company was organized to qualify as a real estate investment trust ("REIT") under the Internal Revenue Code of 1986, as amended (the "Code").</w:t>
      </w:r>
    </w:p>
    <w:p>
      <w:pPr>
        <w:spacing w:after="0" w:line="22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collectively referred to herein as the "Management Companies."</w:t>
      </w:r>
    </w:p>
    <w:p>
      <w:pPr>
        <w:spacing w:after="0" w:line="24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All references to the Company in this Quarterly Report on Form 10-Q include the Company, those entities owned or controlled by the Company and predecessors of the Company, unless the context indicates otherwise.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Basis of Presentation:</w:t>
      </w:r>
    </w:p>
    <w:p>
      <w:pPr>
        <w:spacing w:after="0" w:line="27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accompanying consolidated financial statements of the Company have been prepared in accordance with generally accepted accounting principles in the United States ("GAAP") for interim financial information and with the instructions to Form 10-Q and Article 10 of Regulation S-X. They do not include all of the information and footnotes required by GAAP for complete financial statements and have not been audited by an independent registered public accounting firm.</w:t>
      </w:r>
    </w:p>
    <w:p>
      <w:pPr>
        <w:spacing w:after="0" w:line="24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consolidated variable interest entities ("VIEs").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Operating Partnership's consolidated VIEs included the following assets and liabilities:</w:t>
      </w:r>
    </w:p>
    <w:p>
      <w:pPr>
        <w:spacing w:after="0" w:line="200" w:lineRule="exact"/>
        <w:rPr>
          <w:sz w:val="20"/>
          <w:szCs w:val="20"/>
          <w:color w:val="auto"/>
        </w:rPr>
      </w:pPr>
    </w:p>
    <w:p>
      <w:pPr>
        <w:spacing w:after="0" w:line="220"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000" w:type="dxa"/>
            <w:vAlign w:val="bottom"/>
          </w:tcPr>
          <w:p>
            <w:pPr>
              <w:jc w:val="right"/>
              <w:ind w:right="74"/>
              <w:spacing w:after="0"/>
              <w:rPr>
                <w:sz w:val="20"/>
                <w:szCs w:val="20"/>
                <w:color w:val="auto"/>
              </w:rPr>
            </w:pPr>
            <w:r>
              <w:rPr>
                <w:rFonts w:ascii="Arial" w:cs="Arial" w:eastAsia="Arial" w:hAnsi="Arial"/>
                <w:sz w:val="14"/>
                <w:szCs w:val="14"/>
                <w:b w:val="1"/>
                <w:bCs w:val="1"/>
                <w:color w:val="auto"/>
                <w:w w:val="90"/>
              </w:rPr>
              <w:t>December 31,</w:t>
            </w:r>
          </w:p>
        </w:tc>
      </w:tr>
      <w:tr>
        <w:trPr>
          <w:trHeight w:val="192"/>
        </w:trPr>
        <w:tc>
          <w:tcPr>
            <w:tcW w:w="64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440" w:type="dxa"/>
            <w:vAlign w:val="bottom"/>
          </w:tcPr>
          <w:p>
            <w:pPr>
              <w:ind w:left="140"/>
              <w:spacing w:after="0"/>
              <w:rPr>
                <w:sz w:val="20"/>
                <w:szCs w:val="20"/>
                <w:color w:val="auto"/>
              </w:rPr>
            </w:pPr>
            <w:r>
              <w:rPr>
                <w:rFonts w:ascii="Arial" w:cs="Arial" w:eastAsia="Arial" w:hAnsi="Arial"/>
                <w:sz w:val="18"/>
                <w:szCs w:val="18"/>
                <w:color w:val="auto"/>
              </w:rPr>
              <w:t>Property,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264,570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288,881</w:t>
            </w:r>
          </w:p>
        </w:tc>
      </w:tr>
      <w:tr>
        <w:trPr>
          <w:trHeight w:val="27"/>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55,955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60,586</w:t>
            </w:r>
          </w:p>
        </w:tc>
      </w:tr>
      <w:tr>
        <w:trPr>
          <w:trHeight w:val="297"/>
        </w:trPr>
        <w:tc>
          <w:tcPr>
            <w:tcW w:w="6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320,525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349,467</w:t>
            </w:r>
          </w:p>
        </w:tc>
      </w:tr>
      <w:tr>
        <w:trPr>
          <w:trHeight w:val="237"/>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6440" w:type="dxa"/>
            <w:vAlign w:val="bottom"/>
          </w:tcPr>
          <w:p>
            <w:pPr>
              <w:ind w:left="140"/>
              <w:spacing w:after="0"/>
              <w:rPr>
                <w:sz w:val="20"/>
                <w:szCs w:val="20"/>
                <w:color w:val="auto"/>
              </w:rPr>
            </w:pPr>
            <w:r>
              <w:rPr>
                <w:rFonts w:ascii="Arial" w:cs="Arial" w:eastAsia="Arial" w:hAnsi="Arial"/>
                <w:sz w:val="18"/>
                <w:szCs w:val="18"/>
                <w:color w:val="auto"/>
              </w:rPr>
              <w:t>Mortgage notes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127,265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129,436</w:t>
            </w:r>
          </w:p>
        </w:tc>
      </w:tr>
      <w:tr>
        <w:trPr>
          <w:trHeight w:val="27"/>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73,090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72,705</w:t>
            </w:r>
          </w:p>
        </w:tc>
      </w:tr>
      <w:tr>
        <w:trPr>
          <w:trHeight w:val="257"/>
        </w:trPr>
        <w:tc>
          <w:tcPr>
            <w:tcW w:w="644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200,355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202,141</w:t>
            </w:r>
          </w:p>
        </w:tc>
      </w:tr>
      <w:tr>
        <w:trPr>
          <w:trHeight w:val="20"/>
        </w:trPr>
        <w:tc>
          <w:tcPr>
            <w:tcW w:w="6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intercompany accounts and transactions have been eliminated in the consolidated financial statements.</w:t>
      </w:r>
    </w:p>
    <w:p>
      <w:pPr>
        <w:sectPr>
          <w:pgSz w:w="11900" w:h="16838" w:orient="portrait"/>
          <w:cols w:equalWidth="0" w:num="1">
            <w:col w:w="11320"/>
          </w:cols>
          <w:pgMar w:left="240" w:top="121" w:right="339" w:bottom="1440" w:gutter="0" w:footer="0" w:header="0"/>
        </w:sectPr>
      </w:pP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20"/>
          </w:cols>
          <w:pgMar w:left="240" w:top="121" w:right="3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unaudited interim consolidated financial statements should be read in conjunction with the Company's audited consolidated financial statements and notes thereto included in the Company's Annual Report on Form 10-K for the year ended December 31, 2017. In the opinion of management, all adjustments (consisting of normal recurring adjustments) necessary for a fair presentation of the consolidated financial statements for the interim periods have been made. 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accompanying consolidated balance sheet as of December 31, 2017 has been derived from the audited financial statements but does not include all disclosures required by GAAP.</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Shareholder Activism Costs:</w:t>
      </w:r>
    </w:p>
    <w:p>
      <w:pPr>
        <w:spacing w:after="0" w:line="279"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During the three months ended June 30, 2018, the Company incurred $19,369 in costs associated with activities related to shareholder activism. These costs were primarily for legal and advisory services.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w:t>
      </w:r>
    </w:p>
    <w:p>
      <w:pPr>
        <w:spacing w:after="0" w:line="27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(ASC 606)," which outlines a comprehensive model for entities to use in accounting for revenue arising from contracts with customers. The standard states that “an entity recognizes revenue to depict the transfer of promised goods or services to customers in an amount that reflects the consideration to which the entity expects to be entitled in exchange for those goods or services.” While the standard specifically references contracts with customers, it may apply to certain other transactions such as the sale of real estate or equipment. The standard applies to the Company's recognition of management companies and other revenues. The Company's adoption of the standard on January 1, 2018 did not have an impact on the pattern of revenue recognition for management companies and other revenues.</w:t>
      </w:r>
    </w:p>
    <w:p>
      <w:pPr>
        <w:spacing w:after="0" w:line="243"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Additionally, under ASC 606, the Company changed its accounting for its joint venture in Chandler Freehold from a co-venture arrangement to a financing arrangement (See Note 11—Financing Arrangement). Upon adoption of the standard on January 1, 2018, the Company replaced its $31,150 distributions in excess of co-venture obligation (See Note 8—Deferred Charges and Other Assets, net) with a financing arrangement obligation of $393,709 on its consolidated balance sheets. This resulted in the recognition of a $424,859 increase in the Company’s accumulated deficit as a cumulative effect adjustment under the modified retrospective method of adoption.</w:t>
      </w:r>
    </w:p>
    <w:p>
      <w:pPr>
        <w:spacing w:after="0" w:line="242"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In February 2016, the FASB issued ASU 2016-02, which sets out principles for the recognition, measurement, presentation and disclosure of leases for both parties to a contract (i.e. lessees and lessors). The standard requires that lessors expense, on an as-incurred basis, certain initial direct costs that are not incremental in negotiating a lease. Under existing standards, certain of these costs are capitalizable and therefore this new standard may result in certain of these costs being expensed as incurred after adoption. Under the standard, lessees apply a dual approach, classifying leases as either finance or operating leases. A lessee is required to record a right-of-use asset and a lease liability for all leases with a term of greater than twelve months, regardless of their lease classification. The Company is a lessee on ground leases at certain properties, on certain office space leases and on certain other improvements and equipment. The standard will impact the accounting and disclosure requirements for these leases. The standard is effective for the Company under a modified retrospective approach beginning January 1, 2019. The Company is evaluating the impact of the adoption of this standard on its consolidated financial statements.</w:t>
      </w:r>
    </w:p>
    <w:p>
      <w:pPr>
        <w:spacing w:after="0" w:line="236"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On November 17, 2016, the FASB issued ASU 2016-18, “Restricted Cash,” which requires that the statement of cash flows explain the change during a reporting period in the total of cash, cash equivalents, and amounts generally described as restricted cash and restricted cash equivalents. This standard states that transfers between cash, cash equivalents, and restricted cash are not part of the entity’s operating, investing, and financing activities. Therefore, restricted cash should be included with cash and cash equivalents when reconciling the beginning-of-period and end-of-period total amounts shown on the statement of cash flows. On January 1, 2018, the Company adopted the standard and retrospectively applied the guidance of the standard to the prior period presented, which resulted in an increase of $353 in net cash provided by investing activities on its consolidated statements of cash flows for the six months ended June 30, 2017.</w:t>
      </w:r>
    </w:p>
    <w:p>
      <w:pPr>
        <w:sectPr>
          <w:pgSz w:w="11900" w:h="16838" w:orient="portrait"/>
          <w:cols w:equalWidth="0" w:num="1">
            <w:col w:w="11400"/>
          </w:cols>
          <w:pgMar w:left="240" w:top="256" w:right="259"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256" w:right="25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 (Continued)</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a reconciliation of the beginning of period and end of period cash, cash equivalents and restricted cash reported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balance sheets to the totals shown on its consolidated statements of cash flows:</w:t>
      </w:r>
    </w:p>
    <w:p>
      <w:pPr>
        <w:spacing w:after="0" w:line="148"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For the Six Months Ended June</w:t>
      </w:r>
    </w:p>
    <w:p>
      <w:pPr>
        <w:spacing w:after="0" w:line="4"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13335</wp:posOffset>
            </wp:positionV>
            <wp:extent cx="1294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87" w:lineRule="exact"/>
        <w:rPr>
          <w:sz w:val="20"/>
          <w:szCs w:val="20"/>
          <w:color w:val="auto"/>
        </w:rPr>
      </w:pPr>
    </w:p>
    <w:tbl>
      <w:tblPr>
        <w:tblLayout w:type="fixed"/>
        <w:tblInd w:w="1320" w:type="dxa"/>
        <w:tblCellMar>
          <w:top w:w="0" w:type="dxa"/>
          <w:left w:w="0" w:type="dxa"/>
          <w:bottom w:w="0" w:type="dxa"/>
          <w:right w:w="0" w:type="dxa"/>
        </w:tblCellMar>
      </w:tblPr>
      <w:tr>
        <w:trPr>
          <w:trHeight w:val="192"/>
        </w:trPr>
        <w:tc>
          <w:tcPr>
            <w:tcW w:w="67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of period</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91,038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94,046</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52,067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49,951</w:t>
            </w:r>
          </w:p>
        </w:tc>
      </w:tr>
      <w:tr>
        <w:trPr>
          <w:trHeight w:val="297"/>
        </w:trPr>
        <w:tc>
          <w:tcPr>
            <w:tcW w:w="67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Cash, cash equivalents and restricted cash</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143,105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143,997</w:t>
            </w:r>
          </w:p>
        </w:tc>
      </w:tr>
      <w:tr>
        <w:trPr>
          <w:trHeight w:val="237"/>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 of period</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92,452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87,133</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50,304</w:t>
            </w:r>
          </w:p>
        </w:tc>
      </w:tr>
      <w:tr>
        <w:trPr>
          <w:trHeight w:val="257"/>
        </w:trPr>
        <w:tc>
          <w:tcPr>
            <w:tcW w:w="6760" w:type="dxa"/>
            <w:vAlign w:val="bottom"/>
          </w:tcPr>
          <w:p>
            <w:pPr>
              <w:ind w:left="160"/>
              <w:spacing w:after="0"/>
              <w:rPr>
                <w:sz w:val="20"/>
                <w:szCs w:val="20"/>
                <w:color w:val="auto"/>
              </w:rPr>
            </w:pPr>
            <w:r>
              <w:rPr>
                <w:rFonts w:ascii="Arial" w:cs="Arial" w:eastAsia="Arial" w:hAnsi="Arial"/>
                <w:sz w:val="18"/>
                <w:szCs w:val="18"/>
                <w:color w:val="auto"/>
              </w:rPr>
              <w:t>Cash, cash equivalents and restricted cash</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142,512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137,437</w:t>
            </w: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On January 5, 2017, the FASB issued ASU 2017-01, “Business Combinations,” which clarifies the definition of a business. The objective of the standard is to add further guidance that assists entities in evaluating whether a transaction will be accounted for as an acquisition of an asset or a business. The guidance requires an entity to evaluate if substantially all of the fair value of the gross assets acquired is concentrated in a single identifiable asset or a group of similar identifiable assets. If so, the set of transferred assets and activities are not a business and should be treated as an asset acquisition. The guidance also requires a business to include at least one substantive process and narrows the definition of outputs. The primary difference between business combinations and asset acquisitions is the recognition of transaction costs, which are expensed as period costs for business combinations and capitalized for asset acquisitions. The Company's adoption of this standard on January 1, 2018 did not have a significant impact on its consolidated financial statements.</w:t>
      </w:r>
    </w:p>
    <w:p>
      <w:pPr>
        <w:spacing w:after="0" w:line="221"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In February 2017, the FASB issued ASU No. 2017-05, “Other Income-Gains and Losses from the Derecognition of Nonfinancial Assets (Subtopic 610-20): Clarifying the Scope of Asset Derecognition Guidance and Accounting for Partial Sales of Nonfinancial Assets,” which clarifies the scope of asset derecognition and adds further guidance for recognizing gains and losses from the transfer of nonfinancial assets in contracts with non-customers. The Company has concluded that property sales represent transactions with non-customers. Sales of property generally represent only one performance obligation and are recognized when an enforceable contract is in place, collectability is ensured and control is transferred to the buyer. The Company's adoption of this standard on January 1, 2018 did not have a significant impact on its consolidated financial statements.</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August 2017, the FASB issued ASU 2017-12, “Targeted Improvements to Accounting for Hedging Activities,” which aims to (i) improve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transparency and understandability of information conveyed to financial statement users about an entity’s risk management activities by better aligning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entity’s financial reporting for hedging relationships with those risk management activities and (ii) reduce the complexity of and simplify the application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hedge accounting by preparers. The standard is effective for the Company beginning January 1, 2019, with early adoption permitted. The Company does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expect the adoption of this standard to have a significant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56"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 ("EPS"):</w:t>
      </w:r>
    </w:p>
    <w:p>
      <w:pPr>
        <w:spacing w:after="0" w:line="200" w:lineRule="exact"/>
        <w:rPr>
          <w:sz w:val="20"/>
          <w:szCs w:val="20"/>
          <w:color w:val="auto"/>
        </w:rPr>
      </w:pPr>
    </w:p>
    <w:p>
      <w:pPr>
        <w:spacing w:after="0" w:line="326"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reconciles the numerator and denominator used in the computation of EPS for the three and six months ended June 30, 2018 and 2017 (shares in thousands):</w:t>
      </w:r>
    </w:p>
    <w:p>
      <w:pPr>
        <w:spacing w:after="0" w:line="23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80" w:type="dxa"/>
            <w:vAlign w:val="bottom"/>
            <w:gridSpan w:val="6"/>
          </w:tcPr>
          <w:p>
            <w:pPr>
              <w:ind w:left="10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174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w w:val="93"/>
              </w:rPr>
              <w:t>For the Six Months Ended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1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8,866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29,052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(25,515)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103,861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Net income (loss) attributable to the Company</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7,816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26,638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(25,757)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Allocation of earnings to participating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w w:val="94"/>
              </w:rPr>
              <w:t>Numerator for basic and diluted EPS—net income (loss) attributable</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7,512</w:t>
            </w:r>
          </w:p>
        </w:tc>
        <w:tc>
          <w:tcPr>
            <w:tcW w:w="12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26,450</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8"/>
              </w:rPr>
              <w:t>(26,304)</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95,506</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 common stockholders</w:t>
            </w:r>
          </w:p>
        </w:tc>
        <w:tc>
          <w:tcPr>
            <w:tcW w:w="180" w:type="dxa"/>
            <w:vAlign w:val="bottom"/>
            <w:tcBorders>
              <w:bottom w:val="single" w:sz="8" w:color="auto"/>
            </w:tcBorders>
            <w:vMerge w:val="continue"/>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7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w w:val="95"/>
              </w:rPr>
              <w:t>Denominator for basic EPS—weighted average number of common</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shares outstanding</w:t>
            </w:r>
          </w:p>
        </w:tc>
        <w:tc>
          <w:tcPr>
            <w:tcW w:w="18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w w:val="98"/>
              </w:rPr>
              <w:t>141,137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141,695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w w:val="92"/>
              </w:rPr>
              <w:t>141,081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142,640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securities(1):</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Share and unit-based compensation plans</w:t>
            </w:r>
          </w:p>
        </w:tc>
        <w:tc>
          <w:tcPr>
            <w:tcW w:w="1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Denominator for diluted EPS—weighted average number of common</w:t>
            </w:r>
          </w:p>
        </w:tc>
        <w:tc>
          <w:tcPr>
            <w:tcW w:w="18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w w:val="98"/>
              </w:rPr>
              <w:t>141,137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89"/>
              </w:rPr>
              <w:t>141,728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w w:val="92"/>
              </w:rPr>
              <w:t>141,081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142,687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outstanding</w:t>
            </w: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8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6"/>
              </w:rPr>
              <w:t>EPS—net (loss) income attributable to common stockholders:</w:t>
            </w: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51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5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0" w:type="dxa"/>
            <w:vAlign w:val="bottom"/>
            <w:tcBorders>
              <w:bottom w:val="single" w:sz="8" w:color="auto"/>
            </w:tcBorders>
          </w:tcPr>
          <w:p>
            <w:pPr>
              <w:spacing w:after="0"/>
              <w:rPr>
                <w:sz w:val="10"/>
                <w:szCs w:val="10"/>
                <w:color w:val="auto"/>
              </w:rPr>
            </w:pPr>
          </w:p>
        </w:tc>
        <w:tc>
          <w:tcPr>
            <w:tcW w:w="5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20" w:hanging="412"/>
        <w:spacing w:after="0"/>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Diluted EPS excludes 90,619 convertible preferred partnership units for the </w:t>
      </w:r>
      <w:r>
        <w:rPr>
          <w:rFonts w:ascii="Arial" w:cs="Arial" w:eastAsia="Arial" w:hAnsi="Arial"/>
          <w:sz w:val="16"/>
          <w:szCs w:val="16"/>
          <w:color w:val="auto"/>
        </w:rPr>
        <w:t>three and six months ended</w:t>
      </w:r>
      <w:r>
        <w:rPr>
          <w:rFonts w:ascii="Arial" w:cs="Arial" w:eastAsia="Arial" w:hAnsi="Arial"/>
          <w:sz w:val="14"/>
          <w:szCs w:val="14"/>
          <w:color w:val="auto"/>
        </w:rPr>
        <w:t xml:space="preserve"> June 30, 2018 </w:t>
      </w:r>
      <w:r>
        <w:rPr>
          <w:rFonts w:ascii="Arial" w:cs="Arial" w:eastAsia="Arial" w:hAnsi="Arial"/>
          <w:sz w:val="16"/>
          <w:szCs w:val="16"/>
          <w:color w:val="auto"/>
        </w:rPr>
        <w:t>and</w:t>
      </w:r>
      <w:r>
        <w:rPr>
          <w:rFonts w:ascii="Arial" w:cs="Arial" w:eastAsia="Arial" w:hAnsi="Arial"/>
          <w:sz w:val="14"/>
          <w:szCs w:val="14"/>
          <w:color w:val="auto"/>
        </w:rPr>
        <w:t xml:space="preserve"> 2017, as their impact was antidilutive.</w:t>
      </w:r>
    </w:p>
    <w:p>
      <w:pPr>
        <w:spacing w:after="0" w:line="302" w:lineRule="exact"/>
        <w:rPr>
          <w:sz w:val="20"/>
          <w:szCs w:val="20"/>
          <w:color w:val="auto"/>
        </w:rPr>
      </w:pPr>
    </w:p>
    <w:p>
      <w:pPr>
        <w:ind w:left="420" w:right="60" w:firstLine="648"/>
        <w:spacing w:after="0" w:line="340" w:lineRule="auto"/>
        <w:rPr>
          <w:sz w:val="20"/>
          <w:szCs w:val="20"/>
          <w:color w:val="auto"/>
        </w:rPr>
      </w:pPr>
      <w:r>
        <w:rPr>
          <w:rFonts w:ascii="Arial" w:cs="Arial" w:eastAsia="Arial" w:hAnsi="Arial"/>
          <w:sz w:val="15"/>
          <w:szCs w:val="15"/>
          <w:color w:val="auto"/>
        </w:rPr>
        <w:t xml:space="preserve">Diluted EPS excludes 10,397,726 and 10,526,547 Operating Partnership units ("OP Units") for the three months ended June 30, 2018 </w:t>
      </w:r>
      <w:r>
        <w:rPr>
          <w:rFonts w:ascii="Arial" w:cs="Arial" w:eastAsia="Arial" w:hAnsi="Arial"/>
          <w:sz w:val="17"/>
          <w:szCs w:val="17"/>
          <w:color w:val="auto"/>
        </w:rPr>
        <w:t>and</w:t>
      </w:r>
      <w:r>
        <w:rPr>
          <w:rFonts w:ascii="Arial" w:cs="Arial" w:eastAsia="Arial" w:hAnsi="Arial"/>
          <w:sz w:val="15"/>
          <w:szCs w:val="15"/>
          <w:color w:val="auto"/>
        </w:rPr>
        <w:t xml:space="preserve"> 2017, respectively, and 10,344,766 and 10,558,809 OP Units for the six months ended June 30, 2018 and 2017, respectively, as their impact was antidilutive.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made the following recent investments and dispositions in its unconsolidated joint ventures:</w:t>
      </w:r>
    </w:p>
    <w:p>
      <w:pPr>
        <w:spacing w:after="0" w:line="279"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color w:val="auto"/>
        </w:rPr>
        <w:t>On March 17, 2017, the Company's joint venture in Country Club Plaza sold an office building for $78,000, resulting in a gain on sale of assets of $4,580. The Company's pro rata share of the gain on the sale of assets of $2,290 was included in equity in income from unconsolidated joint ventures. The Company used its share of the proceeds to fund repurchases under the 2017 Stock Buyback Program (See Note 13—Stockholders' Equity).</w:t>
      </w:r>
    </w:p>
    <w:p>
      <w:pPr>
        <w:spacing w:after="0" w:line="20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On September 18, 2017, the Company's joint venture in Fashion District Philadelphia sold its ownership interest in an office building for $61,500, resulting in a gain on sale of assets of $13,078. The Company's pro rata share of the gain on the sale of assets of $6,539 was included in equity in income from unconsolidated joint ventures. The Company used its share of the proceeds to fund repurchases under the 2017 Stock Buyback Program (See Note 13— Stockholders' Equity).</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December 14, 2017, the Company’s joint venture in Westcor/Queen Creek LLC sold land for $30,491, resulting in a gain on sale of assets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$14,853. The Company’s share of the gain on sale was $5,436, which was included in equity in income of unconsolidated joint ventures. The Company used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portion of the proceeds to pay down its line of credit and for general corporate purposes.</w:t>
      </w:r>
    </w:p>
    <w:p>
      <w:pPr>
        <w:sectPr>
          <w:pgSz w:w="11900" w:h="16838" w:orient="portrait"/>
          <w:cols w:equalWidth="0" w:num="1">
            <w:col w:w="11340"/>
          </w:cols>
          <w:pgMar w:left="240" w:top="256" w:right="319" w:bottom="1440" w:gutter="0" w:footer="0" w:header="0"/>
        </w:sect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40"/>
          </w:cols>
          <w:pgMar w:left="240" w:top="256" w:right="31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391"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On February 16, 2018, the Company's joint venture in Fashion District Philadelphia sold its ownership interest in an office building for $41,800, resulting in a gain on sale of assets of $5,545. The Company's pro rata share of the gain on the sale of assets of $2,773 was included in equity in income from unconsolidated joint ventures. The Company used its share of the proceeds to pay down its line of credit and for general corporate purposes.</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Combined and condensed balance sheets and statements of operations are presented below for all unconsolidated joint ventures.</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Combined and Condensed Balance Sheets of Unconsolidated Joint Ventures:</w:t>
      </w:r>
    </w:p>
    <w:p>
      <w:pPr>
        <w:spacing w:after="0" w:line="289"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20" w:type="dxa"/>
            <w:vAlign w:val="bottom"/>
          </w:tcPr>
          <w:p>
            <w:pPr>
              <w:spacing w:after="0"/>
              <w:rPr>
                <w:sz w:val="16"/>
                <w:szCs w:val="16"/>
                <w:color w:val="auto"/>
              </w:rPr>
            </w:pPr>
          </w:p>
        </w:tc>
        <w:tc>
          <w:tcPr>
            <w:tcW w:w="538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r>
      <w:tr>
        <w:trPr>
          <w:trHeight w:val="250"/>
        </w:trPr>
        <w:tc>
          <w:tcPr>
            <w:tcW w:w="2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Assets(1):</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tcPr>
          <w:p>
            <w:pPr>
              <w:ind w:left="160"/>
              <w:spacing w:after="0"/>
              <w:rPr>
                <w:sz w:val="20"/>
                <w:szCs w:val="20"/>
                <w:color w:val="auto"/>
              </w:rPr>
            </w:pPr>
            <w:r>
              <w:rPr>
                <w:rFonts w:ascii="Arial" w:cs="Arial" w:eastAsia="Arial" w:hAnsi="Arial"/>
                <w:sz w:val="18"/>
                <w:szCs w:val="18"/>
                <w:color w:val="auto"/>
              </w:rPr>
              <w:t>Property,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9,002,271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9,052,105</w:t>
            </w: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620,500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635,838</w:t>
            </w:r>
          </w:p>
        </w:tc>
      </w:tr>
      <w:tr>
        <w:trPr>
          <w:trHeight w:val="297"/>
        </w:trPr>
        <w:tc>
          <w:tcPr>
            <w:tcW w:w="20" w:type="dxa"/>
            <w:vAlign w:val="bottom"/>
          </w:tcPr>
          <w:p>
            <w:pPr>
              <w:spacing w:after="0"/>
              <w:rPr>
                <w:sz w:val="24"/>
                <w:szCs w:val="24"/>
                <w:color w:val="auto"/>
              </w:rPr>
            </w:pPr>
          </w:p>
        </w:tc>
        <w:tc>
          <w:tcPr>
            <w:tcW w:w="67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9,622,771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9,687,943</w:t>
            </w:r>
          </w:p>
        </w:tc>
      </w:tr>
      <w:tr>
        <w:trPr>
          <w:trHeight w:val="237"/>
        </w:trPr>
        <w:tc>
          <w:tcPr>
            <w:tcW w:w="20" w:type="dxa"/>
            <w:vAlign w:val="bottom"/>
          </w:tcPr>
          <w:p>
            <w:pPr>
              <w:spacing w:after="0"/>
              <w:rPr>
                <w:sz w:val="20"/>
                <w:szCs w:val="20"/>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 and partners' capital(1):</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tcPr>
          <w:p>
            <w:pPr>
              <w:ind w:left="160"/>
              <w:spacing w:after="0"/>
              <w:rPr>
                <w:sz w:val="20"/>
                <w:szCs w:val="20"/>
                <w:color w:val="auto"/>
              </w:rPr>
            </w:pPr>
            <w:r>
              <w:rPr>
                <w:rFonts w:ascii="Arial" w:cs="Arial" w:eastAsia="Arial" w:hAnsi="Arial"/>
                <w:sz w:val="18"/>
                <w:szCs w:val="18"/>
                <w:color w:val="auto"/>
              </w:rPr>
              <w:t>Mortgage and other notes payable(2)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5,964,691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5,296,594</w:t>
            </w: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386,509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405,052</w:t>
            </w:r>
          </w:p>
        </w:tc>
      </w:tr>
      <w:tr>
        <w:trPr>
          <w:trHeight w:val="243"/>
        </w:trPr>
        <w:tc>
          <w:tcPr>
            <w:tcW w:w="20" w:type="dxa"/>
            <w:vAlign w:val="bottom"/>
          </w:tcPr>
          <w:p>
            <w:pPr>
              <w:spacing w:after="0"/>
              <w:rPr>
                <w:sz w:val="21"/>
                <w:szCs w:val="21"/>
                <w:color w:val="auto"/>
              </w:rPr>
            </w:pPr>
          </w:p>
        </w:tc>
        <w:tc>
          <w:tcPr>
            <w:tcW w:w="6700" w:type="dxa"/>
            <w:vAlign w:val="bottom"/>
            <w:gridSpan w:val="2"/>
          </w:tcPr>
          <w:p>
            <w:pPr>
              <w:ind w:left="160"/>
              <w:spacing w:after="0"/>
              <w:rPr>
                <w:sz w:val="20"/>
                <w:szCs w:val="20"/>
                <w:color w:val="auto"/>
              </w:rPr>
            </w:pPr>
            <w:r>
              <w:rPr>
                <w:rFonts w:ascii="Arial" w:cs="Arial" w:eastAsia="Arial" w:hAnsi="Arial"/>
                <w:sz w:val="18"/>
                <w:szCs w:val="18"/>
                <w:color w:val="auto"/>
              </w:rPr>
              <w:t>Company's capital</w:t>
            </w:r>
          </w:p>
        </w:tc>
        <w:tc>
          <w:tcPr>
            <w:tcW w:w="2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1,839,908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2,188,057</w:t>
            </w: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Outside partners' capital</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1,431,663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1,798,240</w:t>
            </w:r>
          </w:p>
        </w:tc>
      </w:tr>
      <w:tr>
        <w:trPr>
          <w:trHeight w:val="297"/>
        </w:trPr>
        <w:tc>
          <w:tcPr>
            <w:tcW w:w="20" w:type="dxa"/>
            <w:vAlign w:val="bottom"/>
          </w:tcPr>
          <w:p>
            <w:pPr>
              <w:spacing w:after="0"/>
              <w:rPr>
                <w:sz w:val="24"/>
                <w:szCs w:val="24"/>
                <w:color w:val="auto"/>
              </w:rPr>
            </w:pPr>
          </w:p>
        </w:tc>
        <w:tc>
          <w:tcPr>
            <w:tcW w:w="67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9,622,771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9,687,943</w:t>
            </w:r>
          </w:p>
        </w:tc>
      </w:tr>
      <w:tr>
        <w:trPr>
          <w:trHeight w:val="237"/>
        </w:trPr>
        <w:tc>
          <w:tcPr>
            <w:tcW w:w="20" w:type="dxa"/>
            <w:vAlign w:val="bottom"/>
          </w:tcPr>
          <w:p>
            <w:pPr>
              <w:spacing w:after="0"/>
              <w:rPr>
                <w:sz w:val="20"/>
                <w:szCs w:val="20"/>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Investments in unconsolidated joint ventures:</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tcPr>
          <w:p>
            <w:pPr>
              <w:ind w:left="160"/>
              <w:spacing w:after="0"/>
              <w:rPr>
                <w:sz w:val="20"/>
                <w:szCs w:val="20"/>
                <w:color w:val="auto"/>
              </w:rPr>
            </w:pPr>
            <w:r>
              <w:rPr>
                <w:rFonts w:ascii="Arial" w:cs="Arial" w:eastAsia="Arial" w:hAnsi="Arial"/>
                <w:sz w:val="18"/>
                <w:szCs w:val="18"/>
                <w:color w:val="auto"/>
              </w:rPr>
              <w:t>Company's capital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1,839,908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2,188,057</w:t>
            </w: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Basis adjustment(3)</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(550,766)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(562,021)</w:t>
            </w:r>
          </w:p>
        </w:tc>
      </w:tr>
      <w:tr>
        <w:trPr>
          <w:trHeight w:val="237"/>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1,289,142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1,626,036</w:t>
            </w:r>
          </w:p>
        </w:tc>
      </w:tr>
      <w:tr>
        <w:trPr>
          <w:trHeight w:val="67"/>
        </w:trPr>
        <w:tc>
          <w:tcPr>
            <w:tcW w:w="20" w:type="dxa"/>
            <w:vAlign w:val="bottom"/>
          </w:tcPr>
          <w:p>
            <w:pPr>
              <w:spacing w:after="0"/>
              <w:rPr>
                <w:sz w:val="5"/>
                <w:szCs w:val="5"/>
                <w:color w:val="auto"/>
              </w:rPr>
            </w:pPr>
          </w:p>
        </w:tc>
        <w:tc>
          <w:tcPr>
            <w:tcW w:w="5380" w:type="dxa"/>
            <w:vAlign w:val="bottom"/>
            <w:tcBorders>
              <w:bottom w:val="single" w:sz="8" w:color="CCEEFF"/>
            </w:tcBorders>
          </w:tcPr>
          <w:p>
            <w:pPr>
              <w:spacing w:after="0"/>
              <w:rPr>
                <w:sz w:val="5"/>
                <w:szCs w:val="5"/>
                <w:color w:val="auto"/>
              </w:rPr>
            </w:pPr>
          </w:p>
        </w:tc>
        <w:tc>
          <w:tcPr>
            <w:tcW w:w="13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305"/>
        </w:trPr>
        <w:tc>
          <w:tcPr>
            <w:tcW w:w="20" w:type="dxa"/>
            <w:vAlign w:val="bottom"/>
          </w:tcPr>
          <w:p>
            <w:pPr>
              <w:spacing w:after="0"/>
              <w:rPr>
                <w:sz w:val="24"/>
                <w:szCs w:val="24"/>
                <w:color w:val="auto"/>
              </w:rPr>
            </w:pPr>
          </w:p>
        </w:tc>
        <w:tc>
          <w:tcPr>
            <w:tcW w:w="5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tcPr>
          <w:p>
            <w:pPr>
              <w:ind w:left="20"/>
              <w:spacing w:after="0"/>
              <w:rPr>
                <w:sz w:val="20"/>
                <w:szCs w:val="20"/>
                <w:color w:val="auto"/>
              </w:rPr>
            </w:pPr>
            <w:r>
              <w:rPr>
                <w:rFonts w:ascii="Arial" w:cs="Arial" w:eastAsia="Arial" w:hAnsi="Arial"/>
                <w:sz w:val="18"/>
                <w:szCs w:val="18"/>
                <w:color w:val="auto"/>
              </w:rPr>
              <w:t>Assets—Investments in unconsolidated joint ventures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1,381,358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1,709,522</w:t>
            </w: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Liabilities—Distributions in excess of investments in unconsolidated joint ventures</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(83,486)</w:t>
            </w:r>
          </w:p>
        </w:tc>
      </w:tr>
      <w:tr>
        <w:trPr>
          <w:trHeight w:val="237"/>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1,289,142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1,626,036</w:t>
            </w: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Borders>
              <w:bottom w:val="single" w:sz="8" w:color="auto"/>
            </w:tcBorders>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1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r>
    </w:tbl>
    <w:p>
      <w:pPr>
        <w:spacing w:after="0" w:line="242" w:lineRule="exact"/>
        <w:rPr>
          <w:sz w:val="20"/>
          <w:szCs w:val="20"/>
          <w:color w:val="auto"/>
        </w:rPr>
      </w:pPr>
    </w:p>
    <w:p>
      <w:pPr>
        <w:ind w:left="420" w:right="580" w:hanging="412"/>
        <w:spacing w:after="0" w:line="264"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These amounts include the assets of $3,059,530 and $3,106,105 of Pacific Premier Retail LLC (the "PPR Portfolio") as of June 30, 2018 and December 31, 2017, respectively, and liabilities of $1,859,679 and $1,872,227 of the PPR Portfolio as of June 30, 2018 and December 31, 2017, respectively.</w:t>
      </w:r>
    </w:p>
    <w:p>
      <w:pPr>
        <w:spacing w:after="0" w:line="235" w:lineRule="exact"/>
        <w:rPr>
          <w:rFonts w:ascii="Arial" w:cs="Arial" w:eastAsia="Arial" w:hAnsi="Arial"/>
          <w:sz w:val="18"/>
          <w:szCs w:val="18"/>
          <w:color w:val="auto"/>
        </w:rPr>
      </w:pPr>
    </w:p>
    <w:p>
      <w:pPr>
        <w:ind w:left="420" w:hanging="412"/>
        <w:spacing w:after="0" w:line="279" w:lineRule="auto"/>
        <w:tabs>
          <w:tab w:leader="none" w:pos="42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Included in mortgage and other notes payable are amounts due to an affiliate of Northwestern Mutual Life ("NML") of $701,884 and $482,332 as of June 30, 2018 and December 31, 2017, respectively. NML is considered a related party because it is a joint venture partner with the Company in Macerich Northwestern Associates—Broadway Plaza. Interest expense on these borrowings was $7,158 and $4,929 for the three months ended June 30, 2018 and 2017, respectively, and $12,116 and $8,089 for the six months ended June 30, 2018 and 2017, respectively.</w:t>
      </w:r>
    </w:p>
    <w:p>
      <w:pPr>
        <w:spacing w:after="0" w:line="225" w:lineRule="exact"/>
        <w:rPr>
          <w:rFonts w:ascii="Arial" w:cs="Arial" w:eastAsia="Arial" w:hAnsi="Arial"/>
          <w:sz w:val="17"/>
          <w:szCs w:val="17"/>
          <w:color w:val="auto"/>
        </w:rPr>
      </w:pPr>
    </w:p>
    <w:p>
      <w:pPr>
        <w:jc w:val="both"/>
        <w:ind w:left="420" w:right="60" w:hanging="412"/>
        <w:spacing w:after="0" w:line="312" w:lineRule="auto"/>
        <w:tabs>
          <w:tab w:leader="none" w:pos="4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 amortizes the difference between the cost of its investments in unconsolidated joint ventures and the book value of the underlying equity into income on a straight-line basis consistent with the lives of the underlying assets. The amortization of this difference was $3,524 and $4,197 for the three months ended June 30, 2018 and 2017, respectively, and $7,627 and $8,224 for the six months ended June 30, 2018 and 2017, respectively.</w:t>
      </w:r>
    </w:p>
    <w:p>
      <w:pPr>
        <w:sectPr>
          <w:pgSz w:w="11900" w:h="16838" w:orient="portrait"/>
          <w:cols w:equalWidth="0" w:num="1">
            <w:col w:w="11380"/>
          </w:cols>
          <w:pgMar w:left="240" w:top="256" w:right="279" w:bottom="1440" w:gutter="0" w:footer="0" w:header="0"/>
        </w:sect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80"/>
          </w:cols>
          <w:pgMar w:left="240" w:top="256" w:right="27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Combined and Condensed Statements of Operations of Unconsolidated Joint Ventures:</w:t>
      </w:r>
    </w:p>
    <w:p>
      <w:pPr>
        <w:spacing w:after="0" w:line="289"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PPR Portfolio</w:t>
            </w:r>
          </w:p>
        </w:tc>
        <w:tc>
          <w:tcPr>
            <w:tcW w:w="20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Joint</w:t>
            </w:r>
          </w:p>
        </w:tc>
        <w:tc>
          <w:tcPr>
            <w:tcW w:w="260" w:type="dxa"/>
            <w:vAlign w:val="bottom"/>
          </w:tcPr>
          <w:p>
            <w:pPr>
              <w:spacing w:after="0"/>
              <w:rPr>
                <w:sz w:val="12"/>
                <w:szCs w:val="12"/>
                <w:color w:val="auto"/>
              </w:rPr>
            </w:pPr>
          </w:p>
        </w:tc>
        <w:tc>
          <w:tcPr>
            <w:tcW w:w="92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Ventures</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Three Months Ended June 30, 2018</w:t>
            </w: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Revenues:</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Minimum rents</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123,940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156,821</w:t>
            </w:r>
          </w:p>
        </w:tc>
        <w:tc>
          <w:tcPr>
            <w:tcW w:w="0" w:type="dxa"/>
            <w:vAlign w:val="bottom"/>
          </w:tcPr>
          <w:p>
            <w:pPr>
              <w:spacing w:after="0"/>
              <w:rPr>
                <w:sz w:val="1"/>
                <w:szCs w:val="1"/>
                <w:color w:val="auto"/>
              </w:rPr>
            </w:pPr>
          </w:p>
        </w:tc>
      </w:tr>
      <w:tr>
        <w:trPr>
          <w:trHeight w:val="243"/>
        </w:trPr>
        <w:tc>
          <w:tcPr>
            <w:tcW w:w="3460" w:type="dxa"/>
            <w:vAlign w:val="bottom"/>
          </w:tcPr>
          <w:p>
            <w:pPr>
              <w:ind w:left="140"/>
              <w:spacing w:after="0"/>
              <w:rPr>
                <w:sz w:val="20"/>
                <w:szCs w:val="20"/>
                <w:color w:val="auto"/>
              </w:rPr>
            </w:pPr>
            <w:r>
              <w:rPr>
                <w:rFonts w:ascii="Arial" w:cs="Arial" w:eastAsia="Arial" w:hAnsi="Arial"/>
                <w:sz w:val="18"/>
                <w:szCs w:val="18"/>
                <w:color w:val="auto"/>
              </w:rPr>
              <w:t>Percentage rents</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Tenant recoveries</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47,312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58,712</w:t>
            </w:r>
          </w:p>
        </w:tc>
        <w:tc>
          <w:tcPr>
            <w:tcW w:w="0" w:type="dxa"/>
            <w:vAlign w:val="bottom"/>
          </w:tcPr>
          <w:p>
            <w:pPr>
              <w:spacing w:after="0"/>
              <w:rPr>
                <w:sz w:val="1"/>
                <w:szCs w:val="1"/>
                <w:color w:val="auto"/>
              </w:rPr>
            </w:pPr>
          </w:p>
        </w:tc>
      </w:tr>
      <w:tr>
        <w:trPr>
          <w:trHeight w:val="243"/>
        </w:trPr>
        <w:tc>
          <w:tcPr>
            <w:tcW w:w="3460" w:type="dxa"/>
            <w:vAlign w:val="bottom"/>
          </w:tcPr>
          <w:p>
            <w:pPr>
              <w:ind w:left="140"/>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14,973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16,217</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45,794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187,487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233,281</w:t>
            </w:r>
          </w:p>
        </w:tc>
        <w:tc>
          <w:tcPr>
            <w:tcW w:w="0" w:type="dxa"/>
            <w:vAlign w:val="bottom"/>
          </w:tcPr>
          <w:p>
            <w:pPr>
              <w:spacing w:after="0"/>
              <w:rPr>
                <w:sz w:val="1"/>
                <w:szCs w:val="1"/>
                <w:color w:val="auto"/>
              </w:rPr>
            </w:pPr>
          </w:p>
        </w:tc>
      </w:tr>
      <w:tr>
        <w:trPr>
          <w:trHeight w:val="237"/>
        </w:trPr>
        <w:tc>
          <w:tcPr>
            <w:tcW w:w="3460" w:type="dxa"/>
            <w:vAlign w:val="bottom"/>
          </w:tcPr>
          <w:p>
            <w:pPr>
              <w:ind w:left="20"/>
              <w:spacing w:after="0"/>
              <w:rPr>
                <w:sz w:val="20"/>
                <w:szCs w:val="20"/>
                <w:color w:val="auto"/>
              </w:rPr>
            </w:pPr>
            <w:r>
              <w:rPr>
                <w:rFonts w:ascii="Arial" w:cs="Arial" w:eastAsia="Arial" w:hAnsi="Arial"/>
                <w:sz w:val="18"/>
                <w:szCs w:val="18"/>
                <w:color w:val="auto"/>
              </w:rPr>
              <w:t>Expenses:</w:t>
            </w:r>
          </w:p>
        </w:tc>
        <w:tc>
          <w:tcPr>
            <w:tcW w:w="7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Shopping center and operating expenses</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60,325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69,842</w:t>
            </w:r>
          </w:p>
        </w:tc>
        <w:tc>
          <w:tcPr>
            <w:tcW w:w="0" w:type="dxa"/>
            <w:vAlign w:val="bottom"/>
          </w:tcPr>
          <w:p>
            <w:pPr>
              <w:spacing w:after="0"/>
              <w:rPr>
                <w:sz w:val="1"/>
                <w:szCs w:val="1"/>
                <w:color w:val="auto"/>
              </w:rPr>
            </w:pPr>
          </w:p>
        </w:tc>
      </w:tr>
      <w:tr>
        <w:trPr>
          <w:trHeight w:val="243"/>
        </w:trPr>
        <w:tc>
          <w:tcPr>
            <w:tcW w:w="34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16,770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37,356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54,126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24,071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60,973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85,044</w:t>
            </w:r>
          </w:p>
        </w:tc>
        <w:tc>
          <w:tcPr>
            <w:tcW w:w="0" w:type="dxa"/>
            <w:vAlign w:val="bottom"/>
          </w:tcPr>
          <w:p>
            <w:pPr>
              <w:spacing w:after="0"/>
              <w:rPr>
                <w:sz w:val="1"/>
                <w:szCs w:val="1"/>
                <w:color w:val="auto"/>
              </w:rPr>
            </w:pPr>
          </w:p>
        </w:tc>
      </w:tr>
      <w:tr>
        <w:trPr>
          <w:trHeight w:val="237"/>
        </w:trPr>
        <w:tc>
          <w:tcPr>
            <w:tcW w:w="346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7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50,358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158,654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209,012</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or write down of assets, net</w:t>
            </w: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97"/>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w:t>
            </w:r>
          </w:p>
        </w:tc>
        <w:tc>
          <w:tcPr>
            <w:tcW w:w="7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29,392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24,828</w:t>
            </w:r>
          </w:p>
        </w:tc>
        <w:tc>
          <w:tcPr>
            <w:tcW w:w="0" w:type="dxa"/>
            <w:vAlign w:val="bottom"/>
          </w:tcPr>
          <w:p>
            <w:pPr>
              <w:spacing w:after="0"/>
              <w:rPr>
                <w:sz w:val="1"/>
                <w:szCs w:val="1"/>
                <w:color w:val="auto"/>
              </w:rPr>
            </w:pPr>
          </w:p>
        </w:tc>
      </w:tr>
      <w:tr>
        <w:trPr>
          <w:trHeight w:val="251"/>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Company's equity in net (loss) income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15,926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15,669</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Three Months Ended June 30, 2017</w:t>
            </w: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6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40"/>
              <w:spacing w:after="0"/>
              <w:rPr>
                <w:sz w:val="20"/>
                <w:szCs w:val="20"/>
                <w:color w:val="auto"/>
              </w:rPr>
            </w:pPr>
            <w:r>
              <w:rPr>
                <w:rFonts w:ascii="Arial" w:cs="Arial" w:eastAsia="Arial" w:hAnsi="Arial"/>
                <w:sz w:val="18"/>
                <w:szCs w:val="18"/>
                <w:color w:val="auto"/>
              </w:rPr>
              <w:t>Minimum rents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32,045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126,765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158,810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Percentage rents</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43"/>
        </w:trPr>
        <w:tc>
          <w:tcPr>
            <w:tcW w:w="3460" w:type="dxa"/>
            <w:vAlign w:val="bottom"/>
          </w:tcPr>
          <w:p>
            <w:pPr>
              <w:ind w:left="140"/>
              <w:spacing w:after="0"/>
              <w:rPr>
                <w:sz w:val="20"/>
                <w:szCs w:val="20"/>
                <w:color w:val="auto"/>
              </w:rPr>
            </w:pPr>
            <w:r>
              <w:rPr>
                <w:rFonts w:ascii="Arial" w:cs="Arial" w:eastAsia="Arial" w:hAnsi="Arial"/>
                <w:sz w:val="18"/>
                <w:szCs w:val="18"/>
                <w:color w:val="auto"/>
              </w:rPr>
              <w:t>Tenant recoveries</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11,373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46,119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57,492</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14,419</w:t>
            </w:r>
          </w:p>
        </w:tc>
        <w:tc>
          <w:tcPr>
            <w:tcW w:w="0" w:type="dxa"/>
            <w:vAlign w:val="bottom"/>
          </w:tcPr>
          <w:p>
            <w:pPr>
              <w:spacing w:after="0"/>
              <w:rPr>
                <w:sz w:val="1"/>
                <w:szCs w:val="1"/>
                <w:color w:val="auto"/>
              </w:rPr>
            </w:pPr>
          </w:p>
        </w:tc>
      </w:tr>
      <w:tr>
        <w:trPr>
          <w:trHeight w:val="237"/>
        </w:trPr>
        <w:tc>
          <w:tcPr>
            <w:tcW w:w="346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7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45,041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188,027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233,068</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40"/>
              <w:spacing w:after="0"/>
              <w:rPr>
                <w:sz w:val="20"/>
                <w:szCs w:val="20"/>
                <w:color w:val="auto"/>
              </w:rPr>
            </w:pPr>
            <w:r>
              <w:rPr>
                <w:rFonts w:ascii="Arial" w:cs="Arial" w:eastAsia="Arial" w:hAnsi="Arial"/>
                <w:sz w:val="18"/>
                <w:szCs w:val="18"/>
                <w:color w:val="auto"/>
              </w:rPr>
              <w:t>Shopping center and operating expenses</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9,711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58,886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68,597</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49,651</w:t>
            </w:r>
          </w:p>
        </w:tc>
        <w:tc>
          <w:tcPr>
            <w:tcW w:w="0" w:type="dxa"/>
            <w:vAlign w:val="bottom"/>
          </w:tcPr>
          <w:p>
            <w:pPr>
              <w:spacing w:after="0"/>
              <w:rPr>
                <w:sz w:val="1"/>
                <w:szCs w:val="1"/>
                <w:color w:val="auto"/>
              </w:rPr>
            </w:pPr>
          </w:p>
        </w:tc>
      </w:tr>
      <w:tr>
        <w:trPr>
          <w:trHeight w:val="243"/>
        </w:trPr>
        <w:tc>
          <w:tcPr>
            <w:tcW w:w="34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24,802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62,090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86,892</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153,952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205,140</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Loss on sale or write down of assets, net</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34,073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27,926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460" w:type="dxa"/>
            <w:vAlign w:val="bottom"/>
          </w:tcPr>
          <w:p>
            <w:pPr>
              <w:ind w:left="20"/>
              <w:spacing w:after="0"/>
              <w:rPr>
                <w:sz w:val="20"/>
                <w:szCs w:val="20"/>
                <w:color w:val="auto"/>
              </w:rPr>
            </w:pPr>
            <w:r>
              <w:rPr>
                <w:rFonts w:ascii="Arial" w:cs="Arial" w:eastAsia="Arial" w:hAnsi="Arial"/>
                <w:sz w:val="18"/>
                <w:szCs w:val="18"/>
                <w:color w:val="auto"/>
              </w:rPr>
              <w:t>Company's equity in net (loss) income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17,970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16,936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740" w:type="dxa"/>
            <w:vAlign w:val="bottom"/>
            <w:vMerge w:val="restart"/>
          </w:tcPr>
          <w:p>
            <w:pPr>
              <w:jc w:val="right"/>
              <w:ind w:right="70"/>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4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56" w:right="1440"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39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PPR Portfolio</w:t>
            </w:r>
          </w:p>
        </w:tc>
        <w:tc>
          <w:tcPr>
            <w:tcW w:w="2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Joint</w:t>
            </w:r>
          </w:p>
        </w:tc>
        <w:tc>
          <w:tcPr>
            <w:tcW w:w="260" w:type="dxa"/>
            <w:vAlign w:val="bottom"/>
          </w:tcPr>
          <w:p>
            <w:pPr>
              <w:spacing w:after="0"/>
              <w:rPr>
                <w:sz w:val="12"/>
                <w:szCs w:val="12"/>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Ventures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Six Months Ended June 30, 2018</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Minimum rents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65,620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251,648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317,268</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Percentage rents</w:t>
            </w:r>
          </w:p>
        </w:tc>
        <w:tc>
          <w:tcPr>
            <w:tcW w:w="1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701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3,774</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Tenant recoveries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118,216</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2,261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28,325</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91,382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376,201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467,583</w:t>
            </w:r>
          </w:p>
        </w:tc>
        <w:tc>
          <w:tcPr>
            <w:tcW w:w="0" w:type="dxa"/>
            <w:vAlign w:val="bottom"/>
          </w:tcPr>
          <w:p>
            <w:pPr>
              <w:spacing w:after="0"/>
              <w:rPr>
                <w:sz w:val="1"/>
                <w:szCs w:val="1"/>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Expenses: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Shopping center and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19,198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140,844</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33,496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70,388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103,884</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48,555</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123,385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171,940</w:t>
            </w:r>
          </w:p>
        </w:tc>
        <w:tc>
          <w:tcPr>
            <w:tcW w:w="0" w:type="dxa"/>
            <w:vAlign w:val="bottom"/>
          </w:tcPr>
          <w:p>
            <w:pPr>
              <w:spacing w:after="0"/>
              <w:rPr>
                <w:sz w:val="1"/>
                <w:szCs w:val="1"/>
                <w:color w:val="auto"/>
              </w:rPr>
            </w:pPr>
          </w:p>
        </w:tc>
      </w:tr>
      <w:tr>
        <w:trPr>
          <w:trHeight w:val="237"/>
        </w:trPr>
        <w:tc>
          <w:tcPr>
            <w:tcW w:w="42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101,249</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315,419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416,668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or write down of assets, net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97"/>
        </w:trPr>
        <w:tc>
          <w:tcPr>
            <w:tcW w:w="4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(9,867)</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62,311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52,444</w:t>
            </w:r>
          </w:p>
        </w:tc>
        <w:tc>
          <w:tcPr>
            <w:tcW w:w="0" w:type="dxa"/>
            <w:vAlign w:val="bottom"/>
          </w:tcPr>
          <w:p>
            <w:pPr>
              <w:spacing w:after="0"/>
              <w:rPr>
                <w:sz w:val="1"/>
                <w:szCs w:val="1"/>
                <w:color w:val="auto"/>
              </w:rPr>
            </w:pPr>
          </w:p>
        </w:tc>
      </w:tr>
      <w:tr>
        <w:trPr>
          <w:trHeight w:val="251"/>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Company's equity in net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32,541</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Six Months Ended June 30, 2017</w:t>
            </w: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Minimum rents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65,581</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250,268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315,849</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Percentage rents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4,815</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Tenant recoveries</w:t>
            </w:r>
          </w:p>
        </w:tc>
        <w:tc>
          <w:tcPr>
            <w:tcW w:w="1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22,812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94,034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116,846</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26,956</w:t>
            </w:r>
          </w:p>
        </w:tc>
        <w:tc>
          <w:tcPr>
            <w:tcW w:w="0" w:type="dxa"/>
            <w:vAlign w:val="bottom"/>
          </w:tcPr>
          <w:p>
            <w:pPr>
              <w:spacing w:after="0"/>
              <w:rPr>
                <w:sz w:val="1"/>
                <w:szCs w:val="1"/>
                <w:color w:val="auto"/>
              </w:rPr>
            </w:pPr>
          </w:p>
        </w:tc>
      </w:tr>
      <w:tr>
        <w:trPr>
          <w:trHeight w:val="237"/>
        </w:trPr>
        <w:tc>
          <w:tcPr>
            <w:tcW w:w="422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91,772</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372,694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464,466</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Shopping center and operating expenses</w:t>
            </w:r>
          </w:p>
        </w:tc>
        <w:tc>
          <w:tcPr>
            <w:tcW w:w="1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19,471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121,081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140,552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33,401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98,656</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51,078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124,969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176,047</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103,950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415,255</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(Loss) gain on sale or write down of assets, net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(12,213)</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65,968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20" w:type="dxa"/>
            <w:vAlign w:val="bottom"/>
          </w:tcPr>
          <w:p>
            <w:pPr>
              <w:ind w:left="40"/>
              <w:spacing w:after="0"/>
              <w:rPr>
                <w:sz w:val="20"/>
                <w:szCs w:val="20"/>
                <w:color w:val="auto"/>
              </w:rPr>
            </w:pPr>
            <w:r>
              <w:rPr>
                <w:rFonts w:ascii="Arial" w:cs="Arial" w:eastAsia="Arial" w:hAnsi="Arial"/>
                <w:sz w:val="18"/>
                <w:szCs w:val="18"/>
                <w:color w:val="auto"/>
              </w:rPr>
              <w:t>Company's equity in net (loss)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2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34,775</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32,779</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accounting policies used by the unconsolidated joint ventures are similar to those used by the Company.</w:t>
      </w: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19"/>
          </w:cols>
          <w:pgMar w:left="240" w:top="256" w:right="1440"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 and Hedging Activities:</w:t>
      </w:r>
    </w:p>
    <w:p>
      <w:pPr>
        <w:spacing w:after="0" w:line="283"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The Company recorded other comprehensive income (loss) related to the marking-to-market of an interest rate cap agreement of $(52) and $9 for the three and six months ended June 30, 2018. There were no derivatives outstanding during the three and six months ended June 30, 2017.</w:t>
      </w:r>
    </w:p>
    <w:p>
      <w:pPr>
        <w:spacing w:after="0" w:line="20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derivative was outstanding at June 30, 2018:</w:t>
      </w:r>
    </w:p>
    <w:p>
      <w:pPr>
        <w:spacing w:after="0" w:line="200" w:lineRule="exact"/>
        <w:rPr>
          <w:sz w:val="20"/>
          <w:szCs w:val="20"/>
          <w:color w:val="auto"/>
        </w:rPr>
      </w:pPr>
    </w:p>
    <w:p>
      <w:pPr>
        <w:spacing w:after="0" w:line="259" w:lineRule="exact"/>
        <w:rPr>
          <w:sz w:val="20"/>
          <w:szCs w:val="20"/>
          <w:color w:val="auto"/>
        </w:rPr>
      </w:pPr>
    </w:p>
    <w:tbl>
      <w:tblPr>
        <w:tblLayout w:type="fixed"/>
        <w:tblInd w:w="1580" w:type="dxa"/>
        <w:tblCellMar>
          <w:top w:w="0" w:type="dxa"/>
          <w:left w:w="0" w:type="dxa"/>
          <w:bottom w:w="0" w:type="dxa"/>
          <w:right w:w="0" w:type="dxa"/>
        </w:tblCellMar>
      </w:tblPr>
      <w:tr>
        <w:trPr>
          <w:trHeight w:val="206"/>
        </w:trPr>
        <w:tc>
          <w:tcPr>
            <w:tcW w:w="2660" w:type="dxa"/>
            <w:vAlign w:val="bottom"/>
            <w:gridSpan w:val="2"/>
          </w:tcPr>
          <w:p>
            <w:pPr>
              <w:ind w:left="40"/>
              <w:spacing w:after="0"/>
              <w:rPr>
                <w:sz w:val="20"/>
                <w:szCs w:val="20"/>
                <w:color w:val="auto"/>
              </w:rPr>
            </w:pPr>
            <w:r>
              <w:rPr>
                <w:rFonts w:ascii="Arial" w:cs="Arial" w:eastAsia="Arial" w:hAnsi="Arial"/>
                <w:sz w:val="16"/>
                <w:szCs w:val="16"/>
                <w:color w:val="auto"/>
              </w:rPr>
              <w:t>Property</w:t>
            </w:r>
          </w:p>
        </w:tc>
        <w:tc>
          <w:tcPr>
            <w:tcW w:w="1500" w:type="dxa"/>
            <w:vAlign w:val="bottom"/>
            <w:gridSpan w:val="3"/>
          </w:tcPr>
          <w:p>
            <w:pPr>
              <w:ind w:left="100"/>
              <w:spacing w:after="0"/>
              <w:rPr>
                <w:sz w:val="20"/>
                <w:szCs w:val="20"/>
                <w:color w:val="auto"/>
              </w:rPr>
            </w:pPr>
            <w:r>
              <w:rPr>
                <w:rFonts w:ascii="Arial" w:cs="Arial" w:eastAsia="Arial" w:hAnsi="Arial"/>
                <w:sz w:val="16"/>
                <w:szCs w:val="16"/>
                <w:color w:val="auto"/>
              </w:rPr>
              <w:t>Notional Amount</w:t>
            </w:r>
          </w:p>
        </w:tc>
        <w:tc>
          <w:tcPr>
            <w:tcW w:w="880" w:type="dxa"/>
            <w:vAlign w:val="bottom"/>
            <w:gridSpan w:val="2"/>
          </w:tcPr>
          <w:p>
            <w:pPr>
              <w:ind w:left="100"/>
              <w:spacing w:after="0"/>
              <w:rPr>
                <w:sz w:val="20"/>
                <w:szCs w:val="20"/>
                <w:color w:val="auto"/>
              </w:rPr>
            </w:pPr>
            <w:r>
              <w:rPr>
                <w:rFonts w:ascii="Arial" w:cs="Arial" w:eastAsia="Arial" w:hAnsi="Arial"/>
                <w:sz w:val="16"/>
                <w:szCs w:val="16"/>
                <w:color w:val="auto"/>
              </w:rPr>
              <w:t>Product</w:t>
            </w:r>
          </w:p>
        </w:tc>
        <w:tc>
          <w:tcPr>
            <w:tcW w:w="1240" w:type="dxa"/>
            <w:vAlign w:val="bottom"/>
            <w:gridSpan w:val="2"/>
          </w:tcPr>
          <w:p>
            <w:pPr>
              <w:ind w:left="120"/>
              <w:spacing w:after="0"/>
              <w:rPr>
                <w:sz w:val="20"/>
                <w:szCs w:val="20"/>
                <w:color w:val="auto"/>
              </w:rPr>
            </w:pPr>
            <w:r>
              <w:rPr>
                <w:rFonts w:ascii="Arial" w:cs="Arial" w:eastAsia="Arial" w:hAnsi="Arial"/>
                <w:sz w:val="16"/>
                <w:szCs w:val="16"/>
                <w:color w:val="auto"/>
              </w:rPr>
              <w:t>LIBOR Rate</w:t>
            </w:r>
          </w:p>
        </w:tc>
        <w:tc>
          <w:tcPr>
            <w:tcW w:w="1140" w:type="dxa"/>
            <w:vAlign w:val="bottom"/>
            <w:gridSpan w:val="2"/>
          </w:tcPr>
          <w:p>
            <w:pPr>
              <w:ind w:left="200"/>
              <w:spacing w:after="0"/>
              <w:rPr>
                <w:sz w:val="20"/>
                <w:szCs w:val="20"/>
                <w:color w:val="auto"/>
              </w:rPr>
            </w:pPr>
            <w:r>
              <w:rPr>
                <w:rFonts w:ascii="Arial" w:cs="Arial" w:eastAsia="Arial" w:hAnsi="Arial"/>
                <w:sz w:val="16"/>
                <w:szCs w:val="16"/>
                <w:color w:val="auto"/>
              </w:rPr>
              <w:t>Maturity</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Fair Value</w:t>
            </w:r>
          </w:p>
        </w:tc>
      </w:tr>
      <w:tr>
        <w:trPr>
          <w:trHeight w:val="33"/>
        </w:trPr>
        <w:tc>
          <w:tcPr>
            <w:tcW w:w="2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17"/>
        </w:trPr>
        <w:tc>
          <w:tcPr>
            <w:tcW w:w="2660" w:type="dxa"/>
            <w:vAlign w:val="bottom"/>
            <w:gridSpan w:val="2"/>
          </w:tcPr>
          <w:p>
            <w:pPr>
              <w:ind w:left="40"/>
              <w:spacing w:after="0"/>
              <w:rPr>
                <w:sz w:val="20"/>
                <w:szCs w:val="20"/>
                <w:color w:val="auto"/>
              </w:rPr>
            </w:pPr>
            <w:r>
              <w:rPr>
                <w:rFonts w:ascii="Arial" w:cs="Arial" w:eastAsia="Arial" w:hAnsi="Arial"/>
                <w:sz w:val="16"/>
                <w:szCs w:val="16"/>
                <w:color w:val="auto"/>
              </w:rPr>
              <w:t>Santa Monica Place</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300,000</w:t>
            </w:r>
          </w:p>
        </w:tc>
        <w:tc>
          <w:tcPr>
            <w:tcW w:w="1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6"/>
                <w:szCs w:val="16"/>
                <w:color w:val="auto"/>
              </w:rPr>
              <w:t>Cap</w:t>
            </w:r>
          </w:p>
        </w:tc>
        <w:tc>
          <w:tcPr>
            <w:tcW w:w="1080" w:type="dxa"/>
            <w:vAlign w:val="bottom"/>
          </w:tcPr>
          <w:p>
            <w:pPr>
              <w:jc w:val="right"/>
              <w:spacing w:after="0"/>
              <w:rPr>
                <w:sz w:val="20"/>
                <w:szCs w:val="20"/>
                <w:color w:val="auto"/>
              </w:rPr>
            </w:pPr>
            <w:r>
              <w:rPr>
                <w:rFonts w:ascii="Arial" w:cs="Arial" w:eastAsia="Arial" w:hAnsi="Arial"/>
                <w:sz w:val="16"/>
                <w:szCs w:val="16"/>
                <w:color w:val="auto"/>
              </w:rPr>
              <w:t>4.00%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12/9/2019</w:t>
            </w:r>
          </w:p>
        </w:tc>
        <w:tc>
          <w:tcPr>
            <w:tcW w:w="16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6</w:t>
            </w:r>
          </w:p>
        </w:tc>
      </w:tr>
    </w:tbl>
    <w:p>
      <w:pPr>
        <w:spacing w:after="0" w:line="289" w:lineRule="exact"/>
        <w:rPr>
          <w:sz w:val="20"/>
          <w:szCs w:val="20"/>
          <w:color w:val="auto"/>
        </w:rPr>
      </w:pPr>
    </w:p>
    <w:p>
      <w:pPr>
        <w:ind w:right="80" w:firstLine="789"/>
        <w:spacing w:after="0" w:line="277" w:lineRule="auto"/>
        <w:rPr>
          <w:sz w:val="20"/>
          <w:szCs w:val="20"/>
          <w:color w:val="auto"/>
        </w:rPr>
      </w:pPr>
      <w:r>
        <w:rPr>
          <w:rFonts w:ascii="Arial" w:cs="Arial" w:eastAsia="Arial" w:hAnsi="Arial"/>
          <w:sz w:val="18"/>
          <w:szCs w:val="18"/>
          <w:color w:val="auto"/>
        </w:rPr>
        <w:t>The above interest rate cap agreement was designated as a hedging instrument with a fair value (Level 2 measurement) of $6 and $11 at June 30, 2018 and December 31, 2017, respectively, was included in deferred charges and other assets, net.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net:</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net consists of the following:</w:t>
      </w:r>
    </w:p>
    <w:p>
      <w:pPr>
        <w:spacing w:after="0" w:line="285"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5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1,518,161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1,567,152</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2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6,099,577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6,385,035</w:t>
            </w:r>
          </w:p>
        </w:tc>
      </w:tr>
      <w:tr>
        <w:trPr>
          <w:trHeight w:val="27"/>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Tenant improvements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616,150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620,352</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Equipment and furnishings</w:t>
            </w:r>
          </w:p>
        </w:tc>
        <w:tc>
          <w:tcPr>
            <w:tcW w:w="2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190,031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187,998</w:t>
            </w:r>
          </w:p>
        </w:tc>
      </w:tr>
      <w:tr>
        <w:trPr>
          <w:trHeight w:val="27"/>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437,386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366,996</w:t>
            </w:r>
          </w:p>
        </w:tc>
      </w:tr>
      <w:tr>
        <w:trPr>
          <w:trHeight w:val="237"/>
        </w:trPr>
        <w:tc>
          <w:tcPr>
            <w:tcW w:w="54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8,861,305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9,127,533</w:t>
            </w:r>
          </w:p>
        </w:tc>
      </w:tr>
      <w:tr>
        <w:trPr>
          <w:trHeight w:val="27"/>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(1,992,461)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(2,018,303)</w:t>
            </w:r>
          </w:p>
        </w:tc>
      </w:tr>
      <w:tr>
        <w:trPr>
          <w:trHeight w:val="237"/>
        </w:trPr>
        <w:tc>
          <w:tcPr>
            <w:tcW w:w="54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6,868,844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7,109,230</w:t>
            </w:r>
          </w:p>
        </w:tc>
      </w:tr>
      <w:tr>
        <w:trPr>
          <w:trHeight w:val="27"/>
        </w:trPr>
        <w:tc>
          <w:tcPr>
            <w:tcW w:w="5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Depreciation expense was $66,850 and $69,364 for the three months ended June 30, 2018 and 2017, respectively, and $134,794 and $138,320 for the six months ended June 30, 2018 and 2017, respectively.</w:t>
      </w:r>
    </w:p>
    <w:p>
      <w:pPr>
        <w:spacing w:after="0" w:line="224"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(loss) gain on sale or write down of assets, net was $(9,518) and $(477) for the three months ended June 30, 2018 and 2017, respectively, and $(47,030) and $49,088 for the six months ended June 30, 2018 and 2017, respectively.</w:t>
      </w:r>
    </w:p>
    <w:p>
      <w:pPr>
        <w:spacing w:after="0" w:line="22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(loss) gain on sale or write down of assets, net for the three and six months ended June 30, 2018 includes impairment losses of $7,494 on two freestanding stores and $1,660 on Southridge Center. In addition, the (loss) gain on sale or write down of assets, net for the six months ended June 30, 2018 includes impairment losses of $36,338 on SouthPark Mall and $1,043 on Promenade at Casa Grande. The impairment losses were due to the reduction of the estimated holding period of the properties.</w:t>
      </w:r>
    </w:p>
    <w:p>
      <w:pPr>
        <w:spacing w:after="0" w:line="24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(loss) gain on sale or write down of assets, net for three and six months ended June 30, 2018 includes a loss of $311 on the sale of Promenade at Casa Grande (See Note 15—Dispositions). In addition, the (loss) gain on sale or write down of assets, net for the six months ended June 30, 2017 includes a gain of $59,713 on the sale of Cascade Mall and Northgate Mall (See Note 15—Dispositions) offset in part by a loss of $10,138 on the write down of an investment in non-real estate assets.</w:t>
      </w:r>
    </w:p>
    <w:p>
      <w:pPr>
        <w:sectPr>
          <w:pgSz w:w="11900" w:h="16838" w:orient="portrait"/>
          <w:cols w:equalWidth="0" w:num="1">
            <w:col w:w="11300"/>
          </w:cols>
          <w:pgMar w:left="240" w:top="256" w:right="359" w:bottom="1440" w:gutter="0" w:footer="0" w:header="0"/>
        </w:sectPr>
      </w:pP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00"/>
          </w:cols>
          <w:pgMar w:left="240" w:top="256" w:right="35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net: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summarizes certain of the Company's assets that were measured on a nonrecurring basis as a result of impairment losses recorded for the three and six months ended June 30, 2018 as described above:</w:t>
      </w:r>
    </w:p>
    <w:p>
      <w:pPr>
        <w:spacing w:after="0" w:line="247"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Quoted Prices in</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Active Markets for</w:t>
            </w:r>
          </w:p>
        </w:tc>
        <w:tc>
          <w:tcPr>
            <w:tcW w:w="16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Significant Other</w:t>
            </w:r>
          </w:p>
        </w:tc>
        <w:tc>
          <w:tcPr>
            <w:tcW w:w="30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Significant</w:t>
            </w:r>
          </w:p>
        </w:tc>
      </w:tr>
      <w:tr>
        <w:trPr>
          <w:trHeight w:val="270"/>
        </w:trPr>
        <w:tc>
          <w:tcPr>
            <w:tcW w:w="3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Total Fair Value</w:t>
            </w:r>
          </w:p>
        </w:tc>
        <w:tc>
          <w:tcPr>
            <w:tcW w:w="140" w:type="dxa"/>
            <w:vAlign w:val="bottom"/>
          </w:tcPr>
          <w:p>
            <w:pPr>
              <w:spacing w:after="0"/>
              <w:rPr>
                <w:sz w:val="23"/>
                <w:szCs w:val="23"/>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Identical Assets</w:t>
            </w:r>
          </w:p>
        </w:tc>
        <w:tc>
          <w:tcPr>
            <w:tcW w:w="18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Unobservable Inputs</w:t>
            </w: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Unobservable Inputs</w:t>
            </w:r>
          </w:p>
        </w:tc>
      </w:tr>
      <w:tr>
        <w:trPr>
          <w:trHeight w:val="234"/>
        </w:trPr>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Measurement</w:t>
            </w:r>
          </w:p>
        </w:tc>
        <w:tc>
          <w:tcPr>
            <w:tcW w:w="140" w:type="dxa"/>
            <w:vAlign w:val="bottom"/>
          </w:tcPr>
          <w:p>
            <w:pPr>
              <w:spacing w:after="0"/>
              <w:rPr>
                <w:sz w:val="20"/>
                <w:szCs w:val="20"/>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1)</w:t>
            </w:r>
          </w:p>
        </w:tc>
        <w:tc>
          <w:tcPr>
            <w:tcW w:w="160" w:type="dxa"/>
            <w:vAlign w:val="bottom"/>
          </w:tcPr>
          <w:p>
            <w:pPr>
              <w:spacing w:after="0"/>
              <w:rPr>
                <w:sz w:val="20"/>
                <w:szCs w:val="20"/>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(Level 2)</w:t>
            </w:r>
          </w:p>
        </w:tc>
        <w:tc>
          <w:tcPr>
            <w:tcW w:w="300" w:type="dxa"/>
            <w:vAlign w:val="bottom"/>
          </w:tcPr>
          <w:p>
            <w:pPr>
              <w:spacing w:after="0"/>
              <w:rPr>
                <w:sz w:val="20"/>
                <w:szCs w:val="20"/>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(Level 3)</w:t>
            </w:r>
          </w:p>
        </w:tc>
      </w:tr>
      <w:tr>
        <w:trPr>
          <w:trHeight w:val="27"/>
        </w:trPr>
        <w:tc>
          <w:tcPr>
            <w:tcW w:w="3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June 30, 2018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72,700</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72,700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r>
    </w:tbl>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relating to the impairments were based on sales contracts.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Tenant and Other Receivables, net:</w:t>
      </w:r>
    </w:p>
    <w:p>
      <w:pPr>
        <w:spacing w:after="0" w:line="28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Included in tenant and other receivables, net is an allowance for doubtful accounts of $2,996 and $2,786 at June 30, 2018 and December 31, 2017, respectively. Also included in tenant and other receivables, net are accrued percentage rents of $917 and $8,711 at June 30, 2018 and December 31, 2017, respectively, and a deferred rent receivable due to straight-line rent adjustments of $66,419 and $61,859 at June 30, 2018 and December 31, 2017,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Deferred Charges and Other Assets, net:</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charges and other assets, net consist of the following:</w:t>
      </w:r>
    </w:p>
    <w:p>
      <w:pPr>
        <w:spacing w:after="0" w:line="285"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60" w:type="dxa"/>
            <w:vAlign w:val="bottom"/>
          </w:tcPr>
          <w:p>
            <w:pPr>
              <w:jc w:val="right"/>
              <w:ind w:right="113"/>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320" w:type="dxa"/>
            <w:vAlign w:val="bottom"/>
          </w:tcPr>
          <w:p>
            <w:pPr>
              <w:spacing w:after="0"/>
              <w:rPr>
                <w:sz w:val="16"/>
                <w:szCs w:val="16"/>
                <w:color w:val="auto"/>
              </w:rPr>
            </w:pPr>
          </w:p>
        </w:tc>
        <w:tc>
          <w:tcPr>
            <w:tcW w:w="508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r>
      <w:tr>
        <w:trPr>
          <w:trHeight w:val="250"/>
        </w:trPr>
        <w:tc>
          <w:tcPr>
            <w:tcW w:w="320" w:type="dxa"/>
            <w:vAlign w:val="bottom"/>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215,499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232,819</w:t>
            </w:r>
          </w:p>
        </w:tc>
      </w:tr>
      <w:tr>
        <w:trPr>
          <w:trHeight w:val="243"/>
        </w:trPr>
        <w:tc>
          <w:tcPr>
            <w:tcW w:w="320" w:type="dxa"/>
            <w:vAlign w:val="bottom"/>
          </w:tcPr>
          <w:p>
            <w:pPr>
              <w:spacing w:after="0"/>
              <w:rPr>
                <w:sz w:val="21"/>
                <w:szCs w:val="21"/>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20" w:type="dxa"/>
            <w:vAlign w:val="bottom"/>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In-place lease values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97,204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108,432</w:t>
            </w:r>
          </w:p>
        </w:tc>
      </w:tr>
      <w:tr>
        <w:trPr>
          <w:trHeight w:val="243"/>
        </w:trPr>
        <w:tc>
          <w:tcPr>
            <w:tcW w:w="320" w:type="dxa"/>
            <w:vAlign w:val="bottom"/>
          </w:tcPr>
          <w:p>
            <w:pPr>
              <w:spacing w:after="0"/>
              <w:rPr>
                <w:sz w:val="21"/>
                <w:szCs w:val="21"/>
                <w:color w:val="auto"/>
              </w:rPr>
            </w:pPr>
          </w:p>
        </w:tc>
        <w:tc>
          <w:tcPr>
            <w:tcW w:w="5460" w:type="dxa"/>
            <w:vAlign w:val="bottom"/>
            <w:gridSpan w:val="2"/>
          </w:tcPr>
          <w:p>
            <w:pPr>
              <w:ind w:left="160"/>
              <w:spacing w:after="0"/>
              <w:rPr>
                <w:sz w:val="20"/>
                <w:szCs w:val="20"/>
                <w:color w:val="auto"/>
              </w:rPr>
            </w:pPr>
            <w:r>
              <w:rPr>
                <w:rFonts w:ascii="Arial" w:cs="Arial" w:eastAsia="Arial" w:hAnsi="Arial"/>
                <w:sz w:val="18"/>
                <w:szCs w:val="18"/>
                <w:color w:val="auto"/>
              </w:rPr>
              <w:t>Leasing commissions and legal costs</w:t>
            </w:r>
          </w:p>
        </w:tc>
        <w:tc>
          <w:tcPr>
            <w:tcW w:w="2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24,421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25,958</w:t>
            </w: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20" w:type="dxa"/>
            <w:vAlign w:val="bottom"/>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Above-market leases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150,829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164,040</w:t>
            </w:r>
          </w:p>
        </w:tc>
      </w:tr>
      <w:tr>
        <w:trPr>
          <w:trHeight w:val="243"/>
        </w:trPr>
        <w:tc>
          <w:tcPr>
            <w:tcW w:w="320" w:type="dxa"/>
            <w:vAlign w:val="bottom"/>
          </w:tcPr>
          <w:p>
            <w:pPr>
              <w:spacing w:after="0"/>
              <w:rPr>
                <w:sz w:val="21"/>
                <w:szCs w:val="21"/>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30,834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29,006</w:t>
            </w: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20" w:type="dxa"/>
            <w:vAlign w:val="bottom"/>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compensation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54,441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52,221</w:t>
            </w:r>
          </w:p>
        </w:tc>
      </w:tr>
      <w:tr>
        <w:trPr>
          <w:trHeight w:val="243"/>
        </w:trPr>
        <w:tc>
          <w:tcPr>
            <w:tcW w:w="320" w:type="dxa"/>
            <w:vAlign w:val="bottom"/>
          </w:tcPr>
          <w:p>
            <w:pPr>
              <w:spacing w:after="0"/>
              <w:rPr>
                <w:sz w:val="21"/>
                <w:szCs w:val="21"/>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Distributions in excess of co-venture obligation(1)</w:t>
            </w:r>
          </w:p>
        </w:tc>
        <w:tc>
          <w:tcPr>
            <w:tcW w:w="2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31,150</w:t>
            </w: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20" w:type="dxa"/>
            <w:vAlign w:val="bottom"/>
          </w:tcPr>
          <w:p>
            <w:pPr>
              <w:spacing w:after="0"/>
              <w:rPr>
                <w:sz w:val="23"/>
                <w:szCs w:val="23"/>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67,652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66,990</w:t>
            </w:r>
          </w:p>
        </w:tc>
      </w:tr>
      <w:tr>
        <w:trPr>
          <w:trHeight w:val="237"/>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640,880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710,616</w:t>
            </w: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20" w:type="dxa"/>
            <w:vAlign w:val="bottom"/>
          </w:tcPr>
          <w:p>
            <w:pPr>
              <w:spacing w:after="0"/>
              <w:rPr>
                <w:sz w:val="23"/>
                <w:szCs w:val="23"/>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amortization(2)</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(237,122)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(261,426)</w:t>
            </w:r>
          </w:p>
        </w:tc>
      </w:tr>
      <w:tr>
        <w:trPr>
          <w:trHeight w:val="237"/>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403,758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449,190</w:t>
            </w: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0"/>
        </w:trPr>
        <w:tc>
          <w:tcPr>
            <w:tcW w:w="320" w:type="dxa"/>
            <w:vAlign w:val="bottom"/>
            <w:tcBorders>
              <w:bottom w:val="single" w:sz="8" w:color="auto"/>
            </w:tcBorders>
          </w:tcPr>
          <w:p>
            <w:pPr>
              <w:spacing w:after="0"/>
              <w:rPr>
                <w:sz w:val="14"/>
                <w:szCs w:val="14"/>
                <w:color w:val="auto"/>
              </w:rPr>
            </w:pPr>
          </w:p>
        </w:tc>
        <w:tc>
          <w:tcPr>
            <w:tcW w:w="50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166"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See Note 11—Financing Arrangement.</w:t>
      </w:r>
    </w:p>
    <w:p>
      <w:pPr>
        <w:spacing w:after="0" w:line="194" w:lineRule="exact"/>
        <w:rPr>
          <w:rFonts w:ascii="Arial" w:cs="Arial" w:eastAsia="Arial" w:hAnsi="Arial"/>
          <w:sz w:val="16"/>
          <w:szCs w:val="16"/>
          <w:color w:val="auto"/>
        </w:rPr>
      </w:pPr>
    </w:p>
    <w:p>
      <w:pPr>
        <w:ind w:left="980" w:right="180" w:hanging="324"/>
        <w:spacing w:after="0" w:line="286" w:lineRule="auto"/>
        <w:tabs>
          <w:tab w:leader="none" w:pos="980" w:val="left"/>
        </w:tabs>
        <w:numPr>
          <w:ilvl w:val="0"/>
          <w:numId w:val="3"/>
        </w:numPr>
        <w:rPr>
          <w:rFonts w:ascii="Arial" w:cs="Arial" w:eastAsia="Arial" w:hAnsi="Arial"/>
          <w:sz w:val="15"/>
          <w:szCs w:val="15"/>
          <w:color w:val="auto"/>
        </w:rPr>
      </w:pPr>
      <w:r>
        <w:rPr>
          <w:rFonts w:ascii="Arial" w:cs="Arial" w:eastAsia="Arial" w:hAnsi="Arial"/>
          <w:sz w:val="15"/>
          <w:szCs w:val="15"/>
          <w:color w:val="auto"/>
        </w:rPr>
        <w:t>Accumulated amortization includes $69,192 and $74,507 relating to in-place lease values, leasing commissions and legal costs at June 30, 2018 and December 31, 2017, respectively. Amortization expense of in-place lease values, leasing commissions and legal costs was $3,552 and $5,545 for the three months ended June 30, 2018 and 2017, respectively, and $7,390 and $11,549 for the six months ended June 30, 2018 and 2017, respectively.</w:t>
      </w:r>
    </w:p>
    <w:p>
      <w:pPr>
        <w:sectPr>
          <w:pgSz w:w="11900" w:h="16838" w:orient="portrait"/>
          <w:cols w:equalWidth="0" w:num="1">
            <w:col w:w="11140"/>
          </w:cols>
          <w:pgMar w:left="240" w:top="256" w:right="519" w:bottom="1440" w:gutter="0" w:footer="0" w:header="0"/>
        </w:sectPr>
      </w:pPr>
    </w:p>
    <w:p>
      <w:pPr>
        <w:spacing w:after="0" w:line="324"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40"/>
          </w:cols>
          <w:pgMar w:left="240" w:top="256" w:right="51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Deferred Charges and Other Assets, net: (Continued)</w:t>
      </w:r>
    </w:p>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allocated values of above-market leases and below-market leases consist of the following:</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ind w:left="30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5"/>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Above-Market Leases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Original allocated value</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ind w:left="360"/>
              <w:spacing w:after="0"/>
              <w:rPr>
                <w:sz w:val="20"/>
                <w:szCs w:val="20"/>
                <w:color w:val="auto"/>
              </w:rPr>
            </w:pPr>
            <w:r>
              <w:rPr>
                <w:rFonts w:ascii="Arial" w:cs="Arial" w:eastAsia="Arial" w:hAnsi="Arial"/>
                <w:sz w:val="18"/>
                <w:szCs w:val="18"/>
                <w:color w:val="auto"/>
              </w:rPr>
              <w:t>150,829</w:t>
            </w:r>
          </w:p>
        </w:tc>
        <w:tc>
          <w:tcPr>
            <w:tcW w:w="600" w:type="dxa"/>
            <w:vAlign w:val="bottom"/>
            <w:gridSpan w:val="2"/>
          </w:tcPr>
          <w:p>
            <w:pPr>
              <w:jc w:val="right"/>
              <w:ind w:right="296"/>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8"/>
              <w:spacing w:after="0"/>
              <w:rPr>
                <w:sz w:val="20"/>
                <w:szCs w:val="20"/>
                <w:color w:val="auto"/>
              </w:rPr>
            </w:pPr>
            <w:r>
              <w:rPr>
                <w:rFonts w:ascii="Arial" w:cs="Arial" w:eastAsia="Arial" w:hAnsi="Arial"/>
                <w:sz w:val="18"/>
                <w:szCs w:val="18"/>
                <w:color w:val="auto"/>
                <w:w w:val="89"/>
              </w:rPr>
              <w:t>164,040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0"/>
              </w:rPr>
              <w:t>Less accumulated amortization</w:t>
            </w: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(53,429)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(60,210)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spacing w:after="0"/>
              <w:rPr>
                <w:sz w:val="20"/>
                <w:szCs w:val="20"/>
                <w:color w:val="auto"/>
              </w:rPr>
            </w:pPr>
          </w:p>
        </w:tc>
        <w:tc>
          <w:tcPr>
            <w:tcW w:w="1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3"/>
          </w:tcPr>
          <w:p>
            <w:pPr>
              <w:jc w:val="right"/>
              <w:ind w:right="28"/>
              <w:spacing w:after="0"/>
              <w:rPr>
                <w:sz w:val="20"/>
                <w:szCs w:val="20"/>
                <w:color w:val="auto"/>
              </w:rPr>
            </w:pPr>
            <w:r>
              <w:rPr>
                <w:rFonts w:ascii="Arial" w:cs="Arial" w:eastAsia="Arial" w:hAnsi="Arial"/>
                <w:sz w:val="18"/>
                <w:szCs w:val="18"/>
                <w:color w:val="auto"/>
              </w:rPr>
              <w:t>97,400</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gridSpan w:val="3"/>
          </w:tcPr>
          <w:p>
            <w:pPr>
              <w:jc w:val="right"/>
              <w:ind w:right="28"/>
              <w:spacing w:after="0"/>
              <w:rPr>
                <w:sz w:val="20"/>
                <w:szCs w:val="20"/>
                <w:color w:val="auto"/>
              </w:rPr>
            </w:pPr>
            <w:r>
              <w:rPr>
                <w:rFonts w:ascii="Arial" w:cs="Arial" w:eastAsia="Arial" w:hAnsi="Arial"/>
                <w:sz w:val="18"/>
                <w:szCs w:val="18"/>
                <w:color w:val="auto"/>
                <w:w w:val="89"/>
              </w:rPr>
              <w:t>103,830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1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6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80" w:type="dxa"/>
            <w:vAlign w:val="bottom"/>
            <w:tcBorders>
              <w:bottom w:val="single" w:sz="8" w:color="CCEEFF"/>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Below-Market Leases(1)</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Original allocated value</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ind w:left="360"/>
              <w:spacing w:after="0"/>
              <w:rPr>
                <w:sz w:val="20"/>
                <w:szCs w:val="20"/>
                <w:color w:val="auto"/>
              </w:rPr>
            </w:pPr>
            <w:r>
              <w:rPr>
                <w:rFonts w:ascii="Arial" w:cs="Arial" w:eastAsia="Arial" w:hAnsi="Arial"/>
                <w:sz w:val="18"/>
                <w:szCs w:val="18"/>
                <w:color w:val="auto"/>
              </w:rPr>
              <w:t>114,988</w:t>
            </w:r>
          </w:p>
        </w:tc>
        <w:tc>
          <w:tcPr>
            <w:tcW w:w="600" w:type="dxa"/>
            <w:vAlign w:val="bottom"/>
            <w:gridSpan w:val="2"/>
          </w:tcPr>
          <w:p>
            <w:pPr>
              <w:jc w:val="right"/>
              <w:ind w:right="296"/>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8"/>
              <w:spacing w:after="0"/>
              <w:rPr>
                <w:sz w:val="20"/>
                <w:szCs w:val="20"/>
                <w:color w:val="auto"/>
              </w:rPr>
            </w:pPr>
            <w:r>
              <w:rPr>
                <w:rFonts w:ascii="Arial" w:cs="Arial" w:eastAsia="Arial" w:hAnsi="Arial"/>
                <w:sz w:val="18"/>
                <w:szCs w:val="18"/>
                <w:color w:val="auto"/>
                <w:w w:val="89"/>
              </w:rPr>
              <w:t>120,573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0"/>
              </w:rPr>
              <w:t>Less accumulated amortization</w:t>
            </w: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(57,301)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(55,489)</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spacing w:after="0"/>
              <w:rPr>
                <w:sz w:val="20"/>
                <w:szCs w:val="20"/>
                <w:color w:val="auto"/>
              </w:rPr>
            </w:pPr>
          </w:p>
        </w:tc>
        <w:tc>
          <w:tcPr>
            <w:tcW w:w="1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3"/>
          </w:tcPr>
          <w:p>
            <w:pPr>
              <w:jc w:val="right"/>
              <w:ind w:right="28"/>
              <w:spacing w:after="0"/>
              <w:rPr>
                <w:sz w:val="20"/>
                <w:szCs w:val="20"/>
                <w:color w:val="auto"/>
              </w:rPr>
            </w:pPr>
            <w:r>
              <w:rPr>
                <w:rFonts w:ascii="Arial" w:cs="Arial" w:eastAsia="Arial" w:hAnsi="Arial"/>
                <w:sz w:val="18"/>
                <w:szCs w:val="18"/>
                <w:color w:val="auto"/>
              </w:rPr>
              <w:t>57,687</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gridSpan w:val="3"/>
          </w:tcPr>
          <w:p>
            <w:pPr>
              <w:jc w:val="right"/>
              <w:ind w:right="28"/>
              <w:spacing w:after="0"/>
              <w:rPr>
                <w:sz w:val="20"/>
                <w:szCs w:val="20"/>
                <w:color w:val="auto"/>
              </w:rPr>
            </w:pPr>
            <w:r>
              <w:rPr>
                <w:rFonts w:ascii="Arial" w:cs="Arial" w:eastAsia="Arial" w:hAnsi="Arial"/>
                <w:sz w:val="18"/>
                <w:szCs w:val="18"/>
                <w:color w:val="auto"/>
              </w:rPr>
              <w:t>65,084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0" w:type="dxa"/>
            <w:vAlign w:val="bottom"/>
            <w:gridSpan w:val="2"/>
          </w:tcPr>
          <w:p>
            <w:pPr>
              <w:spacing w:after="0"/>
              <w:rPr>
                <w:sz w:val="2"/>
                <w:szCs w:val="2"/>
                <w:color w:val="auto"/>
              </w:rPr>
            </w:pPr>
          </w:p>
        </w:tc>
        <w:tc>
          <w:tcPr>
            <w:tcW w:w="860" w:type="dxa"/>
            <w:vAlign w:val="bottom"/>
            <w:gridSpan w:val="3"/>
          </w:tcPr>
          <w:p>
            <w:pPr>
              <w:spacing w:after="0"/>
              <w:rPr>
                <w:sz w:val="2"/>
                <w:szCs w:val="2"/>
                <w:color w:val="auto"/>
              </w:rPr>
            </w:pPr>
          </w:p>
        </w:tc>
        <w:tc>
          <w:tcPr>
            <w:tcW w:w="9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4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2"/>
          </w:tcPr>
          <w:p>
            <w:pPr>
              <w:spacing w:after="0"/>
              <w:rPr>
                <w:sz w:val="10"/>
                <w:szCs w:val="10"/>
                <w:color w:val="auto"/>
              </w:rPr>
            </w:pPr>
          </w:p>
        </w:tc>
        <w:tc>
          <w:tcPr>
            <w:tcW w:w="860" w:type="dxa"/>
            <w:vAlign w:val="bottom"/>
            <w:tcBorders>
              <w:bottom w:val="single" w:sz="8" w:color="auto"/>
            </w:tcBorders>
            <w:gridSpan w:val="3"/>
          </w:tcPr>
          <w:p>
            <w:pPr>
              <w:spacing w:after="0"/>
              <w:rPr>
                <w:sz w:val="10"/>
                <w:szCs w:val="10"/>
                <w:color w:val="auto"/>
              </w:rPr>
            </w:pPr>
          </w:p>
        </w:tc>
        <w:tc>
          <w:tcPr>
            <w:tcW w:w="900" w:type="dxa"/>
            <w:vAlign w:val="bottom"/>
            <w:tcBorders>
              <w:bottom w:val="single" w:sz="8" w:color="auto"/>
            </w:tcBorders>
            <w:gridSpan w:val="3"/>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7"/>
        </w:trPr>
        <w:tc>
          <w:tcPr>
            <w:tcW w:w="5640" w:type="dxa"/>
            <w:vAlign w:val="bottom"/>
            <w:gridSpan w:val="11"/>
          </w:tcPr>
          <w:p>
            <w:pPr>
              <w:ind w:left="660"/>
              <w:spacing w:after="0"/>
              <w:rPr>
                <w:sz w:val="20"/>
                <w:szCs w:val="20"/>
                <w:color w:val="auto"/>
              </w:rPr>
            </w:pPr>
            <w:r>
              <w:rPr>
                <w:rFonts w:ascii="Arial" w:cs="Arial" w:eastAsia="Arial" w:hAnsi="Arial"/>
                <w:sz w:val="16"/>
                <w:szCs w:val="16"/>
                <w:color w:val="auto"/>
              </w:rPr>
              <w:t>(1)  Below-market leases are included in other accrued liabilities.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3900" w:type="dxa"/>
            <w:vAlign w:val="bottom"/>
            <w:gridSpan w:val="5"/>
          </w:tcPr>
          <w:p>
            <w:pPr>
              <w:spacing w:after="0"/>
              <w:rPr>
                <w:sz w:val="20"/>
                <w:szCs w:val="20"/>
                <w:color w:val="auto"/>
              </w:rPr>
            </w:pPr>
            <w:r>
              <w:rPr>
                <w:rFonts w:ascii="Arial" w:cs="Arial" w:eastAsia="Arial" w:hAnsi="Arial"/>
                <w:sz w:val="18"/>
                <w:szCs w:val="18"/>
                <w:b w:val="1"/>
                <w:bCs w:val="1"/>
                <w:color w:val="auto"/>
              </w:rPr>
              <w:t>9. Mortgage Notes Payable:</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360" w:type="dxa"/>
            <w:vAlign w:val="bottom"/>
            <w:gridSpan w:val="19"/>
          </w:tcPr>
          <w:p>
            <w:pPr>
              <w:jc w:val="right"/>
              <w:ind w:right="400"/>
              <w:spacing w:after="0"/>
              <w:rPr>
                <w:sz w:val="20"/>
                <w:szCs w:val="20"/>
                <w:color w:val="auto"/>
              </w:rPr>
            </w:pPr>
            <w:r>
              <w:rPr>
                <w:rFonts w:ascii="Arial" w:cs="Arial" w:eastAsia="Arial" w:hAnsi="Arial"/>
                <w:sz w:val="18"/>
                <w:szCs w:val="18"/>
                <w:color w:val="auto"/>
                <w:w w:val="96"/>
              </w:rPr>
              <w:t>Mortgage notes payable at June 30, 2018 and December 31, 2017 consist of the following:</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2"/>
          </w:tcPr>
          <w:p>
            <w:pPr>
              <w:jc w:val="right"/>
              <w:ind w:right="370"/>
              <w:spacing w:after="0"/>
              <w:rPr>
                <w:sz w:val="20"/>
                <w:szCs w:val="20"/>
                <w:color w:val="auto"/>
              </w:rPr>
            </w:pPr>
            <w:r>
              <w:rPr>
                <w:rFonts w:ascii="Arial" w:cs="Arial" w:eastAsia="Arial" w:hAnsi="Arial"/>
                <w:sz w:val="14"/>
                <w:szCs w:val="14"/>
                <w:b w:val="1"/>
                <w:bCs w:val="1"/>
                <w:color w:val="auto"/>
              </w:rPr>
              <w:t>Carrying Amount of Mortgage Notes(1)</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gridSpan w:val="5"/>
          </w:tcPr>
          <w:p>
            <w:pPr>
              <w:ind w:left="28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22"/>
                <w:szCs w:val="22"/>
                <w:color w:val="auto"/>
              </w:rPr>
            </w:pPr>
          </w:p>
        </w:tc>
        <w:tc>
          <w:tcPr>
            <w:tcW w:w="160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99"/>
              </w:rPr>
              <w:t>December 31, 2017</w:t>
            </w: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Related</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Related</w:t>
            </w: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Effective</w:t>
            </w:r>
          </w:p>
        </w:tc>
        <w:tc>
          <w:tcPr>
            <w:tcW w:w="760" w:type="dxa"/>
            <w:vAlign w:val="bottom"/>
            <w:gridSpan w:val="3"/>
          </w:tcPr>
          <w:p>
            <w:pPr>
              <w:jc w:val="center"/>
              <w:spacing w:after="0" w:line="139" w:lineRule="exact"/>
              <w:rPr>
                <w:sz w:val="20"/>
                <w:szCs w:val="20"/>
                <w:color w:val="auto"/>
              </w:rPr>
            </w:pPr>
            <w:r>
              <w:rPr>
                <w:rFonts w:ascii="Arial" w:cs="Arial" w:eastAsia="Arial" w:hAnsi="Arial"/>
                <w:sz w:val="14"/>
                <w:szCs w:val="14"/>
                <w:b w:val="1"/>
                <w:bCs w:val="1"/>
                <w:color w:val="auto"/>
                <w:w w:val="96"/>
              </w:rPr>
              <w:t>Monthly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Property Pledged as Collateral</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Other</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vMerge w:val="restart"/>
          </w:tcPr>
          <w:p>
            <w:pPr>
              <w:jc w:val="right"/>
              <w:ind w:right="110"/>
              <w:spacing w:after="0"/>
              <w:rPr>
                <w:sz w:val="20"/>
                <w:szCs w:val="20"/>
                <w:color w:val="auto"/>
              </w:rPr>
            </w:pPr>
            <w:r>
              <w:rPr>
                <w:rFonts w:ascii="Arial" w:cs="Arial" w:eastAsia="Arial" w:hAnsi="Arial"/>
                <w:sz w:val="14"/>
                <w:szCs w:val="14"/>
                <w:b w:val="1"/>
                <w:bCs w:val="1"/>
                <w:color w:val="auto"/>
              </w:rPr>
              <w:t>Other</w:t>
            </w:r>
          </w:p>
        </w:tc>
        <w:tc>
          <w:tcPr>
            <w:tcW w:w="100" w:type="dxa"/>
            <w:vAlign w:val="bottom"/>
            <w:vMerge w:val="restart"/>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2"/>
                <w:szCs w:val="12"/>
                <w:color w:val="auto"/>
              </w:rPr>
            </w:pPr>
          </w:p>
        </w:tc>
        <w:tc>
          <w:tcPr>
            <w:tcW w:w="600" w:type="dxa"/>
            <w:vAlign w:val="bottom"/>
            <w:gridSpan w:val="2"/>
          </w:tcPr>
          <w:p>
            <w:pPr>
              <w:jc w:val="center"/>
              <w:ind w:right="96"/>
              <w:spacing w:after="0" w:line="149" w:lineRule="exact"/>
              <w:rPr>
                <w:sz w:val="20"/>
                <w:szCs w:val="20"/>
                <w:color w:val="auto"/>
              </w:rPr>
            </w:pPr>
            <w:r>
              <w:rPr>
                <w:rFonts w:ascii="Arial" w:cs="Arial" w:eastAsia="Arial" w:hAnsi="Arial"/>
                <w:sz w:val="14"/>
                <w:szCs w:val="14"/>
                <w:b w:val="1"/>
                <w:bCs w:val="1"/>
                <w:color w:val="auto"/>
                <w:w w:val="96"/>
              </w:rPr>
              <w:t>Debt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Party</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Party</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Rate(2)</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Service(3)</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Date(4)</w:t>
            </w:r>
          </w:p>
        </w:tc>
        <w:tc>
          <w:tcPr>
            <w:tcW w:w="0" w:type="dxa"/>
            <w:vAlign w:val="bottom"/>
          </w:tcPr>
          <w:p>
            <w:pPr>
              <w:spacing w:after="0"/>
              <w:rPr>
                <w:sz w:val="1"/>
                <w:szCs w:val="1"/>
                <w:color w:val="auto"/>
              </w:rPr>
            </w:pPr>
          </w:p>
        </w:tc>
      </w:tr>
      <w:tr>
        <w:trPr>
          <w:trHeight w:val="256"/>
        </w:trPr>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Chandler Fashion Center(5)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199,937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199,904</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5"/>
              </w:rPr>
              <w:t>3.77%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64"/>
        </w:trPr>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20" w:type="dxa"/>
            <w:vAlign w:val="bottom"/>
            <w:gridSpan w:val="3"/>
          </w:tcPr>
          <w:p>
            <w:pPr>
              <w:ind w:left="20"/>
              <w:spacing w:after="0"/>
              <w:rPr>
                <w:sz w:val="20"/>
                <w:szCs w:val="20"/>
                <w:color w:val="auto"/>
              </w:rPr>
            </w:pPr>
            <w:r>
              <w:rPr>
                <w:rFonts w:ascii="Arial" w:cs="Arial" w:eastAsia="Arial" w:hAnsi="Arial"/>
                <w:sz w:val="14"/>
                <w:szCs w:val="14"/>
                <w:color w:val="auto"/>
              </w:rPr>
              <w:t>Danbury Fair Mall</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102,863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102,863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104,599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104,598</w:t>
            </w:r>
          </w:p>
        </w:tc>
        <w:tc>
          <w:tcPr>
            <w:tcW w:w="100" w:type="dxa"/>
            <w:vAlign w:val="bottom"/>
          </w:tcPr>
          <w:p>
            <w:pPr>
              <w:spacing w:after="0"/>
              <w:rPr>
                <w:sz w:val="22"/>
                <w:szCs w:val="22"/>
                <w:color w:val="auto"/>
              </w:rPr>
            </w:pPr>
          </w:p>
        </w:tc>
        <w:tc>
          <w:tcPr>
            <w:tcW w:w="760" w:type="dxa"/>
            <w:vAlign w:val="bottom"/>
          </w:tcPr>
          <w:p>
            <w:pPr>
              <w:ind w:left="360"/>
              <w:spacing w:after="0"/>
              <w:rPr>
                <w:sz w:val="20"/>
                <w:szCs w:val="20"/>
                <w:color w:val="auto"/>
              </w:rPr>
            </w:pPr>
            <w:r>
              <w:rPr>
                <w:rFonts w:ascii="Arial" w:cs="Arial" w:eastAsia="Arial" w:hAnsi="Arial"/>
                <w:sz w:val="14"/>
                <w:szCs w:val="14"/>
                <w:color w:val="auto"/>
                <w:w w:val="95"/>
              </w:rPr>
              <w:t>5.53%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1,538</w:t>
            </w:r>
          </w:p>
        </w:tc>
        <w:tc>
          <w:tcPr>
            <w:tcW w:w="860" w:type="dxa"/>
            <w:vAlign w:val="bottom"/>
            <w:gridSpan w:val="4"/>
          </w:tcPr>
          <w:p>
            <w:pPr>
              <w:jc w:val="right"/>
              <w:ind w:right="20"/>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76"/>
        </w:trPr>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Fashion Outlets of Chicago(6)</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199,460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199,298</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5"/>
              </w:rPr>
              <w:t>3.64%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57"/>
        </w:trPr>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Fashion Outlets of Niagara Falls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3"/>
          </w:tcPr>
          <w:p>
            <w:pPr>
              <w:ind w:left="20"/>
              <w:spacing w:after="0"/>
              <w:rPr>
                <w:sz w:val="20"/>
                <w:szCs w:val="20"/>
                <w:color w:val="auto"/>
              </w:rPr>
            </w:pPr>
            <w:r>
              <w:rPr>
                <w:rFonts w:ascii="Arial" w:cs="Arial" w:eastAsia="Arial" w:hAnsi="Arial"/>
                <w:sz w:val="14"/>
                <w:szCs w:val="14"/>
                <w:color w:val="auto"/>
              </w:rPr>
              <w:t>USA</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111,219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112,770</w:t>
            </w:r>
          </w:p>
        </w:tc>
        <w:tc>
          <w:tcPr>
            <w:tcW w:w="100" w:type="dxa"/>
            <w:vAlign w:val="bottom"/>
          </w:tcPr>
          <w:p>
            <w:pPr>
              <w:spacing w:after="0"/>
              <w:rPr>
                <w:sz w:val="16"/>
                <w:szCs w:val="16"/>
                <w:color w:val="auto"/>
              </w:rPr>
            </w:pPr>
          </w:p>
        </w:tc>
        <w:tc>
          <w:tcPr>
            <w:tcW w:w="760" w:type="dxa"/>
            <w:vAlign w:val="bottom"/>
          </w:tcPr>
          <w:p>
            <w:pPr>
              <w:ind w:left="360"/>
              <w:spacing w:after="0"/>
              <w:rPr>
                <w:sz w:val="20"/>
                <w:szCs w:val="20"/>
                <w:color w:val="auto"/>
              </w:rPr>
            </w:pPr>
            <w:r>
              <w:rPr>
                <w:rFonts w:ascii="Arial" w:cs="Arial" w:eastAsia="Arial" w:hAnsi="Arial"/>
                <w:sz w:val="14"/>
                <w:szCs w:val="14"/>
                <w:color w:val="auto"/>
                <w:w w:val="95"/>
              </w:rPr>
              <w:t>4.89%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727</w:t>
            </w:r>
          </w:p>
        </w:tc>
        <w:tc>
          <w:tcPr>
            <w:tcW w:w="860" w:type="dxa"/>
            <w:vAlign w:val="bottom"/>
            <w:gridSpan w:val="4"/>
          </w:tcPr>
          <w:p>
            <w:pPr>
              <w:jc w:val="right"/>
              <w:ind w:right="20"/>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76"/>
        </w:trPr>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Freehold Raceway Mall(5)</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398,129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398,050</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5"/>
              </w:rPr>
              <w:t>3.94%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1,300</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264"/>
        </w:trPr>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20" w:type="dxa"/>
            <w:vAlign w:val="bottom"/>
            <w:gridSpan w:val="3"/>
          </w:tcPr>
          <w:p>
            <w:pPr>
              <w:ind w:left="20"/>
              <w:spacing w:after="0"/>
              <w:rPr>
                <w:sz w:val="20"/>
                <w:szCs w:val="20"/>
                <w:color w:val="auto"/>
              </w:rPr>
            </w:pPr>
            <w:r>
              <w:rPr>
                <w:rFonts w:ascii="Arial" w:cs="Arial" w:eastAsia="Arial" w:hAnsi="Arial"/>
                <w:sz w:val="14"/>
                <w:szCs w:val="14"/>
                <w:color w:val="auto"/>
              </w:rPr>
              <w:t>Fresno Fashion Fair</w:t>
            </w:r>
          </w:p>
        </w:tc>
        <w:tc>
          <w:tcPr>
            <w:tcW w:w="12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323,360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323,261</w:t>
            </w:r>
          </w:p>
        </w:tc>
        <w:tc>
          <w:tcPr>
            <w:tcW w:w="100" w:type="dxa"/>
            <w:vAlign w:val="bottom"/>
          </w:tcPr>
          <w:p>
            <w:pPr>
              <w:spacing w:after="0"/>
              <w:rPr>
                <w:sz w:val="22"/>
                <w:szCs w:val="22"/>
                <w:color w:val="auto"/>
              </w:rPr>
            </w:pPr>
          </w:p>
        </w:tc>
        <w:tc>
          <w:tcPr>
            <w:tcW w:w="760" w:type="dxa"/>
            <w:vAlign w:val="bottom"/>
          </w:tcPr>
          <w:p>
            <w:pPr>
              <w:ind w:left="360"/>
              <w:spacing w:after="0"/>
              <w:rPr>
                <w:sz w:val="20"/>
                <w:szCs w:val="20"/>
                <w:color w:val="auto"/>
              </w:rPr>
            </w:pPr>
            <w:r>
              <w:rPr>
                <w:rFonts w:ascii="Arial" w:cs="Arial" w:eastAsia="Arial" w:hAnsi="Arial"/>
                <w:sz w:val="14"/>
                <w:szCs w:val="14"/>
                <w:color w:val="auto"/>
                <w:w w:val="95"/>
              </w:rPr>
              <w:t>3.67%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971</w:t>
            </w:r>
          </w:p>
        </w:tc>
        <w:tc>
          <w:tcPr>
            <w:tcW w:w="860" w:type="dxa"/>
            <w:vAlign w:val="bottom"/>
            <w:gridSpan w:val="4"/>
          </w:tcPr>
          <w:p>
            <w:pPr>
              <w:jc w:val="right"/>
              <w:ind w:right="20"/>
              <w:spacing w:after="0"/>
              <w:rPr>
                <w:sz w:val="20"/>
                <w:szCs w:val="20"/>
                <w:color w:val="auto"/>
              </w:rPr>
            </w:pPr>
            <w:r>
              <w:rPr>
                <w:rFonts w:ascii="Arial" w:cs="Arial" w:eastAsia="Arial" w:hAnsi="Arial"/>
                <w:sz w:val="14"/>
                <w:szCs w:val="14"/>
                <w:color w:val="auto"/>
              </w:rPr>
              <w:t>2026</w:t>
            </w:r>
          </w:p>
        </w:tc>
        <w:tc>
          <w:tcPr>
            <w:tcW w:w="0" w:type="dxa"/>
            <w:vAlign w:val="bottom"/>
          </w:tcPr>
          <w:p>
            <w:pPr>
              <w:spacing w:after="0"/>
              <w:rPr>
                <w:sz w:val="1"/>
                <w:szCs w:val="1"/>
                <w:color w:val="auto"/>
              </w:rPr>
            </w:pPr>
          </w:p>
        </w:tc>
      </w:tr>
      <w:tr>
        <w:trPr>
          <w:trHeight w:val="276"/>
        </w:trPr>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Green Acres Commons(7)</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127,545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107,219</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5"/>
              </w:rPr>
              <w:t>4.69%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64"/>
        </w:trPr>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20" w:type="dxa"/>
            <w:vAlign w:val="bottom"/>
            <w:gridSpan w:val="3"/>
          </w:tcPr>
          <w:p>
            <w:pPr>
              <w:ind w:left="20"/>
              <w:spacing w:after="0"/>
              <w:rPr>
                <w:sz w:val="20"/>
                <w:szCs w:val="20"/>
                <w:color w:val="auto"/>
              </w:rPr>
            </w:pPr>
            <w:r>
              <w:rPr>
                <w:rFonts w:ascii="Arial" w:cs="Arial" w:eastAsia="Arial" w:hAnsi="Arial"/>
                <w:sz w:val="14"/>
                <w:szCs w:val="14"/>
                <w:color w:val="auto"/>
              </w:rPr>
              <w:t>Green Acres Mall</w:t>
            </w:r>
          </w:p>
        </w:tc>
        <w:tc>
          <w:tcPr>
            <w:tcW w:w="12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288,043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291,366</w:t>
            </w:r>
          </w:p>
        </w:tc>
        <w:tc>
          <w:tcPr>
            <w:tcW w:w="100" w:type="dxa"/>
            <w:vAlign w:val="bottom"/>
          </w:tcPr>
          <w:p>
            <w:pPr>
              <w:spacing w:after="0"/>
              <w:rPr>
                <w:sz w:val="22"/>
                <w:szCs w:val="22"/>
                <w:color w:val="auto"/>
              </w:rPr>
            </w:pPr>
          </w:p>
        </w:tc>
        <w:tc>
          <w:tcPr>
            <w:tcW w:w="760" w:type="dxa"/>
            <w:vAlign w:val="bottom"/>
          </w:tcPr>
          <w:p>
            <w:pPr>
              <w:ind w:left="360"/>
              <w:spacing w:after="0"/>
              <w:rPr>
                <w:sz w:val="20"/>
                <w:szCs w:val="20"/>
                <w:color w:val="auto"/>
              </w:rPr>
            </w:pPr>
            <w:r>
              <w:rPr>
                <w:rFonts w:ascii="Arial" w:cs="Arial" w:eastAsia="Arial" w:hAnsi="Arial"/>
                <w:sz w:val="14"/>
                <w:szCs w:val="14"/>
                <w:color w:val="auto"/>
                <w:w w:val="95"/>
              </w:rPr>
              <w:t>3.61%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1,447</w:t>
            </w:r>
          </w:p>
        </w:tc>
        <w:tc>
          <w:tcPr>
            <w:tcW w:w="860" w:type="dxa"/>
            <w:vAlign w:val="bottom"/>
            <w:gridSpan w:val="4"/>
          </w:tcPr>
          <w:p>
            <w:pPr>
              <w:jc w:val="right"/>
              <w:ind w:right="20"/>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76"/>
        </w:trPr>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Kings Plaza Shopping Center</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442,204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447,231</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5"/>
              </w:rPr>
              <w:t>3.67%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2,229</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64"/>
        </w:trPr>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20" w:type="dxa"/>
            <w:vAlign w:val="bottom"/>
            <w:gridSpan w:val="3"/>
          </w:tcPr>
          <w:p>
            <w:pPr>
              <w:ind w:left="20"/>
              <w:spacing w:after="0"/>
              <w:rPr>
                <w:sz w:val="20"/>
                <w:szCs w:val="20"/>
                <w:color w:val="auto"/>
              </w:rPr>
            </w:pPr>
            <w:r>
              <w:rPr>
                <w:rFonts w:ascii="Arial" w:cs="Arial" w:eastAsia="Arial" w:hAnsi="Arial"/>
                <w:sz w:val="14"/>
                <w:szCs w:val="14"/>
                <w:color w:val="auto"/>
              </w:rPr>
              <w:t>Oaks, The</w:t>
            </w:r>
          </w:p>
        </w:tc>
        <w:tc>
          <w:tcPr>
            <w:tcW w:w="12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194,409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196,732</w:t>
            </w:r>
          </w:p>
        </w:tc>
        <w:tc>
          <w:tcPr>
            <w:tcW w:w="100" w:type="dxa"/>
            <w:vAlign w:val="bottom"/>
          </w:tcPr>
          <w:p>
            <w:pPr>
              <w:spacing w:after="0"/>
              <w:rPr>
                <w:sz w:val="22"/>
                <w:szCs w:val="22"/>
                <w:color w:val="auto"/>
              </w:rPr>
            </w:pPr>
          </w:p>
        </w:tc>
        <w:tc>
          <w:tcPr>
            <w:tcW w:w="760" w:type="dxa"/>
            <w:vAlign w:val="bottom"/>
          </w:tcPr>
          <w:p>
            <w:pPr>
              <w:ind w:left="360"/>
              <w:spacing w:after="0"/>
              <w:rPr>
                <w:sz w:val="20"/>
                <w:szCs w:val="20"/>
                <w:color w:val="auto"/>
              </w:rPr>
            </w:pPr>
            <w:r>
              <w:rPr>
                <w:rFonts w:ascii="Arial" w:cs="Arial" w:eastAsia="Arial" w:hAnsi="Arial"/>
                <w:sz w:val="14"/>
                <w:szCs w:val="14"/>
                <w:color w:val="auto"/>
                <w:w w:val="95"/>
              </w:rPr>
              <w:t>4.14%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1,064</w:t>
            </w:r>
          </w:p>
        </w:tc>
        <w:tc>
          <w:tcPr>
            <w:tcW w:w="860" w:type="dxa"/>
            <w:vAlign w:val="bottom"/>
            <w:gridSpan w:val="4"/>
          </w:tcPr>
          <w:p>
            <w:pPr>
              <w:jc w:val="right"/>
              <w:ind w:right="20"/>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76"/>
        </w:trPr>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Pacific View</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122,895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124,397</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5"/>
              </w:rPr>
              <w:t>4.08%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64"/>
        </w:trPr>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20" w:type="dxa"/>
            <w:vAlign w:val="bottom"/>
            <w:gridSpan w:val="3"/>
          </w:tcPr>
          <w:p>
            <w:pPr>
              <w:ind w:left="20"/>
              <w:spacing w:after="0"/>
              <w:rPr>
                <w:sz w:val="20"/>
                <w:szCs w:val="20"/>
                <w:color w:val="auto"/>
              </w:rPr>
            </w:pPr>
            <w:r>
              <w:rPr>
                <w:rFonts w:ascii="Arial" w:cs="Arial" w:eastAsia="Arial" w:hAnsi="Arial"/>
                <w:sz w:val="14"/>
                <w:szCs w:val="14"/>
                <w:color w:val="auto"/>
              </w:rPr>
              <w:t>Queens Center</w:t>
            </w:r>
          </w:p>
        </w:tc>
        <w:tc>
          <w:tcPr>
            <w:tcW w:w="12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600,000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600,000</w:t>
            </w:r>
          </w:p>
        </w:tc>
        <w:tc>
          <w:tcPr>
            <w:tcW w:w="100" w:type="dxa"/>
            <w:vAlign w:val="bottom"/>
          </w:tcPr>
          <w:p>
            <w:pPr>
              <w:spacing w:after="0"/>
              <w:rPr>
                <w:sz w:val="22"/>
                <w:szCs w:val="22"/>
                <w:color w:val="auto"/>
              </w:rPr>
            </w:pPr>
          </w:p>
        </w:tc>
        <w:tc>
          <w:tcPr>
            <w:tcW w:w="760" w:type="dxa"/>
            <w:vAlign w:val="bottom"/>
          </w:tcPr>
          <w:p>
            <w:pPr>
              <w:ind w:left="360"/>
              <w:spacing w:after="0"/>
              <w:rPr>
                <w:sz w:val="20"/>
                <w:szCs w:val="20"/>
                <w:color w:val="auto"/>
              </w:rPr>
            </w:pPr>
            <w:r>
              <w:rPr>
                <w:rFonts w:ascii="Arial" w:cs="Arial" w:eastAsia="Arial" w:hAnsi="Arial"/>
                <w:sz w:val="14"/>
                <w:szCs w:val="14"/>
                <w:color w:val="auto"/>
                <w:w w:val="95"/>
              </w:rPr>
              <w:t>3.49%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1,744</w:t>
            </w:r>
          </w:p>
        </w:tc>
        <w:tc>
          <w:tcPr>
            <w:tcW w:w="860" w:type="dxa"/>
            <w:vAlign w:val="bottom"/>
            <w:gridSpan w:val="4"/>
          </w:tcPr>
          <w:p>
            <w:pPr>
              <w:jc w:val="right"/>
              <w:ind w:right="20"/>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76"/>
        </w:trPr>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Santa Monica Place(8)</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296,695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296,366</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5"/>
              </w:rPr>
              <w:t>3.67%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844</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64"/>
        </w:trPr>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20" w:type="dxa"/>
            <w:vAlign w:val="bottom"/>
            <w:gridSpan w:val="3"/>
          </w:tcPr>
          <w:p>
            <w:pPr>
              <w:ind w:left="20"/>
              <w:spacing w:after="0"/>
              <w:rPr>
                <w:sz w:val="20"/>
                <w:szCs w:val="20"/>
                <w:color w:val="auto"/>
              </w:rPr>
            </w:pPr>
            <w:r>
              <w:rPr>
                <w:rFonts w:ascii="Arial" w:cs="Arial" w:eastAsia="Arial" w:hAnsi="Arial"/>
                <w:sz w:val="14"/>
                <w:szCs w:val="14"/>
                <w:color w:val="auto"/>
              </w:rPr>
              <w:t>SanTan Village Regional Center</w:t>
            </w:r>
          </w:p>
        </w:tc>
        <w:tc>
          <w:tcPr>
            <w:tcW w:w="12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123,151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124,703</w:t>
            </w:r>
          </w:p>
        </w:tc>
        <w:tc>
          <w:tcPr>
            <w:tcW w:w="100" w:type="dxa"/>
            <w:vAlign w:val="bottom"/>
          </w:tcPr>
          <w:p>
            <w:pPr>
              <w:spacing w:after="0"/>
              <w:rPr>
                <w:sz w:val="22"/>
                <w:szCs w:val="22"/>
                <w:color w:val="auto"/>
              </w:rPr>
            </w:pPr>
          </w:p>
        </w:tc>
        <w:tc>
          <w:tcPr>
            <w:tcW w:w="760" w:type="dxa"/>
            <w:vAlign w:val="bottom"/>
          </w:tcPr>
          <w:p>
            <w:pPr>
              <w:ind w:left="360"/>
              <w:spacing w:after="0"/>
              <w:rPr>
                <w:sz w:val="20"/>
                <w:szCs w:val="20"/>
                <w:color w:val="auto"/>
              </w:rPr>
            </w:pPr>
            <w:r>
              <w:rPr>
                <w:rFonts w:ascii="Arial" w:cs="Arial" w:eastAsia="Arial" w:hAnsi="Arial"/>
                <w:sz w:val="14"/>
                <w:szCs w:val="14"/>
                <w:color w:val="auto"/>
                <w:w w:val="95"/>
              </w:rPr>
              <w:t>3.14%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589</w:t>
            </w:r>
          </w:p>
        </w:tc>
        <w:tc>
          <w:tcPr>
            <w:tcW w:w="860" w:type="dxa"/>
            <w:vAlign w:val="bottom"/>
            <w:gridSpan w:val="4"/>
          </w:tcPr>
          <w:p>
            <w:pPr>
              <w:jc w:val="right"/>
              <w:ind w:right="20"/>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76"/>
        </w:trPr>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Towne Mall</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21,161</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5"/>
              </w:rPr>
              <w:t>4.48%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64"/>
        </w:trPr>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20" w:type="dxa"/>
            <w:vAlign w:val="bottom"/>
            <w:gridSpan w:val="3"/>
          </w:tcPr>
          <w:p>
            <w:pPr>
              <w:ind w:left="20"/>
              <w:spacing w:after="0"/>
              <w:rPr>
                <w:sz w:val="20"/>
                <w:szCs w:val="20"/>
                <w:color w:val="auto"/>
              </w:rPr>
            </w:pPr>
            <w:r>
              <w:rPr>
                <w:rFonts w:ascii="Arial" w:cs="Arial" w:eastAsia="Arial" w:hAnsi="Arial"/>
                <w:sz w:val="14"/>
                <w:szCs w:val="14"/>
                <w:color w:val="auto"/>
              </w:rPr>
              <w:t>Tucson La Encantada</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66,175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66,970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ind w:left="360"/>
              <w:spacing w:after="0"/>
              <w:rPr>
                <w:sz w:val="20"/>
                <w:szCs w:val="20"/>
                <w:color w:val="auto"/>
              </w:rPr>
            </w:pPr>
            <w:r>
              <w:rPr>
                <w:rFonts w:ascii="Arial" w:cs="Arial" w:eastAsia="Arial" w:hAnsi="Arial"/>
                <w:sz w:val="14"/>
                <w:szCs w:val="14"/>
                <w:color w:val="auto"/>
                <w:w w:val="95"/>
              </w:rPr>
              <w:t>4.23%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368</w:t>
            </w:r>
          </w:p>
        </w:tc>
        <w:tc>
          <w:tcPr>
            <w:tcW w:w="860" w:type="dxa"/>
            <w:vAlign w:val="bottom"/>
            <w:gridSpan w:val="4"/>
          </w:tcPr>
          <w:p>
            <w:pPr>
              <w:jc w:val="right"/>
              <w:ind w:right="20"/>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76"/>
        </w:trPr>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Victor Valley, Mall of</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114,646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114,617</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5"/>
              </w:rPr>
              <w:t>4.00%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64"/>
        </w:trPr>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20" w:type="dxa"/>
            <w:vAlign w:val="bottom"/>
            <w:gridSpan w:val="3"/>
          </w:tcPr>
          <w:p>
            <w:pPr>
              <w:ind w:left="20"/>
              <w:spacing w:after="0"/>
              <w:rPr>
                <w:sz w:val="20"/>
                <w:szCs w:val="20"/>
                <w:color w:val="auto"/>
              </w:rPr>
            </w:pPr>
            <w:r>
              <w:rPr>
                <w:rFonts w:ascii="Arial" w:cs="Arial" w:eastAsia="Arial" w:hAnsi="Arial"/>
                <w:sz w:val="14"/>
                <w:szCs w:val="14"/>
                <w:color w:val="auto"/>
              </w:rPr>
              <w:t>Vintage Faire Mall</w:t>
            </w:r>
          </w:p>
        </w:tc>
        <w:tc>
          <w:tcPr>
            <w:tcW w:w="12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261,025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263,818</w:t>
            </w:r>
          </w:p>
        </w:tc>
        <w:tc>
          <w:tcPr>
            <w:tcW w:w="100" w:type="dxa"/>
            <w:vAlign w:val="bottom"/>
          </w:tcPr>
          <w:p>
            <w:pPr>
              <w:spacing w:after="0"/>
              <w:rPr>
                <w:sz w:val="22"/>
                <w:szCs w:val="22"/>
                <w:color w:val="auto"/>
              </w:rPr>
            </w:pPr>
          </w:p>
        </w:tc>
        <w:tc>
          <w:tcPr>
            <w:tcW w:w="760" w:type="dxa"/>
            <w:vAlign w:val="bottom"/>
          </w:tcPr>
          <w:p>
            <w:pPr>
              <w:ind w:left="360"/>
              <w:spacing w:after="0"/>
              <w:rPr>
                <w:sz w:val="20"/>
                <w:szCs w:val="20"/>
                <w:color w:val="auto"/>
              </w:rPr>
            </w:pPr>
            <w:r>
              <w:rPr>
                <w:rFonts w:ascii="Arial" w:cs="Arial" w:eastAsia="Arial" w:hAnsi="Arial"/>
                <w:sz w:val="14"/>
                <w:szCs w:val="14"/>
                <w:color w:val="auto"/>
                <w:w w:val="95"/>
              </w:rPr>
              <w:t>3.55%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1,256</w:t>
            </w:r>
          </w:p>
        </w:tc>
        <w:tc>
          <w:tcPr>
            <w:tcW w:w="860" w:type="dxa"/>
            <w:vAlign w:val="bottom"/>
            <w:gridSpan w:val="4"/>
          </w:tcPr>
          <w:p>
            <w:pPr>
              <w:jc w:val="right"/>
              <w:ind w:right="20"/>
              <w:spacing w:after="0"/>
              <w:rPr>
                <w:sz w:val="20"/>
                <w:szCs w:val="20"/>
                <w:color w:val="auto"/>
              </w:rPr>
            </w:pPr>
            <w:r>
              <w:rPr>
                <w:rFonts w:ascii="Arial" w:cs="Arial" w:eastAsia="Arial" w:hAnsi="Arial"/>
                <w:sz w:val="14"/>
                <w:szCs w:val="14"/>
                <w:color w:val="auto"/>
              </w:rPr>
              <w:t>2026</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3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Westside Pavilion(9)</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139,530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141,020</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5"/>
              </w:rPr>
              <w:t>4.49%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169,038</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4,066,059</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171,569</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w w:val="93"/>
              </w:rPr>
              <w:t>4,066,511</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256" w:right="1440" w:bottom="879" w:gutter="0" w:footer="0" w:header="0"/>
        </w:sect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219"/>
          </w:cols>
          <w:pgMar w:left="240" w:top="256" w:right="1440" w:bottom="879"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Mortgage Notes Payable: (Continued)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2" w:lineRule="exact"/>
        <w:rPr>
          <w:rFonts w:ascii="Arial" w:cs="Arial" w:eastAsia="Arial" w:hAnsi="Arial"/>
          <w:sz w:val="18"/>
          <w:szCs w:val="18"/>
          <w:b w:val="1"/>
          <w:bCs w:val="1"/>
          <w:color w:val="auto"/>
        </w:rPr>
      </w:pPr>
    </w:p>
    <w:p>
      <w:pPr>
        <w:ind w:left="820" w:right="20" w:hanging="407"/>
        <w:spacing w:after="0" w:line="257" w:lineRule="auto"/>
        <w:tabs>
          <w:tab w:leader="none" w:pos="820" w:val="left"/>
        </w:tabs>
        <w:numPr>
          <w:ilvl w:val="1"/>
          <w:numId w:val="4"/>
        </w:numPr>
        <w:rPr>
          <w:rFonts w:ascii="Arial" w:cs="Arial" w:eastAsia="Arial" w:hAnsi="Arial"/>
          <w:sz w:val="14"/>
          <w:szCs w:val="14"/>
          <w:color w:val="auto"/>
        </w:rPr>
      </w:pPr>
      <w:r>
        <w:rPr>
          <w:rFonts w:ascii="Arial" w:cs="Arial" w:eastAsia="Arial" w:hAnsi="Arial"/>
          <w:sz w:val="14"/>
          <w:szCs w:val="14"/>
          <w:color w:val="auto"/>
        </w:rPr>
        <w:t>The mortgage notes payable balances includes an unamortized debt premium. Debt premiums represent the excess of the fair value of debt over the principal value of debt assumed in various acquisitions and are amortized into interest expense over the remaining term of the related debt in a manner that approximates the effective interest method. The loan on Fashion Outlets of Niagara Falls USA had a premium of $2,166 and $2,630 at June 30, 2018 and December 31, 2017, respectively.</w:t>
      </w:r>
    </w:p>
    <w:p>
      <w:pPr>
        <w:spacing w:after="0" w:line="104" w:lineRule="exact"/>
        <w:rPr>
          <w:rFonts w:ascii="Arial" w:cs="Arial" w:eastAsia="Arial" w:hAnsi="Arial"/>
          <w:sz w:val="14"/>
          <w:szCs w:val="14"/>
          <w:color w:val="auto"/>
        </w:rPr>
      </w:pPr>
    </w:p>
    <w:p>
      <w:pPr>
        <w:ind w:left="820" w:right="360"/>
        <w:spacing w:after="0" w:line="312" w:lineRule="auto"/>
        <w:rPr>
          <w:rFonts w:ascii="Arial" w:cs="Arial" w:eastAsia="Arial" w:hAnsi="Arial"/>
          <w:sz w:val="14"/>
          <w:szCs w:val="14"/>
          <w:color w:val="auto"/>
        </w:rPr>
      </w:pPr>
      <w:r>
        <w:rPr>
          <w:rFonts w:ascii="Arial" w:cs="Arial" w:eastAsia="Arial" w:hAnsi="Arial"/>
          <w:sz w:val="13"/>
          <w:szCs w:val="13"/>
          <w:color w:val="auto"/>
        </w:rPr>
        <w:t>The mortgage notes payable also include unamortized deferred finance costs that are amortized into interest expense over the remaining term of the related debt in a manner that approximates the effective interest method. Unamortized deferred finance costs were $15,638 and $17,838 at June 30, 2018 and December 31, 2017, respectively.</w:t>
      </w:r>
    </w:p>
    <w:p>
      <w:pPr>
        <w:spacing w:after="0" w:line="205" w:lineRule="exact"/>
        <w:rPr>
          <w:rFonts w:ascii="Arial" w:cs="Arial" w:eastAsia="Arial" w:hAnsi="Arial"/>
          <w:sz w:val="14"/>
          <w:szCs w:val="14"/>
          <w:color w:val="auto"/>
        </w:rPr>
      </w:pPr>
    </w:p>
    <w:p>
      <w:pPr>
        <w:ind w:left="820" w:hanging="407"/>
        <w:spacing w:after="0"/>
        <w:tabs>
          <w:tab w:leader="none" w:pos="820" w:val="left"/>
        </w:tabs>
        <w:numPr>
          <w:ilvl w:val="1"/>
          <w:numId w:val="4"/>
        </w:numPr>
        <w:rPr>
          <w:rFonts w:ascii="Arial" w:cs="Arial" w:eastAsia="Arial" w:hAnsi="Arial"/>
          <w:sz w:val="14"/>
          <w:szCs w:val="14"/>
          <w:color w:val="auto"/>
        </w:rPr>
      </w:pPr>
      <w:r>
        <w:rPr>
          <w:rFonts w:ascii="Arial" w:cs="Arial" w:eastAsia="Arial" w:hAnsi="Arial"/>
          <w:sz w:val="14"/>
          <w:szCs w:val="14"/>
          <w:color w:val="auto"/>
        </w:rPr>
        <w:t>The interest rate disclosed represents the effective interest rate, including the impact of debt premium and deferred finance costs.</w:t>
      </w:r>
    </w:p>
    <w:p>
      <w:pPr>
        <w:spacing w:after="0" w:line="271" w:lineRule="exact"/>
        <w:rPr>
          <w:rFonts w:ascii="Arial" w:cs="Arial" w:eastAsia="Arial" w:hAnsi="Arial"/>
          <w:sz w:val="14"/>
          <w:szCs w:val="14"/>
          <w:color w:val="auto"/>
        </w:rPr>
      </w:pPr>
    </w:p>
    <w:p>
      <w:pPr>
        <w:ind w:left="820" w:hanging="407"/>
        <w:spacing w:after="0"/>
        <w:tabs>
          <w:tab w:leader="none" w:pos="820" w:val="left"/>
        </w:tabs>
        <w:numPr>
          <w:ilvl w:val="1"/>
          <w:numId w:val="4"/>
        </w:numPr>
        <w:rPr>
          <w:rFonts w:ascii="Arial" w:cs="Arial" w:eastAsia="Arial" w:hAnsi="Arial"/>
          <w:sz w:val="14"/>
          <w:szCs w:val="14"/>
          <w:color w:val="auto"/>
        </w:rPr>
      </w:pPr>
      <w:r>
        <w:rPr>
          <w:rFonts w:ascii="Arial" w:cs="Arial" w:eastAsia="Arial" w:hAnsi="Arial"/>
          <w:sz w:val="14"/>
          <w:szCs w:val="14"/>
          <w:color w:val="auto"/>
        </w:rPr>
        <w:t>The monthly debt service represents the payment of principal and interest.</w:t>
      </w:r>
    </w:p>
    <w:p>
      <w:pPr>
        <w:spacing w:after="0" w:line="271" w:lineRule="exact"/>
        <w:rPr>
          <w:rFonts w:ascii="Arial" w:cs="Arial" w:eastAsia="Arial" w:hAnsi="Arial"/>
          <w:sz w:val="14"/>
          <w:szCs w:val="14"/>
          <w:color w:val="auto"/>
        </w:rPr>
      </w:pPr>
    </w:p>
    <w:p>
      <w:pPr>
        <w:ind w:left="820" w:hanging="407"/>
        <w:spacing w:after="0" w:line="273" w:lineRule="auto"/>
        <w:tabs>
          <w:tab w:leader="none" w:pos="820" w:val="left"/>
        </w:tabs>
        <w:numPr>
          <w:ilvl w:val="1"/>
          <w:numId w:val="4"/>
        </w:numPr>
        <w:rPr>
          <w:rFonts w:ascii="Arial" w:cs="Arial" w:eastAsia="Arial" w:hAnsi="Arial"/>
          <w:sz w:val="14"/>
          <w:szCs w:val="14"/>
          <w:color w:val="auto"/>
        </w:rPr>
      </w:pPr>
      <w:r>
        <w:rPr>
          <w:rFonts w:ascii="Arial" w:cs="Arial" w:eastAsia="Arial" w:hAnsi="Arial"/>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227" w:lineRule="exact"/>
        <w:rPr>
          <w:rFonts w:ascii="Arial" w:cs="Arial" w:eastAsia="Arial" w:hAnsi="Arial"/>
          <w:sz w:val="14"/>
          <w:szCs w:val="14"/>
          <w:color w:val="auto"/>
        </w:rPr>
      </w:pPr>
    </w:p>
    <w:p>
      <w:pPr>
        <w:ind w:left="820" w:hanging="407"/>
        <w:spacing w:after="0"/>
        <w:tabs>
          <w:tab w:leader="none" w:pos="820" w:val="left"/>
        </w:tabs>
        <w:numPr>
          <w:ilvl w:val="1"/>
          <w:numId w:val="4"/>
        </w:numPr>
        <w:rPr>
          <w:rFonts w:ascii="Arial" w:cs="Arial" w:eastAsia="Arial" w:hAnsi="Arial"/>
          <w:sz w:val="13"/>
          <w:szCs w:val="13"/>
          <w:color w:val="auto"/>
        </w:rPr>
      </w:pPr>
      <w:r>
        <w:rPr>
          <w:rFonts w:ascii="Arial" w:cs="Arial" w:eastAsia="Arial" w:hAnsi="Arial"/>
          <w:sz w:val="13"/>
          <w:szCs w:val="13"/>
          <w:color w:val="auto"/>
        </w:rPr>
        <w:t>A 49.9% interest in the loan has been assumed by a third party in connection with the Company's joint venture in Chandler Freehold (See Note 11—Financing Arrangement).</w:t>
      </w:r>
    </w:p>
    <w:p>
      <w:pPr>
        <w:spacing w:after="0" w:line="282" w:lineRule="exact"/>
        <w:rPr>
          <w:rFonts w:ascii="Arial" w:cs="Arial" w:eastAsia="Arial" w:hAnsi="Arial"/>
          <w:sz w:val="13"/>
          <w:szCs w:val="13"/>
          <w:color w:val="auto"/>
        </w:rPr>
      </w:pPr>
    </w:p>
    <w:p>
      <w:pPr>
        <w:ind w:left="820" w:hanging="407"/>
        <w:spacing w:after="0"/>
        <w:tabs>
          <w:tab w:leader="none" w:pos="820" w:val="left"/>
        </w:tabs>
        <w:numPr>
          <w:ilvl w:val="1"/>
          <w:numId w:val="4"/>
        </w:numPr>
        <w:rPr>
          <w:rFonts w:ascii="Arial" w:cs="Arial" w:eastAsia="Arial" w:hAnsi="Arial"/>
          <w:sz w:val="14"/>
          <w:szCs w:val="14"/>
          <w:color w:val="auto"/>
        </w:rPr>
      </w:pPr>
      <w:r>
        <w:rPr>
          <w:rFonts w:ascii="Arial" w:cs="Arial" w:eastAsia="Arial" w:hAnsi="Arial"/>
          <w:sz w:val="14"/>
          <w:szCs w:val="14"/>
          <w:color w:val="auto"/>
        </w:rPr>
        <w:t>The loan bears interest at LIBOR plus 1.50%. At June 30, 2018 and December 31, 2017, the total interest rate was 3.64% and 3.02%, respectively.</w:t>
      </w:r>
    </w:p>
    <w:p>
      <w:pPr>
        <w:spacing w:after="0" w:line="271" w:lineRule="exact"/>
        <w:rPr>
          <w:rFonts w:ascii="Arial" w:cs="Arial" w:eastAsia="Arial" w:hAnsi="Arial"/>
          <w:sz w:val="14"/>
          <w:szCs w:val="14"/>
          <w:color w:val="auto"/>
        </w:rPr>
      </w:pPr>
    </w:p>
    <w:p>
      <w:pPr>
        <w:ind w:left="820" w:right="20" w:hanging="407"/>
        <w:spacing w:after="0" w:line="273" w:lineRule="auto"/>
        <w:tabs>
          <w:tab w:leader="none" w:pos="820" w:val="left"/>
        </w:tabs>
        <w:numPr>
          <w:ilvl w:val="1"/>
          <w:numId w:val="4"/>
        </w:numPr>
        <w:rPr>
          <w:rFonts w:ascii="Arial" w:cs="Arial" w:eastAsia="Arial" w:hAnsi="Arial"/>
          <w:sz w:val="14"/>
          <w:szCs w:val="14"/>
          <w:color w:val="auto"/>
        </w:rPr>
      </w:pPr>
      <w:r>
        <w:rPr>
          <w:rFonts w:ascii="Arial" w:cs="Arial" w:eastAsia="Arial" w:hAnsi="Arial"/>
          <w:sz w:val="14"/>
          <w:szCs w:val="14"/>
          <w:color w:val="auto"/>
        </w:rPr>
        <w:t>On March 1, 2018, the Company borrowed the remaining $20,000 available under the loan agreement on the property. The loan bears interest at LIBOR plus 2.15%. At June 30, 2018 and December 31, 2017, the total interest rate was 4.69% and 4.07%, respectively.</w:t>
      </w:r>
    </w:p>
    <w:p>
      <w:pPr>
        <w:spacing w:after="0" w:line="227" w:lineRule="exact"/>
        <w:rPr>
          <w:rFonts w:ascii="Arial" w:cs="Arial" w:eastAsia="Arial" w:hAnsi="Arial"/>
          <w:sz w:val="14"/>
          <w:szCs w:val="14"/>
          <w:color w:val="auto"/>
        </w:rPr>
      </w:pPr>
    </w:p>
    <w:p>
      <w:pPr>
        <w:ind w:left="820" w:hanging="407"/>
        <w:spacing w:after="0"/>
        <w:tabs>
          <w:tab w:leader="none" w:pos="820" w:val="left"/>
        </w:tabs>
        <w:numPr>
          <w:ilvl w:val="1"/>
          <w:numId w:val="4"/>
        </w:numPr>
        <w:rPr>
          <w:rFonts w:ascii="Arial" w:cs="Arial" w:eastAsia="Arial" w:hAnsi="Arial"/>
          <w:sz w:val="14"/>
          <w:szCs w:val="14"/>
          <w:color w:val="auto"/>
        </w:rPr>
      </w:pPr>
      <w:r>
        <w:rPr>
          <w:rFonts w:ascii="Arial" w:cs="Arial" w:eastAsia="Arial" w:hAnsi="Arial"/>
          <w:sz w:val="14"/>
          <w:szCs w:val="14"/>
          <w:color w:val="auto"/>
        </w:rPr>
        <w:t>The loan bears interest at LIBOR plus 1.35%. At June 30, 2018 and December 31, 2017, the total interest rate was 3.67% and 3.13%, respectively.</w:t>
      </w:r>
    </w:p>
    <w:p>
      <w:pPr>
        <w:spacing w:after="0" w:line="271" w:lineRule="exact"/>
        <w:rPr>
          <w:rFonts w:ascii="Arial" w:cs="Arial" w:eastAsia="Arial" w:hAnsi="Arial"/>
          <w:sz w:val="14"/>
          <w:szCs w:val="14"/>
          <w:color w:val="auto"/>
        </w:rPr>
      </w:pPr>
    </w:p>
    <w:p>
      <w:pPr>
        <w:ind w:left="820" w:hanging="407"/>
        <w:spacing w:after="0"/>
        <w:tabs>
          <w:tab w:leader="none" w:pos="820" w:val="left"/>
        </w:tabs>
        <w:numPr>
          <w:ilvl w:val="1"/>
          <w:numId w:val="4"/>
        </w:numPr>
        <w:rPr>
          <w:rFonts w:ascii="Arial" w:cs="Arial" w:eastAsia="Arial" w:hAnsi="Arial"/>
          <w:sz w:val="13"/>
          <w:szCs w:val="13"/>
          <w:color w:val="auto"/>
        </w:rPr>
      </w:pPr>
      <w:r>
        <w:rPr>
          <w:rFonts w:ascii="Arial" w:cs="Arial" w:eastAsia="Arial" w:hAnsi="Arial"/>
          <w:sz w:val="13"/>
          <w:szCs w:val="13"/>
          <w:color w:val="auto"/>
        </w:rPr>
        <w:t>On March 1, 2018, the Company entered into an agreement to contribute the underlying property into an unconsolidated joint venture (See Note 14—Collaborative Arrangement).</w:t>
      </w:r>
    </w:p>
    <w:p>
      <w:pPr>
        <w:spacing w:after="0" w:line="2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Most of the mortgage loan agreements contain a prepayment penalty provision for the early extinguishment of the debt.</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mortgage notes payable are secured by the properties on which they are placed and are non-recourse to the Company.</w:t>
      </w:r>
    </w:p>
    <w:p>
      <w:pPr>
        <w:spacing w:after="0" w:line="279"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Company expects that all loan maturities during the next twelve months will be refinanced, restructured, extended and/or paid-off from the Company's line of credit or with cash on hand.</w:t>
      </w:r>
    </w:p>
    <w:p>
      <w:pPr>
        <w:spacing w:after="0" w:line="22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Total interest expense capitalized was $4,670 and $3,343 for the three months ended June 30, 2018 and 2017, respectively, and $9,001 and $5,977 for the six months ended June 30, 2018 and 2017, respectively.</w:t>
      </w:r>
    </w:p>
    <w:p>
      <w:pPr>
        <w:spacing w:after="0" w:line="22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Related party mortgage notes payable are amounts due to an affiliate of NML. See Note 17—Related Party Transactions for interest expense associated with loans from NML.</w:t>
      </w:r>
    </w:p>
    <w:p>
      <w:pPr>
        <w:spacing w:after="0" w:line="224" w:lineRule="exact"/>
        <w:rPr>
          <w:sz w:val="20"/>
          <w:szCs w:val="20"/>
          <w:color w:val="auto"/>
        </w:rPr>
      </w:pPr>
    </w:p>
    <w:p>
      <w:pPr>
        <w:jc w:val="both"/>
        <w:ind w:right="100" w:firstLine="432"/>
        <w:spacing w:after="0" w:line="286" w:lineRule="auto"/>
        <w:rPr>
          <w:sz w:val="20"/>
          <w:szCs w:val="20"/>
          <w:color w:val="auto"/>
        </w:rPr>
      </w:pPr>
      <w:r>
        <w:rPr>
          <w:rFonts w:ascii="Arial" w:cs="Arial" w:eastAsia="Arial" w:hAnsi="Arial"/>
          <w:sz w:val="17"/>
          <w:szCs w:val="17"/>
          <w:color w:val="auto"/>
        </w:rPr>
        <w:t>The estimated fair value (Level 2 measurement) of mortgage notes payable at June 30, 2018 and December 31, 2017 was $4,229,459 and $4,250,816, respectively, based on current interest rates for comparable loans. Fair value was determined using a present value model and an interest rate that included a credit value adjustment based on the estimated value of the property that serves as collateral for the underlying debt.</w:t>
      </w: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256" w:right="31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Bank and Other Notes Payable:</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Bank and other notes payable consist of the following:</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Line of Credit:</w:t>
      </w:r>
    </w:p>
    <w:p>
      <w:pPr>
        <w:spacing w:after="0" w:line="27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Company has a $1,500,000 revolving line of credit that bears interest at LIBOR plus a spread of 1.30% to 1.90%, depending on the Company's overall leverage level, and matures on July 6, 2020 with a one-year extension option. The line of credit can be expanded, depending on certain conditions, up to a total facility of $2,000,000.</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Based on the Company's leverage level as of June 30, 2018, the borrowing rate on the facility was LIBOR plus 1.45%. As of June 30, 2018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borrowings under the line of credit were $735,000 and $935,000, respectively, less unamortized deferred finance costs of $6,313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$7,548, respectively, at a total interest rate of 3.71% and 3.13%, respectively. As of June 30, 2018 and December 31, 2017, the Company's availability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line of credit for additional borrowings was $704,412 and $504,412, respectively, The estimated fair value (Level 2 measurement) of the line of credit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2018 and December 31, 2017 was $724,122 and $919,158, respectively, based on a present value model using a credit interest rate spread offered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for comparable debt.</w:t>
      </w:r>
    </w:p>
    <w:p>
      <w:pPr>
        <w:spacing w:after="0" w:line="26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Prasada Note:</w:t>
      </w:r>
    </w:p>
    <w:p>
      <w:pPr>
        <w:spacing w:after="0" w:line="279"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On March 29, 2013, the Company issued a $13,330 note payable that bears interest at 5.25% and matures on May 30, 2021. The note payable is collateralized by a portion of a development reimbursement agreement with the City of Surprise, Arizona. At June 30, 2018 and December 31, 2017, the note had a balance of $4,114 and $4,732, respectively. The estimated fair value (Level 2 measurement) of the note at June 30, 2018 and December 31, 2017 was $4,111 and $4,717, respectively, based on current interest rates for comparable notes. Fair value was determined using a present value model and an interest rate that included a credit value adjustment based on the estimated value of the collateral for the underlying debt.</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2018 and December 31, 2017, the Company was in compliance with all applicable financial loan covenants.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Arrangement:</w:t>
      </w:r>
    </w:p>
    <w:p>
      <w:pPr>
        <w:spacing w:after="0" w:line="283"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On September 30, 2009, the Company formed a joint venture, whereby a third party acquired a 49.9% interest in Chandler Fashion Center, a 1,318,000 square foot regional shopping center in Chandler, Arizona, and Freehold Raceway Mall, a 1,672,000 square foot regional shopping center in Freehold, New Jersey, referred to herein as Chandler Freehold. As a result of the Company having certain rights under the agreement to repurchase the assets after the seventh year of the formation of Chandler Freehold, the transaction did not qualify for sale treatment. The Company, however, is not obligated to repurchase the assets. The transaction was initially accounted for as a co-venture arrangement, and accordingly the assets, liabilities and operations of the properties remain on the books of the Company and a co-venture obligation was established for the net cash proceeds received from the third party less costs allocated to a warrant. The co-venture obligation was increased for the allocation of income to the co-venture partner and decreased for distributions to the co-venture partner.</w:t>
      </w:r>
    </w:p>
    <w:p>
      <w:pPr>
        <w:spacing w:after="0" w:line="24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Upon adoption of ASC 606 on January 1, 2018, the Company changed its accounting for Chandler Freehold from a co-venture arrangement to a financing arrangement. Accordingly, the Company replaced its $31,150 distributions in excess of co-venture obligation (See Note 8—Deferred Charges and Other Assets, net) with a financing arrangement liability of $393,709 on its consolidated balance sheets. This resulted in the recognition of a $424,859 increase in the Company’s accumulated deficit as a cumulative effect adjustment under the modified retrospective method of adoption. The fair value (Level 3 measurement) of the financing arrangement obligation was based upon a multiple on net operating income of 21 times, a discount rate of 5.8% and market rents per square foot of $20 to $225. The fair value of the financing arrangement obligation is sensitive to these significant unobservable inputs and a change in these inputs may result in a significantly higher or lower fair value measurement. Distributions to the partner and subsequent changes in fair value of the financing arrangement obligation are recognized as interest expense in the Company's consolidated statements of operations.</w:t>
      </w:r>
    </w:p>
    <w:p>
      <w:pPr>
        <w:sectPr>
          <w:pgSz w:w="11900" w:h="16838" w:orient="portrait"/>
          <w:cols w:equalWidth="0" w:num="1">
            <w:col w:w="11420"/>
          </w:cols>
          <w:pgMar w:left="240" w:top="256" w:right="239"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256"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Arrangement: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During the three and six months ended June 30, 2018 and 2017, the Company incurred interest (income) expense in connection with the financing arrangement as follows:</w:t>
      </w:r>
    </w:p>
    <w:p>
      <w:pPr>
        <w:spacing w:after="0" w:line="366"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960" w:type="dxa"/>
            <w:vAlign w:val="bottom"/>
            <w:gridSpan w:val="6"/>
          </w:tcPr>
          <w:p>
            <w:pPr>
              <w:ind w:left="40"/>
              <w:spacing w:after="0"/>
              <w:rPr>
                <w:sz w:val="20"/>
                <w:szCs w:val="20"/>
                <w:color w:val="auto"/>
              </w:rPr>
            </w:pPr>
            <w:r>
              <w:rPr>
                <w:rFonts w:ascii="Arial" w:cs="Arial" w:eastAsia="Arial" w:hAnsi="Arial"/>
                <w:sz w:val="14"/>
                <w:szCs w:val="14"/>
                <w:b w:val="1"/>
                <w:bCs w:val="1"/>
                <w:color w:val="auto"/>
              </w:rPr>
              <w:t>For the Three Months Ended</w:t>
            </w: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w w:val="96"/>
              </w:rPr>
              <w:t>For the Six Months Ended</w:t>
            </w:r>
          </w:p>
        </w:tc>
      </w:tr>
      <w:tr>
        <w:trPr>
          <w:trHeight w:val="192"/>
        </w:trPr>
        <w:tc>
          <w:tcPr>
            <w:tcW w:w="5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2017</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of the partner's share of net income</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Distributions in excess of the partner's share of net income</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3,049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to fair value of financing arrangement obligation</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37"/>
        </w:trPr>
        <w:tc>
          <w:tcPr>
            <w:tcW w:w="500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3,129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Noncontrolling Interests:</w:t>
      </w:r>
    </w:p>
    <w:p>
      <w:pPr>
        <w:spacing w:after="0" w:line="28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Company allocates net income of the Operating Partnership based on the weighted average ownership interest during the period. The net income of the Operating Partnership that is not attributable to the Company is reflected in the consolidated statements of operations as noncontrolling interests. The Company adjusts the noncontrolling interests in the Operating Partnership at the end of each period to reflect its ownership interest in the Company. The Company had a 93% ownership interest in the Operating Partnership as of June 30, 2018 and December 31, 2017. The remaining 7% limited partnership interest as of June 30, 2018 and December 31, 2017 was owned by certain of the Company's executive officers and directors, certain of their affiliates and other third party investors in the form of OP Units. The OP Units may be redeemed for shares of stock or cash, at the Company's option. The redemption value for each OP Unit as of any balance sheet date is the amount equal to the average of the closing price per share of the Company's common stock, par value $0.01 per share, as reported on the New York Stock Exchange for the 10 trading days ending on the respective balance sheet date. Accordingly, as of June 30, 2018 and December 31, 2017, the aggregate redemption value of the then-outstanding OP Units not owned by the Company was $590,571 and $671,592, respectively.</w:t>
      </w:r>
    </w:p>
    <w:p>
      <w:pPr>
        <w:spacing w:after="0" w:line="232"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The Company issued common and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pacing w:after="0" w:line="23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2017 Stock Buyback Program:</w:t>
      </w:r>
    </w:p>
    <w:p>
      <w:pPr>
        <w:spacing w:after="0" w:line="279"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ASR transactions, or other methods of acquiring shares, from time to time as permitted by securities laws and other legal requirements.</w:t>
      </w:r>
    </w:p>
    <w:p>
      <w:pPr>
        <w:spacing w:after="0" w:line="241"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During the period from February 12, 2017 to December 31, 2017, the Company repurchased a total of 3,627,390 of its common shares for $221,428, representing an average price of $61.01 per share. The Company funded the repurchases from the net proceeds of the sale of Cascade Mall and Northgate Mall (See Note 15—Dispositions), its share of the proceeds from the sale of ownership interests in office buildings at Fashion District Philadelphia and Country Club Plaza (See Note 4—Investments in Unconsolidated Joint Ventures) and from borrowings under its line of credit. There were no repurchases during the three and six months ended June 30, 2018.</w:t>
      </w:r>
    </w:p>
    <w:p>
      <w:pPr>
        <w:sectPr>
          <w:pgSz w:w="11900" w:h="16838" w:orient="portrait"/>
          <w:cols w:equalWidth="0" w:num="1">
            <w:col w:w="11380"/>
          </w:cols>
          <w:pgMar w:left="240" w:top="256" w:right="279" w:bottom="1440" w:gutter="0" w:footer="0" w:header="0"/>
        </w:sect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80"/>
          </w:cols>
          <w:pgMar w:left="240" w:top="256" w:right="27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 (Continued)</w:t>
      </w:r>
    </w:p>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At-The-Market Stock Offering Program ("ATM Program"):</w:t>
      </w:r>
    </w:p>
    <w:p>
      <w:pPr>
        <w:spacing w:after="0" w:line="27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On August 20, 2014, the Company entered into an equity distribution agreement with a number of sales agents (the "ATM Program") to issue and sell, from time to time, shares of common stock, par value $0.01 per share, having an aggregate offering price of up to $500,000. The ATM Program expired by its terms in August 2017. No shares were sold under the ATM Program.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Collaborative Arrangement:</w:t>
      </w:r>
    </w:p>
    <w:p>
      <w:pPr>
        <w:spacing w:after="0" w:line="283"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On March 1, 2018, the Company formed a 25/75 joint venture with a third party, whereby the Company agreed to contribute Westside Pavilion, a 755,000 square foot regional shopping center in Los Angeles, California in exchange for a cash payment of $142,500. The Company expects to complete the transfer during the next twelve months. Both partners share operating control of the property and the Company will be reimbursed by the outside partner for 75% of the carrying cost of the property, which are defined in the agreement as operating expenses in excess of revenues, debt service and capital expenditures.</w:t>
      </w:r>
    </w:p>
    <w:p>
      <w:pPr>
        <w:spacing w:after="0" w:line="10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Since March 1, 2018, the Company has accounted for the operations of Westside Pavilion as a collaborative arrangement. Accordingly, the Company has reduced minimum rents, percentage rents, tenant recoveries, other revenue, shopping center and operating expenses and interest expense by its partner's 75% share and recorded a receivable due from its partner, which will be settled upon completion of the transfer of the property. The Company's partner's reimbursable 75% share of mortgage loan principal payments and capital expenditures are recorded as a receivable and a deferred gain that will be recognized when the transfer is completed.</w:t>
      </w:r>
    </w:p>
    <w:p>
      <w:pPr>
        <w:spacing w:after="0" w:line="10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Additionally, the Company has classified the long-lived assets of Westside Pavilion as held for sale on its consolidated balance sheet and has ceased the recognition of depreciation and amortization expense as of March 1, 2018.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Dispositions: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recent dispositions of properties: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January 18, 2017, the Company sold Cascade Mall, a 589,000 square foot regional shopping center in Burlington, Washington; and Northgate Mall,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 750,000 square foot regional shopping center in San Rafael, California, in a combined transaction for $170,000, resulting in a gain on the sale of assets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$59,713. The proceeds were used to pay off the mortgage note payable on Northgate Mall and to repurchase shares of the Company's common stock under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2017 Stock Buyback Program (See Note 13—Stockholders' Equity).</w:t>
      </w:r>
    </w:p>
    <w:p>
      <w:pPr>
        <w:spacing w:after="0" w:line="26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On November 16, 2017, the Company sold 500 North Michigan Avenue, a 326,000 square foot office building in Chicago, Illinois for $86,350, resulting in a gain on sale of assets of $14,597. The Company used the proceeds from the sale to pay down its line of credit and for other general corporate purposes.</w:t>
      </w:r>
    </w:p>
    <w:p>
      <w:pPr>
        <w:spacing w:after="0" w:line="235" w:lineRule="exact"/>
        <w:rPr>
          <w:sz w:val="20"/>
          <w:szCs w:val="20"/>
          <w:color w:val="auto"/>
        </w:rPr>
      </w:pPr>
    </w:p>
    <w:p>
      <w:pPr>
        <w:jc w:val="both"/>
        <w:ind w:right="540" w:firstLine="432"/>
        <w:spacing w:after="0" w:line="264" w:lineRule="auto"/>
        <w:rPr>
          <w:sz w:val="20"/>
          <w:szCs w:val="20"/>
          <w:color w:val="auto"/>
        </w:rPr>
      </w:pPr>
      <w:r>
        <w:rPr>
          <w:rFonts w:ascii="Arial" w:cs="Arial" w:eastAsia="Arial" w:hAnsi="Arial"/>
          <w:sz w:val="18"/>
          <w:szCs w:val="18"/>
          <w:color w:val="auto"/>
        </w:rPr>
        <w:t>On May 17, 2018, the Company sold Promenade at Casa Grande, a 761,000 square foot community center in Casa Grande, Arizona for $26,000, resulting in a loss on sale of assets of $311. The Company used the proceeds from the sale to pay down its line of credit and for other general corporate purposes.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8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 has certain properties that are subject to non-cancelable operating leases. The leases expire at various times through 2098, subject in some cases to options to extend the terms of the lease. Certain leases provide for contingent rent payments based on a percentage of base rental income, as defined in the lease. Rent expense was $4,572 and $4,267 for the three months ended June 30, 2018 and 2017, respectively, and $8,808 and $8,484 for the six months ended June 30, 2018 and 2017, respectively.</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contingent rent was incurred during the three and six months ended June 30, 2018 or 2017.</w:t>
      </w:r>
    </w:p>
    <w:p>
      <w:pPr>
        <w:sectPr>
          <w:pgSz w:w="11900" w:h="16838" w:orient="portrait"/>
          <w:cols w:equalWidth="0" w:num="1">
            <w:col w:w="11420"/>
          </w:cols>
          <w:pgMar w:left="240" w:top="256"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256"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 (Continued)</w:t>
      </w:r>
    </w:p>
    <w:p>
      <w:pPr>
        <w:spacing w:after="0" w:line="391" w:lineRule="exact"/>
        <w:rPr>
          <w:sz w:val="20"/>
          <w:szCs w:val="20"/>
          <w:color w:val="auto"/>
        </w:rPr>
      </w:pPr>
    </w:p>
    <w:p>
      <w:pPr>
        <w:ind w:right="640" w:firstLine="432"/>
        <w:spacing w:after="0" w:line="308" w:lineRule="auto"/>
        <w:rPr>
          <w:sz w:val="20"/>
          <w:szCs w:val="20"/>
          <w:color w:val="auto"/>
        </w:rPr>
      </w:pPr>
      <w:r>
        <w:rPr>
          <w:rFonts w:ascii="Arial" w:cs="Arial" w:eastAsia="Arial" w:hAnsi="Arial"/>
          <w:sz w:val="17"/>
          <w:szCs w:val="17"/>
          <w:color w:val="auto"/>
        </w:rPr>
        <w:t>As of June 30, 2018, the Company was contingently liable for $60,588 in letters of credit guaranteeing performance by the Company of certain obligations relating to the Centers. The Company does not believe that these letters of credit will result in a liability to the Company.</w:t>
      </w:r>
    </w:p>
    <w:p>
      <w:pPr>
        <w:spacing w:after="0" w:line="20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 has entered into a number of construction agreements related to its redevelopment and development activities. Obligations under these agreements are contingent upon the completion of the services within the guidelines specified in the agreements. At June 30, 2018, the Company had $10,034 in outstanding obligations which it believes will be settled in the next twelve months.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283"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fees charged to unconsolidated joint ventures:</w:t>
      </w:r>
    </w:p>
    <w:p>
      <w:pPr>
        <w:spacing w:after="0" w:line="285" w:lineRule="exact"/>
        <w:rPr>
          <w:sz w:val="20"/>
          <w:szCs w:val="20"/>
          <w:color w:val="auto"/>
        </w:rPr>
      </w:pPr>
    </w:p>
    <w:tbl>
      <w:tblPr>
        <w:tblLayout w:type="fixed"/>
        <w:tblInd w:w="246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For the Three Months</w:t>
            </w:r>
          </w:p>
        </w:tc>
        <w:tc>
          <w:tcPr>
            <w:tcW w:w="170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For the Six Months Ended</w:t>
            </w:r>
          </w:p>
        </w:tc>
      </w:tr>
      <w:tr>
        <w:trPr>
          <w:trHeight w:val="192"/>
        </w:trPr>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Ended June 30,</w:t>
            </w:r>
          </w:p>
        </w:tc>
        <w:tc>
          <w:tcPr>
            <w:tcW w:w="18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6"/>
                <w:szCs w:val="16"/>
                <w:color w:val="auto"/>
              </w:rPr>
            </w:pPr>
          </w:p>
        </w:tc>
      </w:tr>
      <w:tr>
        <w:trPr>
          <w:trHeight w:val="264"/>
        </w:trPr>
        <w:tc>
          <w:tcPr>
            <w:tcW w:w="30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fees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9,165</w:t>
            </w: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Development and leasing fees</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7,991</w:t>
            </w:r>
          </w:p>
        </w:tc>
      </w:tr>
      <w:tr>
        <w:trPr>
          <w:trHeight w:val="27"/>
        </w:trPr>
        <w:tc>
          <w:tcPr>
            <w:tcW w:w="3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69"/>
        </w:trPr>
        <w:tc>
          <w:tcPr>
            <w:tcW w:w="3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16,320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17,156</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Certain mortgage notes on the properties are held by NML (See Note 9—Mortgage Notes Payable). Interest expense in connection with these notes was $2,131 and $2,181 for the three months ended June 30, 2018 and 2017, respectively, and $4,278 and $4,392 for the six months ended June 30, 2018 and 2017, respectively. Included in accounts payable and accrued expenses is interest payable on these notes of $705 and $716 at June 30, 2018 and December 31, 2017, respectively.</w:t>
      </w:r>
    </w:p>
    <w:p>
      <w:pPr>
        <w:spacing w:after="0" w:line="24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Interest expense from related party transactions also includes $(4,893) and $3,129 for the three and six months ended June 30, 2018 in connection with the Financing Arrangement (See Note 11—Financing Arrangement).</w:t>
      </w:r>
    </w:p>
    <w:p>
      <w:pPr>
        <w:spacing w:after="0" w:line="22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Due from affiliates includes unreimbursed costs and fees from unconsolidated joint ventures due to the Management Companies. As of June 30, 2018 and December 31, 2017, the amounts due from the unconsolidated joint ventures was $5,683 and $5,411, respectively.</w:t>
      </w:r>
    </w:p>
    <w:p>
      <w:pPr>
        <w:spacing w:after="0" w:line="22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due from affiliates at June 30, 2018 and December 31, 2017 included a note receivable from RED/303 LLC ("RED") that bears interest at 5.25% and matures on May 30, 2021. Interest income earned on this note was $57 and $68 for the three months ended June 30, 2018 and 2017, respectively, and $117 and $138 for the six months ended June 30, 2018 and 2017, respectively. The balance on this note was $4,114 and $4,796 at June 30, 2018 and December 31, 2017, respectively. RED is considered a related party because it is a partner in a joint venture development project. The note is collateralized by RED's membership interest in the development project.</w:t>
      </w:r>
    </w:p>
    <w:p>
      <w:pPr>
        <w:spacing w:after="0" w:line="242"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Also included in due from affiliates is a note receivable from Lennar Corporation that bears interest at LIBOR plus 2% and matures upon the completion of certain milestones in connection with the development of Fashion Outlets of San Francisco. Interest income earned on this note was $773 and $607 for the three months ended June 30, 2018 and 2017, respectively, and $1,522 and $1,218 for the six months ended June 30, 2018 and 2017, respectively. The balance on this note was $73,478 and $71,955 at June 30, 2018 and December 31, 2017, respectively. Lennar Corporation is considered a related party because it is a joint venture partner in Fashion Outlets of San Francisco.</w:t>
      </w:r>
    </w:p>
    <w:p>
      <w:pPr>
        <w:sectPr>
          <w:pgSz w:w="11900" w:h="16838" w:orient="portrait"/>
          <w:cols w:equalWidth="0" w:num="1">
            <w:col w:w="11400"/>
          </w:cols>
          <w:pgMar w:left="240" w:top="256" w:right="259" w:bottom="1440" w:gutter="0" w:footer="0" w:header="0"/>
        </w:sect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256" w:right="25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 and Unit-Based Plans:</w:t>
      </w:r>
    </w:p>
    <w:p>
      <w:pPr>
        <w:spacing w:after="0" w:line="283"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Under the Long-Term Incentive Plan ("LTIP"), each award recipient is issued a form of units ("LTIP Units") in the Operating Partnership. Upon the occurrence of specified events and subject to the satisfaction of applicable vesting conditions, LTIP Units (after conversion into OP Units) are ultimately redeemable for common stock of the Company, or cash at the Company's option, on a one-unit for one-share basis. LTIP Units receive cash dividends based on the dividend amount paid on the common stock of the Company. The LTIP may include both market-indexed awards and service-based awards.</w:t>
      </w:r>
    </w:p>
    <w:p>
      <w:pPr>
        <w:spacing w:after="0" w:line="20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market-indexed LTIP Units vest over the service period of the award based on the percentile ranking of the Company in terms of total return to stockholders (the "Total Return") per share of common stock relative to the Total Return of a group of peer REITs, as measured at the end of the measurement period.</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six months ended June 30, 2018, the Company granted the following LTIP Units:</w:t>
      </w:r>
    </w:p>
    <w:p>
      <w:pPr>
        <w:spacing w:after="0" w:line="200" w:lineRule="exact"/>
        <w:rPr>
          <w:sz w:val="20"/>
          <w:szCs w:val="20"/>
          <w:color w:val="auto"/>
        </w:rPr>
      </w:pPr>
    </w:p>
    <w:p>
      <w:pPr>
        <w:spacing w:after="0" w:line="242" w:lineRule="exact"/>
        <w:rPr>
          <w:sz w:val="20"/>
          <w:szCs w:val="20"/>
          <w:color w:val="auto"/>
        </w:rPr>
      </w:pPr>
    </w:p>
    <w:tbl>
      <w:tblPr>
        <w:tblLayout w:type="fixed"/>
        <w:tblInd w:w="2620" w:type="dxa"/>
        <w:tblCellMar>
          <w:top w:w="0" w:type="dxa"/>
          <w:left w:w="0" w:type="dxa"/>
          <w:bottom w:w="0" w:type="dxa"/>
          <w:right w:w="0" w:type="dxa"/>
        </w:tblCellMar>
      </w:tblP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ind w:left="40"/>
              <w:spacing w:after="0"/>
              <w:rPr>
                <w:sz w:val="20"/>
                <w:szCs w:val="20"/>
                <w:color w:val="auto"/>
              </w:rPr>
            </w:pPr>
            <w:r>
              <w:rPr>
                <w:rFonts w:ascii="Arial" w:cs="Arial" w:eastAsia="Arial" w:hAnsi="Arial"/>
                <w:sz w:val="16"/>
                <w:szCs w:val="16"/>
                <w:b w:val="1"/>
                <w:bCs w:val="1"/>
                <w:color w:val="auto"/>
              </w:rPr>
              <w:t>Fair Value per</w:t>
            </w:r>
          </w:p>
        </w:tc>
        <w:tc>
          <w:tcPr>
            <w:tcW w:w="1060" w:type="dxa"/>
            <w:vAlign w:val="bottom"/>
          </w:tcPr>
          <w:p>
            <w:pPr>
              <w:spacing w:after="0"/>
              <w:rPr>
                <w:sz w:val="17"/>
                <w:szCs w:val="17"/>
                <w:color w:val="auto"/>
              </w:rPr>
            </w:pPr>
          </w:p>
        </w:tc>
      </w:tr>
      <w:tr>
        <w:trPr>
          <w:trHeight w:val="210"/>
        </w:trPr>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Grant Date</w:t>
            </w:r>
          </w:p>
        </w:tc>
        <w:tc>
          <w:tcPr>
            <w:tcW w:w="1000" w:type="dxa"/>
            <w:vAlign w:val="bottom"/>
          </w:tcPr>
          <w:p>
            <w:pPr>
              <w:jc w:val="right"/>
              <w:ind w:right="231"/>
              <w:spacing w:after="0"/>
              <w:rPr>
                <w:sz w:val="20"/>
                <w:szCs w:val="20"/>
                <w:color w:val="auto"/>
              </w:rPr>
            </w:pPr>
            <w:r>
              <w:rPr>
                <w:rFonts w:ascii="Arial" w:cs="Arial" w:eastAsia="Arial" w:hAnsi="Arial"/>
                <w:sz w:val="16"/>
                <w:szCs w:val="16"/>
                <w:b w:val="1"/>
                <w:bCs w:val="1"/>
                <w:color w:val="auto"/>
              </w:rPr>
              <w:t>Units</w:t>
            </w:r>
          </w:p>
        </w:tc>
        <w:tc>
          <w:tcPr>
            <w:tcW w:w="120" w:type="dxa"/>
            <w:vAlign w:val="bottom"/>
          </w:tcPr>
          <w:p>
            <w:pPr>
              <w:spacing w:after="0"/>
              <w:rPr>
                <w:sz w:val="18"/>
                <w:szCs w:val="18"/>
                <w:color w:val="auto"/>
              </w:rPr>
            </w:pPr>
          </w:p>
        </w:tc>
        <w:tc>
          <w:tcPr>
            <w:tcW w:w="1680" w:type="dxa"/>
            <w:vAlign w:val="bottom"/>
            <w:gridSpan w:val="2"/>
          </w:tcPr>
          <w:p>
            <w:pPr>
              <w:ind w:left="620"/>
              <w:spacing w:after="0"/>
              <w:rPr>
                <w:sz w:val="20"/>
                <w:szCs w:val="20"/>
                <w:color w:val="auto"/>
              </w:rPr>
            </w:pPr>
            <w:r>
              <w:rPr>
                <w:rFonts w:ascii="Arial" w:cs="Arial" w:eastAsia="Arial" w:hAnsi="Arial"/>
                <w:sz w:val="16"/>
                <w:szCs w:val="16"/>
                <w:b w:val="1"/>
                <w:bCs w:val="1"/>
                <w:color w:val="auto"/>
              </w:rPr>
              <w:t>Type</w:t>
            </w: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LTIP Unit</w:t>
            </w:r>
          </w:p>
        </w:tc>
        <w:tc>
          <w:tcPr>
            <w:tcW w:w="1060" w:type="dxa"/>
            <w:vAlign w:val="bottom"/>
          </w:tcPr>
          <w:p>
            <w:pPr>
              <w:jc w:val="right"/>
              <w:ind w:right="111"/>
              <w:spacing w:after="0"/>
              <w:rPr>
                <w:sz w:val="20"/>
                <w:szCs w:val="20"/>
                <w:color w:val="auto"/>
              </w:rPr>
            </w:pPr>
            <w:r>
              <w:rPr>
                <w:rFonts w:ascii="Arial" w:cs="Arial" w:eastAsia="Arial" w:hAnsi="Arial"/>
                <w:sz w:val="16"/>
                <w:szCs w:val="16"/>
                <w:b w:val="1"/>
                <w:bCs w:val="1"/>
                <w:color w:val="auto"/>
              </w:rPr>
              <w:t>Vest Date</w:t>
            </w:r>
          </w:p>
        </w:tc>
      </w:tr>
      <w:tr>
        <w:trPr>
          <w:trHeight w:val="33"/>
        </w:trPr>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1/1/2018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65,466</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12/31/2020</w:t>
            </w:r>
          </w:p>
        </w:tc>
      </w:tr>
      <w:tr>
        <w:trPr>
          <w:trHeight w:val="243"/>
        </w:trPr>
        <w:tc>
          <w:tcPr>
            <w:tcW w:w="1040" w:type="dxa"/>
            <w:vAlign w:val="bottom"/>
          </w:tcPr>
          <w:p>
            <w:pPr>
              <w:jc w:val="right"/>
              <w:spacing w:after="0"/>
              <w:rPr>
                <w:sz w:val="20"/>
                <w:szCs w:val="20"/>
                <w:color w:val="auto"/>
              </w:rPr>
            </w:pPr>
            <w:r>
              <w:rPr>
                <w:rFonts w:ascii="Arial" w:cs="Arial" w:eastAsia="Arial" w:hAnsi="Arial"/>
                <w:sz w:val="18"/>
                <w:szCs w:val="18"/>
                <w:color w:val="auto"/>
              </w:rPr>
              <w:t>1/1/2018</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291,326</w:t>
            </w:r>
          </w:p>
        </w:tc>
        <w:tc>
          <w:tcPr>
            <w:tcW w:w="120" w:type="dxa"/>
            <w:vAlign w:val="bottom"/>
          </w:tcPr>
          <w:p>
            <w:pPr>
              <w:spacing w:after="0"/>
              <w:rPr>
                <w:sz w:val="21"/>
                <w:szCs w:val="21"/>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Market-indexed</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44.28</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12/31/2020</w:t>
            </w: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1/29/2018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13,632</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2/1/2022</w:t>
            </w:r>
          </w:p>
        </w:tc>
      </w:tr>
      <w:tr>
        <w:trPr>
          <w:trHeight w:val="243"/>
        </w:trPr>
        <w:tc>
          <w:tcPr>
            <w:tcW w:w="1040" w:type="dxa"/>
            <w:vAlign w:val="bottom"/>
          </w:tcPr>
          <w:p>
            <w:pPr>
              <w:jc w:val="right"/>
              <w:spacing w:after="0"/>
              <w:rPr>
                <w:sz w:val="20"/>
                <w:szCs w:val="20"/>
                <w:color w:val="auto"/>
              </w:rPr>
            </w:pPr>
            <w:r>
              <w:rPr>
                <w:rFonts w:ascii="Arial" w:cs="Arial" w:eastAsia="Arial" w:hAnsi="Arial"/>
                <w:sz w:val="18"/>
                <w:szCs w:val="18"/>
                <w:color w:val="auto"/>
              </w:rPr>
              <w:t>1/29/2018</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1,893</w:t>
            </w:r>
          </w:p>
        </w:tc>
        <w:tc>
          <w:tcPr>
            <w:tcW w:w="120" w:type="dxa"/>
            <w:vAlign w:val="bottom"/>
          </w:tcPr>
          <w:p>
            <w:pPr>
              <w:spacing w:after="0"/>
              <w:rPr>
                <w:sz w:val="21"/>
                <w:szCs w:val="21"/>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66.02</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12/31/2020</w:t>
            </w: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1/29/2018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7,775</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Market-indexed</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12/31/2020</w:t>
            </w:r>
          </w:p>
        </w:tc>
      </w:tr>
      <w:tr>
        <w:trPr>
          <w:trHeight w:val="243"/>
        </w:trPr>
        <w:tc>
          <w:tcPr>
            <w:tcW w:w="1040" w:type="dxa"/>
            <w:vAlign w:val="bottom"/>
          </w:tcPr>
          <w:p>
            <w:pPr>
              <w:jc w:val="right"/>
              <w:spacing w:after="0"/>
              <w:rPr>
                <w:sz w:val="20"/>
                <w:szCs w:val="20"/>
                <w:color w:val="auto"/>
              </w:rPr>
            </w:pPr>
            <w:r>
              <w:rPr>
                <w:rFonts w:ascii="Arial" w:cs="Arial" w:eastAsia="Arial" w:hAnsi="Arial"/>
                <w:sz w:val="18"/>
                <w:szCs w:val="18"/>
                <w:color w:val="auto"/>
              </w:rPr>
              <w:t>3/2/2018</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99,407</w:t>
            </w:r>
          </w:p>
        </w:tc>
        <w:tc>
          <w:tcPr>
            <w:tcW w:w="120" w:type="dxa"/>
            <w:vAlign w:val="bottom"/>
          </w:tcPr>
          <w:p>
            <w:pPr>
              <w:spacing w:after="0"/>
              <w:rPr>
                <w:sz w:val="21"/>
                <w:szCs w:val="21"/>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59.04</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3/2/2018</w:t>
            </w: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4/26/2018</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89,637</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55.78</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4/26/2018</w:t>
            </w: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569,136</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fair value of the market-indexed LTIP Units granted on January 1, 2018 were estimated on the date of grant using a Monte Carlo Simulation model that assumed a risk free interest rate of 1.98% and an expected volatility of 23.38%. The fair value of the market-indexed LTIP Units granted on January 29, 2018 were estimated on the date of grant using a Monte Carlo Simulation model that assumed a risk free interest rate of 2.25% and an expected volatility of 23.86%.</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of the non-vested LTIP Units, phantom stock units and stock units:</w:t>
      </w:r>
    </w:p>
    <w:p>
      <w:pPr>
        <w:spacing w:after="0" w:line="365" w:lineRule="exact"/>
        <w:rPr>
          <w:sz w:val="20"/>
          <w:szCs w:val="20"/>
          <w:color w:val="auto"/>
        </w:rPr>
      </w:pPr>
    </w:p>
    <w:tbl>
      <w:tblPr>
        <w:tblLayout w:type="fixed"/>
        <w:tblInd w:w="2020" w:type="dxa"/>
        <w:tblCellMar>
          <w:top w:w="0" w:type="dxa"/>
          <w:left w:w="0" w:type="dxa"/>
          <w:bottom w:w="0" w:type="dxa"/>
          <w:right w:w="0" w:type="dxa"/>
        </w:tblCellMar>
      </w:tblPr>
      <w:tr>
        <w:trPr>
          <w:trHeight w:val="192"/>
        </w:trPr>
        <w:tc>
          <w:tcPr>
            <w:tcW w:w="2020" w:type="dxa"/>
            <w:vAlign w:val="bottom"/>
          </w:tcPr>
          <w:p>
            <w:pPr>
              <w:spacing w:after="0"/>
              <w:rPr>
                <w:sz w:val="16"/>
                <w:szCs w:val="16"/>
                <w:color w:val="auto"/>
              </w:rPr>
            </w:pPr>
          </w:p>
        </w:tc>
        <w:tc>
          <w:tcPr>
            <w:tcW w:w="172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LTIP Units</w:t>
            </w:r>
          </w:p>
        </w:tc>
        <w:tc>
          <w:tcPr>
            <w:tcW w:w="100" w:type="dxa"/>
            <w:vAlign w:val="bottom"/>
          </w:tcPr>
          <w:p>
            <w:pPr>
              <w:spacing w:after="0"/>
              <w:rPr>
                <w:sz w:val="16"/>
                <w:szCs w:val="16"/>
                <w:color w:val="auto"/>
              </w:rPr>
            </w:pPr>
          </w:p>
        </w:tc>
        <w:tc>
          <w:tcPr>
            <w:tcW w:w="172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Phantom Stock Units</w:t>
            </w:r>
          </w:p>
        </w:tc>
        <w:tc>
          <w:tcPr>
            <w:tcW w:w="100" w:type="dxa"/>
            <w:vAlign w:val="bottom"/>
          </w:tcPr>
          <w:p>
            <w:pPr>
              <w:spacing w:after="0"/>
              <w:rPr>
                <w:sz w:val="16"/>
                <w:szCs w:val="16"/>
                <w:color w:val="auto"/>
              </w:rPr>
            </w:pPr>
          </w:p>
        </w:tc>
        <w:tc>
          <w:tcPr>
            <w:tcW w:w="17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Stock Units</w:t>
            </w:r>
          </w:p>
        </w:tc>
      </w:tr>
      <w:tr>
        <w:trPr>
          <w:trHeight w:val="264"/>
        </w:trPr>
        <w:tc>
          <w:tcPr>
            <w:tcW w:w="20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5"/>
              </w:rPr>
              <w:t>Value(1)</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5"/>
              </w:rPr>
              <w:t>Value(1)</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5"/>
              </w:rPr>
              <w:t>Value(1)</w:t>
            </w:r>
          </w:p>
        </w:tc>
      </w:tr>
      <w:tr>
        <w:trPr>
          <w:trHeight w:val="256"/>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January 1, 2018</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636,632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52.36</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4,054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79.82</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151,355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73.32</w:t>
            </w:r>
          </w:p>
        </w:tc>
      </w:tr>
      <w:tr>
        <w:trPr>
          <w:trHeight w:val="264"/>
        </w:trPr>
        <w:tc>
          <w:tcPr>
            <w:tcW w:w="2020" w:type="dxa"/>
            <w:vAlign w:val="bottom"/>
          </w:tcPr>
          <w:p>
            <w:pPr>
              <w:ind w:left="160"/>
              <w:spacing w:after="0"/>
              <w:rPr>
                <w:sz w:val="20"/>
                <w:szCs w:val="20"/>
                <w:color w:val="auto"/>
              </w:rPr>
            </w:pPr>
            <w:r>
              <w:rPr>
                <w:rFonts w:ascii="Arial" w:cs="Arial" w:eastAsia="Arial" w:hAnsi="Arial"/>
                <w:sz w:val="14"/>
                <w:szCs w:val="14"/>
                <w:color w:val="auto"/>
              </w:rPr>
              <w:t>Granted</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569,136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51.78</w:t>
            </w:r>
          </w:p>
        </w:tc>
        <w:tc>
          <w:tcPr>
            <w:tcW w:w="10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7,337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63.03</w:t>
            </w:r>
          </w:p>
        </w:tc>
        <w:tc>
          <w:tcPr>
            <w:tcW w:w="10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86,495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59.00</w:t>
            </w:r>
          </w:p>
        </w:tc>
      </w:tr>
      <w:tr>
        <w:trPr>
          <w:trHeight w:val="276"/>
        </w:trPr>
        <w:tc>
          <w:tcPr>
            <w:tcW w:w="20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Vested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(189,044)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(107,505)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74.43</w:t>
            </w:r>
          </w:p>
        </w:tc>
      </w:tr>
      <w:tr>
        <w:trPr>
          <w:trHeight w:val="264"/>
        </w:trPr>
        <w:tc>
          <w:tcPr>
            <w:tcW w:w="20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Forfeited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(23,666)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44.28</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77.91</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2018</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993,058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51.24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2,785</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66.79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130,345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64.24</w:t>
            </w:r>
          </w:p>
        </w:tc>
      </w:tr>
      <w:tr>
        <w:trPr>
          <w:trHeight w:val="20"/>
        </w:trPr>
        <w:tc>
          <w:tcPr>
            <w:tcW w:w="2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64"/>
        </w:trPr>
        <w:tc>
          <w:tcPr>
            <w:tcW w:w="20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r>
    </w:tbl>
    <w:p>
      <w:pPr>
        <w:spacing w:after="0" w:line="274"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(1) Value represents the weighted average grant date fair value.</w:t>
      </w:r>
    </w:p>
    <w:p>
      <w:pPr>
        <w:spacing w:after="0" w:line="31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following table summarizes the activity of the stock appreciations rights ("SARs") and stock options outstanding:</w:t>
      </w:r>
    </w:p>
    <w:p>
      <w:pPr>
        <w:sectPr>
          <w:pgSz w:w="11900" w:h="16838" w:orient="portrait"/>
          <w:cols w:equalWidth="0" w:num="1">
            <w:col w:w="11400"/>
          </w:cols>
          <w:pgMar w:left="240" w:top="256" w:right="25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256" w:right="25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 and Unit-Based Plans: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290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SARs</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Stock Options</w:t>
            </w:r>
          </w:p>
        </w:tc>
      </w:tr>
      <w:tr>
        <w:trPr>
          <w:trHeight w:val="264"/>
        </w:trPr>
        <w:tc>
          <w:tcPr>
            <w:tcW w:w="208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1"/>
              </w:rPr>
              <w:t>Value(1)</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5"/>
              </w:rPr>
              <w:t>Value(1)</w:t>
            </w:r>
          </w:p>
        </w:tc>
      </w:tr>
      <w:tr>
        <w:trPr>
          <w:trHeight w:val="256"/>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January 1, 2018</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235,439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53.83</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35,565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57.32</w:t>
            </w:r>
          </w:p>
        </w:tc>
      </w:tr>
      <w:tr>
        <w:trPr>
          <w:trHeight w:val="264"/>
        </w:trPr>
        <w:tc>
          <w:tcPr>
            <w:tcW w:w="2080" w:type="dxa"/>
            <w:vAlign w:val="bottom"/>
          </w:tcPr>
          <w:p>
            <w:pPr>
              <w:ind w:left="160"/>
              <w:spacing w:after="0"/>
              <w:rPr>
                <w:sz w:val="20"/>
                <w:szCs w:val="20"/>
                <w:color w:val="auto"/>
              </w:rPr>
            </w:pPr>
            <w:r>
              <w:rPr>
                <w:rFonts w:ascii="Arial" w:cs="Arial" w:eastAsia="Arial" w:hAnsi="Arial"/>
                <w:sz w:val="14"/>
                <w:szCs w:val="14"/>
                <w:color w:val="auto"/>
              </w:rPr>
              <w:t>Granted</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2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Exercised</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(235,439)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53.83</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2080" w:type="dxa"/>
            <w:vAlign w:val="bottom"/>
          </w:tcPr>
          <w:p>
            <w:pPr>
              <w:ind w:left="20"/>
              <w:spacing w:after="0"/>
              <w:rPr>
                <w:sz w:val="20"/>
                <w:szCs w:val="20"/>
                <w:color w:val="auto"/>
              </w:rPr>
            </w:pPr>
            <w:r>
              <w:rPr>
                <w:rFonts w:ascii="Arial" w:cs="Arial" w:eastAsia="Arial" w:hAnsi="Arial"/>
                <w:sz w:val="14"/>
                <w:szCs w:val="14"/>
                <w:color w:val="auto"/>
              </w:rPr>
              <w:t>Balance at June 30, 2018</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35,565</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57.32</w:t>
            </w:r>
          </w:p>
        </w:tc>
      </w:tr>
      <w:tr>
        <w:trPr>
          <w:trHeight w:val="20"/>
        </w:trPr>
        <w:tc>
          <w:tcPr>
            <w:tcW w:w="2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5"/>
        </w:trPr>
        <w:tc>
          <w:tcPr>
            <w:tcW w:w="20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74"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(1) Value represents the weighted average exercise price.</w:t>
      </w:r>
    </w:p>
    <w:p>
      <w:pPr>
        <w:spacing w:after="0" w:line="200" w:lineRule="exact"/>
        <w:rPr>
          <w:sz w:val="20"/>
          <w:szCs w:val="20"/>
          <w:color w:val="auto"/>
        </w:rPr>
      </w:pPr>
    </w:p>
    <w:p>
      <w:pPr>
        <w:spacing w:after="0" w:line="2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summarizes the compensation cost under the share and unit-based plans:</w:t>
      </w:r>
    </w:p>
    <w:p>
      <w:pPr>
        <w:spacing w:after="0" w:line="285"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For the Three Months</w:t>
            </w:r>
          </w:p>
        </w:tc>
        <w:tc>
          <w:tcPr>
            <w:tcW w:w="1660" w:type="dxa"/>
            <w:vAlign w:val="bottom"/>
            <w:gridSpan w:val="5"/>
          </w:tcPr>
          <w:p>
            <w:pPr>
              <w:ind w:left="40"/>
              <w:spacing w:after="0"/>
              <w:rPr>
                <w:sz w:val="20"/>
                <w:szCs w:val="20"/>
                <w:color w:val="auto"/>
              </w:rPr>
            </w:pPr>
            <w:r>
              <w:rPr>
                <w:rFonts w:ascii="Arial" w:cs="Arial" w:eastAsia="Arial" w:hAnsi="Arial"/>
                <w:sz w:val="14"/>
                <w:szCs w:val="14"/>
                <w:b w:val="1"/>
                <w:bCs w:val="1"/>
                <w:color w:val="auto"/>
                <w:w w:val="92"/>
              </w:rPr>
              <w:t>For the Six Months Ended</w:t>
            </w:r>
          </w:p>
        </w:tc>
      </w:tr>
      <w:tr>
        <w:trPr>
          <w:trHeight w:val="192"/>
        </w:trPr>
        <w:tc>
          <w:tcPr>
            <w:tcW w:w="4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Ended June 30,</w:t>
            </w:r>
          </w:p>
        </w:tc>
        <w:tc>
          <w:tcPr>
            <w:tcW w:w="18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6"/>
                <w:szCs w:val="16"/>
                <w:color w:val="auto"/>
              </w:rPr>
            </w:pPr>
          </w:p>
        </w:tc>
      </w:tr>
      <w:tr>
        <w:trPr>
          <w:trHeight w:val="264"/>
        </w:trPr>
        <w:tc>
          <w:tcPr>
            <w:tcW w:w="42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LTIP Units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18,383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19,623</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Stock units</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3,945</w:t>
            </w:r>
          </w:p>
        </w:tc>
      </w:tr>
      <w:tr>
        <w:trPr>
          <w:trHeight w:val="27"/>
        </w:trPr>
        <w:tc>
          <w:tcPr>
            <w:tcW w:w="4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Phantom stock units</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7"/>
        </w:trPr>
        <w:tc>
          <w:tcPr>
            <w:tcW w:w="4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9"/>
        </w:trPr>
        <w:tc>
          <w:tcPr>
            <w:tcW w:w="4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23,603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23,947</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Company capitalized share and unit-based compensation costs of $1,904 and $926 for the three months ended June 30, 2018 and 2017, respectively, and $4,513 and $4,295 for the six months ended June 30, 2018 and 2017, respectively. Unrecognized compensation costs of share and unit-based plans at June 30, 2018 consisted of $11,371 from LTIP Units, $3,474 from stock units, $114 from stock options and $133 from phantom stock units.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Taxes:</w:t>
      </w:r>
    </w:p>
    <w:p>
      <w:pPr>
        <w:spacing w:after="0" w:line="283"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Code. The Company's taxable REIT subsidiaries ("TRSs") are subject to corporate level income taxes which are provided for in the Company's consolidated financial statements. The Company's primary TRSs include Macerich Management Company and Macerich Arizona Partners LLC.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income tax provision of the TRSs are as follows:</w:t>
      </w:r>
    </w:p>
    <w:p>
      <w:pPr>
        <w:spacing w:after="0" w:line="28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w:t>
            </w:r>
          </w:p>
        </w:tc>
        <w:tc>
          <w:tcPr>
            <w:tcW w:w="2000" w:type="dxa"/>
            <w:vAlign w:val="bottom"/>
            <w:gridSpan w:val="6"/>
          </w:tcPr>
          <w:p>
            <w:pPr>
              <w:ind w:left="40"/>
              <w:spacing w:after="0"/>
              <w:rPr>
                <w:sz w:val="20"/>
                <w:szCs w:val="20"/>
                <w:color w:val="auto"/>
              </w:rPr>
            </w:pPr>
            <w:r>
              <w:rPr>
                <w:rFonts w:ascii="Arial" w:cs="Arial" w:eastAsia="Arial" w:hAnsi="Arial"/>
                <w:sz w:val="14"/>
                <w:szCs w:val="14"/>
                <w:b w:val="1"/>
                <w:bCs w:val="1"/>
                <w:color w:val="auto"/>
                <w:w w:val="92"/>
              </w:rPr>
              <w:t>For the Six Months Ended June</w:t>
            </w:r>
          </w:p>
        </w:tc>
      </w:tr>
      <w:tr>
        <w:trPr>
          <w:trHeight w:val="192"/>
        </w:trPr>
        <w:tc>
          <w:tcPr>
            <w:tcW w:w="3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2"/>
              </w:rPr>
              <w:t>30,</w:t>
            </w:r>
          </w:p>
        </w:tc>
        <w:tc>
          <w:tcPr>
            <w:tcW w:w="720" w:type="dxa"/>
            <w:vAlign w:val="bottom"/>
            <w:tcBorders>
              <w:bottom w:val="single" w:sz="8" w:color="auto"/>
            </w:tcBorders>
          </w:tcPr>
          <w:p>
            <w:pPr>
              <w:spacing w:after="0"/>
              <w:rPr>
                <w:sz w:val="16"/>
                <w:szCs w:val="16"/>
                <w:color w:val="auto"/>
              </w:rPr>
            </w:pPr>
          </w:p>
        </w:tc>
      </w:tr>
      <w:tr>
        <w:trPr>
          <w:trHeight w:val="264"/>
        </w:trPr>
        <w:tc>
          <w:tcPr>
            <w:tcW w:w="35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3,047</w:t>
            </w:r>
          </w:p>
        </w:tc>
      </w:tr>
      <w:tr>
        <w:trPr>
          <w:trHeight w:val="27"/>
        </w:trPr>
        <w:tc>
          <w:tcPr>
            <w:tcW w:w="3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income tax (expense) benefit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net operating loss carryforwards are currently scheduled to expire through 2037, beginning in 2025. Net deferred tax assets of $30,834 and $29,006 were included in deferred charges and other assets, net at June 30, 2018 and December 31, 2017, respectively.</w:t>
      </w:r>
    </w:p>
    <w:p>
      <w:pPr>
        <w:sectPr>
          <w:pgSz w:w="11900" w:h="16838" w:orient="portrait"/>
          <w:cols w:equalWidth="0" w:num="1">
            <w:col w:w="11400"/>
          </w:cols>
          <w:pgMar w:left="240" w:top="256" w:right="25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256" w:right="25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Taxes: (Continued)</w:t>
      </w:r>
    </w:p>
    <w:p>
      <w:pPr>
        <w:spacing w:after="0" w:line="200" w:lineRule="exact"/>
        <w:rPr>
          <w:sz w:val="20"/>
          <w:szCs w:val="20"/>
          <w:color w:val="auto"/>
        </w:rPr>
      </w:pPr>
    </w:p>
    <w:p>
      <w:pPr>
        <w:spacing w:after="0" w:line="326"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tax years 2014 through 2017 remain open to examination by the taxing jurisdictions to which the Company is subject. The Company does not expect that the total amount of unrecognized tax benefit will materially change within the next twelve months.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28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On July 6, 2018, the Company’s joint venture in The Market at Estrella Falls, a 298,000 square foot community center in Goodyear, Arizona, sold the property for $49,100. The proceeds were used to pay off the $24,118 mortgage loan payable on the property, settle development obligations and for distributions to the partners. The Company used its share of the net proceeds for general corporate purposes.</w:t>
      </w:r>
    </w:p>
    <w:p>
      <w:pPr>
        <w:spacing w:after="0" w:line="220"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On July 26, 2018, the Company announced a dividend/distribution of $0.74 per share for common stockholders and OP Unit holders of record on August 17, 2018. All dividends/distributions will be paid 100% in cash on September 7, 2018.</w:t>
      </w: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240" w:top="256" w:right="47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RELATED TO FORWARD-LOOKING STATEMENTS</w:t>
      </w:r>
    </w:p>
    <w:p>
      <w:pPr>
        <w:spacing w:after="0" w:line="283"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This Quarterly Report on Form 10-Q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10-Q and include statements regarding, among other matters:</w:t>
      </w:r>
    </w:p>
    <w:p>
      <w:pPr>
        <w:spacing w:after="0" w:line="151"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regarding the Company's growth;</w:t>
      </w:r>
    </w:p>
    <w:p>
      <w:pPr>
        <w:spacing w:after="0" w:line="63"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beliefs regarding its acquisition, redevelopment, development, leasing and operational activities and opportunities, including the performance of its retailers;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acquisition, disposition and other strategies;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matters pertaining to compliance with governmental regulations;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capital expenditure plans and expectations for obtaining capital for expenditures;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expectations regarding income tax benefits;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expectations regarding its financial condition or results of operations; and</w:t>
      </w:r>
    </w:p>
    <w:p>
      <w:pPr>
        <w:spacing w:after="0" w:line="63"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expectations for refinancing its indebtedness, entering into and servicing debt obligations and entering into joint venture arrangements.</w:t>
      </w:r>
    </w:p>
    <w:p>
      <w:pPr>
        <w:spacing w:after="0" w:line="89"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national, regional and local economic and business conditions, which will, among other things, affect demand for retail space or retail goods, availability and creditworthiness of current and prospective tenants, anchor or tenant bankruptcies, closures, mergers or consolidations, lease rates, terms and payments, interest rate fluctuations, availability, terms and cost of financing and operating expenses; adverse changes in the real estate markets including, among other things, competition from other companies, retail formats and technology, risks of real estate development and redevelopment, acquisitions and dispositions; the liquidity of real estate investments,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under "Item 1A. Risk Factors" in our Annual Report on Form 10-K for the year ended December 31, 2017, as well as our other reports filed with the Securities and Exchange Commission (the "SEC"), which disclosures are incorporated herein by reference.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Overview and Summary</w:t>
      </w:r>
    </w:p>
    <w:p>
      <w:pPr>
        <w:spacing w:after="0" w:line="283"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(the "Operating Partnership"). As of June 30, 2018, the Operating Partnership owned or had an ownership interest in 48 regional shopping centers and six community/power shopping centers aggregating approximately 52 million square feet of gross leasable area. These 54 regional and community/power shopping centers are referred to hereinafter as the "Centers," unless the context otherwise requires. The Company is a self-administered and self-managed real estate investment trust ("REIT") and conducts all of its operations through the Operating Partnership and the Management Companies.</w:t>
      </w:r>
    </w:p>
    <w:p>
      <w:pPr>
        <w:spacing w:after="0" w:line="21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following discussion is based primarily on the consolidated financial statements of the Company for the three and six months ended June 30, 2018 and 2017. It compares the results of operations for the three months ended June 30, 2018 to the results of operations for the three months ended June 30, 2017. It also compares the results of operations and cash flows for the six months ended June 30, 2018 to the results of operations and cash flows for the six months ended June 30, 2017.</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information should be read in conjunction with the accompanying consolidated financial statements and notes thereto.</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Dispositions: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financial statements reflect the following dispositions and changes in ownership subsequent to the occurrence of each transaction.</w:t>
      </w:r>
    </w:p>
    <w:p>
      <w:pPr>
        <w:spacing w:after="0" w:line="27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On January 18, 2017, the Company sold Cascade Mall, a 589,000 square foot regional shopping center in Burlington, Washington; and Northgate Mall, a 750,000 square foot regional shopping center in San Rafael, California, in a combined transaction for $170.0 million, resulting in a gain on the sale of assets of $59.7 million. The proceeds were used to pay off the mortgage note payable on Northgate Mall and to repurchase shares of the Company's common stock under the 2017 Stock Buyback Program (See "Other Transactions and Events").</w:t>
      </w:r>
    </w:p>
    <w:p>
      <w:pPr>
        <w:spacing w:after="0" w:line="241" w:lineRule="exact"/>
        <w:rPr>
          <w:sz w:val="20"/>
          <w:szCs w:val="20"/>
          <w:color w:val="auto"/>
        </w:rPr>
      </w:pPr>
    </w:p>
    <w:p>
      <w:pPr>
        <w:jc w:val="both"/>
        <w:ind w:right="80" w:firstLine="432"/>
        <w:spacing w:after="0" w:line="312" w:lineRule="auto"/>
        <w:rPr>
          <w:sz w:val="20"/>
          <w:szCs w:val="20"/>
          <w:color w:val="auto"/>
        </w:rPr>
      </w:pPr>
      <w:r>
        <w:rPr>
          <w:rFonts w:ascii="Arial" w:cs="Arial" w:eastAsia="Arial" w:hAnsi="Arial"/>
          <w:sz w:val="16"/>
          <w:szCs w:val="16"/>
          <w:color w:val="auto"/>
        </w:rPr>
        <w:t>On March 17, 2017, the Company's joint venture in Country Club Plaza sold an office building for $78.0 million, resulting in a gain on sale of assets of $4.6 million. The Company's pro rata share of the gain on sale of assets of $2.3 million was included in equity in income from unconsolidated joint ventures. The Company used its share of the proceeds to fund repurchases under the 2017 Stock Buyback Program (See "Other Transactions and Events").</w:t>
      </w:r>
    </w:p>
    <w:p>
      <w:pPr>
        <w:spacing w:after="0" w:line="20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On September 18, 2017, the Company's joint venture in Fashion District Philadelphia sold its share of an office building for $61.5 million, resulting in a gain on sale of assets of $13.1 million. The Company's pro rata share of the gain on sale of assets of $6.5 million was included in equity in income from unconsolidated joint ventures. The Company used its share of the proceeds to fund repurchases under the 2017 Stock Buyback Program (See "Other Transactions and Events").</w:t>
      </w:r>
    </w:p>
    <w:p>
      <w:pPr>
        <w:spacing w:after="0" w:line="241"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On November 16, 2017, the Company sold 500 North Michigan Avenue, a 326,000 square foot office building in Chicago, Illinois for $86.4 million, resulting in a gain on sale of assets of $14.6 million. The Company used the proceeds from the sale to pay down its line of credit and for other general corporate purposes.</w:t>
      </w:r>
    </w:p>
    <w:p>
      <w:pPr>
        <w:spacing w:after="0" w:line="235"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On December 14, 2017, the Company’s joint venture in Westcor/Queen Creek LLC sold land for $30.5 million, resulting in a gain on sale of assets of $14.9 million. The Company’s share of the gain on sale was $5.4 million, which was included in equity in income of unconsolidated joint ventures. The Company used its portion of the proceeds to pay down its line of credit and for general corporate purposes.</w:t>
      </w:r>
    </w:p>
    <w:p>
      <w:pPr>
        <w:spacing w:after="0" w:line="220"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On February 16, 2018, the Company's joint venture in Fashion District Philadelphia sold its share of an office building for $41.8 million, resulting in a gain on sale of assets of $5.5 million. The Company's pro rata share of the gain on the sale of assets of $2.8 million was included in equity in income from unconsolidated joint ventures. The Company used its portion of the proceeds to pay down its line of credit and for general corporate purposes.</w:t>
      </w:r>
    </w:p>
    <w:p>
      <w:pPr>
        <w:spacing w:after="0" w:line="20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On March 1, 2018, the Company formed a 25/75 joint venture with a third party, whereby the Company agreed to contribute Westside Pavilion, a 755,000 square foot regional shopping center in Los Angeles, California in exchange for a cash payment of $142.5 million. The Company expects to complete the transfer during the next twelve months. Both partners share operating control of the property and the Company will be reimbursed by the outside partner for 75% of the carrying cost of the property, which are defined in the agreement as operating expenses in excess of revenues, debt service and capital expenditures. Since March 1, 2018, the Company has accounted for the operations of Westside Pavilion as a collaborative arrangement. Accordingly, the Company has reduced minimum rents, percentage rents, tenant recoveries, other revenue, shopping center and operating expenses and interest expense by its partner's 75% share and recorded a receivable due from its partner, which will be settled upon completion of the transfer of the property. The Company's partner's reimbursable 75% share of mortgage loan principal payments and capital expenditures are recorded as a receivable and a deferred gain that will be recognized when the transfer is completed.</w:t>
      </w:r>
    </w:p>
    <w:p>
      <w:pPr>
        <w:spacing w:after="0" w:line="23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On May 17, 2018, the Company sold Promenade at Casa Grande, a 761,000 square foot community center in Casa Grande, Arizona for $26.0 million, resulting in a loss on sale of assets of $0.3 million. The Company used the proceeds from the sale to pay down its line of credit and for other general corporate purposes.</w:t>
      </w:r>
    </w:p>
    <w:p>
      <w:pPr>
        <w:spacing w:after="0" w:line="23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On July 6, 2018, the Company’s joint venture in The Market at Estrella Falls, a 298,000 square foot community center in Goodyear, Arizona, sold the property for $49.1 million. The proceeds were used to pay off the $24.1 million mortgage loan payable on the property, settle development obligations and for distributions to the partners. The Company used its share of the net proceeds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Financing Activities:</w:t>
      </w:r>
    </w:p>
    <w:p>
      <w:pPr>
        <w:spacing w:after="0" w:line="27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On February 1, 2017, the Company's joint venture in West Acres replaced the existing loan on the property with a new $80.0 million loan that bears interest at an effective rate of 4.61% and matures on March 1, 2032. The Company used its share of the excess proceeds to pay down its line of credit and for general corporate purposes.</w:t>
      </w:r>
    </w:p>
    <w:p>
      <w:pPr>
        <w:spacing w:after="0" w:line="23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On March 16, 2017, the Company's joint venture in Kierland Commons replaced the existing loan on the property with a new $225.0 million loan that bears interest at an effective rate of 3.98% and matures on April 1, 2027. The Company used its share of the excess proceeds to pay down its line of credit and for general corporate purposes.</w:t>
      </w:r>
    </w:p>
    <w:p>
      <w:pPr>
        <w:spacing w:after="0" w:line="235" w:lineRule="exact"/>
        <w:rPr>
          <w:sz w:val="20"/>
          <w:szCs w:val="20"/>
          <w:color w:val="auto"/>
        </w:rPr>
      </w:pPr>
    </w:p>
    <w:p>
      <w:pPr>
        <w:jc w:val="both"/>
        <w:ind w:right="560" w:firstLine="432"/>
        <w:spacing w:after="0" w:line="264" w:lineRule="auto"/>
        <w:rPr>
          <w:sz w:val="20"/>
          <w:szCs w:val="20"/>
          <w:color w:val="auto"/>
        </w:rPr>
      </w:pPr>
      <w:r>
        <w:rPr>
          <w:rFonts w:ascii="Arial" w:cs="Arial" w:eastAsia="Arial" w:hAnsi="Arial"/>
          <w:sz w:val="18"/>
          <w:szCs w:val="18"/>
          <w:color w:val="auto"/>
        </w:rPr>
        <w:t>On September 29, 2017, the Company placed a new $110.0 million loan on Green Acres Commons that bears interest at LIBOR plus 2.15% and matures on March 29, 2021. The Company expanded the loan and borrowed the additional $20.0 million available on the loan on March 1, 2018. The Company used the proceeds to pay down its line of credit and for general corporate purposes.</w:t>
      </w:r>
    </w:p>
    <w:p>
      <w:pPr>
        <w:spacing w:after="0" w:line="235"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On October 19, 2017, the Company's joint venture in Chandler Fashion Center and Freehold Raceway Mall ("Chandler Freehold") replaced the existing loan on Freehold Raceway Mall with a new $400.0 million loan that bears interest at an effective rate of 3.94% and matures on November 1, 2029. The Company used its share of the net proceeds to pay down its line of credit and for general corporate purposes.</w:t>
      </w:r>
    </w:p>
    <w:p>
      <w:pPr>
        <w:spacing w:after="0" w:line="22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On November 1, 2017, the Company paid off the $95.0 million mortgage loan payable on Stonewood Center. The Company funded the repayment of the mortgage loan payable from borrowings under its line of credit.</w:t>
      </w:r>
    </w:p>
    <w:p>
      <w:pPr>
        <w:spacing w:after="0" w:line="224"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On December 4, 2017, the Company replaced the existing loan on Santa Monica Place with a new $300.0 million loan that bears interest at LIBOR plus 1.35% and matures on December 9, 2022, including three one-year extension options. The loan is covered by an interest rate cap agreement that effectively prevents LIBOR from exceeding 4.00%. The Company used the net proceeds to pay down its line of credit and for general corporate purposes.</w:t>
      </w:r>
    </w:p>
    <w:p>
      <w:pPr>
        <w:spacing w:after="0" w:line="201"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On January 22, 2018, the Company's joint venture in Fashion District Philadelphia obtained a $250.0 million term loan that bears interest at LIBOR plus 2.0% and matures on January 22, 2023. Concurrent with the loan closing, the joint venture borrowed $150.0 million on the term loan and borrowed the remaining $100.0 million on March 26, 2018. The Company used its share of the proceeds to pay down its line of credit and for general corporate purposes.</w:t>
      </w:r>
    </w:p>
    <w:p>
      <w:pPr>
        <w:spacing w:after="0" w:line="201"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On March 29, 2018, the Company's joint venture in Broadway Plaza placed a $450.0 million loan on the property that bears interest at an effective rate of 4.19% and matures on April 1, 2030. The Company used its share of the proceeds to pay down its line of credit and for general corporate purposes.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Redevelopment and Development Activities:</w:t>
      </w:r>
    </w:p>
    <w:p>
      <w:pPr>
        <w:spacing w:after="0" w:line="279"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Company's joint venture is proceeding with the redevelopment of Fashion District Philadelphia, an 850,000 square foot shopping center in Philadelphia, Pennsylvania. The project is expected to be completed in September 2019. The total cost of the project is estimated to be between $400.0 million and $420.0 million, with $200.0 million to $210.0 million estimated to be the Company's pro rata share. The Company has funded $140.4 million of the total $280.8 million incurred by the joint venture as of June 30, 2018.</w:t>
      </w:r>
    </w:p>
    <w:p>
      <w:pPr>
        <w:spacing w:after="0" w:line="24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Company completed the redevelopment of a 250,000 square foot former Sears store at Kings Plaza Shopping Center in July 2018. As of June 30, 2018, the Company has incurred $94.7 million in costs.</w:t>
      </w:r>
    </w:p>
    <w:p>
      <w:pPr>
        <w:spacing w:after="0" w:line="22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Company's joint venture in Scottsdale Fashion Square is redeveloping a former Barney's store that will include a 70,000 square foot exterior expansion. The project is expected to be completed in 2019. The total cost of the project is estimated to be between $140.0 million and $160.0 million, with $70.0 million to $80.0 million estimated to be the Company's pro rata share. The Company has funded $16.9 million of the total $33.8 million incurred by the joint venture as of June 30, 2018.</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Transactions and Events:</w:t>
      </w:r>
    </w:p>
    <w:p>
      <w:pPr>
        <w:spacing w:after="0" w:line="279"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On February 12, 2017, the Company's Board of Directors authorized the repurchase of up to $500.0 million of its outstanding common shares as market conditions and the Company’s liquidity warrant. Repurchases may be made through open market purchases, privately negotiated transactions, structured or derivative transactions, including ASR transactions, or other methods of acquiring shares, from time to time as permitted by securities laws and other legal requirements. During the period from February 12, 2017 to December 31, 2017, the Company repurchased a total of 3,627,390 of its common shares for $221.4 million, representing an average price of $61.01 per share. The Company funded the repurchases from the net proceeds of the sale of Cascade Mall and Northgate Mall (See "Dispositions"), its share of the proceeds from the sale of ownership</w:t>
      </w:r>
    </w:p>
    <w:p>
      <w:pPr>
        <w:sectPr>
          <w:pgSz w:w="11900" w:h="16838" w:orient="portrait"/>
          <w:cols w:equalWidth="0" w:num="1">
            <w:col w:w="11400"/>
          </w:cols>
          <w:pgMar w:left="240" w:top="121" w:right="259" w:bottom="1440" w:gutter="0" w:footer="0" w:header="0"/>
        </w:sect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121" w:right="25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interests in office buildings at Fashion District Philadelphia and Country Club Plaza (See "Dispositions") and from borrowings under its line of credit. No repurchases were made during the three and six months ended June 30, 2018.</w:t>
      </w:r>
    </w:p>
    <w:p>
      <w:pPr>
        <w:spacing w:after="0" w:line="22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On January 1, 2018, upon adoption of ASU 2014-09, "Revenue From Contracts With Customers (ASC 606)", the Company changed its accounting for Chandler Freehold from a co-venture arrangement to a financing arrangement ("Financing Arrangement"). As a result, the Company no longer records co-venture expense for its partner's share of the income of Chandler Freehold. Under the Financing Arrangement, the Company recognizes interest expense on (i) the changes in fair value of the Financing Arrangement obligation, (ii) any payments to the joint venture partner equal to their pro rata share of net income and (iii) any payments to the joint venture partner less than or in excess of their pro rata share of net income.</w:t>
      </w:r>
    </w:p>
    <w:p>
      <w:pPr>
        <w:spacing w:after="0" w:line="227" w:lineRule="exact"/>
        <w:rPr>
          <w:sz w:val="20"/>
          <w:szCs w:val="20"/>
          <w:color w:val="auto"/>
        </w:rPr>
      </w:pPr>
    </w:p>
    <w:p>
      <w:pPr>
        <w:ind w:right="380" w:firstLine="432"/>
        <w:spacing w:after="0" w:line="312" w:lineRule="auto"/>
        <w:rPr>
          <w:sz w:val="20"/>
          <w:szCs w:val="20"/>
          <w:color w:val="auto"/>
        </w:rPr>
      </w:pPr>
      <w:r>
        <w:rPr>
          <w:rFonts w:ascii="Arial" w:cs="Arial" w:eastAsia="Arial" w:hAnsi="Arial"/>
          <w:sz w:val="16"/>
          <w:szCs w:val="16"/>
          <w:color w:val="auto"/>
        </w:rPr>
        <w:t>On February 1 and 2, 2018, the Company reduced its workforce by approximately 10 percent. The Company incurred a one-time charge of $12.7 million in connection with the workforce reduction during the three months ended March 31, 2018. As a result of the workforce reduction, the Company anticipates expenses, exclusive of the one-time charge, will be reduced by approximately $10.0 million during the year ending December 31, 2018.</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three months ended June 30, 2018, the Company incurred $19.4 million in costs associated with activities related to shareholder activism.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costs were primarily for legal and advisory services.</w:t>
      </w:r>
    </w:p>
    <w:p>
      <w:pPr>
        <w:spacing w:after="0" w:line="26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Inflation:</w:t>
      </w:r>
    </w:p>
    <w:p>
      <w:pPr>
        <w:spacing w:after="0" w:line="279"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In the last five years, inflation has not had a significant impact on the Company because of a relatively low inflation rate. Most of the leases at the Centers have rent adjustments periodically throughout the lease term. These rent increases are either in fixed increments or based on using an annual multiple of increases in the Consumer Price Index ("CPI"). In addition, approximately 5% to 15% of the leases for spaces 10,000 square feet and under expire each year, which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certain leases require the tenants to pay their pro rata share of operating expenses.</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Seasonality:</w:t>
      </w:r>
    </w:p>
    <w:p>
      <w:pPr>
        <w:spacing w:after="0" w:line="279"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The shopping center industry is seasonal in nature, particularly in the fourth quarter during the holiday season when retailer occupancy and retail sales are typically at their highest levels. In addition, shopping malls achieve a substantial portion of their specialty (temporary retailer) rents during the holiday season and the majority of percentage rent is recognized in the fourth quarter. As a result of the above, earnings are generally higher in the fourth quarter.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("GAAP")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41"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are described in more detail in Note 2—Summary of Significant Accounting Policies in the Company's Notes to the Consolidated Financial Statements. However, the following policies are deemed to be critical.</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 Recognition:</w:t>
      </w:r>
    </w:p>
    <w:p>
      <w:pPr>
        <w:spacing w:after="0" w:line="279" w:lineRule="exact"/>
        <w:rPr>
          <w:sz w:val="20"/>
          <w:szCs w:val="20"/>
          <w:color w:val="auto"/>
        </w:rPr>
      </w:pPr>
    </w:p>
    <w:p>
      <w:pPr>
        <w:ind w:right="180" w:firstLine="432"/>
        <w:spacing w:after="0" w:line="271" w:lineRule="auto"/>
        <w:rPr>
          <w:sz w:val="20"/>
          <w:szCs w:val="20"/>
          <w:color w:val="auto"/>
        </w:rPr>
      </w:pPr>
      <w:r>
        <w:rPr>
          <w:rFonts w:ascii="Arial" w:cs="Arial" w:eastAsia="Arial" w:hAnsi="Arial"/>
          <w:sz w:val="17"/>
          <w:szCs w:val="17"/>
          <w:color w:val="auto"/>
        </w:rPr>
        <w:t>Minimum rental revenues are recognized on a straight-line basis over the term of the related lease. The difference between the amount of rent due in a year and the amount recorded as rental income is referred to as the "straight line rent adjustment." Currently, 42% of the mall store and freestanding store leases contain provisions for CPI rent increases periodically throughout the term of the lease. The Company believes that using an annual multiple of CPI increases, rather than fixed contractual rent increases, results in revenue recognition that more closely matches the cash revenue from each lease and will provide more consistent rent growth throughout the term of the leases. Percentage rents are recognized when the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w:t>
      </w:r>
    </w:p>
    <w:p>
      <w:pPr>
        <w:sectPr>
          <w:pgSz w:w="11900" w:h="16838" w:orient="portrait"/>
          <w:cols w:equalWidth="0" w:num="1">
            <w:col w:w="11420"/>
          </w:cols>
          <w:pgMar w:left="240" w:top="121"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Property:</w:t>
      </w:r>
    </w:p>
    <w:p>
      <w:pPr>
        <w:spacing w:after="0" w:line="279" w:lineRule="exact"/>
        <w:rPr>
          <w:sz w:val="20"/>
          <w:szCs w:val="20"/>
          <w:color w:val="auto"/>
        </w:rPr>
      </w:pPr>
    </w:p>
    <w:p>
      <w:pPr>
        <w:ind w:right="600" w:firstLine="432"/>
        <w:spacing w:after="0" w:line="264" w:lineRule="auto"/>
        <w:rPr>
          <w:sz w:val="20"/>
          <w:szCs w:val="20"/>
          <w:color w:val="auto"/>
        </w:rPr>
      </w:pPr>
      <w:r>
        <w:rPr>
          <w:rFonts w:ascii="Arial" w:cs="Arial" w:eastAsia="Arial" w:hAnsi="Arial"/>
          <w:sz w:val="18"/>
          <w:szCs w:val="18"/>
          <w:color w:val="auto"/>
        </w:rPr>
        <w:t>Maintenance and repair expenses are charged to operations as incurred. Costs for major replacements and betterments, which includes HVAC equipment, roofs, parking lots, etc., are capitalized and depreciated over their estimated useful lives. Gains and losses are recognized upon disposal or retirement of the related assets and are reflected in earnings.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is recorded at cost and is depreciated using a straight-line method over the estimated useful lives of the assets as follows:</w:t>
      </w:r>
    </w:p>
    <w:p>
      <w:pPr>
        <w:spacing w:after="0" w:line="294" w:lineRule="exact"/>
        <w:rPr>
          <w:sz w:val="20"/>
          <w:szCs w:val="20"/>
          <w:color w:val="auto"/>
        </w:rPr>
      </w:pPr>
    </w:p>
    <w:tbl>
      <w:tblPr>
        <w:tblLayout w:type="fixed"/>
        <w:tblInd w:w="1920" w:type="dxa"/>
        <w:tblCellMar>
          <w:top w:w="0" w:type="dxa"/>
          <w:left w:w="0" w:type="dxa"/>
          <w:bottom w:w="0" w:type="dxa"/>
          <w:right w:w="0" w:type="dxa"/>
        </w:tblCellMar>
      </w:tblPr>
      <w:tr>
        <w:trPr>
          <w:trHeight w:val="27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5 - 40 years</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3180" w:type="dxa"/>
            <w:vAlign w:val="bottom"/>
          </w:tcPr>
          <w:p>
            <w:pPr>
              <w:jc w:val="right"/>
              <w:spacing w:after="0"/>
              <w:rPr>
                <w:sz w:val="20"/>
                <w:szCs w:val="20"/>
                <w:color w:val="auto"/>
              </w:rPr>
            </w:pPr>
            <w:r>
              <w:rPr>
                <w:rFonts w:ascii="Arial" w:cs="Arial" w:eastAsia="Arial" w:hAnsi="Arial"/>
                <w:sz w:val="18"/>
                <w:szCs w:val="18"/>
                <w:color w:val="auto"/>
              </w:rPr>
              <w:t>5 - 7 years</w:t>
            </w:r>
          </w:p>
        </w:tc>
      </w:tr>
      <w:tr>
        <w:trPr>
          <w:trHeight w:val="27"/>
        </w:trPr>
        <w:tc>
          <w:tcPr>
            <w:tcW w:w="442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4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and furnishings</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5 - 7 years</w:t>
            </w:r>
          </w:p>
        </w:tc>
      </w:tr>
      <w:tr>
        <w:trPr>
          <w:trHeight w:val="27"/>
        </w:trPr>
        <w:tc>
          <w:tcPr>
            <w:tcW w:w="442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Capitalization of Costs:</w:t>
      </w:r>
    </w:p>
    <w:p>
      <w:pPr>
        <w:spacing w:after="0" w:line="279"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color w:val="auto"/>
        </w:rPr>
        <w:t>The Company capitalizes costs incurred in redevelopment, development, renovation and improvement of properties. The capitalized costs include pre-construction costs essential to the development of the property, development costs, construction costs, interest costs, real estate taxes, salaries and related costs and other costs incurred during the period of development. These capitalized costs include direct and certain indirect costs clearly associated with the project. Indirect costs include real estate taxes, insurance and certain shared administrative costs. In assessing the amounts of direct and indirect costs to be capitalized, allocations are made to projects based on estimates of the actual amount of time spent on each activity. Indirect costs not clearly associated with specific projects are expensed as period costs. Capitalized indirect costs are allocated to development and redevelopment activities based on the square footage of the portion of the building not held available for immediate occupancy. If costs and activities incurred to ready the vacant space cease, then cost capitalization is also discontinued until such activities are resumed. Once work has been completed on a vacant space, project costs are no longer capitalized. For projects with extended lease-up periods, the Company ends the capitalization when significant activities have ceased, which does not exceed the shorter of a one-year period after the completion of the building shell or when the construction is substantially complete.</w:t>
      </w:r>
    </w:p>
    <w:p>
      <w:pPr>
        <w:spacing w:after="0" w:line="22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Acquisitions:</w:t>
      </w:r>
    </w:p>
    <w:p>
      <w:pPr>
        <w:spacing w:after="0" w:line="279"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 The initial allocation of purchase price is based on management's preliminary assessment, which may change when final information becomes available. Subsequent adjustments made to the initial purchase price allocation are made within the allocation period, which does not exceed one year. The purchase price allocation is described as preliminary if it is not yet final. The use of different assumptions in the allocation of the purchase price of the acquired assets and liabilities assumed could affect the timing of recognition of the related revenues and expenses.</w:t>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immediately expenses costs associated with business combinations as period costs.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Remeasurement gains are recognized when the Company obtains control of an existing equity method investment to the extent that the fair value of the existing equity investment exceeds the carrying value of the investment.</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Asset Impairment:</w:t>
      </w:r>
    </w:p>
    <w:p>
      <w:pPr>
        <w:spacing w:after="0" w:line="279"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estimated holding periods and capitalization rates. If an impairment indicator exists, the determination of recoverability is made based upon the estimated undiscounted future net cash flows, excluding interest expense. The amount of impairment loss, if any, is determined by comparing the fair value, as determined by a discounted cash flows analysis or a contracted sales price, with the carrying value of the related assets. The Company generally holds and operates its properties long-term, which decreases the likelihood of their carrying values not being recoverable. Properties classified as held for sale are measured at the lower of the carrying amount or fair value less cost to sell.</w:t>
      </w:r>
    </w:p>
    <w:p>
      <w:pPr>
        <w:spacing w:after="0" w:line="2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7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fair value hierarchy distinguishes between market participant assumptions based on market data obtained from sources independent of the reporting entity and the reporting entity's own assumptions about market participant assumptions.</w:t>
      </w:r>
    </w:p>
    <w:p>
      <w:pPr>
        <w:spacing w:after="0" w:line="224"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is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22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Company calculates the fair value of financial instruments and includes this additional information in the notes to consolidated financial statements when the fair value is different than the carrying value of those financial instruments. When the fair value reasonably approximates the carrying value, no additional disclosure is made.</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Deferred Charges:</w:t>
      </w:r>
    </w:p>
    <w:p>
      <w:pPr>
        <w:spacing w:after="0" w:line="279"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Costs relating to obtaining tenant leases are deferred and amortized over the initial term of the agreement using the straight-line method. As these deferred leasing costs represent productive assets incurred in connection with the Company's provision of leasing arrangements at the Centers, the related cash flows are classified as investing activities within the Company's consolidated statements of cash flows. Costs relating to financing of shopping center properties are deferred and amortized over the life of the related loan using the straight-line method, which approximates the effective interest method. The ranges of the terms of the agreements are as follows:</w:t>
      </w:r>
    </w:p>
    <w:p>
      <w:pPr>
        <w:spacing w:after="0" w:line="392" w:lineRule="exact"/>
        <w:rPr>
          <w:sz w:val="20"/>
          <w:szCs w:val="20"/>
          <w:color w:val="auto"/>
        </w:rPr>
      </w:pPr>
    </w:p>
    <w:tbl>
      <w:tblPr>
        <w:tblLayout w:type="fixed"/>
        <w:tblInd w:w="1920" w:type="dxa"/>
        <w:tblCellMar>
          <w:top w:w="0" w:type="dxa"/>
          <w:left w:w="0" w:type="dxa"/>
          <w:bottom w:w="0" w:type="dxa"/>
          <w:right w:w="0" w:type="dxa"/>
        </w:tblCellMar>
      </w:tblPr>
      <w:tr>
        <w:trPr>
          <w:trHeight w:val="27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lease costs</w:t>
            </w:r>
          </w:p>
        </w:tc>
        <w:tc>
          <w:tcPr>
            <w:tcW w:w="4860" w:type="dxa"/>
            <w:vAlign w:val="bottom"/>
            <w:shd w:val="clear" w:color="auto" w:fill="CCEEFF"/>
          </w:tcPr>
          <w:p>
            <w:pPr>
              <w:ind w:left="3700"/>
              <w:spacing w:after="0"/>
              <w:rPr>
                <w:sz w:val="20"/>
                <w:szCs w:val="20"/>
                <w:color w:val="auto"/>
              </w:rPr>
            </w:pPr>
            <w:r>
              <w:rPr>
                <w:rFonts w:ascii="Arial" w:cs="Arial" w:eastAsia="Arial" w:hAnsi="Arial"/>
                <w:sz w:val="18"/>
                <w:szCs w:val="18"/>
                <w:color w:val="auto"/>
              </w:rPr>
              <w:t>1 - 15 years</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Deferred financing costs</w:t>
            </w:r>
          </w:p>
        </w:tc>
        <w:tc>
          <w:tcPr>
            <w:tcW w:w="4860" w:type="dxa"/>
            <w:vAlign w:val="bottom"/>
          </w:tcPr>
          <w:p>
            <w:pPr>
              <w:ind w:left="3700"/>
              <w:spacing w:after="0"/>
              <w:rPr>
                <w:sz w:val="20"/>
                <w:szCs w:val="20"/>
                <w:color w:val="auto"/>
              </w:rPr>
            </w:pPr>
            <w:r>
              <w:rPr>
                <w:rFonts w:ascii="Arial" w:cs="Arial" w:eastAsia="Arial" w:hAnsi="Arial"/>
                <w:sz w:val="18"/>
                <w:szCs w:val="18"/>
                <w:color w:val="auto"/>
              </w:rPr>
              <w:t>1 - 15 years</w:t>
            </w:r>
          </w:p>
        </w:tc>
      </w:tr>
      <w:tr>
        <w:trPr>
          <w:trHeight w:val="837"/>
        </w:trPr>
        <w:tc>
          <w:tcPr>
            <w:tcW w:w="2740" w:type="dxa"/>
            <w:vAlign w:val="bottom"/>
          </w:tcPr>
          <w:p>
            <w:pPr>
              <w:spacing w:after="0"/>
              <w:rPr>
                <w:sz w:val="24"/>
                <w:szCs w:val="24"/>
                <w:color w:val="auto"/>
              </w:rPr>
            </w:pPr>
          </w:p>
        </w:tc>
        <w:tc>
          <w:tcPr>
            <w:tcW w:w="4860" w:type="dxa"/>
            <w:vAlign w:val="bottom"/>
          </w:tcPr>
          <w:p>
            <w:pPr>
              <w:jc w:val="right"/>
              <w:ind w:right="3630"/>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Many of the variations in the results of operations, discussed below, occurred because of the transactions affecting the Company's properties described in Management's Overview and Summary above, including the Redevelopment Properties, the Joint Venture Centers and the Disposition Properties (as defined below).</w:t>
      </w:r>
    </w:p>
    <w:p>
      <w:pPr>
        <w:spacing w:after="0" w:line="23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For purposes of the discussion below, the Company defines "Same Centers" as those Centers that are substantially complete and in operation for the entirety of both periods of the comparison. Non-Same Centers for comparison purposes include those Centers or properties that are going through a substantial redevelopment often resulting in the closing of a portion of the Center (“Redevelopment Properties”) and properties that have been disposed of ("Disposition Properties").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and the Disposition Properties, for the periods of comparison.</w:t>
      </w:r>
    </w:p>
    <w:p>
      <w:pPr>
        <w:spacing w:after="0" w:line="24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For the comparison of the three and six months ended June 30, 2018 to the three and six months ended June 30, 2017, the Redevelopment Properties are Paradise Valley Mall and Westside Pavilion.</w:t>
      </w:r>
    </w:p>
    <w:p>
      <w:pPr>
        <w:spacing w:after="0" w:line="224"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For comparison of the three and six months ended June 30, 2018 to the three and six months ended June 30, 2017, the Disposition Properties are Promenade at Casa Grande, 500 North Michigan Avenue, Cascade Mall and Northgate Mall.</w:t>
      </w:r>
    </w:p>
    <w:p>
      <w:pPr>
        <w:spacing w:after="0" w:line="224"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Unconsolidated joint ventures are reflected using the equity method of accounting. The Company's pro rata share of the results from these Centers is reflected in the Consolidated Statements of Operations as equity in income of unconsolidated joint ventures.</w:t>
      </w:r>
    </w:p>
    <w:p>
      <w:pPr>
        <w:spacing w:after="0" w:line="224"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The Company considers tenant annual sales per square foot (for tenants in place for a minimum of twelve months or longer and 10,000 square feet and under), occupancy rates (excluding large retail stores or "Anchors") and releasing spreads (i.e. a comparison of initial average base rent per square foot on leases executed during the trailing twelve months to average base rent per square foot at expiration for the leases expiring during the trailing twelve months based on the spaces 10,000 square feet and under) to be key performance indicators of the Company's internal growth.</w:t>
      </w:r>
    </w:p>
    <w:p>
      <w:pPr>
        <w:spacing w:after="0" w:line="225"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Tenant sales per square foot increased from $646 for the twelve months ended June 30, 2017 to $692 for the twelve months ended June 30, 2018. Occupancy rate decreased from 94.4% at June 30, 2017 to 94.3% at June 30, 2018. Releasing spreads remained positive as the Company was able to lease available space at higher average rents than the expiring rental rates, resulting in a releasing spread of $6.34 per square foot ($57.91 on new and renewal leases executed compared to $51.57 on leases expiring), representing a 12.3% increase for the trailing twelve months ended June 30, 2018. The Company expects that releasing spreads will continue to be positive for the remainder of 2018 as it renews or relets leases that are scheduled to expire. These leases that are scheduled to expire represent 1.0 million square feet of the Centers, accounting for 13.3% of the gross leasable area ("GLA") of mall stores and freestanding stores, for spaces 10,000 square feet and under, as of June 30, 2018. These calculations exclude Centers under development or redevelopment and property dispositions (See "Dispositions" and "Redevelopment and Development Activities" in Management's Overview and Summary).</w:t>
      </w:r>
    </w:p>
    <w:p>
      <w:pPr>
        <w:spacing w:after="0" w:line="220" w:lineRule="exact"/>
        <w:rPr>
          <w:sz w:val="20"/>
          <w:szCs w:val="20"/>
          <w:color w:val="auto"/>
        </w:rPr>
      </w:pPr>
    </w:p>
    <w:p>
      <w:pPr>
        <w:jc w:val="both"/>
        <w:ind w:right="360" w:firstLine="432"/>
        <w:spacing w:after="0" w:line="312" w:lineRule="auto"/>
        <w:rPr>
          <w:sz w:val="20"/>
          <w:szCs w:val="20"/>
          <w:color w:val="auto"/>
        </w:rPr>
      </w:pPr>
      <w:r>
        <w:rPr>
          <w:rFonts w:ascii="Arial" w:cs="Arial" w:eastAsia="Arial" w:hAnsi="Arial"/>
          <w:sz w:val="16"/>
          <w:szCs w:val="16"/>
          <w:color w:val="auto"/>
        </w:rPr>
        <w:t>During the trailing twelve months ended June 30, 2018, the Company signed 216 new leases and 363 renewal leases comprising approximately 0.9 million square feet of GLA, of which 0.6 million square feet related to the consolidated Centers. The annual initial average base rent for new and renewal leases was $57.91 per square foot for the trailing twelve months ended June 30, 2018 with an average tenant allowance of $23.35 per square foot.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June 30, 2018 and 2017</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Revenues:</w:t>
      </w:r>
    </w:p>
    <w:p>
      <w:pPr>
        <w:spacing w:after="0" w:line="279"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Minimum and percentage rents (collectively referred to as "rental revenue") decreased by $10.6 million, or 6.8%, from 2017 to 2018. The decrease in rental revenue is attributed to a decrease of $5.0 million from the Same Centers, $3.0 million from the Redevelopment Properties and $2.6 million from the Disposition Properties. Rental revenue includes the amortization of above and below-market leases, the amortization of straight-line rents and lease termination income. The amortization of above and below-market leases increased from $1.3 million in 2017 to $1.9 million in 2018. The amortization of straight-line rents was $2.7 million in 2017 and 2018. Lease termination income decreased from $8.4 million in 2017 to $1.7 million in 2018. The decrease in rental revenue at the Same Centers was primarily due to a decrease in lease termination income.</w:t>
      </w:r>
    </w:p>
    <w:p>
      <w:pPr>
        <w:spacing w:after="0" w:line="232"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Tenant recoveries decreased $2.2 million, or 3.2%, from 2017 to 2018. This decrease in tenant recoveries is attributed to a decrease of $1.3 million from the Same Centers and $1.0 million from the Redevelopment Properties offset in part by an increase of $0.1 million from the Disposition Properties.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Management Companies' revenue increased from $10.0 million in 2017 to $10.5 million in 2018. The increase in Management Companies' revenue is primarily due to an increase in development fees from unconsolidated joint ventures.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Shopping Center and Operating Expenses:</w:t>
      </w:r>
    </w:p>
    <w:p>
      <w:pPr>
        <w:spacing w:after="0" w:line="27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Shopping center and operating expenses decreased $3.0 million, or 4.2%, from 2017 to 2018. The decrease in shopping center and operating expenses is attributed to a decrease of $1.7 million from the Redevelopment Properties and $1.6 million from the Disposition Properties offset in part by an increase of $0.3 million from the Same Centers.</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Management Companies' Operating Expenses:</w:t>
      </w:r>
    </w:p>
    <w:p>
      <w:pPr>
        <w:spacing w:after="0" w:line="27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Management Companies' operating expenses decreased $5.3 million from 2017 to 2018. The decrease is attributed to a reduction in payroll and share and unit-based compensation costs in connection with the Company's reduction in work force in 2018 (See "Other Transactions and Events" in Management's Overview and Summary).</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REIT General and Administrative Expenses: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REIT general and administrative expenses decreased $2.5 million from 2017 to 2018 due to a reduction in compensation costs.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Costs Related to Shareholder Activism</w:t>
      </w:r>
    </w:p>
    <w:p>
      <w:pPr>
        <w:spacing w:after="0" w:line="27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Company incurred $19.4 million in costs related to shareholder activism in 2018 (See "Other Transactions and Events" in Management's Overview and Summary).</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Depreciation and Amortization:</w:t>
      </w:r>
    </w:p>
    <w:p>
      <w:pPr>
        <w:spacing w:after="0" w:line="279"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Depreciation and amortization decreased $4.4 million from 2017 to 2018. The decrease in depreciation and amortization is attributed to a decrease of $2.0 million from the Same Centers, $1.5 million from the Redevelopment Properties and $0.9 million from the Disposition Properties.</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Expense:</w:t>
      </w:r>
    </w:p>
    <w:p>
      <w:pPr>
        <w:spacing w:after="0" w:line="279" w:lineRule="exact"/>
        <w:rPr>
          <w:sz w:val="20"/>
          <w:szCs w:val="20"/>
          <w:color w:val="auto"/>
        </w:rPr>
      </w:pPr>
    </w:p>
    <w:p>
      <w:pPr>
        <w:jc w:val="both"/>
        <w:ind w:right="680" w:firstLine="432"/>
        <w:spacing w:after="0" w:line="286" w:lineRule="auto"/>
        <w:rPr>
          <w:sz w:val="20"/>
          <w:szCs w:val="20"/>
          <w:color w:val="auto"/>
        </w:rPr>
      </w:pPr>
      <w:r>
        <w:rPr>
          <w:rFonts w:ascii="Arial" w:cs="Arial" w:eastAsia="Arial" w:hAnsi="Arial"/>
          <w:sz w:val="17"/>
          <w:szCs w:val="17"/>
          <w:color w:val="auto"/>
        </w:rPr>
        <w:t>Interest expense decreased $3.4 million from 2017 to 2018. The decrease in interest expense is attributed to a decrease of $4.9 million from the Financing Arrangement (See "Other Transactions and Events" in Management's Overview and Summary) and $1.1 million from the Redevelopment Properties offset in part by an increase of $2.5 million from the Same Centers and $0.1 million from the Disposition Properties.</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above interest expense items are net of capitalized interest, which increased from $3.3 million in 2017 to $4.7 million in 2018.</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Equity in Income of Unconsolidated Joint Ventures: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Equity in income of unconsolidated joint ventures decreased $1.3 million from 2017 to 2018.</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(Loss) Gain on Sale or Write Down of Assets, net:</w:t>
      </w:r>
    </w:p>
    <w:p>
      <w:pPr>
        <w:spacing w:after="0" w:line="279"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loss on sale or write down of assets, net increased $9.0 million from 2017 to 2018. The increase in loss on sale or write down of assets, net is primarily due to impairment losses of $7.5 million on two freestanding stores and $1.7 million on Southridge Center. The impairment losses were due to the reduction in the estimated holding periods of the properties.</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Income (Loss):</w:t>
      </w:r>
    </w:p>
    <w:p>
      <w:pPr>
        <w:spacing w:after="0" w:line="27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Net income decreased $20.2 million from 2017 to 2018 primarily due to the $19.4 million in costs related to shareholder activism in 2018, as discussed above.</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Funds From Operations ("FFO"):</w:t>
      </w:r>
    </w:p>
    <w:p>
      <w:pPr>
        <w:spacing w:after="0" w:line="2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Primarily as a result of the factors mentioned above, FFO attributable to common stockholders and unit holders decreased 15.4% from $148.6 million in 2017 to $125.7 million in 2018. For a reconciliation of net income (loss) attributable to the Company, the most directly comparable GAAP financial measure, to FFO attributable to common stockholders and unit holders and FFO attributable to common stockholders and unit holders</w:t>
      </w:r>
      <w:r>
        <w:rPr>
          <w:rFonts w:ascii="Arial" w:cs="Arial" w:eastAsia="Arial" w:hAnsi="Arial"/>
          <w:sz w:val="16"/>
          <w:szCs w:val="16"/>
          <w:color w:val="auto"/>
        </w:rPr>
        <w:t>—diluted,</w:t>
      </w:r>
      <w:r>
        <w:rPr>
          <w:rFonts w:ascii="Arial" w:cs="Arial" w:eastAsia="Arial" w:hAnsi="Arial"/>
          <w:sz w:val="18"/>
          <w:szCs w:val="18"/>
          <w:color w:val="auto"/>
        </w:rPr>
        <w:t xml:space="preserve"> see "Funds From Operations ("FFO")" below.</w:t>
      </w:r>
    </w:p>
    <w:p>
      <w:pPr>
        <w:sectPr>
          <w:pgSz w:w="11900" w:h="16838" w:orient="portrait"/>
          <w:cols w:equalWidth="0" w:num="1">
            <w:col w:w="11420"/>
          </w:cols>
          <w:pgMar w:left="240" w:top="121"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Six Months Ended June 30, 2018 and 2017</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Revenues:</w:t>
      </w:r>
    </w:p>
    <w:p>
      <w:pPr>
        <w:spacing w:after="0" w:line="279"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Rental revenue decreased by $13.7 million, or 4.5%, from 2017 to 2018. The decrease in rental revenue is attributed to a decrease of $5.3 million from the Disposition Properties, $4.8 million from the Redevelopment Properties and $3.6 million from the Same Centers. The amortization of above and below-market leases increased from $1.1 million in 2017 to $1.8 million in 2018. The amortization of straight-line rents increased from $4.5 million in 2017 to $5.4 million in 2018. Lease termination income decreased from $10.4 million in 2017 to $3.4 million in 2018. The decrease in rental revenue at the Same Centers was primarily due to a decrease in lease termination income.</w:t>
      </w:r>
    </w:p>
    <w:p>
      <w:pPr>
        <w:spacing w:after="0" w:line="24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Tenant recoveries decreased $6.5 million, or 4.6%, from 2017 to 2018. The decrease in tenant recoveries is attributed to a decrease of $4.4 million from the Same Centers, $1.7 million from the Redevelopment Properties and $0.4 million from the Disposition Properties.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Management Companies' revenue decreased from $21.9 million in 2017 to $21.0 million in 2018.</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Shopping Center and Operating Expenses:</w:t>
      </w:r>
    </w:p>
    <w:p>
      <w:pPr>
        <w:spacing w:after="0" w:line="27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Shopping center and operating expenses decreased $4.3 million, or 3.0%, from 2017 to 2018. The decrease in shopping center and operating expenses is attributed to a decrease of $4.0 million from the Disposition Properties and $2.3 million from the Redevelopment Properties offset in part by an increase of $2.0 million from the Same Centers.</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Management Companies' Operating Expenses:</w:t>
      </w:r>
    </w:p>
    <w:p>
      <w:pPr>
        <w:spacing w:after="0" w:line="279"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Management Companies' operating expenses increased $4.6 million from 2017 to 2018. The increase is attributed to a one-time charge of $12.7 million in connection with the Company's reduction in work force in 2018 (See "Other Transactions and Events" in Management's Overview and Summary) offset in part by a reduction in payroll and share and unit-based compensation costs.</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REIT General and Administrative Expenses: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REIT general and administrative expenses decreased $2.9 million from 2017 to 2018 due to a reduction in compensation costs.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Costs Related to Shareholder Activism</w:t>
      </w:r>
    </w:p>
    <w:p>
      <w:pPr>
        <w:spacing w:after="0" w:line="279" w:lineRule="exact"/>
        <w:rPr>
          <w:sz w:val="20"/>
          <w:szCs w:val="20"/>
          <w:color w:val="auto"/>
        </w:rPr>
      </w:pPr>
    </w:p>
    <w:p>
      <w:pPr>
        <w:jc w:val="both"/>
        <w:ind w:right="60" w:firstLine="432"/>
        <w:spacing w:after="0" w:line="277" w:lineRule="auto"/>
        <w:rPr>
          <w:sz w:val="20"/>
          <w:szCs w:val="20"/>
          <w:color w:val="auto"/>
        </w:rPr>
      </w:pPr>
      <w:r>
        <w:rPr>
          <w:rFonts w:ascii="Arial" w:cs="Arial" w:eastAsia="Arial" w:hAnsi="Arial"/>
          <w:sz w:val="18"/>
          <w:szCs w:val="18"/>
          <w:color w:val="auto"/>
        </w:rPr>
        <w:t>The Company incurred $19.4 million in costs related to shareholder activism in 2018 (See "Other Transactions and Events" in Management's Overview and Summary).</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Depreciation and Amortization:</w:t>
      </w:r>
    </w:p>
    <w:p>
      <w:pPr>
        <w:spacing w:after="0" w:line="279"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Depreciation and amortization decreased $7.5 million from 2017 to 2018. The decrease in depreciation and amortization is attributed to a decrease of $3.5 million from the Same Centers, $2.0 million from the Redevelopment Properties and $2.0 million from the Disposition Properties.</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Expense:</w:t>
      </w:r>
    </w:p>
    <w:p>
      <w:pPr>
        <w:spacing w:after="0" w:line="27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Interest expense increased $7.9 million from 2017 to 2018. The increase in interest expense was attributed to an increase of $4.9 million from the Same Centers, $3.1 million from the Financing Arrangement (See "Other Transactions and Events" in Management's Overview and Summary), $2.2 million from borrowings under the Company's line of credit and $0.2 million from the Disposition Properties offset in part by a decrease of $2.5 million from the Redevelopment Properties.</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above interest expense items are net of capitalized interest, which increased from $6.0 million in 2017 to $9.0 million in 2018.</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Equity in Income of Unconsolidated Joint Ventures: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Equity in income of unconsolidated joint ventures decreased $0.2 million from 2017 to 2018.</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(Loss) Gain on Sale or Write Down of Assets, net:</w:t>
      </w:r>
    </w:p>
    <w:p>
      <w:pPr>
        <w:spacing w:after="0" w:line="27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change in (loss) gain on sale or write down of assets, net was $96.1 million, resulting from a gain of $49.1 million in 2017 and a loss of $47.0 million in 2018. The change in (loss) gain on sale or write down of assets, net is primarily due to impairment losses of $36.3 million on SouthPark Mall, $7.5 million on two freestanding stores, $1.7 million on Southridge Center and $1.0 million on Promenade at Casa Grande in 2018, the gain of $59.7 million on the sale of Cascade Mall and</w:t>
      </w:r>
    </w:p>
    <w:p>
      <w:pPr>
        <w:sectPr>
          <w:pgSz w:w="11900" w:h="16838" w:orient="portrait"/>
          <w:cols w:equalWidth="0" w:num="1">
            <w:col w:w="11420"/>
          </w:cols>
          <w:pgMar w:left="240" w:top="122" w:right="239" w:bottom="946"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2" w:right="239" w:bottom="946" w:gutter="0" w:footer="0" w:header="0"/>
          <w:type w:val="continuous"/>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Northgate Mall in 2017 (See "Dispositions" in Management's Overview and Summary) and the loss of $10.1 million on the write down of an investment in non-real estate assets in 2017. The impairment losses were due to the reduction in the estimated holding periods of the properties.</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Income (Loss):</w:t>
      </w:r>
    </w:p>
    <w:p>
      <w:pPr>
        <w:spacing w:after="0" w:line="279"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 change in net (loss) income was $129.4 million from 2017 to 2018, resulting from net income of $103.9 million in 2017 and net loss of $25.5 million in 2018. The change in net (loss) income is primarily attributed to the change in the (loss) gain on sale or write down of assets, net of $96.1 million and the $19.4 million costs related to shareholder activism in 2018 as discussed above.</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Funds From Operations ("FFO"):</w:t>
      </w:r>
    </w:p>
    <w:p>
      <w:pPr>
        <w:spacing w:after="0" w:line="27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Primarily as a result of the factors mentioned above, FFO attributable to common stockholders and unit holders—diluted decreased 11.7% from $282.2 million in 2017 to $249.2 million in 2018. For a reconciliation of net income (loss) attributable to the Company, the most directly comparable GAAP financial measure, to FFO attributable to common stockholders and unit holders and FFO attributable to common stockholders and unit holders</w:t>
      </w:r>
      <w:r>
        <w:rPr>
          <w:rFonts w:ascii="Arial" w:cs="Arial" w:eastAsia="Arial" w:hAnsi="Arial"/>
          <w:sz w:val="16"/>
          <w:szCs w:val="16"/>
          <w:color w:val="auto"/>
        </w:rPr>
        <w:t>—diluted,</w:t>
      </w:r>
      <w:r>
        <w:rPr>
          <w:rFonts w:ascii="Arial" w:cs="Arial" w:eastAsia="Arial" w:hAnsi="Arial"/>
          <w:sz w:val="18"/>
          <w:szCs w:val="18"/>
          <w:color w:val="auto"/>
        </w:rPr>
        <w:t xml:space="preserve"> see "Funds From Operations ("FFO")" below.</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Activities:</w:t>
      </w:r>
    </w:p>
    <w:p>
      <w:pPr>
        <w:spacing w:after="0" w:line="279"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Cash provided by operating activities decreased from $190.2 million in 2017 to $164.9 million in 2018. The decrease is primarily due to the $19.4 million in costs related to shareholder activism in 2018 (See "Other Transactions and Events" in Management's Overview and Summary), changes in assets and liabilities and the results as discussed above.</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Investing Activities:</w:t>
      </w:r>
    </w:p>
    <w:p>
      <w:pPr>
        <w:spacing w:after="0" w:line="27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Cash provided by investing activities increased $75.4 million from 2017 to 2018. The increase in cash provided by investing activities is primarily attributed to an increase in distributions from unconsolidated joint ventures of $277.3 million offset in part by a decrease in cash proceeds from the sale of assets of $140.6 million, an increase in development, redevelopment and renovation costs of $38.2 million and an increase in contributions to unconsolidated joint ventures of $23.7 million.</w:t>
      </w:r>
    </w:p>
    <w:p>
      <w:pPr>
        <w:spacing w:after="0" w:line="241"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The increase in distributions from unconsolidated joint ventures is primarily due to the distribution of the Company's share of proceeds from the loans placed on Broadway Plaza and Fashion District Philadelphia (See "Financing Activities" in Management's Overview and Summary) and the sale of an ownership interest in an office building at Fashion District Philadelphia (See "Dispositions" in Management's Overview and Summary) in 2018. The decrease in cash proceeds from the sale of assets is attributed to the sales of Cascade Mall and Northgate Mall in 2017 offset in part by the proceeds from the sale of Promenade at Casa Grande in 2018 (See "Dispositions" in Management's Overview and Summary).</w:t>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Financing Activities:</w:t>
      </w:r>
    </w:p>
    <w:p>
      <w:pPr>
        <w:spacing w:after="0" w:line="27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Cash used in financing activities increased $44.0 million from 2017 to 2018. The increase in cash used in financing activities is primarily due to an increase in payments on mortgages, bank and other notes payable of $120.9 million and a decrease in proceeds from mortgages, bank and other notes payable of $105.0 million offset in part by the repurchases of the Company's common stock of $181.7 million in 2017 (See "Other Transactions and Events" in Management's Overview and Summary).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Company anticipates meeting its liquidity needs for its operating expenses, debt service and dividend requirements for the next twelve months through cash generated from operations, distributions from unconsolidated joint ventures, working capital reserves and/or borrowings under its unsecured line of credit. The following tables summarize capital expenditures incurred at the Centers (at the Company's pro rata share):</w:t>
      </w:r>
    </w:p>
    <w:p>
      <w:pPr>
        <w:spacing w:after="0" w:line="226" w:lineRule="exact"/>
        <w:rPr>
          <w:sz w:val="20"/>
          <w:szCs w:val="20"/>
          <w:color w:val="auto"/>
        </w:rPr>
      </w:pPr>
    </w:p>
    <w:tbl>
      <w:tblPr>
        <w:tblLayout w:type="fixed"/>
        <w:tblInd w:w="21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94"/>
              </w:rPr>
              <w:t>For the Six Months Ended</w:t>
            </w:r>
          </w:p>
        </w:tc>
      </w:tr>
      <w:tr>
        <w:trPr>
          <w:trHeight w:val="192"/>
        </w:trPr>
        <w:tc>
          <w:tcPr>
            <w:tcW w:w="5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Consolidated Centers: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Acquisitions of property and equipment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17,539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15,649</w:t>
            </w: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Development, redevelopment, expansion and renovation of Centers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54,939</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Tenant allowances</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5,168</w:t>
            </w: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leasing charges</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12,376</w:t>
            </w:r>
          </w:p>
        </w:tc>
      </w:tr>
      <w:tr>
        <w:trPr>
          <w:trHeight w:val="237"/>
        </w:trPr>
        <w:tc>
          <w:tcPr>
            <w:tcW w:w="5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115,726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88,132</w:t>
            </w:r>
          </w:p>
        </w:tc>
      </w:tr>
      <w:tr>
        <w:trPr>
          <w:trHeight w:val="67"/>
        </w:trPr>
        <w:tc>
          <w:tcPr>
            <w:tcW w:w="5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r>
      <w:tr>
        <w:trPr>
          <w:trHeight w:val="231"/>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Joint Venture Centers:</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Acquisitions of property and equipment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3,658</w:t>
            </w: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Development, redevelopment, expansion and renovation of Centers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61,495</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Tenant allowances</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2,010</w:t>
            </w: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leasing charges</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3,723</w:t>
            </w:r>
          </w:p>
        </w:tc>
      </w:tr>
      <w:tr>
        <w:trPr>
          <w:trHeight w:val="237"/>
        </w:trPr>
        <w:tc>
          <w:tcPr>
            <w:tcW w:w="5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73,138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70,886</w:t>
            </w:r>
          </w:p>
        </w:tc>
      </w:tr>
      <w:tr>
        <w:trPr>
          <w:trHeight w:val="27"/>
        </w:trPr>
        <w:tc>
          <w:tcPr>
            <w:tcW w:w="5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Company expects amounts to be incurred during the next twelve months for tenant allowances and deferred leasing charges to be comparable or less than 2017 and that capital for those expenditures will be available from working capital, cash flow from operations, borrowings on property specific debt or unsecured corporate borrowings. The Company expects to incur between $200 million and $300 million during the next twelve months for development, redevelopment, expansion and renovations. Capital for these major expenditures, developments and/or redevelopments has been, and is expected to continue to be, obtained from a combination of debt or equity financings, which are expected to include borrowings under the Company's line of credit and construction loans.</w:t>
      </w:r>
    </w:p>
    <w:p>
      <w:pPr>
        <w:spacing w:after="0" w:line="247" w:lineRule="exact"/>
        <w:rPr>
          <w:sz w:val="20"/>
          <w:szCs w:val="20"/>
          <w:color w:val="auto"/>
        </w:rPr>
      </w:pPr>
    </w:p>
    <w:p>
      <w:pPr>
        <w:ind w:right="100" w:firstLine="432"/>
        <w:spacing w:after="0" w:line="288" w:lineRule="auto"/>
        <w:rPr>
          <w:sz w:val="20"/>
          <w:szCs w:val="20"/>
          <w:color w:val="auto"/>
        </w:rPr>
      </w:pPr>
      <w:r>
        <w:rPr>
          <w:rFonts w:ascii="Arial" w:cs="Arial" w:eastAsia="Arial" w:hAnsi="Arial"/>
          <w:sz w:val="16"/>
          <w:szCs w:val="16"/>
          <w:color w:val="auto"/>
        </w:rPr>
        <w:t>The Company has also generated liquidity in the past, and may continue to do so in the future, through equity offerings and issuances, property refinancings, joint venture transactions and the sale of non-core assets. For example, the Company's recently completed sale of Promenade at Casa Grande, the sales of Cascade Mall, Northgate Mall and 500 North Michigan Avenue, the sales of ownership interests in office buildings at Fashion District Philadelphia and Country Club Plaza (See "Dispositions" in Management's Overview and Summary) and the financing of Fashion District Philadelphia and Broadway Plaza (See "Financing Activities" in Management's Overview and Summary). The Company used the proceeds from these transactions to pay down its line of credit and for other general corporate purposes, which included the repurchases of the Company's common stock under the 2017 Stock Buyback Program (See "Other Transactions and Events" in Management's Overview and Summary). Furthermore, the Company has filed a shelf registration statement, which registered an unspecified amount of common stock, preferred stock, depositary shares, debt securities, warrants, rights, stock purchase contracts and units that may be sold from time to time by the Company. The Company expects any additional repurchases of the Company's common stock under the 2017 Stock Buyback Program to be funded by future sales of non-core assets, borrowings under its line of credit and/or refinancing transactions.</w:t>
      </w:r>
    </w:p>
    <w:p>
      <w:pPr>
        <w:spacing w:after="0" w:line="223"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capital and credit markets can fluctuate and, at times, limit access to debt and equity financing for companies. As demonstrated by the Company's recent activity as discussed below, the Company has been able to access capital; however, there is no assurance the Company will be able to do so in future periods or on similar terms and conditions. Many factors impact the Company's ability to access capital, such as its overall debt level, interest rates, interest coverage ratios and prevailing market conditions. In the event that the Company has significant tenant defaults as a result of the overall economy and general market conditions, the Company could have a decrease in cash flow from operations, which could result in increased borrowings under its line of credit. These events could result in an increase in the Company's proportion of floating rate debt, which would cause it to be subject to interest rate fluctuations in the future.</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The Company's total outstanding loan indebtedness at June 30, 2018 was $7.7 billion (consisting of $5.0 billion of consolidated debt, less $423.7 million of noncontrolling interests, plus $3.2 billion of its pro rata share of unconsolidated joint venture debt). The majority of the Company's debt consists of fixed-rate conventional mortgage notes collateralized by individual properties. The Company expects that all of the maturities during the next twelve months will be refinanced, restructured, extended and/or paid off from the Company's line of credit or cash on hand.</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our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spacing w:after="0" w:line="24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Company has a $1.5 billion revolving line of credit facility that bears interest at LIBOR plus a spread of 1.30% to 1.90%, depending on the Company's overall leverage level, and matures on July 6, 2020 with a one-year extension option. The line of credit can be expanded, depending on certain conditions, up to a total facility of $2.0 billion. All obligations under the facility are unconditionally guaranteed only by the Company. Based on the Company's leverage level as of June 30, 2018, the borrowing rate on the facility was LIBOR plus 1.45%. At June 30, 2018, total borrowings under the line of credit were $735.0 million less unamortized deferred finance costs of $6.3 million with a total interest rate of 3.71%. The Company's availability under the line of credit was $704.4 million at June 30, 2018.</w:t>
      </w:r>
    </w:p>
    <w:p>
      <w:pPr>
        <w:spacing w:after="0" w:line="24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Cash dividends and distributions for the six months ended June 30, 2018 were $226.7 million. A total of $164.9 million was funded by operations. The remaining $61.9 million was funded from distributions from unconsolidated joint ventures, which were included in the cash flows from investing activities section of the Company's Consolidated Statement of Cash Flows.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June 30, 2018, the Company was in compliance with all applicable loan covenants under its agreements.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June 30, 2018, the Company had cash and cash equivalents of $92.5 million.</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Off-Balance Sheet Arrangements:</w:t>
      </w:r>
    </w:p>
    <w:p>
      <w:pPr>
        <w:spacing w:after="0" w:line="279"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spacing w:after="0" w:line="178"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Additionally, as of June 30, 2018, the Company was contingently liable for $60.6 million in letters of credit guaranteeing performance by the Company of certain obligations relating to the Centers. The Company does not believe that these letters of credit will result in a liability to the Company.</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Contractual Obligations:</w:t>
      </w:r>
    </w:p>
    <w:p>
      <w:pPr>
        <w:spacing w:after="0" w:line="27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is a schedule of contractual obligations as of June 30, 2018 for the consolidated Centers over the periods in which they are expected to be paid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ind w:left="617"/>
              <w:spacing w:after="0"/>
              <w:rPr>
                <w:sz w:val="20"/>
                <w:szCs w:val="20"/>
                <w:color w:val="auto"/>
              </w:rPr>
            </w:pPr>
            <w:r>
              <w:rPr>
                <w:rFonts w:ascii="Arial" w:cs="Arial" w:eastAsia="Arial" w:hAnsi="Arial"/>
                <w:sz w:val="14"/>
                <w:szCs w:val="14"/>
                <w:b w:val="1"/>
                <w:bCs w:val="1"/>
                <w:color w:val="auto"/>
                <w:w w:val="93"/>
              </w:rPr>
              <w:t>Payment Due by Period</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220" w:type="dxa"/>
            <w:vAlign w:val="bottom"/>
          </w:tcPr>
          <w:p>
            <w:pPr>
              <w:spacing w:after="0"/>
              <w:rPr>
                <w:sz w:val="13"/>
                <w:szCs w:val="13"/>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0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Less than</w:t>
            </w:r>
          </w:p>
        </w:tc>
        <w:tc>
          <w:tcPr>
            <w:tcW w:w="220" w:type="dxa"/>
            <w:vAlign w:val="bottom"/>
          </w:tcPr>
          <w:p>
            <w:pPr>
              <w:spacing w:after="0"/>
              <w:rPr>
                <w:sz w:val="13"/>
                <w:szCs w:val="13"/>
                <w:color w:val="auto"/>
              </w:rPr>
            </w:pPr>
          </w:p>
        </w:tc>
        <w:tc>
          <w:tcPr>
            <w:tcW w:w="86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9"/>
              </w:rPr>
              <w:t>1 - 3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ind w:right="315"/>
              <w:spacing w:after="0" w:line="153" w:lineRule="exact"/>
              <w:rPr>
                <w:sz w:val="20"/>
                <w:szCs w:val="20"/>
                <w:color w:val="auto"/>
              </w:rPr>
            </w:pPr>
            <w:r>
              <w:rPr>
                <w:rFonts w:ascii="Arial" w:cs="Arial" w:eastAsia="Arial" w:hAnsi="Arial"/>
                <w:sz w:val="14"/>
                <w:szCs w:val="14"/>
                <w:b w:val="1"/>
                <w:bCs w:val="1"/>
                <w:color w:val="auto"/>
              </w:rPr>
              <w:t>3 - 5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135"/>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2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1 year</w:t>
            </w:r>
          </w:p>
        </w:tc>
        <w:tc>
          <w:tcPr>
            <w:tcW w:w="220" w:type="dxa"/>
            <w:vAlign w:val="bottom"/>
          </w:tcPr>
          <w:p>
            <w:pPr>
              <w:spacing w:after="0"/>
              <w:rPr>
                <w:sz w:val="16"/>
                <w:szCs w:val="16"/>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years</w:t>
            </w:r>
          </w:p>
        </w:tc>
        <w:tc>
          <w:tcPr>
            <w:tcW w:w="22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6"/>
                <w:szCs w:val="16"/>
                <w:color w:val="auto"/>
              </w:rPr>
            </w:pPr>
          </w:p>
        </w:tc>
        <w:tc>
          <w:tcPr>
            <w:tcW w:w="920" w:type="dxa"/>
            <w:vAlign w:val="bottom"/>
          </w:tcPr>
          <w:p>
            <w:pPr>
              <w:jc w:val="right"/>
              <w:ind w:right="175"/>
              <w:spacing w:after="0"/>
              <w:rPr>
                <w:sz w:val="20"/>
                <w:szCs w:val="20"/>
                <w:color w:val="auto"/>
              </w:rPr>
            </w:pPr>
            <w:r>
              <w:rPr>
                <w:rFonts w:ascii="Arial" w:cs="Arial" w:eastAsia="Arial" w:hAnsi="Arial"/>
                <w:sz w:val="14"/>
                <w:szCs w:val="14"/>
                <w:b w:val="1"/>
                <w:bCs w:val="1"/>
                <w:color w:val="auto"/>
                <w:w w:val="99"/>
              </w:rPr>
              <w:t>five years</w:t>
            </w:r>
          </w:p>
        </w:tc>
        <w:tc>
          <w:tcPr>
            <w:tcW w:w="0" w:type="dxa"/>
            <w:vAlign w:val="bottom"/>
          </w:tcPr>
          <w:p>
            <w:pPr>
              <w:spacing w:after="0"/>
              <w:rPr>
                <w:sz w:val="1"/>
                <w:szCs w:val="1"/>
                <w:color w:val="auto"/>
              </w:rPr>
            </w:pPr>
          </w:p>
        </w:tc>
      </w:tr>
      <w:tr>
        <w:trPr>
          <w:trHeight w:val="215"/>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Long-term debt obligations (includes</w:t>
            </w: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interest payments)(1)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5,706,540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334,867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1,843,198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1,730,702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1,797,773</w:t>
            </w:r>
          </w:p>
        </w:tc>
        <w:tc>
          <w:tcPr>
            <w:tcW w:w="0" w:type="dxa"/>
            <w:vAlign w:val="bottom"/>
          </w:tcPr>
          <w:p>
            <w:pPr>
              <w:spacing w:after="0"/>
              <w:rPr>
                <w:sz w:val="1"/>
                <w:szCs w:val="1"/>
                <w:color w:val="auto"/>
              </w:rPr>
            </w:pP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Operating lease obligations(2)</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284,666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206,416</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obligations(2)</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292,918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209,075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46,458</w:t>
            </w: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6,294,158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569,735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1,893,399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1,780,377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2,050,647</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Interest payments on floating rate debt were based on rates in effect at June 30, 2018.</w:t>
      </w:r>
    </w:p>
    <w:p>
      <w:pPr>
        <w:spacing w:after="0" w:line="7"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See Note 16—Commitments and Contingencies in the Company's Notes to Consolidated Financial Statements.</w:t>
      </w:r>
    </w:p>
    <w:p>
      <w:pPr>
        <w:sectPr>
          <w:pgSz w:w="11900" w:h="16838" w:orient="portrait"/>
          <w:cols w:equalWidth="0" w:num="1">
            <w:col w:w="11400"/>
          </w:cols>
          <w:pgMar w:left="240" w:top="122" w:right="25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0"/>
          </w:cols>
          <w:pgMar w:left="240" w:top="122" w:right="25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("FFO")</w:t>
      </w:r>
    </w:p>
    <w:p>
      <w:pPr>
        <w:spacing w:after="0" w:line="283"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The Company uses FFO in addition to net income to report its operating and financial results and considers FFO and FFO -diluted as supplemental measures for the real estate industry and a supplement to GAAP measures. The National Association of Real Estate Investment Trusts ("Nareit") defines FFO as net income (loss) (computed in accordance with GAAP), excluding gains (or losses) from extraordinary items and sales of depreciated operating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As a result of changes in the accounting standard ASC 606 effective January 1, 2018, the Company began treating its joint venture in Chandler Freehold as a Financing Arrangement for accounting purposes. In connection with this treatment, the Company recognizes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income. The Company excludes from its definition of FFO the noted expense related to the changes in fair value and for the payments to the joint venture partner less than or in excess of their pro rata share of net income. Although the Nareit definition of FFO predates this guidance for accounting for financing arrangements, the Company believes that excluding the noted expense resulting from the Financing Arrangement is consistent with the key objective of FFO as a performance measure and it allows the Company’s current FFO to be comparable with the Company’s FFO from prior quarters. Adjustments for unconsolidated joint ventures are calculated to reflect FFO on the same basis.The Company also presents FFO excluding costs associated with shareholder activism.</w:t>
      </w:r>
    </w:p>
    <w:p>
      <w:pPr>
        <w:spacing w:after="0" w:line="226"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meaningful measure of its operating results in comparison to the operating results of other REITs. In addition, the Company believes that FFO excluding non-routine costs associated with shareholder activism provides useful supplemental information regarding the Company’s performance as it shows a more meaningful and consistent comparison of the Company’s operating performance and allows investors to more easily compare the Company’s results. The Company further believes that FFO on a diluted basis is a measure investors find most useful in measuring the dilutive impact of outstanding convertible securities.</w:t>
      </w:r>
    </w:p>
    <w:p>
      <w:pPr>
        <w:spacing w:after="0" w:line="22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Company believes that FFO does not represent cash flow from operations as defined by GAAP, should not be considered as an alternative to net income as defined by GAAP, and is not indicative of cash available to fund all cash flow needs. The Company also cautions that FFO, as presented, may not be comparable to similarly titled measures reported by other REITs.</w:t>
      </w:r>
    </w:p>
    <w:p>
      <w:pPr>
        <w:spacing w:after="0" w:line="235" w:lineRule="exact"/>
        <w:rPr>
          <w:sz w:val="20"/>
          <w:szCs w:val="20"/>
          <w:color w:val="auto"/>
        </w:rPr>
      </w:pPr>
    </w:p>
    <w:p>
      <w:pPr>
        <w:ind w:right="380" w:firstLine="432"/>
        <w:spacing w:after="0" w:line="259" w:lineRule="auto"/>
        <w:rPr>
          <w:sz w:val="20"/>
          <w:szCs w:val="20"/>
          <w:color w:val="auto"/>
        </w:rPr>
      </w:pPr>
      <w:r>
        <w:rPr>
          <w:rFonts w:ascii="Arial" w:cs="Arial" w:eastAsia="Arial" w:hAnsi="Arial"/>
          <w:sz w:val="18"/>
          <w:szCs w:val="18"/>
          <w:color w:val="auto"/>
        </w:rPr>
        <w:t>Management compensates for the limitations of FFO by providing investors with financial statements prepared according to GAAP, along with this detailed discussion of FFO and a reconciliation of net income to FFO and FFO-diluted. Management believes that to further understand the Company's performance, FFO should be compared with the Company's reported net income and considered in addition to cash flows in accordance with GAAP, as presented in the Company's consolidated financial statements.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("FFO") (Continued)</w:t>
      </w:r>
    </w:p>
    <w:p>
      <w:pPr>
        <w:spacing w:after="0" w:line="28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following reconciles net income (loss) attributable to the Company to FFO and FFO-diluted attributable to common stockholders and unit holders-basic and diluted, excluding costs related to shareholder activism for the three and six months ended June 30, 2018 and 2017 (dollars and shares in thousands):</w:t>
      </w:r>
    </w:p>
    <w:p>
      <w:pPr>
        <w:spacing w:after="0" w:line="24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6"/>
          </w:tcPr>
          <w:p>
            <w:pPr>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1800" w:type="dxa"/>
            <w:vAlign w:val="bottom"/>
            <w:gridSpan w:val="4"/>
          </w:tcPr>
          <w:p>
            <w:pPr>
              <w:jc w:val="right"/>
              <w:ind w:right="59"/>
              <w:spacing w:after="0"/>
              <w:rPr>
                <w:sz w:val="20"/>
                <w:szCs w:val="20"/>
                <w:color w:val="auto"/>
              </w:rPr>
            </w:pPr>
            <w:r>
              <w:rPr>
                <w:rFonts w:ascii="Arial" w:cs="Arial" w:eastAsia="Arial" w:hAnsi="Arial"/>
                <w:sz w:val="14"/>
                <w:szCs w:val="14"/>
                <w:b w:val="1"/>
                <w:bCs w:val="1"/>
                <w:color w:val="auto"/>
                <w:w w:val="94"/>
              </w:rPr>
              <w:t>For the Six Months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26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the Company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6"/>
                <w:szCs w:val="16"/>
                <w:color w:val="auto"/>
              </w:rPr>
              <w:t>7,816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(25,757)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95,881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6"/>
                <w:szCs w:val="16"/>
                <w:color w:val="auto"/>
                <w:w w:val="97"/>
              </w:rPr>
              <w:t>Adjustments to reconcile net income (loss) attributable to the Company to</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0"/>
              <w:spacing w:after="0"/>
              <w:rPr>
                <w:sz w:val="20"/>
                <w:szCs w:val="20"/>
                <w:color w:val="auto"/>
              </w:rPr>
            </w:pPr>
            <w:r>
              <w:rPr>
                <w:rFonts w:ascii="Arial" w:cs="Arial" w:eastAsia="Arial" w:hAnsi="Arial"/>
                <w:sz w:val="16"/>
                <w:szCs w:val="16"/>
                <w:color w:val="auto"/>
              </w:rPr>
              <w:t>FFO attributable to common stockholders and unit holders—basic and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00" w:type="dxa"/>
            <w:vAlign w:val="bottom"/>
          </w:tcPr>
          <w:p>
            <w:pPr>
              <w:ind w:left="20"/>
              <w:spacing w:after="0"/>
              <w:rPr>
                <w:sz w:val="20"/>
                <w:szCs w:val="20"/>
                <w:color w:val="auto"/>
              </w:rPr>
            </w:pPr>
            <w:r>
              <w:rPr>
                <w:rFonts w:ascii="Arial" w:cs="Arial" w:eastAsia="Arial" w:hAnsi="Arial"/>
                <w:sz w:val="16"/>
                <w:szCs w:val="16"/>
                <w:color w:val="auto"/>
              </w:rPr>
              <w:t>diluted: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Noncontrolling interests in the Operating Partnership</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6"/>
                <w:szCs w:val="16"/>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Arial" w:cs="Arial" w:eastAsia="Arial" w:hAnsi="Arial"/>
                <w:sz w:val="16"/>
                <w:szCs w:val="16"/>
                <w:color w:val="auto"/>
              </w:rPr>
              <w:t>Loss (gain) on sale or write down of assets, net—consolidated assets</w:t>
            </w:r>
          </w:p>
        </w:tc>
        <w:tc>
          <w:tcPr>
            <w:tcW w:w="120" w:type="dxa"/>
            <w:vAlign w:val="bottom"/>
          </w:tcPr>
          <w:p>
            <w:pPr>
              <w:spacing w:after="0"/>
              <w:rPr>
                <w:sz w:val="20"/>
                <w:szCs w:val="20"/>
                <w:color w:val="auto"/>
              </w:rPr>
            </w:pPr>
          </w:p>
        </w:tc>
        <w:tc>
          <w:tcPr>
            <w:tcW w:w="840" w:type="dxa"/>
            <w:vAlign w:val="bottom"/>
            <w:gridSpan w:val="2"/>
          </w:tcPr>
          <w:p>
            <w:pPr>
              <w:jc w:val="right"/>
              <w:ind w:right="2"/>
              <w:spacing w:after="0"/>
              <w:rPr>
                <w:sz w:val="20"/>
                <w:szCs w:val="20"/>
                <w:color w:val="auto"/>
              </w:rPr>
            </w:pPr>
            <w:r>
              <w:rPr>
                <w:rFonts w:ascii="Arial" w:cs="Arial" w:eastAsia="Arial" w:hAnsi="Arial"/>
                <w:sz w:val="16"/>
                <w:szCs w:val="16"/>
                <w:color w:val="auto"/>
              </w:rPr>
              <w:t>9,518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47,030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(49,088)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5"/>
              </w:rPr>
              <w:t>Add: noncontrolling interests share of (loss) gain on sale or write down of</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assets—consolidated assets</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Arial" w:cs="Arial" w:eastAsia="Arial" w:hAnsi="Arial"/>
                <w:sz w:val="16"/>
                <w:szCs w:val="16"/>
                <w:color w:val="auto"/>
              </w:rPr>
              <w:t>Add: gain on sale of undepreciated assets—consolidated assets</w:t>
            </w:r>
          </w:p>
        </w:tc>
        <w:tc>
          <w:tcPr>
            <w:tcW w:w="120" w:type="dxa"/>
            <w:vAlign w:val="bottom"/>
          </w:tcPr>
          <w:p>
            <w:pPr>
              <w:spacing w:after="0"/>
              <w:rPr>
                <w:sz w:val="20"/>
                <w:szCs w:val="20"/>
                <w:color w:val="auto"/>
              </w:rPr>
            </w:pPr>
          </w:p>
        </w:tc>
        <w:tc>
          <w:tcPr>
            <w:tcW w:w="840" w:type="dxa"/>
            <w:vAlign w:val="bottom"/>
            <w:gridSpan w:val="2"/>
          </w:tcPr>
          <w:p>
            <w:pPr>
              <w:jc w:val="right"/>
              <w:ind w:right="2"/>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1,355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6"/>
              </w:rPr>
              <w:t>Less: loss on write-down of non-real estate assets—consolidated assets</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(10,138)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tcPr>
          <w:p>
            <w:pPr>
              <w:ind w:left="160"/>
              <w:spacing w:after="0"/>
              <w:rPr>
                <w:sz w:val="20"/>
                <w:szCs w:val="20"/>
                <w:color w:val="auto"/>
              </w:rPr>
            </w:pPr>
            <w:r>
              <w:rPr>
                <w:rFonts w:ascii="Arial" w:cs="Arial" w:eastAsia="Arial" w:hAnsi="Arial"/>
                <w:sz w:val="16"/>
                <w:szCs w:val="16"/>
                <w:color w:val="auto"/>
              </w:rPr>
              <w:t>Gain on sale or write down of assets—unconsolidated joint ventures,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00" w:type="dxa"/>
            <w:vAlign w:val="bottom"/>
          </w:tcPr>
          <w:p>
            <w:pPr>
              <w:ind w:left="160"/>
              <w:spacing w:after="0"/>
              <w:rPr>
                <w:sz w:val="20"/>
                <w:szCs w:val="20"/>
                <w:color w:val="auto"/>
              </w:rPr>
            </w:pPr>
            <w:r>
              <w:rPr>
                <w:rFonts w:ascii="Arial" w:cs="Arial" w:eastAsia="Arial" w:hAnsi="Arial"/>
                <w:sz w:val="16"/>
                <w:szCs w:val="16"/>
                <w:color w:val="auto"/>
              </w:rPr>
              <w:t>net(1)</w:t>
            </w:r>
          </w:p>
        </w:tc>
        <w:tc>
          <w:tcPr>
            <w:tcW w:w="1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(2,269)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8"/>
              </w:rPr>
              <w:t>Add: gain (loss) on sale of undepreciated assets—unconsolidated joint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ventures(1)</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Arial" w:cs="Arial" w:eastAsia="Arial" w:hAnsi="Arial"/>
                <w:sz w:val="16"/>
                <w:szCs w:val="16"/>
                <w:color w:val="auto"/>
              </w:rPr>
              <w:t>Depreciation and amortization—consolidated assets</w:t>
            </w:r>
          </w:p>
        </w:tc>
        <w:tc>
          <w:tcPr>
            <w:tcW w:w="120" w:type="dxa"/>
            <w:vAlign w:val="bottom"/>
          </w:tcPr>
          <w:p>
            <w:pPr>
              <w:spacing w:after="0"/>
              <w:rPr>
                <w:sz w:val="20"/>
                <w:szCs w:val="20"/>
                <w:color w:val="auto"/>
              </w:rPr>
            </w:pPr>
          </w:p>
        </w:tc>
        <w:tc>
          <w:tcPr>
            <w:tcW w:w="840" w:type="dxa"/>
            <w:vAlign w:val="bottom"/>
            <w:gridSpan w:val="2"/>
          </w:tcPr>
          <w:p>
            <w:pPr>
              <w:jc w:val="right"/>
              <w:ind w:right="2"/>
              <w:spacing w:after="0"/>
              <w:rPr>
                <w:sz w:val="20"/>
                <w:szCs w:val="20"/>
                <w:color w:val="auto"/>
              </w:rPr>
            </w:pPr>
            <w:r>
              <w:rPr>
                <w:rFonts w:ascii="Arial" w:cs="Arial" w:eastAsia="Arial" w:hAnsi="Arial"/>
                <w:sz w:val="16"/>
                <w:szCs w:val="16"/>
                <w:color w:val="auto"/>
              </w:rPr>
              <w:t>78,868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83,243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158,805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6"/>
              </w:rPr>
              <w:t>166,316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Less: noncontrolling interests in depreciation and amortization—</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consolidated assets</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(3,635)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(7,276)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Arial" w:cs="Arial" w:eastAsia="Arial" w:hAnsi="Arial"/>
                <w:sz w:val="16"/>
                <w:szCs w:val="16"/>
                <w:color w:val="auto"/>
              </w:rPr>
              <w:t>Depreciation and amortization—unconsolidated joint ventures(1)</w:t>
            </w:r>
          </w:p>
        </w:tc>
        <w:tc>
          <w:tcPr>
            <w:tcW w:w="120" w:type="dxa"/>
            <w:vAlign w:val="bottom"/>
          </w:tcPr>
          <w:p>
            <w:pPr>
              <w:spacing w:after="0"/>
              <w:rPr>
                <w:sz w:val="20"/>
                <w:szCs w:val="20"/>
                <w:color w:val="auto"/>
              </w:rPr>
            </w:pPr>
          </w:p>
        </w:tc>
        <w:tc>
          <w:tcPr>
            <w:tcW w:w="840" w:type="dxa"/>
            <w:vAlign w:val="bottom"/>
            <w:gridSpan w:val="2"/>
          </w:tcPr>
          <w:p>
            <w:pPr>
              <w:jc w:val="right"/>
              <w:ind w:right="2"/>
              <w:spacing w:after="0"/>
              <w:rPr>
                <w:sz w:val="20"/>
                <w:szCs w:val="20"/>
                <w:color w:val="auto"/>
              </w:rPr>
            </w:pPr>
            <w:r>
              <w:rPr>
                <w:rFonts w:ascii="Arial" w:cs="Arial" w:eastAsia="Arial" w:hAnsi="Arial"/>
                <w:sz w:val="16"/>
                <w:szCs w:val="16"/>
                <w:color w:val="auto"/>
              </w:rPr>
              <w:t>42,596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43,450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86,180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88,215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Less: depreciation on personal property</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(6,827)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w w:val="95"/>
              </w:rPr>
              <w:t>Financing expense in connection with the adoption of ASC 606 (Chandler</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00" w:type="dxa"/>
            <w:vAlign w:val="bottom"/>
          </w:tcPr>
          <w:p>
            <w:pPr>
              <w:ind w:left="420"/>
              <w:spacing w:after="0"/>
              <w:rPr>
                <w:sz w:val="20"/>
                <w:szCs w:val="20"/>
                <w:color w:val="auto"/>
              </w:rPr>
            </w:pPr>
            <w:r>
              <w:rPr>
                <w:rFonts w:ascii="Arial" w:cs="Arial" w:eastAsia="Arial" w:hAnsi="Arial"/>
                <w:sz w:val="16"/>
                <w:szCs w:val="16"/>
                <w:color w:val="auto"/>
              </w:rPr>
              <w:t>Freehold)</w:t>
            </w:r>
          </w:p>
        </w:tc>
        <w:tc>
          <w:tcPr>
            <w:tcW w:w="1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(7,357)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(1,337)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FFO attributable to common stockholders and unit holders—basic and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6"/>
                <w:szCs w:val="16"/>
                <w:color w:val="auto"/>
              </w:rPr>
              <w:t>125,688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148,634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249,201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282,237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rPr>
              <w:t>Costs related to shareholder activism</w:t>
            </w:r>
          </w:p>
        </w:tc>
        <w:tc>
          <w:tcPr>
            <w:tcW w:w="120" w:type="dxa"/>
            <w:vAlign w:val="bottom"/>
          </w:tcPr>
          <w:p>
            <w:pPr>
              <w:spacing w:after="0"/>
              <w:rPr>
                <w:sz w:val="20"/>
                <w:szCs w:val="20"/>
                <w:color w:val="auto"/>
              </w:rPr>
            </w:pPr>
          </w:p>
        </w:tc>
        <w:tc>
          <w:tcPr>
            <w:tcW w:w="840" w:type="dxa"/>
            <w:vAlign w:val="bottom"/>
            <w:gridSpan w:val="2"/>
          </w:tcPr>
          <w:p>
            <w:pPr>
              <w:jc w:val="right"/>
              <w:ind w:right="2"/>
              <w:spacing w:after="0"/>
              <w:rPr>
                <w:sz w:val="20"/>
                <w:szCs w:val="20"/>
                <w:color w:val="auto"/>
              </w:rPr>
            </w:pPr>
            <w:r>
              <w:rPr>
                <w:rFonts w:ascii="Arial" w:cs="Arial" w:eastAsia="Arial" w:hAnsi="Arial"/>
                <w:sz w:val="16"/>
                <w:szCs w:val="16"/>
                <w:color w:val="auto"/>
              </w:rPr>
              <w:t>19,369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19,369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FFO attributable to common stockholders and unit holders, excluding costs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145,057</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148,634</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268,570</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282,237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related to shareholder activism—basic and diluted</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tcPr>
          <w:p>
            <w:pPr>
              <w:ind w:left="20"/>
              <w:spacing w:after="0"/>
              <w:rPr>
                <w:sz w:val="20"/>
                <w:szCs w:val="20"/>
                <w:color w:val="auto"/>
              </w:rPr>
            </w:pPr>
            <w:r>
              <w:rPr>
                <w:rFonts w:ascii="Arial" w:cs="Arial" w:eastAsia="Arial" w:hAnsi="Arial"/>
                <w:sz w:val="16"/>
                <w:szCs w:val="16"/>
                <w:color w:val="auto"/>
              </w:rPr>
              <w:t>Weighted average number of FFO shares outstanding for:</w:t>
            </w: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FFO attributable to common stockholders and unit holders—basic(2)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6"/>
                <w:szCs w:val="16"/>
                <w:color w:val="auto"/>
              </w:rPr>
              <w:t>151,535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152,221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151,426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153,199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6"/>
                <w:szCs w:val="16"/>
                <w:color w:val="auto"/>
                <w:w w:val="99"/>
              </w:rPr>
              <w:t>Adjustments for impact of dilutive securities in computing FFO—diluted: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Share and unit based compensation plans</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00" w:type="dxa"/>
            <w:vAlign w:val="bottom"/>
          </w:tcPr>
          <w:p>
            <w:pPr>
              <w:ind w:left="20"/>
              <w:spacing w:after="0"/>
              <w:rPr>
                <w:sz w:val="20"/>
                <w:szCs w:val="20"/>
                <w:color w:val="auto"/>
              </w:rPr>
            </w:pPr>
            <w:r>
              <w:rPr>
                <w:rFonts w:ascii="Arial" w:cs="Arial" w:eastAsia="Arial" w:hAnsi="Arial"/>
                <w:sz w:val="16"/>
                <w:szCs w:val="16"/>
                <w:color w:val="auto"/>
              </w:rPr>
              <w:t>FFO attributable to common stockholders and unit holders—diluted (3)</w:t>
            </w:r>
          </w:p>
        </w:tc>
        <w:tc>
          <w:tcPr>
            <w:tcW w:w="1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rPr>
              <w:t>151,535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152,254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151,434</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153,246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Borders>
              <w:bottom w:val="single" w:sz="8" w:color="auto"/>
            </w:tcBorders>
          </w:tcPr>
          <w:p>
            <w:pPr>
              <w:spacing w:after="0"/>
              <w:rPr>
                <w:sz w:val="10"/>
                <w:szCs w:val="10"/>
                <w:color w:val="auto"/>
              </w:rPr>
            </w:pPr>
          </w:p>
        </w:tc>
        <w:tc>
          <w:tcPr>
            <w:tcW w:w="5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Unconsolidated joint ventures are presented at the Company's pro rata share.</w:t>
      </w:r>
    </w:p>
    <w:p>
      <w:pPr>
        <w:spacing w:after="0" w:line="275" w:lineRule="exact"/>
        <w:rPr>
          <w:rFonts w:ascii="Arial" w:cs="Arial" w:eastAsia="Arial" w:hAnsi="Arial"/>
          <w:sz w:val="16"/>
          <w:szCs w:val="16"/>
          <w:color w:val="auto"/>
        </w:rPr>
      </w:pPr>
    </w:p>
    <w:p>
      <w:pPr>
        <w:ind w:left="420" w:right="140" w:hanging="412"/>
        <w:spacing w:after="0" w:line="275" w:lineRule="auto"/>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Calculated based upon basic net income as adjusted to reach basic FFO. Includes 10.4 million and 10.5 million OP Units for the three months ended June 30, 2018 and 2017, respectively, and 10.3 million and 10.6 million OP Units for the six months ended June 30, 2018 and 2017, respectively.</w:t>
      </w:r>
    </w:p>
    <w:p>
      <w:pPr>
        <w:spacing w:after="0" w:line="226" w:lineRule="exact"/>
        <w:rPr>
          <w:rFonts w:ascii="Arial" w:cs="Arial" w:eastAsia="Arial" w:hAnsi="Arial"/>
          <w:sz w:val="16"/>
          <w:szCs w:val="16"/>
          <w:color w:val="auto"/>
        </w:rPr>
      </w:pPr>
    </w:p>
    <w:p>
      <w:pPr>
        <w:ind w:left="420" w:hanging="412"/>
        <w:spacing w:after="0" w:line="275" w:lineRule="auto"/>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computation of FFO—diluted shares outstanding includes the effect of share and unit-based compensation plans using the treasury stock method. It also assumes the conversion of MACWH, LP common and preferred units to the extent that they are dilutive to the FFO—diluted computation.</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2" w:right="27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primary market risk exposure is interest rate risk. The Company has managed and will continue to manage interest rate risk by</w:t>
      </w:r>
    </w:p>
    <w:p>
      <w:pPr>
        <w:spacing w:after="0" w:line="35" w:lineRule="exact"/>
        <w:rPr>
          <w:sz w:val="20"/>
          <w:szCs w:val="20"/>
          <w:color w:val="auto"/>
        </w:rPr>
      </w:pPr>
    </w:p>
    <w:p>
      <w:pPr>
        <w:ind w:right="80" w:firstLine="8"/>
        <w:spacing w:after="0" w:line="254"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spacing w:after="0" w:line="24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table sets forth information as of June 30, 2018 concerning the Company's long-term debt obligations, including principal cash flows by scheduled maturity, weighted average interest rates and estimated fair value (dollars in thousands):</w:t>
      </w:r>
    </w:p>
    <w:p>
      <w:pPr>
        <w:spacing w:after="0" w:line="311"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1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Expected Maturity Date</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4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rPr>
              <w:t>For the twelve months ended June 30,</w:t>
            </w: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Thereafter</w:t>
            </w:r>
          </w:p>
        </w:tc>
        <w:tc>
          <w:tcPr>
            <w:tcW w:w="140" w:type="dxa"/>
            <w:vAlign w:val="bottom"/>
          </w:tcPr>
          <w:p>
            <w:pPr>
              <w:spacing w:after="0"/>
              <w:rPr>
                <w:sz w:val="22"/>
                <w:szCs w:val="22"/>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39"/>
        </w:trPr>
        <w:tc>
          <w:tcPr>
            <w:tcW w:w="142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CONSOLIDATED</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420" w:type="dxa"/>
            <w:vAlign w:val="bottom"/>
          </w:tcPr>
          <w:p>
            <w:pPr>
              <w:ind w:left="20"/>
              <w:spacing w:after="0"/>
              <w:rPr>
                <w:sz w:val="20"/>
                <w:szCs w:val="20"/>
                <w:color w:val="auto"/>
              </w:rPr>
            </w:pPr>
            <w:r>
              <w:rPr>
                <w:rFonts w:ascii="Arial" w:cs="Arial" w:eastAsia="Arial" w:hAnsi="Arial"/>
                <w:sz w:val="14"/>
                <w:szCs w:val="14"/>
                <w:b w:val="1"/>
                <w:bCs w:val="1"/>
                <w:color w:val="auto"/>
              </w:rPr>
              <w:t>CENTERS: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420" w:type="dxa"/>
            <w:vAlign w:val="bottom"/>
          </w:tcPr>
          <w:p>
            <w:pPr>
              <w:ind w:left="160"/>
              <w:spacing w:after="0"/>
              <w:rPr>
                <w:sz w:val="20"/>
                <w:szCs w:val="20"/>
                <w:color w:val="auto"/>
              </w:rPr>
            </w:pPr>
            <w:r>
              <w:rPr>
                <w:rFonts w:ascii="Arial" w:cs="Arial" w:eastAsia="Arial" w:hAnsi="Arial"/>
                <w:sz w:val="14"/>
                <w:szCs w:val="14"/>
                <w:color w:val="auto"/>
              </w:rPr>
              <w:t>Fixed rate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w w:val="98"/>
              </w:rPr>
              <w:t>171,649</w:t>
            </w:r>
          </w:p>
        </w:tc>
        <w:tc>
          <w:tcPr>
            <w:tcW w:w="12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w w:val="98"/>
              </w:rPr>
              <w:t>670,813</w:t>
            </w:r>
          </w:p>
        </w:tc>
        <w:tc>
          <w:tcPr>
            <w:tcW w:w="12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w w:val="98"/>
              </w:rPr>
              <w:t>592,847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364,404</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152,242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w w:val="99"/>
              </w:rPr>
              <w:t>1,670,728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w w:val="96"/>
              </w:rPr>
              <w:t>3,622,683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9"/>
              </w:rPr>
              <w:t>3,618,946</w:t>
            </w:r>
          </w:p>
        </w:tc>
        <w:tc>
          <w:tcPr>
            <w:tcW w:w="0" w:type="dxa"/>
            <w:vAlign w:val="bottom"/>
          </w:tcPr>
          <w:p>
            <w:pPr>
              <w:spacing w:after="0"/>
              <w:rPr>
                <w:sz w:val="1"/>
                <w:szCs w:val="1"/>
                <w:color w:val="auto"/>
              </w:rPr>
            </w:pPr>
          </w:p>
        </w:tc>
      </w:tr>
      <w:tr>
        <w:trPr>
          <w:trHeight w:val="276"/>
        </w:trPr>
        <w:tc>
          <w:tcPr>
            <w:tcW w:w="14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5"/>
              </w:rPr>
              <w:t>Average interest rate</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420" w:type="dxa"/>
            <w:vAlign w:val="bottom"/>
          </w:tcPr>
          <w:p>
            <w:pPr>
              <w:ind w:left="160"/>
              <w:spacing w:after="0"/>
              <w:rPr>
                <w:sz w:val="20"/>
                <w:szCs w:val="20"/>
                <w:color w:val="auto"/>
              </w:rPr>
            </w:pPr>
            <w:r>
              <w:rPr>
                <w:rFonts w:ascii="Arial" w:cs="Arial" w:eastAsia="Arial" w:hAnsi="Arial"/>
                <w:sz w:val="14"/>
                <w:szCs w:val="14"/>
                <w:color w:val="auto"/>
              </w:rPr>
              <w:t>Floating rate</w:t>
            </w:r>
          </w:p>
        </w:tc>
        <w:tc>
          <w:tcPr>
            <w:tcW w:w="16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w w:val="98"/>
              </w:rPr>
              <w:t>200,000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w w:val="98"/>
              </w:rPr>
              <w:t>130,000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w w:val="96"/>
              </w:rPr>
              <w:t>1,035,000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w w:val="96"/>
              </w:rPr>
              <w:t>1,365,000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1,338,746</w:t>
            </w:r>
          </w:p>
        </w:tc>
        <w:tc>
          <w:tcPr>
            <w:tcW w:w="0" w:type="dxa"/>
            <w:vAlign w:val="bottom"/>
          </w:tcPr>
          <w:p>
            <w:pPr>
              <w:spacing w:after="0"/>
              <w:rPr>
                <w:sz w:val="1"/>
                <w:szCs w:val="1"/>
                <w:color w:val="auto"/>
              </w:rPr>
            </w:pPr>
          </w:p>
        </w:tc>
      </w:tr>
      <w:tr>
        <w:trPr>
          <w:trHeight w:val="276"/>
        </w:trPr>
        <w:tc>
          <w:tcPr>
            <w:tcW w:w="14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5"/>
              </w:rPr>
              <w:t>Average interest rate</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420" w:type="dxa"/>
            <w:vAlign w:val="bottom"/>
          </w:tcPr>
          <w:p>
            <w:pPr>
              <w:ind w:left="20"/>
              <w:spacing w:after="0" w:line="137" w:lineRule="exact"/>
              <w:rPr>
                <w:sz w:val="20"/>
                <w:szCs w:val="20"/>
                <w:color w:val="auto"/>
              </w:rPr>
            </w:pPr>
            <w:r>
              <w:rPr>
                <w:rFonts w:ascii="Arial" w:cs="Arial" w:eastAsia="Arial" w:hAnsi="Arial"/>
                <w:sz w:val="14"/>
                <w:szCs w:val="14"/>
                <w:color w:val="auto"/>
              </w:rPr>
              <w:t>Total debt—</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w w:val="98"/>
              </w:rPr>
              <w:t>171,649</w:t>
            </w:r>
          </w:p>
        </w:tc>
        <w:tc>
          <w:tcPr>
            <w:tcW w:w="120" w:type="dxa"/>
            <w:vAlign w:val="bottom"/>
          </w:tcPr>
          <w:p>
            <w:pPr>
              <w:spacing w:after="0"/>
              <w:rPr>
                <w:sz w:val="11"/>
                <w:szCs w:val="11"/>
                <w:color w:val="auto"/>
              </w:rPr>
            </w:pPr>
          </w:p>
        </w:tc>
        <w:tc>
          <w:tcPr>
            <w:tcW w:w="1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w w:val="98"/>
              </w:rPr>
              <w:t>870,813</w:t>
            </w:r>
          </w:p>
        </w:tc>
        <w:tc>
          <w:tcPr>
            <w:tcW w:w="120" w:type="dxa"/>
            <w:vAlign w:val="bottom"/>
          </w:tcPr>
          <w:p>
            <w:pPr>
              <w:spacing w:after="0"/>
              <w:rPr>
                <w:sz w:val="11"/>
                <w:szCs w:val="11"/>
                <w:color w:val="auto"/>
              </w:rPr>
            </w:pPr>
          </w:p>
        </w:tc>
        <w:tc>
          <w:tcPr>
            <w:tcW w:w="1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w w:val="98"/>
              </w:rPr>
              <w:t>722,847</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w w:val="96"/>
              </w:rPr>
              <w:t>1,399,404</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152,242</w:t>
            </w:r>
          </w:p>
        </w:tc>
        <w:tc>
          <w:tcPr>
            <w:tcW w:w="12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w w:val="99"/>
              </w:rPr>
              <w:t>1,670,728</w:t>
            </w:r>
          </w:p>
        </w:tc>
        <w:tc>
          <w:tcPr>
            <w:tcW w:w="10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w w:val="96"/>
              </w:rPr>
              <w:t>4,987,683</w:t>
            </w:r>
          </w:p>
        </w:tc>
        <w:tc>
          <w:tcPr>
            <w:tcW w:w="10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99"/>
              </w:rPr>
              <w:t>4,957,692</w:t>
            </w:r>
          </w:p>
        </w:tc>
        <w:tc>
          <w:tcPr>
            <w:tcW w:w="0" w:type="dxa"/>
            <w:vAlign w:val="bottom"/>
          </w:tcPr>
          <w:p>
            <w:pPr>
              <w:spacing w:after="0"/>
              <w:rPr>
                <w:sz w:val="1"/>
                <w:szCs w:val="1"/>
                <w:color w:val="auto"/>
              </w:rPr>
            </w:pPr>
          </w:p>
        </w:tc>
      </w:tr>
      <w:tr>
        <w:trPr>
          <w:trHeight w:val="221"/>
        </w:trPr>
        <w:tc>
          <w:tcPr>
            <w:tcW w:w="1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Consolidated Centers</w:t>
            </w:r>
          </w:p>
        </w:tc>
        <w:tc>
          <w:tcPr>
            <w:tcW w:w="16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420" w:type="dxa"/>
            <w:vAlign w:val="bottom"/>
            <w:shd w:val="clear" w:color="auto" w:fill="CCEEFF"/>
          </w:tcPr>
          <w:p>
            <w:pPr>
              <w:ind w:left="20"/>
              <w:spacing w:after="0" w:line="106" w:lineRule="exact"/>
              <w:rPr>
                <w:sz w:val="20"/>
                <w:szCs w:val="20"/>
                <w:color w:val="auto"/>
              </w:rPr>
            </w:pPr>
            <w:r>
              <w:rPr>
                <w:rFonts w:ascii="Arial" w:cs="Arial" w:eastAsia="Arial" w:hAnsi="Arial"/>
                <w:sz w:val="12"/>
                <w:szCs w:val="12"/>
                <w:b w:val="1"/>
                <w:bCs w:val="1"/>
                <w:color w:val="auto"/>
              </w:rPr>
              <w:t>UNCONSOLIDATED</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JOINT VENTURE</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CENTERS: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20" w:type="dxa"/>
            <w:vAlign w:val="bottom"/>
          </w:tcPr>
          <w:p>
            <w:pPr>
              <w:ind w:left="20"/>
              <w:spacing w:after="0" w:line="157" w:lineRule="exact"/>
              <w:rPr>
                <w:sz w:val="20"/>
                <w:szCs w:val="20"/>
                <w:color w:val="auto"/>
              </w:rPr>
            </w:pPr>
            <w:r>
              <w:rPr>
                <w:rFonts w:ascii="Arial" w:cs="Arial" w:eastAsia="Arial" w:hAnsi="Arial"/>
                <w:sz w:val="14"/>
                <w:szCs w:val="14"/>
                <w:color w:val="auto"/>
              </w:rPr>
              <w:t>Long-term debt (at</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20" w:type="dxa"/>
            <w:vAlign w:val="bottom"/>
          </w:tcPr>
          <w:p>
            <w:pPr>
              <w:ind w:left="20"/>
              <w:spacing w:after="0" w:line="149" w:lineRule="exact"/>
              <w:rPr>
                <w:sz w:val="20"/>
                <w:szCs w:val="20"/>
                <w:color w:val="auto"/>
              </w:rPr>
            </w:pPr>
            <w:r>
              <w:rPr>
                <w:rFonts w:ascii="Arial" w:cs="Arial" w:eastAsia="Arial" w:hAnsi="Arial"/>
                <w:sz w:val="14"/>
                <w:szCs w:val="14"/>
                <w:color w:val="auto"/>
              </w:rPr>
              <w:t>Company's pro rata</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20" w:type="dxa"/>
            <w:vAlign w:val="bottom"/>
          </w:tcPr>
          <w:p>
            <w:pPr>
              <w:ind w:left="20"/>
              <w:spacing w:after="0"/>
              <w:rPr>
                <w:sz w:val="20"/>
                <w:szCs w:val="20"/>
                <w:color w:val="auto"/>
              </w:rPr>
            </w:pPr>
            <w:r>
              <w:rPr>
                <w:rFonts w:ascii="Arial" w:cs="Arial" w:eastAsia="Arial" w:hAnsi="Arial"/>
                <w:sz w:val="14"/>
                <w:szCs w:val="14"/>
                <w:color w:val="auto"/>
              </w:rPr>
              <w:t>share):</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Fixed rate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29,547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36,500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8"/>
              </w:rPr>
              <w:t>148,844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45,794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641,360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9"/>
              </w:rPr>
              <w:t>2,055,509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6"/>
              </w:rPr>
              <w:t>2,957,554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2,987,820</w:t>
            </w:r>
          </w:p>
        </w:tc>
        <w:tc>
          <w:tcPr>
            <w:tcW w:w="0" w:type="dxa"/>
            <w:vAlign w:val="bottom"/>
          </w:tcPr>
          <w:p>
            <w:pPr>
              <w:spacing w:after="0"/>
              <w:rPr>
                <w:sz w:val="1"/>
                <w:szCs w:val="1"/>
                <w:color w:val="auto"/>
              </w:rPr>
            </w:pPr>
          </w:p>
        </w:tc>
      </w:tr>
      <w:tr>
        <w:trPr>
          <w:trHeight w:val="264"/>
        </w:trPr>
        <w:tc>
          <w:tcPr>
            <w:tcW w:w="1420" w:type="dxa"/>
            <w:vAlign w:val="bottom"/>
          </w:tcPr>
          <w:p>
            <w:pPr>
              <w:ind w:left="160"/>
              <w:spacing w:after="0"/>
              <w:rPr>
                <w:sz w:val="20"/>
                <w:szCs w:val="20"/>
                <w:color w:val="auto"/>
              </w:rPr>
            </w:pPr>
            <w:r>
              <w:rPr>
                <w:rFonts w:ascii="Arial" w:cs="Arial" w:eastAsia="Arial" w:hAnsi="Arial"/>
                <w:sz w:val="14"/>
                <w:szCs w:val="14"/>
                <w:color w:val="auto"/>
                <w:w w:val="95"/>
              </w:rPr>
              <w:t>Average interest rate</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Floating rate</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9,363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9,526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38,243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158,750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230,882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224,147</w:t>
            </w:r>
          </w:p>
        </w:tc>
        <w:tc>
          <w:tcPr>
            <w:tcW w:w="0" w:type="dxa"/>
            <w:vAlign w:val="bottom"/>
          </w:tcPr>
          <w:p>
            <w:pPr>
              <w:spacing w:after="0"/>
              <w:rPr>
                <w:sz w:val="1"/>
                <w:szCs w:val="1"/>
                <w:color w:val="auto"/>
              </w:rPr>
            </w:pPr>
          </w:p>
        </w:tc>
      </w:tr>
      <w:tr>
        <w:trPr>
          <w:trHeight w:val="264"/>
        </w:trPr>
        <w:tc>
          <w:tcPr>
            <w:tcW w:w="1420" w:type="dxa"/>
            <w:vAlign w:val="bottom"/>
          </w:tcPr>
          <w:p>
            <w:pPr>
              <w:ind w:left="160"/>
              <w:spacing w:after="0"/>
              <w:rPr>
                <w:sz w:val="20"/>
                <w:szCs w:val="20"/>
                <w:color w:val="auto"/>
              </w:rPr>
            </w:pPr>
            <w:r>
              <w:rPr>
                <w:rFonts w:ascii="Arial" w:cs="Arial" w:eastAsia="Arial" w:hAnsi="Arial"/>
                <w:sz w:val="14"/>
                <w:szCs w:val="14"/>
                <w:color w:val="auto"/>
                <w:w w:val="95"/>
              </w:rPr>
              <w:t>Average interest rate</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142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Total debt—</w:t>
            </w: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Unconsolidated Joint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38,910</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46,026</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98"/>
              </w:rPr>
              <w:t>187,087</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60,794</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800,110</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99"/>
              </w:rPr>
              <w:t>2,055,509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96"/>
              </w:rPr>
              <w:t>3,188,436</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3,211,967</w:t>
            </w:r>
          </w:p>
        </w:tc>
        <w:tc>
          <w:tcPr>
            <w:tcW w:w="0" w:type="dxa"/>
            <w:vAlign w:val="bottom"/>
          </w:tcPr>
          <w:p>
            <w:pPr>
              <w:spacing w:after="0"/>
              <w:rPr>
                <w:sz w:val="1"/>
                <w:szCs w:val="1"/>
                <w:color w:val="auto"/>
              </w:rPr>
            </w:pPr>
          </w:p>
        </w:tc>
      </w:tr>
      <w:tr>
        <w:trPr>
          <w:trHeight w:val="181"/>
        </w:trPr>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Venture Centers</w:t>
            </w: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The consolidated Centers' total fixed rate debt at June 30, 2018 and December 31, 2017 was $3.6 billion. The average interest rate on such fixed rate debt at June 30, 2018 and December 31, 2017 was 3.84% and 3.85%, respectively. The consolidated Centers' total floating rate debt at June 30, 2018 and December 31, 2017 was $1.4 billion and $1.5 billion, respectively. The average interest rate on such floating rate debt at June 30, 2018 and December 31, 2017 was 3.57% and 2.98%, respectively.</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pro rata share of the unconsolidated joint venture Centers' fixed rate debt at June 30, 2018 and December 31, 2017 was $3.0 billion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$2.7 billion, respectively. The average interest rate on such fixed rate debt at June 30, 2018 and December 31, 2017 was 3.82%, and 3.79% respectively.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pro rata share of the unconsolidated joint venture Centers' floating rate debt at June 30, 2018 and December 31, 2017 was $230.9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$106.3 million, respectively. The average interest rate on such floating rate debt at June 30, 2018 and December 31, 2017 was 3.74% and 2.86%, respectively.</w:t>
      </w:r>
    </w:p>
    <w:p>
      <w:pPr>
        <w:spacing w:after="0" w:line="288"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In addition, the Company has assessed the market risk for its floating rate debt and believes that a 1% increase in interest rates would decrease future earnings and cash flows by approximately $16.0 million per year based on $1.6 billion of floating rate debt outstanding at June 30, 2018.</w:t>
      </w:r>
    </w:p>
    <w:p>
      <w:pPr>
        <w:spacing w:after="0" w:line="178"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9—Mortgage Notes Payable and Note 10—Bank and Other Notes Payable in the Company's Notes to the Consolidated Financial Statements).</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2" w:right="27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3"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As required by Rule 13a-15(b) under the Securities Exchange Act of 1934, management carried out an evaluation, under the supervision and with the participation of the Company's Chief Executive Officer and Chief Financial Officer, of the effectiveness of the Company's disclosure controls and procedures as of the end of the period covered by this Quarterly Report on Form 10-Q. Based on their evaluation as of June 30, 2018, the Company's Chief Executive Officer and Chief Financial Officer have concluded that the Company's disclosure controls and procedures (as defined in Rule 13a-15(e) and 15d-15(e) under the Securities Exchange Act of 1934, as amended) were effective to ensure that the information required to be disclosed by the Company in the reports that it files or submits under the Securities Exchange Act of 1934 is (a) recorded, processed, summarized, and reported within the time periods specified in the SEC's rules and forms and (b) accumulated and communicated to the Company's management, including its Chief Executive Officer and Chief Financial Officer, or persons performing similar functions, as appropriate to allow timely decisions regarding required disclosure.</w:t>
      </w:r>
    </w:p>
    <w:p>
      <w:pPr>
        <w:spacing w:after="0" w:line="220"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In addition, there has been no change in the Company's internal control over financial reporting (as such term is defined in Rules 13a-15(f) and 15(d)-15(f) under the Securities Exchange Act of 1934) that occurred during the Company's most recent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122" w:right="29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83"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None of the Company, the Operating Partnership, the Management Companies or their respective affiliates are currently involved in any material legal proceedings, although from time-to-time they are involved in various legal proceedings that arise in the ordinary course of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There have been no material changes to the risk factors relating to the Company set forth under the caption "Item 1A. Risk Factors" in the Company's Annual Report on Form 10-K for the year ended December 31, 2017.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On April 18, 2018, June 19, 2018 and June 29, 2018, the Company, as general partner of the Operating Partnership, issued 25,000, 25,000 and 3,704 shares of common stock of the Company, respectively, upon the redemption of 53,704 common partnership units of the Operating Partnership. These shares of common stock were issued in private placements to three limited partners of the Operating Partnership, each an accredited investor, pursuant to Section 4(a)(2) of the Securities Act of 1933, as amended.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18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239"/>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219"/>
              <w:spacing w:after="0"/>
              <w:rPr>
                <w:sz w:val="20"/>
                <w:szCs w:val="20"/>
                <w:color w:val="auto"/>
              </w:rPr>
            </w:pPr>
            <w:r>
              <w:rPr>
                <w:rFonts w:ascii="Arial" w:cs="Arial" w:eastAsia="Arial" w:hAnsi="Arial"/>
                <w:sz w:val="16"/>
                <w:szCs w:val="16"/>
                <w:b w:val="1"/>
                <w:bCs w:val="1"/>
                <w:color w:val="auto"/>
                <w:w w:val="94"/>
              </w:rPr>
              <w:t>Dollar Value of</w:t>
            </w:r>
          </w:p>
        </w:tc>
      </w:t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7"/>
              </w:rPr>
              <w:t>Shares Purchased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99"/>
              <w:spacing w:after="0"/>
              <w:rPr>
                <w:sz w:val="20"/>
                <w:szCs w:val="20"/>
                <w:color w:val="auto"/>
              </w:rPr>
            </w:pPr>
            <w:r>
              <w:rPr>
                <w:rFonts w:ascii="Arial" w:cs="Arial" w:eastAsia="Arial" w:hAnsi="Arial"/>
                <w:sz w:val="16"/>
                <w:szCs w:val="16"/>
                <w:b w:val="1"/>
                <w:bCs w:val="1"/>
                <w:color w:val="auto"/>
                <w:w w:val="94"/>
              </w:rPr>
              <w:t>Shares That May</w:t>
            </w:r>
          </w:p>
        </w:tc>
      </w:t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1"/>
              </w:rPr>
              <w:t>Average Price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0"/>
              </w:rPr>
              <w:t>as Part of Publicly</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79"/>
              <w:spacing w:after="0"/>
              <w:rPr>
                <w:sz w:val="20"/>
                <w:szCs w:val="20"/>
                <w:color w:val="auto"/>
              </w:rPr>
            </w:pPr>
            <w:r>
              <w:rPr>
                <w:rFonts w:ascii="Arial" w:cs="Arial" w:eastAsia="Arial" w:hAnsi="Arial"/>
                <w:sz w:val="16"/>
                <w:szCs w:val="16"/>
                <w:b w:val="1"/>
                <w:bCs w:val="1"/>
                <w:color w:val="auto"/>
                <w:w w:val="89"/>
              </w:rPr>
              <w:t>Yet Be Purchased</w:t>
            </w:r>
          </w:p>
        </w:tc>
      </w:t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Paid per</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0"/>
              </w:rPr>
              <w:t>Announced Plans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79"/>
              <w:spacing w:after="0"/>
              <w:rPr>
                <w:sz w:val="20"/>
                <w:szCs w:val="20"/>
                <w:color w:val="auto"/>
              </w:rPr>
            </w:pPr>
            <w:r>
              <w:rPr>
                <w:rFonts w:ascii="Arial" w:cs="Arial" w:eastAsia="Arial" w:hAnsi="Arial"/>
                <w:sz w:val="16"/>
                <w:szCs w:val="16"/>
                <w:b w:val="1"/>
                <w:bCs w:val="1"/>
                <w:color w:val="auto"/>
                <w:w w:val="91"/>
              </w:rPr>
              <w:t>Under the Plans or</w:t>
            </w:r>
          </w:p>
        </w:tc>
      </w:tr>
      <w:tr>
        <w:trPr>
          <w:trHeight w:val="210"/>
        </w:trPr>
        <w:tc>
          <w:tcPr>
            <w:tcW w:w="286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Share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0"/>
              </w:rPr>
              <w:t>or Programs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219"/>
              <w:spacing w:after="0"/>
              <w:rPr>
                <w:sz w:val="20"/>
                <w:szCs w:val="20"/>
                <w:color w:val="auto"/>
              </w:rPr>
            </w:pPr>
            <w:r>
              <w:rPr>
                <w:rFonts w:ascii="Arial" w:cs="Arial" w:eastAsia="Arial" w:hAnsi="Arial"/>
                <w:sz w:val="16"/>
                <w:szCs w:val="16"/>
                <w:b w:val="1"/>
                <w:bCs w:val="1"/>
                <w:color w:val="auto"/>
                <w:w w:val="91"/>
              </w:rPr>
              <w:t>Programs (1)</w:t>
            </w:r>
          </w:p>
        </w:tc>
      </w:tr>
      <w:tr>
        <w:trPr>
          <w:trHeight w:val="33"/>
        </w:trPr>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April 1, 2018 to April 30, 2018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278,707,048</w:t>
            </w:r>
          </w:p>
        </w:tc>
      </w:tr>
      <w:tr>
        <w:trPr>
          <w:trHeight w:val="243"/>
        </w:trPr>
        <w:tc>
          <w:tcPr>
            <w:tcW w:w="2860" w:type="dxa"/>
            <w:vAlign w:val="bottom"/>
            <w:gridSpan w:val="2"/>
          </w:tcPr>
          <w:p>
            <w:pPr>
              <w:ind w:left="40"/>
              <w:spacing w:after="0"/>
              <w:rPr>
                <w:sz w:val="20"/>
                <w:szCs w:val="20"/>
                <w:color w:val="auto"/>
              </w:rPr>
            </w:pPr>
            <w:r>
              <w:rPr>
                <w:rFonts w:ascii="Arial" w:cs="Arial" w:eastAsia="Arial" w:hAnsi="Arial"/>
                <w:sz w:val="16"/>
                <w:szCs w:val="16"/>
                <w:color w:val="auto"/>
              </w:rPr>
              <w:t>May 1, 2018 to May 31, 2018</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278,707,048</w:t>
            </w:r>
          </w:p>
        </w:tc>
      </w:tr>
      <w:tr>
        <w:trPr>
          <w:trHeight w:val="27"/>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June 1, 2018 to June 30, 2018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278,707,048</w:t>
            </w:r>
          </w:p>
        </w:tc>
      </w:tr>
      <w:tr>
        <w:trPr>
          <w:trHeight w:val="244"/>
        </w:trPr>
        <w:tc>
          <w:tcPr>
            <w:tcW w:w="2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341" w:lineRule="exact"/>
        <w:rPr>
          <w:sz w:val="20"/>
          <w:szCs w:val="20"/>
          <w:color w:val="auto"/>
        </w:rPr>
      </w:pPr>
    </w:p>
    <w:p>
      <w:pPr>
        <w:ind w:left="1220" w:right="60" w:hanging="564"/>
        <w:spacing w:after="0" w:line="275" w:lineRule="auto"/>
        <w:tabs>
          <w:tab w:leader="none" w:pos="1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February 12, 2017, the Company's Board of Directors authorized the repurchase of up to $500.0 million of the Company's outstanding common shares from time to time as market conditions warrant.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80"/>
          </w:cols>
          <w:pgMar w:left="240" w:top="122" w:right="37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960" w:type="dxa"/>
            <w:vAlign w:val="bottom"/>
            <w:gridSpan w:val="19"/>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16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960" w:type="dxa"/>
            <w:vAlign w:val="bottom"/>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20" w:type="dxa"/>
            <w:vAlign w:val="bottom"/>
            <w:tcBorders>
              <w:top w:val="single" w:sz="8" w:color="auto"/>
            </w:tcBorders>
            <w:gridSpan w:val="6"/>
          </w:tcPr>
          <w:p>
            <w:pPr>
              <w:jc w:val="right"/>
              <w:spacing w:after="0" w:line="202" w:lineRule="exact"/>
              <w:rPr>
                <w:rFonts w:ascii="Arial" w:cs="Arial" w:eastAsia="Arial" w:hAnsi="Arial"/>
                <w:sz w:val="18"/>
                <w:szCs w:val="18"/>
                <w:color w:val="0000FF"/>
              </w:rPr>
            </w:pPr>
            <w:hyperlink r:id="rId16">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240" w:type="dxa"/>
            <w:vAlign w:val="bottom"/>
            <w:tcBorders>
              <w:top w:val="single" w:sz="8" w:color="auto"/>
            </w:tcBorders>
            <w:gridSpan w:val="27"/>
          </w:tcPr>
          <w:p>
            <w:pPr>
              <w:spacing w:after="0" w:line="202" w:lineRule="exact"/>
              <w:rPr>
                <w:rFonts w:ascii="Arial" w:cs="Arial" w:eastAsia="Arial" w:hAnsi="Arial"/>
                <w:sz w:val="18"/>
                <w:szCs w:val="18"/>
                <w:color w:val="0000FF"/>
                <w:w w:val="93"/>
              </w:rPr>
            </w:pPr>
            <w:hyperlink r:id="rId16">
              <w:r>
                <w:rPr>
                  <w:rFonts w:ascii="Arial" w:cs="Arial" w:eastAsia="Arial" w:hAnsi="Arial"/>
                  <w:sz w:val="18"/>
                  <w:szCs w:val="18"/>
                  <w:color w:val="0000FF"/>
                  <w:w w:val="93"/>
                </w:rPr>
                <w:t>Master Agreement, dated November 14, 2014, by and among Pacific Premier Retail LP, MACPT LLC, Macerich PPR GP LLC, Queens JV</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0"/>
              </w:rPr>
            </w:pPr>
            <w:hyperlink r:id="rId16">
              <w:r>
                <w:rPr>
                  <w:rFonts w:ascii="Arial" w:cs="Arial" w:eastAsia="Arial" w:hAnsi="Arial"/>
                  <w:sz w:val="18"/>
                  <w:szCs w:val="18"/>
                  <w:color w:val="0000FF"/>
                  <w:w w:val="90"/>
                </w:rPr>
                <w:t>LP, Macerich Queens JV LP, Queens JV GP LLC, 1700480 Ontario Inc. and the Company (incorporated by reference as an exhibit to the</w:t>
              </w:r>
            </w:hyperlink>
          </w:p>
        </w:tc>
        <w:tc>
          <w:tcPr>
            <w:tcW w:w="180" w:type="dxa"/>
            <w:vAlign w:val="bottom"/>
            <w:tcBorders>
              <w:top w:val="single" w:sz="8" w:color="0000FF"/>
            </w:tcBorders>
            <w:gridSpan w:val="3"/>
          </w:tcPr>
          <w:p>
            <w:pPr>
              <w:spacing w:after="0"/>
              <w:rPr>
                <w:sz w:val="17"/>
                <w:szCs w:val="17"/>
                <w:color w:val="auto"/>
              </w:rPr>
            </w:pPr>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7"/>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Company’s Current Report on Form 8-K, event date November 14, 2014).</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020" w:type="dxa"/>
            <w:vAlign w:val="bottom"/>
            <w:gridSpan w:val="6"/>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7"/>
          </w:tcPr>
          <w:p>
            <w:pPr>
              <w:spacing w:after="0"/>
              <w:rPr>
                <w:sz w:val="20"/>
                <w:szCs w:val="20"/>
                <w:color w:val="auto"/>
              </w:rPr>
            </w:pPr>
            <w:r>
              <w:rPr>
                <w:rFonts w:ascii="Arial" w:cs="Arial" w:eastAsia="Arial" w:hAnsi="Arial"/>
                <w:sz w:val="18"/>
                <w:szCs w:val="18"/>
                <w:color w:val="auto"/>
                <w:w w:val="92"/>
              </w:rPr>
              <w:t>Articles of Amendment and Restatement of the Company (incorporated by reference as an exhibit to the Company's Registration Statement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7"/>
          </w:tcPr>
          <w:p>
            <w:pPr>
              <w:spacing w:after="0"/>
              <w:rPr>
                <w:sz w:val="20"/>
                <w:szCs w:val="20"/>
                <w:color w:val="auto"/>
              </w:rPr>
            </w:pPr>
            <w:r>
              <w:rPr>
                <w:rFonts w:ascii="Arial" w:cs="Arial" w:eastAsia="Arial" w:hAnsi="Arial"/>
                <w:sz w:val="18"/>
                <w:szCs w:val="18"/>
                <w:color w:val="auto"/>
              </w:rPr>
              <w:t>on Form S-11, as amended (No. 33-68964)) (Filed in paper - hyperlink is not required pursuant to Rule 105 of Regulation S-T).</w:t>
            </w:r>
          </w:p>
        </w:tc>
        <w:tc>
          <w:tcPr>
            <w:tcW w:w="0" w:type="dxa"/>
            <w:vAlign w:val="bottom"/>
          </w:tcPr>
          <w:p>
            <w:pPr>
              <w:spacing w:after="0"/>
              <w:rPr>
                <w:sz w:val="1"/>
                <w:szCs w:val="1"/>
                <w:color w:val="auto"/>
              </w:rPr>
            </w:pPr>
          </w:p>
        </w:tc>
      </w:tr>
      <w:tr>
        <w:trPr>
          <w:trHeight w:val="256"/>
        </w:trPr>
        <w:tc>
          <w:tcPr>
            <w:tcW w:w="1020" w:type="dxa"/>
            <w:vAlign w:val="bottom"/>
            <w:gridSpan w:val="6"/>
          </w:tcPr>
          <w:p>
            <w:pPr>
              <w:jc w:val="right"/>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40" w:type="dxa"/>
            <w:vAlign w:val="bottom"/>
            <w:gridSpan w:val="27"/>
          </w:tcPr>
          <w:p>
            <w:pPr>
              <w:spacing w:after="0"/>
              <w:rPr>
                <w:sz w:val="20"/>
                <w:szCs w:val="20"/>
                <w:color w:val="auto"/>
              </w:rPr>
            </w:pPr>
            <w:r>
              <w:rPr>
                <w:rFonts w:ascii="Arial" w:cs="Arial" w:eastAsia="Arial" w:hAnsi="Arial"/>
                <w:sz w:val="18"/>
                <w:szCs w:val="18"/>
                <w:color w:val="auto"/>
                <w:w w:val="92"/>
              </w:rPr>
              <w:t>Articles Supplementary of the Company (incorporated by reference as an exhibit to the Company's Current Report on Form 8-K, event date</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7"/>
          </w:tcPr>
          <w:p>
            <w:pPr>
              <w:spacing w:after="0"/>
              <w:rPr>
                <w:sz w:val="20"/>
                <w:szCs w:val="20"/>
                <w:color w:val="auto"/>
              </w:rPr>
            </w:pPr>
            <w:r>
              <w:rPr>
                <w:rFonts w:ascii="Arial" w:cs="Arial" w:eastAsia="Arial" w:hAnsi="Arial"/>
                <w:sz w:val="18"/>
                <w:szCs w:val="18"/>
                <w:color w:val="auto"/>
              </w:rPr>
              <w:t>May 30, 1995) (Filed in paper - hyperlink is not required pursuant to Rule 105 of Regulation S-T).</w:t>
            </w:r>
          </w:p>
        </w:tc>
        <w:tc>
          <w:tcPr>
            <w:tcW w:w="0" w:type="dxa"/>
            <w:vAlign w:val="bottom"/>
          </w:tcPr>
          <w:p>
            <w:pPr>
              <w:spacing w:after="0"/>
              <w:rPr>
                <w:sz w:val="1"/>
                <w:szCs w:val="1"/>
                <w:color w:val="auto"/>
              </w:rPr>
            </w:pPr>
          </w:p>
        </w:tc>
      </w:tr>
      <w:tr>
        <w:trPr>
          <w:trHeight w:val="230"/>
        </w:trPr>
        <w:tc>
          <w:tcPr>
            <w:tcW w:w="660" w:type="dxa"/>
            <w:vAlign w:val="bottom"/>
            <w:gridSpan w:val="3"/>
          </w:tcPr>
          <w:p>
            <w:pPr>
              <w:spacing w:after="0"/>
              <w:rPr>
                <w:sz w:val="19"/>
                <w:szCs w:val="19"/>
                <w:color w:val="auto"/>
              </w:rPr>
            </w:pPr>
          </w:p>
        </w:tc>
        <w:tc>
          <w:tcPr>
            <w:tcW w:w="360" w:type="dxa"/>
            <w:vAlign w:val="bottom"/>
            <w:tcBorders>
              <w:bottom w:val="single" w:sz="8" w:color="0000FF"/>
            </w:tcBorders>
            <w:gridSpan w:val="3"/>
          </w:tcPr>
          <w:p>
            <w:pPr>
              <w:jc w:val="right"/>
              <w:spacing w:after="0"/>
              <w:rPr>
                <w:rFonts w:ascii="Arial" w:cs="Arial" w:eastAsia="Arial" w:hAnsi="Arial"/>
                <w:sz w:val="18"/>
                <w:szCs w:val="18"/>
                <w:color w:val="0000FF"/>
                <w:w w:val="84"/>
              </w:rPr>
            </w:pPr>
            <w:hyperlink r:id="rId17">
              <w:r>
                <w:rPr>
                  <w:rFonts w:ascii="Arial" w:cs="Arial" w:eastAsia="Arial" w:hAnsi="Arial"/>
                  <w:sz w:val="18"/>
                  <w:szCs w:val="18"/>
                  <w:color w:val="0000FF"/>
                  <w:w w:val="84"/>
                </w:rPr>
                <w:t>3.</w:t>
              </w:r>
              <w:r>
                <w:rPr>
                  <w:rFonts w:ascii="Arial" w:cs="Arial" w:eastAsia="Arial" w:hAnsi="Arial"/>
                  <w:sz w:val="18"/>
                  <w:szCs w:val="18"/>
                  <w:u w:val="single" w:color="auto"/>
                  <w:color w:val="0000FF"/>
                  <w:w w:val="84"/>
                </w:rPr>
                <w:t>1.2</w:t>
              </w:r>
            </w:hyperlink>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20" w:type="dxa"/>
            <w:vAlign w:val="bottom"/>
            <w:tcBorders>
              <w:bottom w:val="single" w:sz="8" w:color="0000FF"/>
            </w:tcBorders>
            <w:gridSpan w:val="23"/>
          </w:tcPr>
          <w:p>
            <w:pPr>
              <w:spacing w:after="0"/>
              <w:rPr>
                <w:rFonts w:ascii="Arial" w:cs="Arial" w:eastAsia="Arial" w:hAnsi="Arial"/>
                <w:sz w:val="18"/>
                <w:szCs w:val="18"/>
                <w:color w:val="0000FF"/>
                <w:w w:val="90"/>
              </w:rPr>
            </w:pPr>
            <w:hyperlink r:id="rId17">
              <w:r>
                <w:rPr>
                  <w:rFonts w:ascii="Arial" w:cs="Arial" w:eastAsia="Arial" w:hAnsi="Arial"/>
                  <w:sz w:val="18"/>
                  <w:szCs w:val="18"/>
                  <w:color w:val="0000FF"/>
                  <w:w w:val="90"/>
                </w:rPr>
                <w:t>Articles Supplementary of the Company (with respect to the first paragraph) (incorporated by reference as an exhibit to the Company's 1998</w:t>
              </w:r>
            </w:hyperlink>
          </w:p>
        </w:tc>
        <w:tc>
          <w:tcPr>
            <w:tcW w:w="12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r:id="rId17">
              <w:r>
                <w:rPr>
                  <w:rFonts w:ascii="Arial" w:cs="Arial" w:eastAsia="Arial" w:hAnsi="Arial"/>
                  <w:sz w:val="18"/>
                  <w:szCs w:val="18"/>
                  <w:color w:val="0000FF"/>
                  <w:w w:val="93"/>
                </w:rPr>
                <w:t>Form 10-K).</w:t>
              </w:r>
            </w:hyperlink>
          </w:p>
        </w:tc>
        <w:tc>
          <w:tcPr>
            <w:tcW w:w="93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0" w:type="dxa"/>
            <w:vAlign w:val="bottom"/>
            <w:gridSpan w:val="3"/>
          </w:tcPr>
          <w:p>
            <w:pPr>
              <w:spacing w:after="0"/>
              <w:rPr>
                <w:sz w:val="21"/>
                <w:szCs w:val="21"/>
                <w:color w:val="auto"/>
              </w:rPr>
            </w:pPr>
          </w:p>
        </w:tc>
        <w:tc>
          <w:tcPr>
            <w:tcW w:w="360" w:type="dxa"/>
            <w:vAlign w:val="bottom"/>
            <w:tcBorders>
              <w:bottom w:val="single" w:sz="8" w:color="0000FF"/>
            </w:tcBorders>
            <w:gridSpan w:val="3"/>
          </w:tcPr>
          <w:p>
            <w:pPr>
              <w:jc w:val="right"/>
              <w:spacing w:after="0"/>
              <w:rPr>
                <w:rFonts w:ascii="Arial" w:cs="Arial" w:eastAsia="Arial" w:hAnsi="Arial"/>
                <w:sz w:val="18"/>
                <w:szCs w:val="18"/>
                <w:color w:val="0000FF"/>
                <w:w w:val="84"/>
              </w:rPr>
            </w:pPr>
            <w:hyperlink r:id="rId18">
              <w:r>
                <w:rPr>
                  <w:rFonts w:ascii="Arial" w:cs="Arial" w:eastAsia="Arial" w:hAnsi="Arial"/>
                  <w:sz w:val="18"/>
                  <w:szCs w:val="18"/>
                  <w:color w:val="0000FF"/>
                  <w:w w:val="84"/>
                </w:rPr>
                <w:t>3.</w:t>
              </w:r>
              <w:r>
                <w:rPr>
                  <w:rFonts w:ascii="Arial" w:cs="Arial" w:eastAsia="Arial" w:hAnsi="Arial"/>
                  <w:sz w:val="18"/>
                  <w:szCs w:val="18"/>
                  <w:u w:val="single" w:color="auto"/>
                  <w:color w:val="0000FF"/>
                  <w:w w:val="84"/>
                </w:rPr>
                <w:t>1.3</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20" w:type="dxa"/>
            <w:vAlign w:val="bottom"/>
            <w:tcBorders>
              <w:bottom w:val="single" w:sz="8" w:color="0000FF"/>
            </w:tcBorders>
            <w:gridSpan w:val="26"/>
          </w:tcPr>
          <w:p>
            <w:pPr>
              <w:spacing w:after="0"/>
              <w:rPr>
                <w:rFonts w:ascii="Arial" w:cs="Arial" w:eastAsia="Arial" w:hAnsi="Arial"/>
                <w:sz w:val="18"/>
                <w:szCs w:val="18"/>
                <w:color w:val="0000FF"/>
                <w:w w:val="90"/>
              </w:rPr>
            </w:pPr>
            <w:hyperlink r:id="rId18">
              <w:r>
                <w:rPr>
                  <w:rFonts w:ascii="Arial" w:cs="Arial" w:eastAsia="Arial" w:hAnsi="Arial"/>
                  <w:sz w:val="18"/>
                  <w:szCs w:val="18"/>
                  <w:color w:val="0000FF"/>
                  <w:w w:val="90"/>
                </w:rPr>
                <w:t>Articles Supplementary of the Company (Series D Preferred Stock) (incorporated by reference as an exhibit to the Company's Current Report</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0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on Form 8-K, event date July 26, 2002).</w:t>
              </w:r>
            </w:hyperlink>
          </w:p>
        </w:tc>
        <w:tc>
          <w:tcPr>
            <w:tcW w:w="73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0" w:type="dxa"/>
            <w:vAlign w:val="bottom"/>
            <w:gridSpan w:val="3"/>
          </w:tcPr>
          <w:p>
            <w:pPr>
              <w:spacing w:after="0"/>
              <w:rPr>
                <w:sz w:val="21"/>
                <w:szCs w:val="21"/>
                <w:color w:val="auto"/>
              </w:rPr>
            </w:pPr>
          </w:p>
        </w:tc>
        <w:tc>
          <w:tcPr>
            <w:tcW w:w="360" w:type="dxa"/>
            <w:vAlign w:val="bottom"/>
            <w:tcBorders>
              <w:bottom w:val="single" w:sz="8" w:color="0000FF"/>
            </w:tcBorders>
            <w:gridSpan w:val="3"/>
          </w:tcPr>
          <w:p>
            <w:pPr>
              <w:jc w:val="right"/>
              <w:spacing w:after="0"/>
              <w:rPr>
                <w:rFonts w:ascii="Arial" w:cs="Arial" w:eastAsia="Arial" w:hAnsi="Arial"/>
                <w:sz w:val="18"/>
                <w:szCs w:val="18"/>
                <w:color w:val="0000FF"/>
                <w:w w:val="84"/>
              </w:rPr>
            </w:pPr>
            <w:hyperlink r:id="rId19">
              <w:r>
                <w:rPr>
                  <w:rFonts w:ascii="Arial" w:cs="Arial" w:eastAsia="Arial" w:hAnsi="Arial"/>
                  <w:sz w:val="18"/>
                  <w:szCs w:val="18"/>
                  <w:color w:val="0000FF"/>
                  <w:w w:val="84"/>
                </w:rPr>
                <w:t>3.</w:t>
              </w:r>
              <w:r>
                <w:rPr>
                  <w:rFonts w:ascii="Arial" w:cs="Arial" w:eastAsia="Arial" w:hAnsi="Arial"/>
                  <w:sz w:val="18"/>
                  <w:szCs w:val="18"/>
                  <w:u w:val="single" w:color="auto"/>
                  <w:color w:val="0000FF"/>
                  <w:w w:val="84"/>
                </w:rPr>
                <w:t>1.4</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20" w:type="dxa"/>
            <w:vAlign w:val="bottom"/>
            <w:tcBorders>
              <w:bottom w:val="single" w:sz="8" w:color="0000FF"/>
            </w:tcBorders>
            <w:gridSpan w:val="21"/>
          </w:tcPr>
          <w:p>
            <w:pPr>
              <w:spacing w:after="0"/>
              <w:rPr>
                <w:rFonts w:ascii="Arial" w:cs="Arial" w:eastAsia="Arial" w:hAnsi="Arial"/>
                <w:sz w:val="18"/>
                <w:szCs w:val="18"/>
                <w:color w:val="0000FF"/>
                <w:w w:val="90"/>
              </w:rPr>
            </w:pPr>
            <w:hyperlink r:id="rId19">
              <w:r>
                <w:rPr>
                  <w:rFonts w:ascii="Arial" w:cs="Arial" w:eastAsia="Arial" w:hAnsi="Arial"/>
                  <w:sz w:val="18"/>
                  <w:szCs w:val="18"/>
                  <w:color w:val="0000FF"/>
                  <w:w w:val="90"/>
                </w:rPr>
                <w:t>Articles Supplementary of the Company (incorporated by reference as an exhibit to the Company's Registration Statement on Form S-3, as</w:t>
              </w:r>
            </w:hyperlink>
          </w:p>
        </w:tc>
        <w:tc>
          <w:tcPr>
            <w:tcW w:w="22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amended (No. 333-88718)).</w:t>
              </w:r>
            </w:hyperlink>
          </w:p>
        </w:tc>
        <w:tc>
          <w:tcPr>
            <w:tcW w:w="82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0" w:type="dxa"/>
            <w:vAlign w:val="bottom"/>
            <w:gridSpan w:val="3"/>
          </w:tcPr>
          <w:p>
            <w:pPr>
              <w:spacing w:after="0"/>
              <w:rPr>
                <w:sz w:val="21"/>
                <w:szCs w:val="21"/>
                <w:color w:val="auto"/>
              </w:rPr>
            </w:pPr>
          </w:p>
        </w:tc>
        <w:tc>
          <w:tcPr>
            <w:tcW w:w="360" w:type="dxa"/>
            <w:vAlign w:val="bottom"/>
            <w:tcBorders>
              <w:bottom w:val="single" w:sz="8" w:color="0000FF"/>
            </w:tcBorders>
            <w:gridSpan w:val="3"/>
          </w:tcPr>
          <w:p>
            <w:pPr>
              <w:jc w:val="right"/>
              <w:spacing w:after="0"/>
              <w:rPr>
                <w:rFonts w:ascii="Arial" w:cs="Arial" w:eastAsia="Arial" w:hAnsi="Arial"/>
                <w:sz w:val="18"/>
                <w:szCs w:val="18"/>
                <w:color w:val="0000FF"/>
                <w:w w:val="84"/>
              </w:rPr>
            </w:pPr>
            <w:hyperlink r:id="rId20">
              <w:r>
                <w:rPr>
                  <w:rFonts w:ascii="Arial" w:cs="Arial" w:eastAsia="Arial" w:hAnsi="Arial"/>
                  <w:sz w:val="18"/>
                  <w:szCs w:val="18"/>
                  <w:color w:val="0000FF"/>
                  <w:w w:val="84"/>
                </w:rPr>
                <w:t>3.</w:t>
              </w:r>
              <w:r>
                <w:rPr>
                  <w:rFonts w:ascii="Arial" w:cs="Arial" w:eastAsia="Arial" w:hAnsi="Arial"/>
                  <w:sz w:val="18"/>
                  <w:szCs w:val="18"/>
                  <w:u w:val="single" w:color="auto"/>
                  <w:color w:val="0000FF"/>
                  <w:w w:val="84"/>
                </w:rPr>
                <w:t>1.5</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20" w:type="dxa"/>
            <w:vAlign w:val="bottom"/>
            <w:tcBorders>
              <w:bottom w:val="single" w:sz="8" w:color="0000FF"/>
            </w:tcBorders>
            <w:gridSpan w:val="26"/>
          </w:tcPr>
          <w:p>
            <w:pPr>
              <w:spacing w:after="0"/>
              <w:rPr>
                <w:rFonts w:ascii="Arial" w:cs="Arial" w:eastAsia="Arial" w:hAnsi="Arial"/>
                <w:sz w:val="18"/>
                <w:szCs w:val="18"/>
                <w:color w:val="0000FF"/>
                <w:w w:val="91"/>
              </w:rPr>
            </w:pPr>
            <w:hyperlink r:id="rId20">
              <w:r>
                <w:rPr>
                  <w:rFonts w:ascii="Arial" w:cs="Arial" w:eastAsia="Arial" w:hAnsi="Arial"/>
                  <w:sz w:val="18"/>
                  <w:szCs w:val="18"/>
                  <w:color w:val="0000FF"/>
                  <w:w w:val="91"/>
                </w:rPr>
                <w:t>Articles of Amendment of the Company (declassification of Board) (incorporated by reference as an exhibit to the Company's 2008 Form 10-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FF"/>
            </w:tcBorders>
          </w:tcPr>
          <w:p>
            <w:pPr>
              <w:spacing w:after="0" w:line="196" w:lineRule="exact"/>
              <w:rPr>
                <w:rFonts w:ascii="Arial" w:cs="Arial" w:eastAsia="Arial" w:hAnsi="Arial"/>
                <w:sz w:val="18"/>
                <w:szCs w:val="18"/>
                <w:color w:val="0000FF"/>
                <w:w w:val="95"/>
              </w:rPr>
            </w:pPr>
            <w:hyperlink r:id="rId20">
              <w:r>
                <w:rPr>
                  <w:rFonts w:ascii="Arial" w:cs="Arial" w:eastAsia="Arial" w:hAnsi="Arial"/>
                  <w:sz w:val="18"/>
                  <w:szCs w:val="18"/>
                  <w:color w:val="0000FF"/>
                  <w:w w:val="95"/>
                </w:rPr>
                <w:t>K).</w:t>
              </w:r>
            </w:hyperlink>
          </w:p>
        </w:tc>
        <w:tc>
          <w:tcPr>
            <w:tcW w:w="100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0" w:type="dxa"/>
            <w:vAlign w:val="bottom"/>
            <w:gridSpan w:val="3"/>
          </w:tcPr>
          <w:p>
            <w:pPr>
              <w:spacing w:after="0"/>
              <w:rPr>
                <w:sz w:val="21"/>
                <w:szCs w:val="21"/>
                <w:color w:val="auto"/>
              </w:rPr>
            </w:pPr>
          </w:p>
        </w:tc>
        <w:tc>
          <w:tcPr>
            <w:tcW w:w="360" w:type="dxa"/>
            <w:vAlign w:val="bottom"/>
            <w:tcBorders>
              <w:bottom w:val="single" w:sz="8" w:color="0000FF"/>
            </w:tcBorders>
            <w:gridSpan w:val="3"/>
          </w:tcPr>
          <w:p>
            <w:pPr>
              <w:jc w:val="right"/>
              <w:spacing w:after="0"/>
              <w:rPr>
                <w:rFonts w:ascii="Arial" w:cs="Arial" w:eastAsia="Arial" w:hAnsi="Arial"/>
                <w:sz w:val="18"/>
                <w:szCs w:val="18"/>
                <w:color w:val="0000FF"/>
                <w:w w:val="84"/>
              </w:rPr>
            </w:pPr>
            <w:hyperlink r:id="rId21">
              <w:r>
                <w:rPr>
                  <w:rFonts w:ascii="Arial" w:cs="Arial" w:eastAsia="Arial" w:hAnsi="Arial"/>
                  <w:sz w:val="18"/>
                  <w:szCs w:val="18"/>
                  <w:color w:val="0000FF"/>
                  <w:w w:val="84"/>
                </w:rPr>
                <w:t>3.</w:t>
              </w:r>
              <w:r>
                <w:rPr>
                  <w:rFonts w:ascii="Arial" w:cs="Arial" w:eastAsia="Arial" w:hAnsi="Arial"/>
                  <w:sz w:val="18"/>
                  <w:szCs w:val="18"/>
                  <w:u w:val="single" w:color="auto"/>
                  <w:color w:val="0000FF"/>
                  <w:w w:val="84"/>
                </w:rPr>
                <w:t>1.6</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60" w:type="dxa"/>
            <w:vAlign w:val="bottom"/>
            <w:tcBorders>
              <w:bottom w:val="single" w:sz="8" w:color="0000FF"/>
            </w:tcBorders>
            <w:gridSpan w:val="22"/>
          </w:tcPr>
          <w:p>
            <w:pPr>
              <w:spacing w:after="0"/>
              <w:rPr>
                <w:rFonts w:ascii="Arial" w:cs="Arial" w:eastAsia="Arial" w:hAnsi="Arial"/>
                <w:sz w:val="18"/>
                <w:szCs w:val="18"/>
                <w:color w:val="0000FF"/>
                <w:w w:val="90"/>
              </w:rPr>
            </w:pPr>
            <w:hyperlink r:id="rId21">
              <w:r>
                <w:rPr>
                  <w:rFonts w:ascii="Arial" w:cs="Arial" w:eastAsia="Arial" w:hAnsi="Arial"/>
                  <w:sz w:val="18"/>
                  <w:szCs w:val="18"/>
                  <w:color w:val="0000FF"/>
                  <w:w w:val="90"/>
                </w:rPr>
                <w:t>Articles Supplementary of the Company (incorporated by reference as an exhibit to the Company's Current Report on Form 8-K, event date</w:t>
              </w:r>
            </w:hyperlink>
          </w:p>
        </w:tc>
        <w:tc>
          <w:tcPr>
            <w:tcW w:w="18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7"/>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February 5, 2009).</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gridSpan w:val="3"/>
          </w:tcPr>
          <w:p>
            <w:pPr>
              <w:spacing w:after="0"/>
              <w:rPr>
                <w:sz w:val="21"/>
                <w:szCs w:val="21"/>
                <w:color w:val="auto"/>
              </w:rPr>
            </w:pPr>
          </w:p>
        </w:tc>
        <w:tc>
          <w:tcPr>
            <w:tcW w:w="360" w:type="dxa"/>
            <w:vAlign w:val="bottom"/>
            <w:tcBorders>
              <w:bottom w:val="single" w:sz="8" w:color="0000FF"/>
            </w:tcBorders>
            <w:gridSpan w:val="3"/>
          </w:tcPr>
          <w:p>
            <w:pPr>
              <w:jc w:val="right"/>
              <w:spacing w:after="0"/>
              <w:rPr>
                <w:rFonts w:ascii="Arial" w:cs="Arial" w:eastAsia="Arial" w:hAnsi="Arial"/>
                <w:sz w:val="18"/>
                <w:szCs w:val="18"/>
                <w:color w:val="0000FF"/>
                <w:w w:val="84"/>
              </w:rPr>
            </w:pPr>
            <w:hyperlink r:id="rId22">
              <w:r>
                <w:rPr>
                  <w:rFonts w:ascii="Arial" w:cs="Arial" w:eastAsia="Arial" w:hAnsi="Arial"/>
                  <w:sz w:val="18"/>
                  <w:szCs w:val="18"/>
                  <w:color w:val="0000FF"/>
                  <w:w w:val="84"/>
                </w:rPr>
                <w:t>3.</w:t>
              </w:r>
              <w:r>
                <w:rPr>
                  <w:rFonts w:ascii="Arial" w:cs="Arial" w:eastAsia="Arial" w:hAnsi="Arial"/>
                  <w:sz w:val="18"/>
                  <w:szCs w:val="18"/>
                  <w:u w:val="single" w:color="auto"/>
                  <w:color w:val="0000FF"/>
                  <w:w w:val="84"/>
                </w:rPr>
                <w:t>1.7</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0" w:type="dxa"/>
            <w:vAlign w:val="bottom"/>
            <w:tcBorders>
              <w:bottom w:val="single" w:sz="8" w:color="0000FF"/>
            </w:tcBorders>
            <w:gridSpan w:val="20"/>
          </w:tcPr>
          <w:p>
            <w:pPr>
              <w:spacing w:after="0"/>
              <w:rPr>
                <w:rFonts w:ascii="Arial" w:cs="Arial" w:eastAsia="Arial" w:hAnsi="Arial"/>
                <w:sz w:val="18"/>
                <w:szCs w:val="18"/>
                <w:color w:val="0000FF"/>
                <w:w w:val="90"/>
              </w:rPr>
            </w:pPr>
            <w:hyperlink r:id="rId22">
              <w:r>
                <w:rPr>
                  <w:rFonts w:ascii="Arial" w:cs="Arial" w:eastAsia="Arial" w:hAnsi="Arial"/>
                  <w:sz w:val="18"/>
                  <w:szCs w:val="18"/>
                  <w:color w:val="0000FF"/>
                  <w:w w:val="90"/>
                </w:rPr>
                <w:t>Articles of Amendment of the Company (increased authorized shares) (incorporated by reference as an exhibit to the Company's Quarterly</w:t>
              </w:r>
            </w:hyperlink>
          </w:p>
        </w:tc>
        <w:tc>
          <w:tcPr>
            <w:tcW w:w="24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8"/>
          </w:tcPr>
          <w:p>
            <w:pPr>
              <w:spacing w:after="0" w:line="196" w:lineRule="exact"/>
              <w:rPr>
                <w:rFonts w:ascii="Arial" w:cs="Arial" w:eastAsia="Arial" w:hAnsi="Arial"/>
                <w:sz w:val="18"/>
                <w:szCs w:val="18"/>
                <w:color w:val="0000FF"/>
                <w:w w:val="89"/>
              </w:rPr>
            </w:pPr>
            <w:hyperlink r:id="rId22">
              <w:r>
                <w:rPr>
                  <w:rFonts w:ascii="Arial" w:cs="Arial" w:eastAsia="Arial" w:hAnsi="Arial"/>
                  <w:sz w:val="18"/>
                  <w:szCs w:val="18"/>
                  <w:color w:val="0000FF"/>
                  <w:w w:val="89"/>
                </w:rPr>
                <w:t>Report on Form 10-Q for the quarter ended June 30, 2009).</w:t>
              </w:r>
            </w:hyperlink>
          </w:p>
        </w:tc>
        <w:tc>
          <w:tcPr>
            <w:tcW w:w="59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0" w:type="dxa"/>
            <w:vAlign w:val="bottom"/>
            <w:gridSpan w:val="3"/>
          </w:tcPr>
          <w:p>
            <w:pPr>
              <w:spacing w:after="0"/>
              <w:rPr>
                <w:sz w:val="21"/>
                <w:szCs w:val="21"/>
                <w:color w:val="auto"/>
              </w:rPr>
            </w:pPr>
          </w:p>
        </w:tc>
        <w:tc>
          <w:tcPr>
            <w:tcW w:w="360" w:type="dxa"/>
            <w:vAlign w:val="bottom"/>
            <w:tcBorders>
              <w:bottom w:val="single" w:sz="8" w:color="0000FF"/>
            </w:tcBorders>
            <w:gridSpan w:val="3"/>
          </w:tcPr>
          <w:p>
            <w:pPr>
              <w:jc w:val="right"/>
              <w:spacing w:after="0"/>
              <w:rPr>
                <w:rFonts w:ascii="Arial" w:cs="Arial" w:eastAsia="Arial" w:hAnsi="Arial"/>
                <w:sz w:val="18"/>
                <w:szCs w:val="18"/>
                <w:color w:val="0000FF"/>
                <w:w w:val="84"/>
              </w:rPr>
            </w:pPr>
            <w:hyperlink r:id="rId23">
              <w:r>
                <w:rPr>
                  <w:rFonts w:ascii="Arial" w:cs="Arial" w:eastAsia="Arial" w:hAnsi="Arial"/>
                  <w:sz w:val="18"/>
                  <w:szCs w:val="18"/>
                  <w:color w:val="0000FF"/>
                  <w:w w:val="84"/>
                </w:rPr>
                <w:t>3.</w:t>
              </w:r>
              <w:r>
                <w:rPr>
                  <w:rFonts w:ascii="Arial" w:cs="Arial" w:eastAsia="Arial" w:hAnsi="Arial"/>
                  <w:sz w:val="18"/>
                  <w:szCs w:val="18"/>
                  <w:u w:val="single" w:color="auto"/>
                  <w:color w:val="0000FF"/>
                  <w:w w:val="84"/>
                </w:rPr>
                <w:t>1.8</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0" w:type="dxa"/>
            <w:vAlign w:val="bottom"/>
            <w:tcBorders>
              <w:bottom w:val="single" w:sz="8" w:color="0000FF"/>
            </w:tcBorders>
            <w:gridSpan w:val="20"/>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Articles of Amendment of the Company (to eliminate the supermajority vote requirement to amend the charter and to clarify a reference in</w:t>
              </w:r>
            </w:hyperlink>
          </w:p>
        </w:tc>
        <w:tc>
          <w:tcPr>
            <w:tcW w:w="24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7"/>
          </w:tcPr>
          <w:p>
            <w:pPr>
              <w:spacing w:after="0" w:line="196" w:lineRule="exact"/>
              <w:rPr>
                <w:rFonts w:ascii="Arial" w:cs="Arial" w:eastAsia="Arial" w:hAnsi="Arial"/>
                <w:sz w:val="18"/>
                <w:szCs w:val="18"/>
                <w:color w:val="0000FF"/>
                <w:w w:val="99"/>
              </w:rPr>
            </w:pPr>
            <w:hyperlink r:id="rId23">
              <w:r>
                <w:rPr>
                  <w:rFonts w:ascii="Arial" w:cs="Arial" w:eastAsia="Arial" w:hAnsi="Arial"/>
                  <w:sz w:val="18"/>
                  <w:szCs w:val="18"/>
                  <w:color w:val="0000FF"/>
                  <w:w w:val="99"/>
                </w:rPr>
                <w:t>Article NINTH) (incorporated by reference as an exhibit to the Company’s Current Report on Form 8-K, event date May 30, 2014).</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gridSpan w:val="3"/>
          </w:tcPr>
          <w:p>
            <w:pPr>
              <w:spacing w:after="0"/>
              <w:rPr>
                <w:sz w:val="21"/>
                <w:szCs w:val="21"/>
                <w:color w:val="auto"/>
              </w:rPr>
            </w:pPr>
          </w:p>
        </w:tc>
        <w:tc>
          <w:tcPr>
            <w:tcW w:w="360" w:type="dxa"/>
            <w:vAlign w:val="bottom"/>
            <w:tcBorders>
              <w:bottom w:val="single" w:sz="8" w:color="0000FF"/>
            </w:tcBorders>
            <w:gridSpan w:val="3"/>
          </w:tcPr>
          <w:p>
            <w:pPr>
              <w:jc w:val="right"/>
              <w:spacing w:after="0"/>
              <w:rPr>
                <w:rFonts w:ascii="Arial" w:cs="Arial" w:eastAsia="Arial" w:hAnsi="Arial"/>
                <w:sz w:val="18"/>
                <w:szCs w:val="18"/>
                <w:color w:val="0000FF"/>
                <w:w w:val="84"/>
              </w:rPr>
            </w:pPr>
            <w:hyperlink r:id="rId24">
              <w:r>
                <w:rPr>
                  <w:rFonts w:ascii="Arial" w:cs="Arial" w:eastAsia="Arial" w:hAnsi="Arial"/>
                  <w:sz w:val="18"/>
                  <w:szCs w:val="18"/>
                  <w:color w:val="0000FF"/>
                  <w:w w:val="84"/>
                </w:rPr>
                <w:t>3.</w:t>
              </w:r>
              <w:r>
                <w:rPr>
                  <w:rFonts w:ascii="Arial" w:cs="Arial" w:eastAsia="Arial" w:hAnsi="Arial"/>
                  <w:sz w:val="18"/>
                  <w:szCs w:val="18"/>
                  <w:u w:val="single" w:color="auto"/>
                  <w:color w:val="0000FF"/>
                  <w:w w:val="84"/>
                </w:rPr>
                <w:t>1.9</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80" w:type="dxa"/>
            <w:vAlign w:val="bottom"/>
            <w:tcBorders>
              <w:bottom w:val="single" w:sz="8" w:color="0000FF"/>
            </w:tcBorders>
            <w:gridSpan w:val="24"/>
          </w:tcPr>
          <w:p>
            <w:pPr>
              <w:spacing w:after="0"/>
              <w:rPr>
                <w:rFonts w:ascii="Arial" w:cs="Arial" w:eastAsia="Arial" w:hAnsi="Arial"/>
                <w:sz w:val="18"/>
                <w:szCs w:val="18"/>
                <w:color w:val="0000FF"/>
                <w:w w:val="91"/>
              </w:rPr>
            </w:pPr>
            <w:hyperlink r:id="rId24">
              <w:r>
                <w:rPr>
                  <w:rFonts w:ascii="Arial" w:cs="Arial" w:eastAsia="Arial" w:hAnsi="Arial"/>
                  <w:sz w:val="18"/>
                  <w:szCs w:val="18"/>
                  <w:color w:val="0000FF"/>
                  <w:w w:val="91"/>
                </w:rPr>
                <w:t>Articles Supplementary of the Company (election to be subject to Section 3-803 of the Maryland General Corporation Law) (incorporated by</w:t>
              </w:r>
            </w:hyperlink>
          </w:p>
        </w:tc>
        <w:tc>
          <w:tcPr>
            <w:tcW w:w="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8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reference as an exhibit to the Company’s Current Report on Form 8-K, event date March 17, 2015).</w:t>
              </w:r>
            </w:hyperlink>
          </w:p>
        </w:tc>
        <w:tc>
          <w:tcPr>
            <w:tcW w:w="30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20" w:type="dxa"/>
            <w:vAlign w:val="bottom"/>
            <w:gridSpan w:val="6"/>
          </w:tcPr>
          <w:p>
            <w:pPr>
              <w:jc w:val="right"/>
              <w:spacing w:after="0"/>
              <w:rPr>
                <w:rFonts w:ascii="Arial" w:cs="Arial" w:eastAsia="Arial" w:hAnsi="Arial"/>
                <w:sz w:val="18"/>
                <w:szCs w:val="18"/>
                <w:color w:val="0000FF"/>
              </w:rPr>
            </w:pPr>
            <w:hyperlink r:id="rId25">
              <w:r>
                <w:rPr>
                  <w:rFonts w:ascii="Arial" w:cs="Arial" w:eastAsia="Arial" w:hAnsi="Arial"/>
                  <w:sz w:val="18"/>
                  <w:szCs w:val="18"/>
                  <w:color w:val="0000FF"/>
                </w:rPr>
                <w:t>3.</w:t>
              </w:r>
              <w:r>
                <w:rPr>
                  <w:rFonts w:ascii="Arial" w:cs="Arial" w:eastAsia="Arial" w:hAnsi="Arial"/>
                  <w:sz w:val="18"/>
                  <w:szCs w:val="18"/>
                  <w:u w:val="single" w:color="auto"/>
                  <w:color w:val="0000FF"/>
                </w:rPr>
                <w:t>1.10</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27"/>
          </w:tcPr>
          <w:p>
            <w:pPr>
              <w:spacing w:after="0"/>
              <w:rPr>
                <w:rFonts w:ascii="Arial" w:cs="Arial" w:eastAsia="Arial" w:hAnsi="Arial"/>
                <w:sz w:val="18"/>
                <w:szCs w:val="18"/>
                <w:color w:val="0000FF"/>
                <w:w w:val="90"/>
              </w:rPr>
            </w:pPr>
            <w:hyperlink r:id="rId25">
              <w:r>
                <w:rPr>
                  <w:rFonts w:ascii="Arial" w:cs="Arial" w:eastAsia="Arial" w:hAnsi="Arial"/>
                  <w:sz w:val="18"/>
                  <w:szCs w:val="18"/>
                  <w:color w:val="0000FF"/>
                  <w:w w:val="90"/>
                </w:rPr>
                <w:t>Articles Supplementary of the Company (Series E Preferred Stock) (incorporated by reference as an exhibit to the Company’s Current Report</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on Form 8-K, event date March 18, 2015).</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6"/>
          </w:tcPr>
          <w:p>
            <w:pPr>
              <w:jc w:val="right"/>
              <w:spacing w:after="0"/>
              <w:rPr>
                <w:rFonts w:ascii="Arial" w:cs="Arial" w:eastAsia="Arial" w:hAnsi="Arial"/>
                <w:sz w:val="18"/>
                <w:szCs w:val="18"/>
                <w:color w:val="0000FF"/>
              </w:rPr>
            </w:pPr>
            <w:hyperlink r:id="rId26">
              <w:r>
                <w:rPr>
                  <w:rFonts w:ascii="Arial" w:cs="Arial" w:eastAsia="Arial" w:hAnsi="Arial"/>
                  <w:sz w:val="18"/>
                  <w:szCs w:val="18"/>
                  <w:color w:val="0000FF"/>
                </w:rPr>
                <w:t>3.</w:t>
              </w:r>
              <w:r>
                <w:rPr>
                  <w:rFonts w:ascii="Arial" w:cs="Arial" w:eastAsia="Arial" w:hAnsi="Arial"/>
                  <w:sz w:val="18"/>
                  <w:szCs w:val="18"/>
                  <w:u w:val="single" w:color="auto"/>
                  <w:color w:val="0000FF"/>
                </w:rPr>
                <w:t>1.11</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27"/>
          </w:tcPr>
          <w:p>
            <w:pPr>
              <w:spacing w:after="0"/>
              <w:rPr>
                <w:rFonts w:ascii="Arial" w:cs="Arial" w:eastAsia="Arial" w:hAnsi="Arial"/>
                <w:sz w:val="18"/>
                <w:szCs w:val="18"/>
                <w:color w:val="0000FF"/>
                <w:w w:val="93"/>
              </w:rPr>
            </w:pPr>
            <w:hyperlink r:id="rId26">
              <w:r>
                <w:rPr>
                  <w:rFonts w:ascii="Arial" w:cs="Arial" w:eastAsia="Arial" w:hAnsi="Arial"/>
                  <w:sz w:val="18"/>
                  <w:szCs w:val="18"/>
                  <w:color w:val="0000FF"/>
                  <w:w w:val="93"/>
                </w:rPr>
                <w:t>Articles Supplementary of the Company (reclassification of Series E Preferred Stock to Preferred Stock) (incorporated by reference as an</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exhibit to the Company’s Current Report on Form 8-K, event date May 7, 2015).</w:t>
              </w:r>
            </w:hyperlink>
          </w:p>
        </w:tc>
        <w:tc>
          <w:tcPr>
            <w:tcW w:w="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6"/>
          </w:tcPr>
          <w:p>
            <w:pPr>
              <w:jc w:val="right"/>
              <w:spacing w:after="0"/>
              <w:rPr>
                <w:rFonts w:ascii="Arial" w:cs="Arial" w:eastAsia="Arial" w:hAnsi="Arial"/>
                <w:sz w:val="18"/>
                <w:szCs w:val="18"/>
                <w:color w:val="0000FF"/>
              </w:rPr>
            </w:pPr>
            <w:hyperlink r:id="rId27">
              <w:r>
                <w:rPr>
                  <w:rFonts w:ascii="Arial" w:cs="Arial" w:eastAsia="Arial" w:hAnsi="Arial"/>
                  <w:sz w:val="18"/>
                  <w:szCs w:val="18"/>
                  <w:color w:val="0000FF"/>
                </w:rPr>
                <w:t>3.</w:t>
              </w:r>
              <w:r>
                <w:rPr>
                  <w:rFonts w:ascii="Arial" w:cs="Arial" w:eastAsia="Arial" w:hAnsi="Arial"/>
                  <w:sz w:val="18"/>
                  <w:szCs w:val="18"/>
                  <w:u w:val="single" w:color="auto"/>
                  <w:color w:val="0000FF"/>
                </w:rPr>
                <w:t>1.12</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27"/>
          </w:tcPr>
          <w:p>
            <w:pPr>
              <w:spacing w:after="0"/>
              <w:rPr>
                <w:rFonts w:ascii="Arial" w:cs="Arial" w:eastAsia="Arial" w:hAnsi="Arial"/>
                <w:sz w:val="18"/>
                <w:szCs w:val="18"/>
                <w:color w:val="0000FF"/>
                <w:w w:val="97"/>
              </w:rPr>
            </w:pPr>
            <w:hyperlink r:id="rId27">
              <w:r>
                <w:rPr>
                  <w:rFonts w:ascii="Arial" w:cs="Arial" w:eastAsia="Arial" w:hAnsi="Arial"/>
                  <w:sz w:val="18"/>
                  <w:szCs w:val="18"/>
                  <w:color w:val="0000FF"/>
                  <w:w w:val="97"/>
                </w:rPr>
                <w:t>Articles Supplementary of the Company (repeal of election to be subject to Section 3-803 of the Maryland General Corporation Law)</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8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(incorporated by reference as an exhibit to the Company’s Current Report on Form 8-K, event date May 28, 2015).</w:t>
              </w:r>
            </w:hyperlink>
          </w:p>
        </w:tc>
        <w:tc>
          <w:tcPr>
            <w:tcW w:w="1340" w:type="dxa"/>
            <w:vAlign w:val="bottom"/>
            <w:tcBorders>
              <w:top w:val="single" w:sz="8" w:color="0000FF"/>
            </w:tcBorders>
            <w:gridSpan w:val="2"/>
          </w:tcPr>
          <w:p>
            <w:pPr>
              <w:spacing w:after="0"/>
              <w:rPr>
                <w:sz w:val="17"/>
                <w:szCs w:val="17"/>
                <w:color w:val="auto"/>
              </w:rPr>
            </w:pPr>
          </w:p>
        </w:tc>
        <w:tc>
          <w:tcPr>
            <w:tcW w:w="6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20" w:type="dxa"/>
            <w:vAlign w:val="bottom"/>
            <w:gridSpan w:val="6"/>
          </w:tcPr>
          <w:p>
            <w:pPr>
              <w:jc w:val="right"/>
              <w:spacing w:after="0"/>
              <w:rPr>
                <w:rFonts w:ascii="Arial" w:cs="Arial" w:eastAsia="Arial" w:hAnsi="Arial"/>
                <w:sz w:val="18"/>
                <w:szCs w:val="18"/>
                <w:color w:val="0000FF"/>
              </w:rPr>
            </w:pPr>
            <w:hyperlink r:id="rId28">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27"/>
          </w:tcPr>
          <w:p>
            <w:pPr>
              <w:spacing w:after="0"/>
              <w:rPr>
                <w:rFonts w:ascii="Arial" w:cs="Arial" w:eastAsia="Arial" w:hAnsi="Arial"/>
                <w:sz w:val="18"/>
                <w:szCs w:val="18"/>
                <w:color w:val="0000FF"/>
                <w:w w:val="94"/>
              </w:rPr>
            </w:pPr>
            <w:hyperlink r:id="rId28">
              <w:r>
                <w:rPr>
                  <w:rFonts w:ascii="Arial" w:cs="Arial" w:eastAsia="Arial" w:hAnsi="Arial"/>
                  <w:sz w:val="18"/>
                  <w:szCs w:val="18"/>
                  <w:color w:val="0000FF"/>
                  <w:w w:val="94"/>
                </w:rPr>
                <w:t>Amended and Restated Bylaws of the Company (incorporated by reference as an exhibit to the Company's Current Report on Form 8-K,</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9"/>
              </w:rPr>
            </w:pPr>
            <w:hyperlink r:id="rId28">
              <w:r>
                <w:rPr>
                  <w:rFonts w:ascii="Arial" w:cs="Arial" w:eastAsia="Arial" w:hAnsi="Arial"/>
                  <w:sz w:val="18"/>
                  <w:szCs w:val="18"/>
                  <w:color w:val="0000FF"/>
                  <w:w w:val="89"/>
                </w:rPr>
                <w:t>event date May 17, 2018).</w:t>
              </w:r>
            </w:hyperlink>
          </w:p>
        </w:tc>
        <w:tc>
          <w:tcPr>
            <w:tcW w:w="7920" w:type="dxa"/>
            <w:vAlign w:val="bottom"/>
            <w:tcBorders>
              <w:top w:val="single" w:sz="8" w:color="0000FF"/>
            </w:tcBorders>
            <w:gridSpan w:val="14"/>
          </w:tcPr>
          <w:p>
            <w:pPr>
              <w:spacing w:after="0"/>
              <w:rPr>
                <w:sz w:val="17"/>
                <w:szCs w:val="17"/>
                <w:color w:val="auto"/>
              </w:rPr>
            </w:pPr>
          </w:p>
        </w:tc>
        <w:tc>
          <w:tcPr>
            <w:tcW w:w="4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00" w:type="dxa"/>
            <w:vAlign w:val="bottom"/>
            <w:gridSpan w:val="4"/>
          </w:tcPr>
          <w:p>
            <w:pPr>
              <w:spacing w:after="0"/>
              <w:rPr>
                <w:sz w:val="21"/>
                <w:szCs w:val="21"/>
                <w:color w:val="auto"/>
              </w:rPr>
            </w:pPr>
          </w:p>
        </w:tc>
        <w:tc>
          <w:tcPr>
            <w:tcW w:w="320" w:type="dxa"/>
            <w:vAlign w:val="bottom"/>
            <w:gridSpan w:val="2"/>
          </w:tcPr>
          <w:p>
            <w:pPr>
              <w:jc w:val="right"/>
              <w:spacing w:after="0"/>
              <w:rPr>
                <w:rFonts w:ascii="Arial" w:cs="Arial" w:eastAsia="Arial" w:hAnsi="Arial"/>
                <w:sz w:val="18"/>
                <w:szCs w:val="18"/>
                <w:color w:val="0000FF"/>
                <w:w w:val="85"/>
              </w:rPr>
            </w:pPr>
            <w:hyperlink w:anchor="page46">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27"/>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Section 302 Certification of Arthur Coppola, Chief Executive Officer</w:t>
              </w:r>
            </w:hyperlink>
          </w:p>
        </w:tc>
        <w:tc>
          <w:tcPr>
            <w:tcW w:w="0" w:type="dxa"/>
            <w:vAlign w:val="bottom"/>
          </w:tcPr>
          <w:p>
            <w:pPr>
              <w:spacing w:after="0"/>
              <w:rPr>
                <w:sz w:val="1"/>
                <w:szCs w:val="1"/>
                <w:color w:val="auto"/>
              </w:rPr>
            </w:pPr>
          </w:p>
        </w:tc>
      </w:tr>
      <w:tr>
        <w:trPr>
          <w:trHeight w:val="250"/>
        </w:trPr>
        <w:tc>
          <w:tcPr>
            <w:tcW w:w="700" w:type="dxa"/>
            <w:vAlign w:val="bottom"/>
            <w:gridSpan w:val="4"/>
          </w:tcPr>
          <w:p>
            <w:pPr>
              <w:spacing w:after="0"/>
              <w:rPr>
                <w:sz w:val="21"/>
                <w:szCs w:val="21"/>
                <w:color w:val="auto"/>
              </w:rPr>
            </w:pPr>
          </w:p>
        </w:tc>
        <w:tc>
          <w:tcPr>
            <w:tcW w:w="320" w:type="dxa"/>
            <w:vAlign w:val="bottom"/>
            <w:tcBorders>
              <w:top w:val="single" w:sz="8" w:color="0000FF"/>
            </w:tcBorders>
            <w:gridSpan w:val="2"/>
          </w:tcPr>
          <w:p>
            <w:pPr>
              <w:jc w:val="right"/>
              <w:spacing w:after="0"/>
              <w:rPr>
                <w:rFonts w:ascii="Arial" w:cs="Arial" w:eastAsia="Arial" w:hAnsi="Arial"/>
                <w:sz w:val="18"/>
                <w:szCs w:val="18"/>
                <w:color w:val="0000FF"/>
                <w:w w:val="85"/>
              </w:rPr>
            </w:pPr>
            <w:hyperlink w:anchor="page4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20" w:type="dxa"/>
            <w:vAlign w:val="bottom"/>
            <w:tcBorders>
              <w:top w:val="single" w:sz="8" w:color="0000FF"/>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tcBorders>
              <w:top w:val="single" w:sz="8" w:color="0000FF"/>
            </w:tcBorders>
            <w:gridSpan w:val="11"/>
          </w:tcPr>
          <w:p>
            <w:pPr>
              <w:spacing w:after="0"/>
              <w:rPr>
                <w:rFonts w:ascii="Arial" w:cs="Arial" w:eastAsia="Arial" w:hAnsi="Arial"/>
                <w:sz w:val="18"/>
                <w:szCs w:val="18"/>
                <w:color w:val="0000FF"/>
                <w:w w:val="93"/>
              </w:rPr>
            </w:pPr>
            <w:hyperlink w:anchor="page47">
              <w:r>
                <w:rPr>
                  <w:rFonts w:ascii="Arial" w:cs="Arial" w:eastAsia="Arial" w:hAnsi="Arial"/>
                  <w:sz w:val="18"/>
                  <w:szCs w:val="18"/>
                  <w:color w:val="0000FF"/>
                  <w:w w:val="93"/>
                </w:rPr>
                <w:t>Section 302 Certification of Thomas O'Hern, Chief Financial Officer</w:t>
              </w:r>
            </w:hyperlink>
          </w:p>
        </w:tc>
        <w:tc>
          <w:tcPr>
            <w:tcW w:w="524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gridSpan w:val="9"/>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8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6"/>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27"/>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Section 906 Certifications of Arthur Coppola and Thomas O'Hern</w:t>
              </w:r>
            </w:hyperlink>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gridSpan w:val="9"/>
            <w:shd w:val="clear" w:color="auto" w:fill="0000FF"/>
          </w:tcPr>
          <w:p>
            <w:pPr>
              <w:spacing w:after="0" w:line="20" w:lineRule="exact"/>
              <w:rPr>
                <w:sz w:val="1"/>
                <w:szCs w:val="1"/>
                <w:color w:val="auto"/>
              </w:rPr>
            </w:pPr>
          </w:p>
        </w:tc>
        <w:tc>
          <w:tcPr>
            <w:tcW w:w="548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60" w:type="dxa"/>
            <w:vAlign w:val="bottom"/>
            <w:gridSpan w:val="8"/>
          </w:tcPr>
          <w:p>
            <w:pPr>
              <w:jc w:val="right"/>
              <w:ind w:right="1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10240" w:type="dxa"/>
            <w:vAlign w:val="bottom"/>
            <w:gridSpan w:val="27"/>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160" w:type="dxa"/>
            <w:vAlign w:val="bottom"/>
            <w:gridSpan w:val="8"/>
          </w:tcPr>
          <w:p>
            <w:pPr>
              <w:jc w:val="right"/>
              <w:ind w:right="1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3"/>
                <w:szCs w:val="23"/>
                <w:color w:val="auto"/>
              </w:rPr>
            </w:pPr>
          </w:p>
        </w:tc>
        <w:tc>
          <w:tcPr>
            <w:tcW w:w="10240" w:type="dxa"/>
            <w:vAlign w:val="bottom"/>
            <w:gridSpan w:val="2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160" w:type="dxa"/>
            <w:vAlign w:val="bottom"/>
            <w:gridSpan w:val="8"/>
          </w:tcPr>
          <w:p>
            <w:pPr>
              <w:jc w:val="right"/>
              <w:ind w:right="1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10240" w:type="dxa"/>
            <w:vAlign w:val="bottom"/>
            <w:gridSpan w:val="2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160" w:type="dxa"/>
            <w:vAlign w:val="bottom"/>
            <w:gridSpan w:val="8"/>
          </w:tcPr>
          <w:p>
            <w:pPr>
              <w:jc w:val="right"/>
              <w:ind w:right="1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3"/>
                <w:szCs w:val="23"/>
                <w:color w:val="auto"/>
              </w:rPr>
            </w:pPr>
          </w:p>
        </w:tc>
        <w:tc>
          <w:tcPr>
            <w:tcW w:w="10240" w:type="dxa"/>
            <w:vAlign w:val="bottom"/>
            <w:gridSpan w:val="27"/>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160" w:type="dxa"/>
            <w:vAlign w:val="bottom"/>
            <w:gridSpan w:val="8"/>
          </w:tcPr>
          <w:p>
            <w:pPr>
              <w:jc w:val="right"/>
              <w:ind w:right="1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10240" w:type="dxa"/>
            <w:vAlign w:val="bottom"/>
            <w:gridSpan w:val="2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70"/>
        </w:trPr>
        <w:tc>
          <w:tcPr>
            <w:tcW w:w="1160" w:type="dxa"/>
            <w:vAlign w:val="bottom"/>
            <w:gridSpan w:val="8"/>
          </w:tcPr>
          <w:p>
            <w:pPr>
              <w:jc w:val="right"/>
              <w:ind w:right="1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3"/>
                <w:szCs w:val="23"/>
                <w:color w:val="auto"/>
              </w:rPr>
            </w:pPr>
          </w:p>
        </w:tc>
        <w:tc>
          <w:tcPr>
            <w:tcW w:w="10240" w:type="dxa"/>
            <w:vAlign w:val="bottom"/>
            <w:gridSpan w:val="2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THE MACERICH COMPANY</w:t>
      </w:r>
    </w:p>
    <w:p>
      <w:pPr>
        <w:spacing w:after="0" w:line="63" w:lineRule="exact"/>
        <w:rPr>
          <w:sz w:val="20"/>
          <w:szCs w:val="20"/>
          <w:color w:val="auto"/>
        </w:rPr>
      </w:pPr>
    </w:p>
    <w:p>
      <w:pPr>
        <w:ind w:left="494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31750</wp:posOffset>
            </wp:positionV>
            <wp:extent cx="36531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extLst>
                    </a:blip>
                    <a:srcRect/>
                    <a:stretch>
                      <a:fillRect/>
                    </a:stretch>
                  </pic:blipFill>
                  <pic:spPr bwMode="auto">
                    <a:xfrm>
                      <a:off x="0" y="0"/>
                      <a:ext cx="3653155" cy="8890"/>
                    </a:xfrm>
                    <a:prstGeom prst="rect">
                      <a:avLst/>
                    </a:prstGeom>
                    <a:noFill/>
                  </pic:spPr>
                </pic:pic>
              </a:graphicData>
            </a:graphic>
          </wp:anchor>
        </w:drawing>
      </w:r>
    </w:p>
    <w:p>
      <w:pPr>
        <w:spacing w:after="0" w:line="57"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Thomas E. O'Hern</w:t>
      </w:r>
    </w:p>
    <w:p>
      <w:pPr>
        <w:spacing w:after="0" w:line="63" w:lineRule="exact"/>
        <w:rPr>
          <w:sz w:val="20"/>
          <w:szCs w:val="20"/>
          <w:color w:val="auto"/>
        </w:rPr>
      </w:pPr>
    </w:p>
    <w:p>
      <w:pPr>
        <w:jc w:val="center"/>
        <w:ind w:left="5060"/>
        <w:spacing w:after="0"/>
        <w:rPr>
          <w:sz w:val="20"/>
          <w:szCs w:val="20"/>
          <w:color w:val="auto"/>
        </w:rPr>
      </w:pPr>
      <w:r>
        <w:rPr>
          <w:rFonts w:ascii="Arial" w:cs="Arial" w:eastAsia="Arial" w:hAnsi="Arial"/>
          <w:sz w:val="18"/>
          <w:szCs w:val="18"/>
          <w:i w:val="1"/>
          <w:iCs w:val="1"/>
          <w:color w:val="auto"/>
        </w:rPr>
        <w:t>Senior Executive Vice President and Chief Financial Officer</w:t>
      </w:r>
    </w:p>
    <w:p>
      <w:pPr>
        <w:spacing w:after="0" w:line="63" w:lineRule="exact"/>
        <w:rPr>
          <w:sz w:val="20"/>
          <w:szCs w:val="20"/>
          <w:color w:val="auto"/>
        </w:rPr>
      </w:pPr>
    </w:p>
    <w:p>
      <w:pPr>
        <w:ind w:left="40"/>
        <w:spacing w:after="0"/>
        <w:tabs>
          <w:tab w:leader="none" w:pos="800" w:val="left"/>
          <w:tab w:leader="none" w:pos="7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2018</w:t>
      </w:r>
      <w:r>
        <w:rPr>
          <w:sz w:val="20"/>
          <w:szCs w:val="20"/>
          <w:color w:val="auto"/>
        </w:rPr>
        <w:tab/>
      </w:r>
      <w:r>
        <w:rPr>
          <w:rFonts w:ascii="Arial" w:cs="Arial" w:eastAsia="Arial" w:hAnsi="Arial"/>
          <w:sz w:val="17"/>
          <w:szCs w:val="17"/>
          <w:i w:val="1"/>
          <w:iCs w:val="1"/>
          <w:color w:val="auto"/>
        </w:rPr>
        <w:t>(Principal Financial Officer)</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720"/>
          </w:cols>
          <w:pgMar w:left="240" w:top="121" w:right="9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Arthur M. Coppola, certify that:</w:t>
      </w:r>
    </w:p>
    <w:p>
      <w:pPr>
        <w:spacing w:after="0" w:line="27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 ended June 30, 2018 of The Macerich Company;</w:t>
      </w:r>
    </w:p>
    <w:p>
      <w:pPr>
        <w:spacing w:after="0" w:line="279"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/s/ ARTHUR M. COPPOLA</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2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4960" w:type="dxa"/>
            <w:vAlign w:val="bottom"/>
            <w:vMerge w:val="restart"/>
          </w:tcPr>
          <w:p>
            <w:pPr>
              <w:ind w:left="220"/>
              <w:spacing w:after="0"/>
              <w:rPr>
                <w:sz w:val="20"/>
                <w:szCs w:val="20"/>
                <w:color w:val="auto"/>
              </w:rPr>
            </w:pPr>
            <w:r>
              <w:rPr>
                <w:rFonts w:ascii="Arial" w:cs="Arial" w:eastAsia="Arial" w:hAnsi="Arial"/>
                <w:sz w:val="18"/>
                <w:szCs w:val="18"/>
                <w:color w:val="auto"/>
              </w:rPr>
              <w:t>August 3, 2018</w:t>
            </w:r>
          </w:p>
        </w:tc>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c>
          <w:tcPr>
            <w:tcW w:w="0" w:type="dxa"/>
            <w:vAlign w:val="bottom"/>
          </w:tcPr>
          <w:p>
            <w:pPr>
              <w:spacing w:after="0"/>
              <w:rPr>
                <w:sz w:val="1"/>
                <w:szCs w:val="1"/>
                <w:color w:val="auto"/>
              </w:rPr>
            </w:pPr>
          </w:p>
        </w:tc>
      </w:tr>
      <w:tr>
        <w:trPr>
          <w:trHeight w:val="81"/>
        </w:trPr>
        <w:tc>
          <w:tcPr>
            <w:tcW w:w="620" w:type="dxa"/>
            <w:vAlign w:val="bottom"/>
            <w:vMerge w:val="continue"/>
          </w:tcPr>
          <w:p>
            <w:pPr>
              <w:spacing w:after="0"/>
              <w:rPr>
                <w:sz w:val="7"/>
                <w:szCs w:val="7"/>
                <w:color w:val="auto"/>
              </w:rPr>
            </w:pPr>
          </w:p>
        </w:tc>
        <w:tc>
          <w:tcPr>
            <w:tcW w:w="4960" w:type="dxa"/>
            <w:vAlign w:val="bottom"/>
            <w:vMerge w:val="continue"/>
          </w:tcPr>
          <w:p>
            <w:pPr>
              <w:spacing w:after="0"/>
              <w:rPr>
                <w:sz w:val="7"/>
                <w:szCs w:val="7"/>
                <w:color w:val="auto"/>
              </w:rPr>
            </w:pPr>
          </w:p>
        </w:tc>
        <w:tc>
          <w:tcPr>
            <w:tcW w:w="496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02"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E. O'Hern, certify that:</w:t>
      </w:r>
    </w:p>
    <w:p>
      <w:pPr>
        <w:spacing w:after="0" w:line="27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 ended June 30, 2018 of The Macerich Company;</w:t>
      </w:r>
    </w:p>
    <w:p>
      <w:pPr>
        <w:spacing w:after="0" w:line="279"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5560" w:type="dxa"/>
            <w:vAlign w:val="bottom"/>
          </w:tcPr>
          <w:p>
            <w:pPr>
              <w:ind w:left="40"/>
              <w:spacing w:after="0"/>
              <w:rPr>
                <w:sz w:val="20"/>
                <w:szCs w:val="20"/>
                <w:color w:val="auto"/>
              </w:rPr>
            </w:pPr>
            <w:r>
              <w:rPr>
                <w:rFonts w:ascii="Arial" w:cs="Arial" w:eastAsia="Arial" w:hAnsi="Arial"/>
                <w:sz w:val="18"/>
                <w:szCs w:val="18"/>
                <w:color w:val="auto"/>
              </w:rPr>
              <w:t>/s/ THOMAS E. O'HERN</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4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4480" w:type="dxa"/>
            <w:vAlign w:val="bottom"/>
            <w:vMerge w:val="restart"/>
          </w:tcPr>
          <w:p>
            <w:pPr>
              <w:ind w:left="240"/>
              <w:spacing w:after="0"/>
              <w:rPr>
                <w:sz w:val="20"/>
                <w:szCs w:val="20"/>
                <w:color w:val="auto"/>
              </w:rPr>
            </w:pPr>
            <w:r>
              <w:rPr>
                <w:rFonts w:ascii="Arial" w:cs="Arial" w:eastAsia="Arial" w:hAnsi="Arial"/>
                <w:sz w:val="18"/>
                <w:szCs w:val="18"/>
                <w:color w:val="auto"/>
              </w:rPr>
              <w:t>August 3, 2018</w:t>
            </w:r>
          </w:p>
        </w:tc>
        <w:tc>
          <w:tcPr>
            <w:tcW w:w="5560" w:type="dxa"/>
            <w:vAlign w:val="bottom"/>
          </w:tcPr>
          <w:p>
            <w:pPr>
              <w:ind w:left="40"/>
              <w:spacing w:after="0"/>
              <w:rPr>
                <w:sz w:val="20"/>
                <w:szCs w:val="20"/>
                <w:color w:val="auto"/>
              </w:rPr>
            </w:pPr>
            <w:r>
              <w:rPr>
                <w:rFonts w:ascii="Arial" w:cs="Arial" w:eastAsia="Arial" w:hAnsi="Arial"/>
                <w:sz w:val="18"/>
                <w:szCs w:val="18"/>
                <w:i w:val="1"/>
                <w:iCs w:val="1"/>
                <w:color w:val="auto"/>
              </w:rPr>
              <w:t>Senior Executive Vice President and Chief Financial Officer</w:t>
            </w:r>
          </w:p>
        </w:tc>
        <w:tc>
          <w:tcPr>
            <w:tcW w:w="0" w:type="dxa"/>
            <w:vAlign w:val="bottom"/>
          </w:tcPr>
          <w:p>
            <w:pPr>
              <w:spacing w:after="0"/>
              <w:rPr>
                <w:sz w:val="1"/>
                <w:szCs w:val="1"/>
                <w:color w:val="auto"/>
              </w:rPr>
            </w:pPr>
          </w:p>
        </w:tc>
      </w:tr>
      <w:tr>
        <w:trPr>
          <w:trHeight w:val="81"/>
        </w:trPr>
        <w:tc>
          <w:tcPr>
            <w:tcW w:w="640" w:type="dxa"/>
            <w:vAlign w:val="bottom"/>
            <w:vMerge w:val="continue"/>
          </w:tcPr>
          <w:p>
            <w:pPr>
              <w:spacing w:after="0"/>
              <w:rPr>
                <w:sz w:val="7"/>
                <w:szCs w:val="7"/>
                <w:color w:val="auto"/>
              </w:rPr>
            </w:pPr>
          </w:p>
        </w:tc>
        <w:tc>
          <w:tcPr>
            <w:tcW w:w="4480" w:type="dxa"/>
            <w:vAlign w:val="bottom"/>
            <w:vMerge w:val="continue"/>
          </w:tcPr>
          <w:p>
            <w:pPr>
              <w:spacing w:after="0"/>
              <w:rPr>
                <w:sz w:val="7"/>
                <w:szCs w:val="7"/>
                <w:color w:val="auto"/>
              </w:rPr>
            </w:pPr>
          </w:p>
        </w:tc>
        <w:tc>
          <w:tcPr>
            <w:tcW w:w="556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02"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undersigned, Arthur M. Coppola and Thomas E. O'Hern, the Chief Executive Officer and Chief Financial Officer, respectively, of The Macerich Company (the "Company"), pursuant to 18 U.S.C. §1350, each hereby certifies that, to the best of his knowledge:</w:t>
      </w:r>
    </w:p>
    <w:p>
      <w:pPr>
        <w:spacing w:after="0" w:line="116" w:lineRule="exact"/>
        <w:rPr>
          <w:sz w:val="20"/>
          <w:szCs w:val="20"/>
          <w:color w:val="auto"/>
        </w:rPr>
      </w:pPr>
    </w:p>
    <w:p>
      <w:pPr>
        <w:ind w:left="980" w:right="1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June 30, 2018 of the Company (the "Report") fully complies with the requirements of Section 13(a) and 15(d) of the Securities Exchange Act of 1934, as amended; and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2018</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ARTHUR M. COPPOLA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83185</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83185</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Senior Executive Vice President and Chief Financial Officer</w:t>
      </w: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9"/>
    </w:lvl>
    <w:lvl w:ilvl="1">
      <w:lvlJc w:val="left"/>
      <w:lvlText w:val="(%2)"/>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9" Type="http://schemas.openxmlformats.org/officeDocument/2006/relationships/image" Target="media/image9.png"/><Relationship Id="rId30" Type="http://schemas.openxmlformats.org/officeDocument/2006/relationships/image" Target="media/image10.png"/><Relationship Id="rId31" Type="http://schemas.openxmlformats.org/officeDocument/2006/relationships/image" Target="media/image11.png"/><Relationship Id="rId16" Type="http://schemas.openxmlformats.org/officeDocument/2006/relationships/hyperlink" Target="http://www.sec.gov/Archives/edgar/data/912242/000110465914081468/a14-24669_1ex2d1.htm" TargetMode="External"/><Relationship Id="rId17" Type="http://schemas.openxmlformats.org/officeDocument/2006/relationships/hyperlink" Target="http://www.sec.gov/Archives/edgar/data/912242/0001047469-99-012492.txt" TargetMode="External"/><Relationship Id="rId18" Type="http://schemas.openxmlformats.org/officeDocument/2006/relationships/hyperlink" Target="http://www.sec.gov/Archives/edgar/data/912242/000091205702030706/a2086079zex-3_1.htm" TargetMode="External"/><Relationship Id="rId19" Type="http://schemas.openxmlformats.org/officeDocument/2006/relationships/hyperlink" Target="http://www.sec.gov/Archives/edgar/data/912242/000091205702021417/a2080342zex-4_6.htm" TargetMode="External"/><Relationship Id="rId20" Type="http://schemas.openxmlformats.org/officeDocument/2006/relationships/hyperlink" Target="http://www.sec.gov/Archives/edgar/data/912242/000104746909001981/a2189901zex-3_15.htm" TargetMode="External"/><Relationship Id="rId21" Type="http://schemas.openxmlformats.org/officeDocument/2006/relationships/hyperlink" Target="http://www.sec.gov/Archives/edgar/data/912242/000110465909008348/a09-5253_1ex3d1.htm" TargetMode="External"/><Relationship Id="rId22" Type="http://schemas.openxmlformats.org/officeDocument/2006/relationships/hyperlink" Target="http://www.sec.gov/Archives/edgar/data/912242/000104746909007391/a2193924zex-3_17.htm" TargetMode="External"/><Relationship Id="rId23" Type="http://schemas.openxmlformats.org/officeDocument/2006/relationships/hyperlink" Target="http://www.sec.gov/Archives/edgar/data/912242/000110465914043330/a14-14485_1ex3d1.htm" TargetMode="External"/><Relationship Id="rId24" Type="http://schemas.openxmlformats.org/officeDocument/2006/relationships/hyperlink" Target="http://www.sec.gov/Archives/edgar/data/912242/000110465915020412/a15-6870_1ex3d1.htm" TargetMode="External"/><Relationship Id="rId25" Type="http://schemas.openxmlformats.org/officeDocument/2006/relationships/hyperlink" Target="http://www.sec.gov/Archives/edgar/data/912242/000110465915020810/a15-6873_1ex3d1.htm" TargetMode="External"/><Relationship Id="rId26" Type="http://schemas.openxmlformats.org/officeDocument/2006/relationships/hyperlink" Target="http://www.sec.gov/Archives/edgar/data/912242/000110465915037228/a15-11185_1ex3d1.htm" TargetMode="External"/><Relationship Id="rId27" Type="http://schemas.openxmlformats.org/officeDocument/2006/relationships/hyperlink" Target="http://www.sec.gov/Archives/edgar/data/912242/000110465915042631/a15-13305_1ex3d1.htm" TargetMode="External"/><Relationship Id="rId28" Type="http://schemas.openxmlformats.org/officeDocument/2006/relationships/hyperlink" Target="http://www.sec.gov/Archives/edgar/data/912242/000119312518172045/d553252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2019-12-28T20:14:18Z</dcterms:created>
  <dcterms:modified xsi:type="dcterms:W3CDTF">2019-12-28T20:14:18Z</dcterms:modified>
</cp:coreProperties>
</file>