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1392555</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9"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44" w:lineRule="exact"/>
        <w:rPr>
          <w:rFonts w:ascii="MS PGothic" w:cs="MS PGothic" w:eastAsia="MS PGothic" w:hAnsi="MS PGothic"/>
          <w:sz w:val="20"/>
          <w:szCs w:val="20"/>
          <w:color w:val="auto"/>
        </w:rPr>
      </w:pPr>
    </w:p>
    <w:p>
      <w:pPr>
        <w:ind w:left="64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90" w:lineRule="exact"/>
        <w:rPr>
          <w:sz w:val="24"/>
          <w:szCs w:val="24"/>
          <w:color w:val="auto"/>
        </w:rPr>
      </w:pPr>
    </w:p>
    <w:p>
      <w:pPr>
        <w:ind w:left="360" w:hanging="355"/>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00" w:lineRule="exact"/>
        <w:rPr>
          <w:sz w:val="24"/>
          <w:szCs w:val="24"/>
          <w:color w:val="auto"/>
        </w:rPr>
      </w:pPr>
    </w:p>
    <w:p>
      <w:pPr>
        <w:spacing w:after="0" w:line="28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No.: 1-12504</w:t>
      </w:r>
    </w:p>
    <w:p>
      <w:pPr>
        <w:spacing w:after="0" w:line="14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20"/>
          </w:cols>
          <w:pgMar w:left="320" w:top="1440" w:right="459" w:bottom="1440" w:gutter="0" w:footer="0" w:header="0"/>
        </w:sectPr>
      </w:pPr>
    </w:p>
    <w:p>
      <w:pPr>
        <w:spacing w:after="0" w:line="30"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5"/>
          <w:szCs w:val="15"/>
          <w:color w:val="auto"/>
        </w:rPr>
        <w:t>Maryland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95-4448705</w:t>
      </w:r>
    </w:p>
    <w:p>
      <w:pPr>
        <w:spacing w:after="0" w:line="30" w:lineRule="exact"/>
        <w:rPr>
          <w:sz w:val="24"/>
          <w:szCs w:val="24"/>
          <w:color w:val="auto"/>
        </w:rPr>
      </w:pPr>
    </w:p>
    <w:p>
      <w:pPr>
        <w:sectPr>
          <w:pgSz w:w="11900" w:h="16838" w:orient="portrait"/>
          <w:cols w:equalWidth="0" w:num="2">
            <w:col w:w="7320" w:space="720"/>
            <w:col w:w="3080"/>
          </w:cols>
          <w:pgMar w:left="320" w:top="1440" w:right="45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92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Number)</w:t>
      </w:r>
    </w:p>
    <w:p>
      <w:pPr>
        <w:spacing w:after="0" w:line="195" w:lineRule="exact"/>
        <w:rPr>
          <w:sz w:val="24"/>
          <w:szCs w:val="24"/>
          <w:color w:val="auto"/>
        </w:rPr>
      </w:pPr>
    </w:p>
    <w:p>
      <w:pPr>
        <w:sectPr>
          <w:pgSz w:w="11900" w:h="16838" w:orient="portrait"/>
          <w:cols w:equalWidth="0" w:num="2">
            <w:col w:w="6420" w:space="720"/>
            <w:col w:w="3980"/>
          </w:cols>
          <w:pgMar w:left="320" w:top="1440" w:right="459" w:bottom="1440" w:gutter="0" w:footer="0" w:header="0"/>
          <w:type w:val="continuous"/>
        </w:sectPr>
      </w:pPr>
    </w:p>
    <w:p>
      <w:pPr>
        <w:jc w:val="center"/>
        <w:ind w:left="420"/>
        <w:spacing w:after="0"/>
        <w:rPr>
          <w:sz w:val="20"/>
          <w:szCs w:val="20"/>
          <w:color w:val="auto"/>
        </w:rPr>
      </w:pPr>
      <w:r>
        <w:rPr>
          <w:rFonts w:ascii="Times New Roman" w:cs="Times New Roman" w:eastAsia="Times New Roman" w:hAnsi="Times New Roman"/>
          <w:sz w:val="15"/>
          <w:szCs w:val="15"/>
          <w:color w:val="auto"/>
        </w:rPr>
        <w:t>401 Wilshire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90401</w:t>
      </w:r>
    </w:p>
    <w:p>
      <w:pPr>
        <w:spacing w:after="0" w:line="27" w:lineRule="exact"/>
        <w:rPr>
          <w:sz w:val="24"/>
          <w:szCs w:val="24"/>
          <w:color w:val="auto"/>
        </w:rPr>
      </w:pPr>
    </w:p>
    <w:p>
      <w:pPr>
        <w:sectPr>
          <w:pgSz w:w="11900" w:h="16838" w:orient="portrait"/>
          <w:cols w:equalWidth="0" w:num="5">
            <w:col w:w="1980" w:space="440"/>
            <w:col w:w="640" w:space="360"/>
            <w:col w:w="920" w:space="420"/>
            <w:col w:w="2740" w:space="720"/>
            <w:col w:w="2900"/>
          </w:cols>
          <w:pgMar w:left="320" w:top="1440" w:right="45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5"/>
          <w:szCs w:val="15"/>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(Zip Code)</w:t>
      </w:r>
    </w:p>
    <w:p>
      <w:pPr>
        <w:spacing w:after="0" w:line="38" w:lineRule="exact"/>
        <w:rPr>
          <w:sz w:val="24"/>
          <w:szCs w:val="24"/>
          <w:color w:val="auto"/>
        </w:rPr>
      </w:pPr>
    </w:p>
    <w:p>
      <w:pPr>
        <w:sectPr>
          <w:pgSz w:w="11900" w:h="16838" w:orient="portrait"/>
          <w:cols w:equalWidth="0" w:num="2">
            <w:col w:w="7360" w:space="720"/>
            <w:col w:w="3040"/>
          </w:cols>
          <w:pgMar w:left="320" w:top="1440" w:right="459" w:bottom="1440" w:gutter="0" w:footer="0" w:header="0"/>
          <w:type w:val="continuous"/>
        </w:sectPr>
      </w:pPr>
    </w:p>
    <w:p>
      <w:pPr>
        <w:jc w:val="center"/>
        <w:ind w:right="-379"/>
        <w:spacing w:after="0"/>
        <w:rPr>
          <w:sz w:val="20"/>
          <w:szCs w:val="20"/>
          <w:color w:val="auto"/>
        </w:rPr>
      </w:pPr>
      <w:r>
        <w:rPr>
          <w:rFonts w:ascii="Times New Roman" w:cs="Times New Roman" w:eastAsia="Times New Roman" w:hAnsi="Times New Roman"/>
          <w:sz w:val="16"/>
          <w:szCs w:val="16"/>
          <w:color w:val="auto"/>
        </w:rPr>
        <w:t>(310) 394-6000</w:t>
      </w:r>
    </w:p>
    <w:p>
      <w:pPr>
        <w:sectPr>
          <w:pgSz w:w="11900" w:h="16838" w:orient="portrait"/>
          <w:cols w:equalWidth="0" w:num="1">
            <w:col w:w="11120"/>
          </w:cols>
          <w:pgMar w:left="320" w:top="1440" w:right="459" w:bottom="1440" w:gutter="0" w:footer="0" w:header="0"/>
          <w:type w:val="continuous"/>
        </w:sectPr>
      </w:pPr>
    </w:p>
    <w:p>
      <w:pPr>
        <w:spacing w:after="0" w:line="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8"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6"/>
          <w:szCs w:val="16"/>
          <w:color w:val="auto"/>
        </w:rPr>
        <w:t>N/A</w:t>
      </w:r>
    </w:p>
    <w:p>
      <w:pPr>
        <w:ind w:left="3060"/>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2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Act:</w:t>
      </w:r>
    </w:p>
    <w:p>
      <w:pPr>
        <w:sectPr>
          <w:pgSz w:w="11900" w:h="16838" w:orient="portrait"/>
          <w:cols w:equalWidth="0" w:num="1">
            <w:col w:w="11120"/>
          </w:cols>
          <w:pgMar w:left="320" w:top="1440" w:right="459" w:bottom="1440" w:gutter="0" w:footer="0" w:header="0"/>
          <w:type w:val="continuous"/>
        </w:sectPr>
      </w:pPr>
    </w:p>
    <w:p>
      <w:pPr>
        <w:spacing w:after="0" w:line="4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6"/>
          <w:szCs w:val="16"/>
          <w:color w:val="auto"/>
        </w:rPr>
        <w:t>Trading symbol</w:t>
      </w:r>
    </w:p>
    <w:p>
      <w:pPr>
        <w:spacing w:after="0" w:line="44"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MAC</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4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060" w:space="720"/>
            <w:col w:w="2040" w:space="720"/>
            <w:col w:w="3580"/>
          </w:cols>
          <w:pgMar w:left="320" w:top="1440" w:right="459" w:bottom="1440" w:gutter="0" w:footer="0" w:header="0"/>
          <w:type w:val="continuous"/>
        </w:sectPr>
      </w:pPr>
    </w:p>
    <w:p>
      <w:pPr>
        <w:spacing w:after="0" w:line="40" w:lineRule="exact"/>
        <w:rPr>
          <w:sz w:val="24"/>
          <w:szCs w:val="24"/>
          <w:color w:val="auto"/>
        </w:rPr>
      </w:pPr>
    </w:p>
    <w:p>
      <w:pPr>
        <w:ind w:right="160" w:firstLine="434"/>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120" w:firstLine="434"/>
        <w:spacing w:after="0" w:line="22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104" w:lineRule="exact"/>
        <w:rPr>
          <w:sz w:val="24"/>
          <w:szCs w:val="24"/>
          <w:color w:val="auto"/>
        </w:rPr>
      </w:pPr>
    </w:p>
    <w:p>
      <w:pPr>
        <w:ind w:firstLine="434"/>
        <w:spacing w:after="0" w:line="27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20"/>
          </w:cols>
          <w:pgMar w:left="320" w:top="1440" w:right="459" w:bottom="1440" w:gutter="0" w:footer="0" w:header="0"/>
          <w:type w:val="continuous"/>
        </w:sectPr>
      </w:pPr>
    </w:p>
    <w:p>
      <w:pPr>
        <w:spacing w:after="0" w:line="1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both"/>
        <w:ind w:hanging="19"/>
        <w:spacing w:after="0" w:line="340" w:lineRule="auto"/>
        <w:rPr>
          <w:sz w:val="20"/>
          <w:szCs w:val="20"/>
          <w:color w:val="auto"/>
        </w:rPr>
      </w:pPr>
      <w:r>
        <w:rPr>
          <w:rFonts w:ascii="Times New Roman" w:cs="Times New Roman" w:eastAsia="Times New Roman" w:hAnsi="Times New Roman"/>
          <w:sz w:val="15"/>
          <w:szCs w:val="15"/>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82" w:lineRule="exact"/>
        <w:rPr>
          <w:sz w:val="24"/>
          <w:szCs w:val="24"/>
          <w:color w:val="auto"/>
        </w:rPr>
      </w:pPr>
    </w:p>
    <w:p>
      <w:pPr>
        <w:sectPr>
          <w:pgSz w:w="11900" w:h="16838" w:orient="portrait"/>
          <w:cols w:equalWidth="0" w:num="8">
            <w:col w:w="1900" w:space="440"/>
            <w:col w:w="180" w:space="480"/>
            <w:col w:w="1100" w:space="460"/>
            <w:col w:w="140" w:space="580"/>
            <w:col w:w="1400" w:space="580"/>
            <w:col w:w="600" w:space="720"/>
            <w:col w:w="1800" w:space="140"/>
            <w:col w:w="600"/>
          </w:cols>
          <w:pgMar w:left="320" w:top="1440" w:right="459" w:bottom="1440" w:gutter="0" w:footer="0" w:header="0"/>
          <w:type w:val="continuous"/>
        </w:sectPr>
      </w:pPr>
    </w:p>
    <w:p>
      <w:pPr>
        <w:ind w:right="300" w:firstLine="434"/>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2" w:lineRule="exact"/>
        <w:rPr>
          <w:sz w:val="24"/>
          <w:szCs w:val="24"/>
          <w:color w:val="auto"/>
        </w:rPr>
      </w:pPr>
    </w:p>
    <w:p>
      <w:pPr>
        <w:ind w:left="440"/>
        <w:spacing w:after="0" w:line="196" w:lineRule="exact"/>
        <w:tabs>
          <w:tab w:leader="none" w:pos="83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5"/>
          <w:szCs w:val="15"/>
          <w:color w:val="auto"/>
        </w:rPr>
        <w:t>☒</w:t>
      </w:r>
    </w:p>
    <w:p>
      <w:pPr>
        <w:spacing w:after="0" w:line="20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Number of shares outstanding as of August 5, 2024 of the registrant's common stock, par value $0.01 per share: 215,991,342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739775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wp:posOffset>
            </wp:positionV>
            <wp:extent cx="71354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100" w:type="dxa"/>
            <w:vAlign w:val="bottom"/>
            <w:gridSpan w:val="8"/>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7"/>
              </w:rPr>
              <w:t>THE MACERICH COMPANY</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00" w:type="dxa"/>
            <w:vAlign w:val="bottom"/>
            <w:gridSpan w:val="8"/>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6"/>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520" w:type="dxa"/>
            <w:vAlign w:val="bottom"/>
            <w:gridSpan w:val="3"/>
          </w:tcPr>
          <w:p>
            <w:pPr>
              <w:spacing w:after="0"/>
              <w:rPr>
                <w:sz w:val="20"/>
                <w:szCs w:val="20"/>
                <w:color w:val="auto"/>
              </w:rPr>
            </w:pPr>
          </w:p>
        </w:tc>
        <w:tc>
          <w:tcPr>
            <w:tcW w:w="2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Financial Statements (Unaudited)</w:t>
            </w:r>
          </w:p>
        </w:tc>
        <w:tc>
          <w:tcPr>
            <w:tcW w:w="6800" w:type="dxa"/>
            <w:vAlign w:val="bottom"/>
            <w:gridSpan w:val="9"/>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Consolidated Balance Sheets as of June 30, 2024 and December 31, 2023</w:t>
            </w:r>
          </w:p>
        </w:tc>
        <w:tc>
          <w:tcPr>
            <w:tcW w:w="4000" w:type="dxa"/>
            <w:vAlign w:val="bottom"/>
            <w:gridSpan w:val="5"/>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six months ended June 30, 2024 and 2023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7"/>
              </w:rPr>
              <w:t>Consolidated Statements of Comprehensive Income (Loss) for the three and six months ended June 30, 2024 and 2023</w:t>
            </w:r>
          </w:p>
        </w:tc>
        <w:tc>
          <w:tcPr>
            <w:tcW w:w="84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Equity for the three and six months ended June 30, 2024 and 2023</w:t>
            </w:r>
          </w:p>
        </w:tc>
        <w:tc>
          <w:tcPr>
            <w:tcW w:w="84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6"/>
              </w:rPr>
              <w:t>Consolidated Statements of Cash Flows for the six months ended June 30, 2024 and 2023</w:t>
            </w:r>
          </w:p>
        </w:tc>
        <w:tc>
          <w:tcPr>
            <w:tcW w:w="320" w:type="dxa"/>
            <w:vAlign w:val="bottom"/>
          </w:tcPr>
          <w:p>
            <w:pPr>
              <w:spacing w:after="0"/>
              <w:rPr>
                <w:sz w:val="22"/>
                <w:szCs w:val="22"/>
                <w:color w:val="auto"/>
              </w:rPr>
            </w:pPr>
          </w:p>
        </w:tc>
        <w:tc>
          <w:tcPr>
            <w:tcW w:w="2540" w:type="dxa"/>
            <w:vAlign w:val="bottom"/>
            <w:gridSpan w:val="3"/>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60" w:type="dxa"/>
            <w:vAlign w:val="bottom"/>
            <w:gridSpan w:val="4"/>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520" w:type="dxa"/>
            <w:vAlign w:val="bottom"/>
            <w:gridSpan w:val="3"/>
          </w:tcPr>
          <w:p>
            <w:pPr>
              <w:spacing w:after="0"/>
              <w:rPr>
                <w:sz w:val="22"/>
                <w:szCs w:val="22"/>
                <w:color w:val="auto"/>
              </w:rPr>
            </w:pPr>
          </w:p>
        </w:tc>
        <w:tc>
          <w:tcPr>
            <w:tcW w:w="63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860" w:type="dxa"/>
            <w:vAlign w:val="bottom"/>
            <w:gridSpan w:val="4"/>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56"/>
        </w:trPr>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520" w:type="dxa"/>
            <w:vAlign w:val="bottom"/>
            <w:gridSpan w:val="3"/>
          </w:tcPr>
          <w:p>
            <w:pPr>
              <w:spacing w:after="0"/>
              <w:rPr>
                <w:sz w:val="22"/>
                <w:szCs w:val="22"/>
                <w:color w:val="auto"/>
              </w:rPr>
            </w:pPr>
          </w:p>
        </w:tc>
        <w:tc>
          <w:tcPr>
            <w:tcW w:w="4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900" w:type="dxa"/>
            <w:vAlign w:val="bottom"/>
            <w:gridSpan w:val="6"/>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520" w:type="dxa"/>
            <w:vAlign w:val="bottom"/>
            <w:gridSpan w:val="3"/>
          </w:tcPr>
          <w:p>
            <w:pPr>
              <w:spacing w:after="0"/>
              <w:rPr>
                <w:sz w:val="22"/>
                <w:szCs w:val="22"/>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5"/>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520" w:type="dxa"/>
            <w:vAlign w:val="bottom"/>
            <w:gridSpan w:val="3"/>
          </w:tcPr>
          <w:p>
            <w:pPr>
              <w:spacing w:after="0"/>
              <w:rPr>
                <w:sz w:val="20"/>
                <w:szCs w:val="20"/>
                <w:color w:val="auto"/>
              </w:rPr>
            </w:pPr>
          </w:p>
        </w:tc>
        <w:tc>
          <w:tcPr>
            <w:tcW w:w="1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860" w:type="dxa"/>
            <w:vAlign w:val="bottom"/>
            <w:gridSpan w:val="12"/>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56"/>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Borders>
              <w:bottom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4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920" w:type="dxa"/>
            <w:vAlign w:val="bottom"/>
            <w:gridSpan w:val="7"/>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520" w:type="dxa"/>
            <w:vAlign w:val="bottom"/>
            <w:gridSpan w:val="3"/>
          </w:tcPr>
          <w:p>
            <w:pPr>
              <w:spacing w:after="0"/>
              <w:rPr>
                <w:sz w:val="22"/>
                <w:szCs w:val="22"/>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56"/>
        </w:trPr>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22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900" w:type="dxa"/>
            <w:vAlign w:val="bottom"/>
            <w:gridSpan w:val="10"/>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56"/>
        </w:trPr>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tcBorders>
              <w:top w:val="single" w:sz="8" w:color="0000FF"/>
            </w:tcBorders>
            <w:gridSpan w:val="2"/>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440" w:type="dxa"/>
            <w:vAlign w:val="bottom"/>
            <w:tcBorders>
              <w:top w:val="single" w:sz="8" w:color="0000FF"/>
            </w:tcBorders>
            <w:gridSpan w:val="2"/>
          </w:tcPr>
          <w:p>
            <w:pPr>
              <w:spacing w:after="0"/>
              <w:rPr>
                <w:sz w:val="22"/>
                <w:szCs w:val="22"/>
                <w:color w:val="auto"/>
              </w:rPr>
            </w:pPr>
          </w:p>
        </w:tc>
        <w:tc>
          <w:tcPr>
            <w:tcW w:w="7440" w:type="dxa"/>
            <w:vAlign w:val="bottom"/>
            <w:gridSpan w:val="11"/>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520" w:type="dxa"/>
            <w:vAlign w:val="bottom"/>
            <w:gridSpan w:val="3"/>
          </w:tcPr>
          <w:p>
            <w:pPr>
              <w:spacing w:after="0"/>
              <w:rPr>
                <w:sz w:val="22"/>
                <w:szCs w:val="22"/>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Signature</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67945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6,138,889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5,900,489</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94,936</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95,358</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and other receivables,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183,478</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118,664</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263,068</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852,764</w:t>
            </w:r>
          </w:p>
        </w:tc>
      </w:tr>
      <w:tr>
        <w:trPr>
          <w:trHeight w:val="217"/>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7,777,706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7,513,512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notes payable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4,373,234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4,136,136</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other notes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89,548</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64,194</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83,989</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334,742</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in excess of investments in unconsolidated joint ventures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174,786</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arrangement obligation</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102,516</w:t>
            </w:r>
          </w:p>
        </w:tc>
      </w:tr>
      <w:tr>
        <w:trPr>
          <w:trHeight w:val="217"/>
        </w:trPr>
        <w:tc>
          <w:tcPr>
            <w:tcW w:w="824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5,188,966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4,985,911</w:t>
            </w:r>
          </w:p>
        </w:tc>
      </w:tr>
      <w:tr>
        <w:trPr>
          <w:trHeight w:val="204"/>
        </w:trPr>
        <w:tc>
          <w:tcPr>
            <w:tcW w:w="82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1"/>
        </w:trPr>
        <w:tc>
          <w:tcPr>
            <w:tcW w:w="824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w w:val="99"/>
              </w:rPr>
              <w:t>Common stock, $0.01 par value, 500,000,000 shares authorized at June 30, 2024 and December 31, 2023, and</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1"/>
        </w:trPr>
        <w:tc>
          <w:tcPr>
            <w:tcW w:w="824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216,403,221 and 215,976,614 shares issued and outstanding at June 30, 2024 and December 31, 2023,</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24"/>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5,509,603</w:t>
            </w: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(3,063,789)</w:t>
            </w:r>
          </w:p>
        </w:tc>
      </w:tr>
      <w:tr>
        <w:trPr>
          <w:trHeight w:val="224"/>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17"/>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2,505,434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2,447,020</w:t>
            </w:r>
          </w:p>
        </w:tc>
      </w:tr>
      <w:tr>
        <w:trPr>
          <w:trHeight w:val="224"/>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80,581</w:t>
            </w:r>
          </w:p>
        </w:tc>
      </w:tr>
      <w:tr>
        <w:trPr>
          <w:trHeight w:val="217"/>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2,588,740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2,527,601</w:t>
            </w:r>
          </w:p>
        </w:tc>
      </w:tr>
      <w:tr>
        <w:trPr>
          <w:trHeight w:val="217"/>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7,777,706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7,513,512</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80" w:type="dxa"/>
            <w:vAlign w:val="bottom"/>
          </w:tcPr>
          <w:p>
            <w:pPr>
              <w:spacing w:after="0"/>
              <w:rPr>
                <w:sz w:val="13"/>
                <w:szCs w:val="13"/>
                <w:color w:val="auto"/>
              </w:rPr>
            </w:pPr>
          </w:p>
        </w:tc>
        <w:tc>
          <w:tcPr>
            <w:tcW w:w="20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For the Six Months Ended June</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197,961</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192,653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389,613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391,698</w:t>
            </w: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11,686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20,740</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Management Companies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8,035</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14,790</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215,521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212,374</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424,304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427,228</w:t>
            </w:r>
          </w:p>
        </w:tc>
        <w:tc>
          <w:tcPr>
            <w:tcW w:w="0" w:type="dxa"/>
            <w:vAlign w:val="bottom"/>
          </w:tcPr>
          <w:p>
            <w:pPr>
              <w:spacing w:after="0"/>
              <w:rPr>
                <w:sz w:val="1"/>
                <w:szCs w:val="1"/>
                <w:color w:val="auto"/>
              </w:rPr>
            </w:pPr>
          </w:p>
        </w:tc>
      </w:tr>
      <w:tr>
        <w:trPr>
          <w:trHeight w:val="16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69,948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140,435</w:t>
            </w: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expenses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8,447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18,103</w:t>
            </w: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17,439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36,339</w:t>
            </w: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8,802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15,782</w:t>
            </w:r>
          </w:p>
        </w:tc>
        <w:tc>
          <w:tcPr>
            <w:tcW w:w="0" w:type="dxa"/>
            <w:vAlign w:val="bottom"/>
          </w:tcPr>
          <w:p>
            <w:pPr>
              <w:spacing w:after="0"/>
              <w:rPr>
                <w:sz w:val="1"/>
                <w:szCs w:val="1"/>
                <w:color w:val="auto"/>
              </w:rPr>
            </w:pPr>
          </w:p>
        </w:tc>
      </w:tr>
      <w:tr>
        <w:trPr>
          <w:trHeight w:val="198"/>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71,676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70,388</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140,027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141,841</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178,158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175,024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358,060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352,500</w:t>
            </w:r>
          </w:p>
        </w:tc>
        <w:tc>
          <w:tcPr>
            <w:tcW w:w="0" w:type="dxa"/>
            <w:vAlign w:val="bottom"/>
          </w:tcPr>
          <w:p>
            <w:pPr>
              <w:spacing w:after="0"/>
              <w:rPr>
                <w:sz w:val="1"/>
                <w:szCs w:val="1"/>
                <w:color w:val="auto"/>
              </w:rPr>
            </w:pPr>
          </w:p>
        </w:tc>
      </w:tr>
      <w:tr>
        <w:trPr>
          <w:trHeight w:val="177"/>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 expense:</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Related parties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5,980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0" w:type="dxa"/>
            <w:vAlign w:val="bottom"/>
          </w:tcPr>
          <w:p>
            <w:pPr>
              <w:spacing w:after="0"/>
              <w:rPr>
                <w:sz w:val="1"/>
                <w:szCs w:val="1"/>
                <w:color w:val="auto"/>
              </w:rPr>
            </w:pPr>
          </w:p>
        </w:tc>
      </w:tr>
      <w:tr>
        <w:trPr>
          <w:trHeight w:val="198"/>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48,724</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103,219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97,554</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39,765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54,704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91,955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94,127</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229,728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446,627</w:t>
            </w:r>
          </w:p>
        </w:tc>
        <w:tc>
          <w:tcPr>
            <w:tcW w:w="0" w:type="dxa"/>
            <w:vAlign w:val="bottom"/>
          </w:tcPr>
          <w:p>
            <w:pPr>
              <w:spacing w:after="0"/>
              <w:rPr>
                <w:sz w:val="1"/>
                <w:szCs w:val="1"/>
                <w:color w:val="auto"/>
              </w:rPr>
            </w:pPr>
          </w:p>
        </w:tc>
      </w:tr>
      <w:tr>
        <w:trPr>
          <w:trHeight w:val="19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loss of unconsolidated joint ventures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(68,770)</w:t>
            </w: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1,511</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Gain on sale or write down of assets, net</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324,996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10,279</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288,911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14,058</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(72,600)</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22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the Company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252,007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125,279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(73,697)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per common share—attributable to common stockholders: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216,180,000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215,457,000</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216,108,000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215,375,000</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216,180,000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215,457,000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216,108,000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215,375,000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100" w:type="dxa"/>
            <w:vAlign w:val="bottom"/>
          </w:tcPr>
          <w:p>
            <w:pPr>
              <w:spacing w:after="0"/>
              <w:rPr>
                <w:sz w:val="13"/>
                <w:szCs w:val="13"/>
                <w:color w:val="auto"/>
              </w:rPr>
            </w:pPr>
          </w:p>
        </w:tc>
        <w:tc>
          <w:tcPr>
            <w:tcW w:w="200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For the Six Months Ended June</w:t>
            </w:r>
          </w:p>
        </w:tc>
      </w:tr>
      <w:tr>
        <w:trPr>
          <w:trHeight w:val="191"/>
        </w:trPr>
        <w:tc>
          <w:tcPr>
            <w:tcW w:w="5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80" w:type="dxa"/>
            <w:vAlign w:val="bottom"/>
            <w:tcBorders>
              <w:bottom w:val="single" w:sz="8" w:color="auto"/>
            </w:tcBorders>
          </w:tcPr>
          <w:p>
            <w:pPr>
              <w:spacing w:after="0"/>
              <w:rPr>
                <w:sz w:val="16"/>
                <w:szCs w:val="16"/>
                <w:color w:val="auto"/>
              </w:rPr>
            </w:pPr>
          </w:p>
        </w:tc>
      </w:tr>
      <w:tr>
        <w:trPr>
          <w:trHeight w:val="191"/>
        </w:trPr>
        <w:tc>
          <w:tcPr>
            <w:tcW w:w="57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265,499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134,053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(72,600)</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183"/>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265,804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134,973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(72,130)</w:t>
            </w:r>
          </w:p>
        </w:tc>
      </w:tr>
      <w:tr>
        <w:trPr>
          <w:trHeight w:val="20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13,492</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8,774</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r>
      <w:tr>
        <w:trPr>
          <w:trHeight w:val="191"/>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the Company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252,312</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(14,614)</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126,199</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(73,227)</w:t>
            </w: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June 30, 2024 and 2023</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1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3"/>
                <w:szCs w:val="3"/>
                <w:color w:val="auto"/>
              </w:rPr>
            </w:pPr>
          </w:p>
        </w:tc>
        <w:tc>
          <w:tcPr>
            <w:tcW w:w="740" w:type="dxa"/>
            <w:vAlign w:val="bottom"/>
            <w:vMerge w:val="restart"/>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5"/>
                <w:szCs w:val="15"/>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1"/>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April 1, 2024</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216,091,693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5,512,628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(3,227,312)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2,287,138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73,477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2,360,615</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252,007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252,007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13,492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265,499</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113,765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2,397</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105,240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($0.17 per share)</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(36,724)</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(4,307)</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92,523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6,614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June 30, 2024</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216,403,221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5,515,333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(3,012,029)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2,505,434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83,306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2,588,740</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90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tcPr>
          <w:p>
            <w:pPr>
              <w:jc w:val="center"/>
              <w:ind w:right="260"/>
              <w:spacing w:after="0" w:line="73"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tcPr>
          <w:p>
            <w:pPr>
              <w:jc w:val="center"/>
              <w:ind w:right="300"/>
              <w:spacing w:after="0" w:line="73" w:lineRule="exact"/>
              <w:rPr>
                <w:sz w:val="20"/>
                <w:szCs w:val="20"/>
                <w:color w:val="auto"/>
              </w:rPr>
            </w:pPr>
            <w:r>
              <w:rPr>
                <w:rFonts w:ascii="Times New Roman" w:cs="Times New Roman" w:eastAsia="Times New Roman" w:hAnsi="Times New Roman"/>
                <w:sz w:val="8"/>
                <w:szCs w:val="8"/>
                <w:b w:val="1"/>
                <w:bCs w:val="1"/>
                <w:color w:val="auto"/>
              </w:rPr>
              <w:t>Other</w:t>
            </w:r>
          </w:p>
        </w:tc>
        <w:tc>
          <w:tcPr>
            <w:tcW w:w="140" w:type="dxa"/>
            <w:vAlign w:val="bottom"/>
          </w:tcPr>
          <w:p>
            <w:pPr>
              <w:spacing w:after="0"/>
              <w:rPr>
                <w:sz w:val="6"/>
                <w:szCs w:val="6"/>
                <w:color w:val="auto"/>
              </w:rPr>
            </w:pPr>
          </w:p>
        </w:tc>
        <w:tc>
          <w:tcPr>
            <w:tcW w:w="1140" w:type="dxa"/>
            <w:vAlign w:val="bottom"/>
            <w:gridSpan w:val="2"/>
          </w:tcPr>
          <w:p>
            <w:pPr>
              <w:jc w:val="center"/>
              <w:ind w:right="280"/>
              <w:spacing w:after="0" w:line="73" w:lineRule="exact"/>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1"/>
                <w:szCs w:val="11"/>
                <w:color w:val="auto"/>
              </w:rPr>
            </w:pPr>
          </w:p>
        </w:tc>
        <w:tc>
          <w:tcPr>
            <w:tcW w:w="62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11"/>
                <w:szCs w:val="11"/>
                <w:color w:val="auto"/>
              </w:rPr>
            </w:pPr>
          </w:p>
        </w:tc>
        <w:tc>
          <w:tcPr>
            <w:tcW w:w="94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108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11"/>
                <w:szCs w:val="11"/>
                <w:color w:val="auto"/>
              </w:rPr>
            </w:pPr>
          </w:p>
        </w:tc>
        <w:tc>
          <w:tcPr>
            <w:tcW w:w="740" w:type="dxa"/>
            <w:vAlign w:val="bottom"/>
          </w:tcPr>
          <w:p>
            <w:pPr>
              <w:jc w:val="center"/>
              <w:ind w:right="179"/>
              <w:spacing w:after="0" w:line="132"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April 1, 2023</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215,361,920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5,511,513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(2,738,525)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2,775,892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79,522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2,855,414</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(14,406)</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130,123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6,047</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125,754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($0.17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(36,608)</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(2,725)</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June 30, 2023</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215,617,797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5,518,237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(2,790,097)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2,731,396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77,641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2,809,037</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Six Months Ended June 30, 2024 and 2023</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90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300"/>
              <w:spacing w:after="0" w:line="121"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4"/>
                <w:szCs w:val="4"/>
                <w:color w:val="auto"/>
              </w:rPr>
            </w:pPr>
          </w:p>
        </w:tc>
        <w:tc>
          <w:tcPr>
            <w:tcW w:w="740" w:type="dxa"/>
            <w:vAlign w:val="bottom"/>
            <w:vMerge w:val="restart"/>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3"/>
        </w:trPr>
        <w:tc>
          <w:tcPr>
            <w:tcW w:w="190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2024</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215,976,614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5,509,603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(3,063,789)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2,447,020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80,581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2,527,601</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125,279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8,774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134,053</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0" w:type="dxa"/>
            <w:vAlign w:val="bottom"/>
          </w:tcPr>
          <w:p>
            <w:pPr>
              <w:spacing w:after="0"/>
              <w:rPr>
                <w:sz w:val="1"/>
                <w:szCs w:val="1"/>
                <w:color w:val="auto"/>
              </w:rPr>
            </w:pPr>
          </w:p>
        </w:tc>
      </w:tr>
      <w:tr>
        <w:trPr>
          <w:trHeight w:val="127"/>
        </w:trPr>
        <w:tc>
          <w:tcPr>
            <w:tcW w:w="1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228,844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5,443</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105,240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($0.34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(73,519)</w:t>
            </w:r>
          </w:p>
        </w:tc>
        <w:tc>
          <w:tcPr>
            <w:tcW w:w="0" w:type="dxa"/>
            <w:vAlign w:val="bottom"/>
          </w:tcPr>
          <w:p>
            <w:pPr>
              <w:spacing w:after="0"/>
              <w:rPr>
                <w:sz w:val="1"/>
                <w:szCs w:val="1"/>
                <w:color w:val="auto"/>
              </w:rPr>
            </w:pPr>
          </w:p>
        </w:tc>
      </w:tr>
      <w:tr>
        <w:trPr>
          <w:trHeight w:val="127"/>
        </w:trPr>
        <w:tc>
          <w:tcPr>
            <w:tcW w:w="1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(6,713)</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92,523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1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6,634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June 30, 2024</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216,403,221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5,515,333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(3,012,029)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2,505,434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83,306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2,588,740</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tcPr>
          <w:p>
            <w:pPr>
              <w:jc w:val="center"/>
              <w:ind w:right="260"/>
              <w:spacing w:after="0" w:line="53"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tcPr>
          <w:p>
            <w:pPr>
              <w:jc w:val="center"/>
              <w:ind w:right="300"/>
              <w:spacing w:after="0" w:line="53" w:lineRule="exact"/>
              <w:rPr>
                <w:sz w:val="20"/>
                <w:szCs w:val="20"/>
                <w:color w:val="auto"/>
              </w:rPr>
            </w:pPr>
            <w:r>
              <w:rPr>
                <w:rFonts w:ascii="Times New Roman" w:cs="Times New Roman" w:eastAsia="Times New Roman" w:hAnsi="Times New Roman"/>
                <w:sz w:val="6"/>
                <w:szCs w:val="6"/>
                <w:b w:val="1"/>
                <w:bCs w:val="1"/>
                <w:color w:val="auto"/>
              </w:rPr>
              <w:t>Other</w:t>
            </w:r>
          </w:p>
        </w:tc>
        <w:tc>
          <w:tcPr>
            <w:tcW w:w="140" w:type="dxa"/>
            <w:vAlign w:val="bottom"/>
          </w:tcPr>
          <w:p>
            <w:pPr>
              <w:spacing w:after="0"/>
              <w:rPr>
                <w:sz w:val="4"/>
                <w:szCs w:val="4"/>
                <w:color w:val="auto"/>
              </w:rPr>
            </w:pPr>
          </w:p>
        </w:tc>
        <w:tc>
          <w:tcPr>
            <w:tcW w:w="1140" w:type="dxa"/>
            <w:vAlign w:val="bottom"/>
            <w:gridSpan w:val="2"/>
          </w:tcPr>
          <w:p>
            <w:pPr>
              <w:jc w:val="center"/>
              <w:ind w:right="280"/>
              <w:spacing w:after="0" w:line="53" w:lineRule="exact"/>
              <w:rPr>
                <w:sz w:val="20"/>
                <w:szCs w:val="20"/>
                <w:color w:val="auto"/>
              </w:rPr>
            </w:pPr>
            <w:r>
              <w:rPr>
                <w:rFonts w:ascii="Times New Roman" w:cs="Times New Roman" w:eastAsia="Times New Roman" w:hAnsi="Times New Roman"/>
                <w:sz w:val="6"/>
                <w:szCs w:val="6"/>
                <w:b w:val="1"/>
                <w:bCs w:val="1"/>
                <w:color w:val="auto"/>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11"/>
                <w:szCs w:val="11"/>
                <w:color w:val="auto"/>
              </w:rPr>
            </w:pPr>
          </w:p>
        </w:tc>
        <w:tc>
          <w:tcPr>
            <w:tcW w:w="740" w:type="dxa"/>
            <w:vAlign w:val="bottom"/>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77"/>
        </w:trPr>
        <w:tc>
          <w:tcPr>
            <w:tcW w:w="190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5"/>
                <w:szCs w:val="15"/>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1"/>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2023</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215,241,129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5,506,084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(2,643,094)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2,865,773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83,576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2,949,349</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1,097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(72,600)</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250,914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12,019</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125,754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($0.34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(73,306)</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(7,839)</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June 30, 2023</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215,617,797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5,518,237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(2,790,097)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2,731,396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77,641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2,809,037</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8440" w:type="dxa"/>
            <w:vAlign w:val="bottom"/>
          </w:tcPr>
          <w:p>
            <w:pPr>
              <w:jc w:val="center"/>
              <w:ind w:left="241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16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2640" w:type="dxa"/>
            <w:vAlign w:val="bottom"/>
            <w:gridSpan w:val="6"/>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For the Six Months Ended June</w:t>
            </w:r>
          </w:p>
        </w:tc>
      </w:tr>
      <w:tr>
        <w:trPr>
          <w:trHeight w:val="234"/>
        </w:trPr>
        <w:tc>
          <w:tcPr>
            <w:tcW w:w="16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0"/>
        </w:trPr>
        <w:tc>
          <w:tcPr>
            <w:tcW w:w="160" w:type="dxa"/>
            <w:vAlign w:val="bottom"/>
          </w:tcPr>
          <w:p>
            <w:pPr>
              <w:spacing w:after="0"/>
              <w:rPr>
                <w:sz w:val="19"/>
                <w:szCs w:val="19"/>
                <w:color w:val="auto"/>
              </w:rPr>
            </w:pPr>
          </w:p>
        </w:tc>
        <w:tc>
          <w:tcPr>
            <w:tcW w:w="8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r>
      <w:tr>
        <w:trPr>
          <w:trHeight w:val="217"/>
        </w:trPr>
        <w:tc>
          <w:tcPr>
            <w:tcW w:w="160" w:type="dxa"/>
            <w:vAlign w:val="bottom"/>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134,053</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(72,600)</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or write down of assets,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149,336</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discount on mortgage notes payable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share and unit-based plans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Straight-line rent and amortization of above and below market leases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(recovery of) doubtful accounts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loss of unconsolidated joint ventures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68,770</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of income from unconsolidated joint ventures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financing arrangement obligation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 net of dispositions: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Tenant and other receivables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20,406</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Due from affiliates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40" w:type="dxa"/>
            <w:vAlign w:val="bottom"/>
          </w:tcPr>
          <w:p>
            <w:pPr>
              <w:spacing w:after="0"/>
              <w:rPr>
                <w:sz w:val="19"/>
                <w:szCs w:val="19"/>
                <w:color w:val="auto"/>
              </w:rPr>
            </w:pPr>
          </w:p>
        </w:tc>
      </w:tr>
      <w:tr>
        <w:trPr>
          <w:trHeight w:val="217"/>
        </w:trPr>
        <w:tc>
          <w:tcPr>
            <w:tcW w:w="160" w:type="dxa"/>
            <w:vAlign w:val="bottom"/>
          </w:tcPr>
          <w:p>
            <w:pPr>
              <w:spacing w:after="0"/>
              <w:rPr>
                <w:sz w:val="18"/>
                <w:szCs w:val="18"/>
                <w:color w:val="auto"/>
              </w:rPr>
            </w:pPr>
          </w:p>
        </w:tc>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138,721</w:t>
            </w:r>
          </w:p>
        </w:tc>
        <w:tc>
          <w:tcPr>
            <w:tcW w:w="140" w:type="dxa"/>
            <w:vAlign w:val="bottom"/>
          </w:tcPr>
          <w:p>
            <w:pPr>
              <w:spacing w:after="0"/>
              <w:rPr>
                <w:sz w:val="18"/>
                <w:szCs w:val="18"/>
                <w:color w:val="auto"/>
              </w:rPr>
            </w:pPr>
          </w:p>
        </w:tc>
      </w:tr>
      <w:tr>
        <w:trPr>
          <w:trHeight w:val="217"/>
        </w:trPr>
        <w:tc>
          <w:tcPr>
            <w:tcW w:w="160" w:type="dxa"/>
            <w:vAlign w:val="bottom"/>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of property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Development, redevelopment, expansion and renovation of properties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(32,724)</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improvements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(35,367)</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leasing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from unconsolidated joint ventures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186,057</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to unconsolidated joint ventures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(37,238)</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acquired from acquisition of unconsolidated joint ventures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Derecognition of cash previously held by a consolidated joint venture to an unconsolidated joint venture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24"/>
        </w:trPr>
        <w:tc>
          <w:tcPr>
            <w:tcW w:w="160" w:type="dxa"/>
            <w:vAlign w:val="bottom"/>
          </w:tcPr>
          <w:p>
            <w:pPr>
              <w:spacing w:after="0"/>
              <w:rPr>
                <w:sz w:val="19"/>
                <w:szCs w:val="19"/>
                <w:color w:val="auto"/>
              </w:rPr>
            </w:pPr>
          </w:p>
        </w:tc>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28,244</w:t>
            </w:r>
          </w:p>
        </w:tc>
        <w:tc>
          <w:tcPr>
            <w:tcW w:w="140" w:type="dxa"/>
            <w:vAlign w:val="bottom"/>
          </w:tcPr>
          <w:p>
            <w:pPr>
              <w:spacing w:after="0"/>
              <w:rPr>
                <w:sz w:val="19"/>
                <w:szCs w:val="19"/>
                <w:color w:val="auto"/>
              </w:rPr>
            </w:pPr>
          </w:p>
        </w:tc>
      </w:tr>
      <w:tr>
        <w:trPr>
          <w:trHeight w:val="217"/>
        </w:trPr>
        <w:tc>
          <w:tcPr>
            <w:tcW w:w="160" w:type="dxa"/>
            <w:vAlign w:val="bottom"/>
          </w:tcPr>
          <w:p>
            <w:pPr>
              <w:spacing w:after="0"/>
              <w:rPr>
                <w:sz w:val="18"/>
                <w:szCs w:val="18"/>
                <w:color w:val="auto"/>
              </w:rPr>
            </w:pPr>
          </w:p>
        </w:tc>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58,917</w:t>
            </w:r>
          </w:p>
        </w:tc>
        <w:tc>
          <w:tcPr>
            <w:tcW w:w="140" w:type="dxa"/>
            <w:vAlign w:val="bottom"/>
          </w:tcPr>
          <w:p>
            <w:pPr>
              <w:spacing w:after="0"/>
              <w:rPr>
                <w:sz w:val="18"/>
                <w:szCs w:val="18"/>
                <w:color w:val="auto"/>
              </w:rPr>
            </w:pPr>
          </w:p>
        </w:tc>
      </w:tr>
      <w:tr>
        <w:trPr>
          <w:trHeight w:val="874"/>
        </w:trPr>
        <w:tc>
          <w:tcPr>
            <w:tcW w:w="8600" w:type="dxa"/>
            <w:vAlign w:val="bottom"/>
            <w:gridSpan w:val="2"/>
          </w:tcPr>
          <w:p>
            <w:pPr>
              <w:jc w:val="right"/>
              <w:ind w:right="2852"/>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2"/>
        </w:trPr>
        <w:tc>
          <w:tcPr>
            <w:tcW w:w="16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83"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8440" w:type="dxa"/>
            <w:vAlign w:val="bottom"/>
          </w:tcPr>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5"/>
        </w:trPr>
        <w:tc>
          <w:tcPr>
            <w:tcW w:w="8440" w:type="dxa"/>
            <w:vAlign w:val="bottom"/>
          </w:tcPr>
          <w:p>
            <w:pPr>
              <w:spacing w:after="0"/>
              <w:rPr>
                <w:sz w:val="16"/>
                <w:szCs w:val="16"/>
                <w:color w:val="auto"/>
              </w:rPr>
            </w:pPr>
          </w:p>
        </w:tc>
        <w:tc>
          <w:tcPr>
            <w:tcW w:w="2500" w:type="dxa"/>
            <w:vAlign w:val="bottom"/>
            <w:gridSpan w:val="5"/>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w w:val="98"/>
              </w:rPr>
              <w:t>For the Six Months Ended June</w:t>
            </w:r>
          </w:p>
        </w:tc>
      </w:tr>
      <w:tr>
        <w:trPr>
          <w:trHeight w:val="234"/>
        </w:trPr>
        <w:tc>
          <w:tcPr>
            <w:tcW w:w="8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r>
      <w:tr>
        <w:trPr>
          <w:trHeight w:val="220"/>
        </w:trPr>
        <w:tc>
          <w:tcPr>
            <w:tcW w:w="8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4"/>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mortgages, bank and other notes payable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4"/>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mortgages, bank and other notes payable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(596,086)</w:t>
            </w:r>
          </w:p>
        </w:tc>
      </w:tr>
      <w:tr>
        <w:trPr>
          <w:trHeight w:val="224"/>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r>
      <w:tr>
        <w:trPr>
          <w:trHeight w:val="224"/>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24"/>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from stock offerings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4"/>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share and unit-based plans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24"/>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(81,145)</w:t>
            </w:r>
          </w:p>
        </w:tc>
      </w:tr>
      <w:tr>
        <w:trPr>
          <w:trHeight w:val="217"/>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(193,974)</w:t>
            </w:r>
          </w:p>
        </w:tc>
      </w:tr>
      <w:tr>
        <w:trPr>
          <w:trHeight w:val="217"/>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181,139</w:t>
            </w:r>
          </w:p>
        </w:tc>
      </w:tr>
      <w:tr>
        <w:trPr>
          <w:trHeight w:val="217"/>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184,803</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4"/>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94,686</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7"/>
        </w:trPr>
        <w:tc>
          <w:tcPr>
            <w:tcW w:w="844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Accrued development costs included in accounts payable and accrued expenses and other accrued liabilities</w:t>
            </w:r>
          </w:p>
        </w:tc>
        <w:tc>
          <w:tcPr>
            <w:tcW w:w="260" w:type="dxa"/>
            <w:vAlign w:val="bottom"/>
            <w:tcBorders>
              <w:bottom w:val="single" w:sz="8" w:color="auto"/>
            </w:tcBorders>
          </w:tcPr>
          <w:p>
            <w:pPr>
              <w:jc w:val="right"/>
              <w:ind w:right="7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39,686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40,197</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5"/>
        </w:trPr>
        <w:tc>
          <w:tcPr>
            <w:tcW w:w="8440" w:type="dxa"/>
            <w:vAlign w:val="bottom"/>
            <w:tcBorders>
              <w:bottom w:val="single" w:sz="8" w:color="CCEEFF"/>
            </w:tcBorders>
            <w:shd w:val="clear" w:color="auto" w:fill="CCEEFF"/>
          </w:tcPr>
          <w:p>
            <w:pPr>
              <w:ind w:left="140"/>
              <w:spacing w:after="0" w:line="190" w:lineRule="exact"/>
              <w:rPr>
                <w:sz w:val="20"/>
                <w:szCs w:val="20"/>
                <w:color w:val="auto"/>
              </w:rPr>
            </w:pPr>
            <w:r>
              <w:rPr>
                <w:rFonts w:ascii="Times New Roman" w:cs="Times New Roman" w:eastAsia="Times New Roman" w:hAnsi="Times New Roman"/>
                <w:sz w:val="18"/>
                <w:szCs w:val="18"/>
                <w:color w:val="auto"/>
                <w:w w:val="97"/>
              </w:rPr>
              <w:t>Derecognition of previously consolidated property and related liabilities to investment in unconsolidated joint venture</w:t>
            </w:r>
          </w:p>
        </w:tc>
        <w:tc>
          <w:tcPr>
            <w:tcW w:w="260" w:type="dxa"/>
            <w:vAlign w:val="bottom"/>
            <w:tcBorders>
              <w:bottom w:val="single" w:sz="8" w:color="auto"/>
            </w:tcBorders>
            <w:shd w:val="clear" w:color="auto" w:fill="CCEEFF"/>
          </w:tcPr>
          <w:p>
            <w:pPr>
              <w:jc w:val="right"/>
              <w:ind w:right="7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347,290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Conversion of Operating Partnership Units to common stock</w:t>
            </w: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5,970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acquired from unconsolidated joint venture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Liabilities assumed from unconsolidated joint venture</w:t>
            </w: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558,439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50" w:lineRule="exact"/>
        <w:rPr>
          <w:sz w:val="20"/>
          <w:szCs w:val="20"/>
          <w:color w:val="auto"/>
        </w:rPr>
      </w:pPr>
    </w:p>
    <w:p>
      <w:pPr>
        <w:ind w:right="180" w:firstLine="434"/>
        <w:spacing w:after="0" w:line="268" w:lineRule="auto"/>
        <w:rPr>
          <w:sz w:val="20"/>
          <w:szCs w:val="20"/>
          <w:color w:val="auto"/>
        </w:rPr>
      </w:pPr>
      <w:r>
        <w:rPr>
          <w:rFonts w:ascii="Times New Roman" w:cs="Times New Roman" w:eastAsia="Times New Roman" w:hAnsi="Times New Roman"/>
          <w:sz w:val="18"/>
          <w:szCs w:val="18"/>
          <w:color w:val="auto"/>
        </w:rPr>
        <w:t>The Macerich Company (the "Company") is involved in the acquisition, ownership, development, redevelopment, management and leasing of regional retail centers and community/power shopping centers (the "Centers") located throughout the United States.</w:t>
      </w:r>
    </w:p>
    <w:p>
      <w:pPr>
        <w:spacing w:after="0" w:line="90" w:lineRule="exact"/>
        <w:rPr>
          <w:sz w:val="20"/>
          <w:szCs w:val="20"/>
          <w:color w:val="auto"/>
        </w:rPr>
      </w:pPr>
    </w:p>
    <w:p>
      <w:pPr>
        <w:ind w:right="160" w:firstLine="434"/>
        <w:spacing w:after="0" w:line="256" w:lineRule="auto"/>
        <w:rPr>
          <w:sz w:val="20"/>
          <w:szCs w:val="20"/>
          <w:color w:val="auto"/>
        </w:rPr>
      </w:pPr>
      <w:r>
        <w:rPr>
          <w:rFonts w:ascii="Times New Roman" w:cs="Times New Roman" w:eastAsia="Times New Roman" w:hAnsi="Times New Roman"/>
          <w:sz w:val="18"/>
          <w:szCs w:val="18"/>
          <w:color w:val="auto"/>
        </w:rPr>
        <w:t>The Company commenced operations effective with the completion of its initial public offering on March 16, 1994. As of June 30, 2024,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114" w:lineRule="exact"/>
        <w:rPr>
          <w:sz w:val="20"/>
          <w:szCs w:val="20"/>
          <w:color w:val="auto"/>
        </w:rPr>
      </w:pPr>
    </w:p>
    <w:p>
      <w:pPr>
        <w:ind w:right="80" w:firstLine="434"/>
        <w:spacing w:after="0" w:line="249" w:lineRule="auto"/>
        <w:rPr>
          <w:sz w:val="20"/>
          <w:szCs w:val="20"/>
          <w:color w:val="auto"/>
        </w:rPr>
      </w:pPr>
      <w:r>
        <w:rPr>
          <w:rFonts w:ascii="Times New Roman" w:cs="Times New Roman" w:eastAsia="Times New Roman" w:hAnsi="Times New Roman"/>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19" w:lineRule="exact"/>
        <w:rPr>
          <w:sz w:val="20"/>
          <w:szCs w:val="20"/>
          <w:color w:val="auto"/>
        </w:rPr>
      </w:pPr>
    </w:p>
    <w:p>
      <w:pPr>
        <w:ind w:right="340" w:firstLine="434"/>
        <w:spacing w:after="0" w:line="268" w:lineRule="auto"/>
        <w:rPr>
          <w:sz w:val="20"/>
          <w:szCs w:val="20"/>
          <w:color w:val="auto"/>
        </w:rPr>
      </w:pPr>
      <w:r>
        <w:rPr>
          <w:rFonts w:ascii="Times New Roman" w:cs="Times New Roman" w:eastAsia="Times New Roman" w:hAnsi="Times New Roman"/>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88" w:lineRule="exact"/>
        <w:rPr>
          <w:sz w:val="20"/>
          <w:szCs w:val="20"/>
          <w:color w:val="auto"/>
        </w:rPr>
      </w:pPr>
    </w:p>
    <w:p>
      <w:pPr>
        <w:ind w:left="400" w:right="7660" w:hanging="395"/>
        <w:spacing w:after="0" w:line="413" w:lineRule="auto"/>
        <w:tabs>
          <w:tab w:leader="none" w:pos="18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104"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SanTan Village Regional Center.</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Operating Partnership's consolidated VIEs included the following assets and liabilities: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1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128,673</w:t>
            </w:r>
          </w:p>
        </w:tc>
      </w:tr>
      <w:tr>
        <w:trPr>
          <w:trHeight w:val="224"/>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w:t>
            </w:r>
          </w:p>
        </w:tc>
      </w:tr>
      <w:tr>
        <w:trPr>
          <w:trHeight w:val="217"/>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148,732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notes payable</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219,551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219,506</w:t>
            </w:r>
          </w:p>
        </w:tc>
      </w:tr>
      <w:tr>
        <w:trPr>
          <w:trHeight w:val="224"/>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78,794</w:t>
            </w:r>
          </w:p>
        </w:tc>
      </w:tr>
      <w:tr>
        <w:trPr>
          <w:trHeight w:val="217"/>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293,894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298,300</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632"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42" w:lineRule="exact"/>
        <w:rPr>
          <w:sz w:val="20"/>
          <w:szCs w:val="20"/>
          <w:color w:val="auto"/>
        </w:rPr>
      </w:pPr>
    </w:p>
    <w:p>
      <w:pPr>
        <w:ind w:right="40" w:firstLine="434"/>
        <w:spacing w:after="0" w:line="284" w:lineRule="auto"/>
        <w:rPr>
          <w:sz w:val="20"/>
          <w:szCs w:val="20"/>
          <w:color w:val="auto"/>
        </w:rPr>
      </w:pPr>
      <w:r>
        <w:rPr>
          <w:rFonts w:ascii="Times New Roman" w:cs="Times New Roman" w:eastAsia="Times New Roman" w:hAnsi="Times New Roman"/>
          <w:sz w:val="16"/>
          <w:szCs w:val="16"/>
          <w:color w:val="auto"/>
        </w:rPr>
        <w:t>The unaudited interim consolidated financial statements should be read in conjunction with the Company's audited consolidated financial statements and notes thereto included in the Company's Annual Report on Form 10-K for the year ended December 31, 2023.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2023 has been derived from the audited financial statements but does not include all disclosures required by GAAP.</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of period and end of period cash, cash equivalents and restricted cash reported 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 to the totals shown on its consolidated statements of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8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8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94,936</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100,320</w:t>
            </w:r>
          </w:p>
        </w:tc>
      </w:tr>
      <w:tr>
        <w:trPr>
          <w:trHeight w:val="22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80,819</w:t>
            </w:r>
          </w:p>
        </w:tc>
      </w:tr>
      <w:tr>
        <w:trPr>
          <w:trHeight w:val="217"/>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181,139</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0"/>
        </w:trPr>
        <w:tc>
          <w:tcPr>
            <w:tcW w:w="85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End of period</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92,465</w:t>
            </w:r>
          </w:p>
        </w:tc>
      </w:tr>
      <w:tr>
        <w:trPr>
          <w:trHeight w:val="22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92,338</w:t>
            </w:r>
          </w:p>
        </w:tc>
      </w:tr>
      <w:tr>
        <w:trPr>
          <w:trHeight w:val="217"/>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181,654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184,803</w:t>
            </w:r>
          </w:p>
        </w:tc>
      </w:tr>
      <w:tr>
        <w:trPr>
          <w:trHeight w:val="20"/>
        </w:trPr>
        <w:tc>
          <w:tcPr>
            <w:tcW w:w="8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37"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No. 2023-07 “Segment Reporting (Topic 280): Improvements to Reportable Segment Disclosures.” This ASU is effective for fiscal years beginning after December 15, 2023, and interim periods within fiscal years beginning after December 15, 2024, with early adoption permitted. The Company is currently evaluating the impact of adopting this ASU on its consolidated financial statements and disclosures.</w:t>
      </w:r>
    </w:p>
    <w:p>
      <w:pPr>
        <w:spacing w:after="0" w:line="1" w:lineRule="exact"/>
        <w:rPr>
          <w:sz w:val="20"/>
          <w:szCs w:val="20"/>
          <w:color w:val="auto"/>
        </w:rPr>
      </w:pPr>
    </w:p>
    <w:p>
      <w:pPr>
        <w:jc w:val="both"/>
        <w:ind w:right="40" w:firstLine="434"/>
        <w:spacing w:after="0" w:line="245" w:lineRule="auto"/>
        <w:rPr>
          <w:sz w:val="20"/>
          <w:szCs w:val="20"/>
          <w:color w:val="auto"/>
        </w:rPr>
      </w:pPr>
      <w:r>
        <w:rPr>
          <w:rFonts w:ascii="Times New Roman" w:cs="Times New Roman" w:eastAsia="Times New Roman" w:hAnsi="Times New Roman"/>
          <w:sz w:val="18"/>
          <w:szCs w:val="18"/>
          <w:color w:val="auto"/>
        </w:rPr>
        <w:t>In March 2024, the SEC adopted the final rule under SEC Release No. 33-11275, The Enhancement and Standardization of Climate Related Disclosures for Investors, which requires registrants to disclose climate-related information in registration statements and annual reports. The new rules would be effective for annual reporting periods beginning in fiscal year 2025. However, in April 2024, the SEC exercised its discretion to stay these rules pending the completion of judicial review of certain consolidated petitions with the United States Court of Appeals for the Eighth Circuit in connection with these rules. The Company is evaluating the impact of this rule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2"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150" w:lineRule="exact"/>
        <w:rPr>
          <w:sz w:val="20"/>
          <w:szCs w:val="20"/>
          <w:color w:val="auto"/>
        </w:rPr>
      </w:pPr>
    </w:p>
    <w:p>
      <w:pPr>
        <w:ind w:right="360"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used in the computation of EPS for the three and six months ended June 30, 2024 and 2023 (shares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2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32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265,499</w:t>
            </w:r>
          </w:p>
        </w:tc>
        <w:tc>
          <w:tcPr>
            <w:tcW w:w="1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134,053</w:t>
            </w:r>
          </w:p>
        </w:tc>
        <w:tc>
          <w:tcPr>
            <w:tcW w:w="16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(72,600)</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1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252,007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(73,697)</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earnings to participating securities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151"/>
        </w:trPr>
        <w:tc>
          <w:tcPr>
            <w:tcW w:w="628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Numerator for basic and diluted EPS—net income (loss) attributable to common</w:t>
            </w:r>
          </w:p>
        </w:tc>
        <w:tc>
          <w:tcPr>
            <w:tcW w:w="260" w:type="dxa"/>
            <w:vAlign w:val="bottom"/>
            <w:vMerge w:val="restart"/>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251,610</w:t>
            </w:r>
          </w:p>
        </w:tc>
        <w:tc>
          <w:tcPr>
            <w:tcW w:w="180" w:type="dxa"/>
            <w:vAlign w:val="bottom"/>
          </w:tcPr>
          <w:p>
            <w:pPr>
              <w:spacing w:after="0"/>
              <w:rPr>
                <w:sz w:val="13"/>
                <w:szCs w:val="13"/>
                <w:color w:val="auto"/>
              </w:rPr>
            </w:pP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124,839</w:t>
            </w:r>
          </w:p>
        </w:tc>
        <w:tc>
          <w:tcPr>
            <w:tcW w:w="160" w:type="dxa"/>
            <w:vAlign w:val="bottom"/>
          </w:tcPr>
          <w:p>
            <w:pPr>
              <w:spacing w:after="0"/>
              <w:rPr>
                <w:sz w:val="13"/>
                <w:szCs w:val="13"/>
                <w:color w:val="auto"/>
              </w:rPr>
            </w:pP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(74,135)</w:t>
            </w:r>
          </w:p>
        </w:tc>
        <w:tc>
          <w:tcPr>
            <w:tcW w:w="0" w:type="dxa"/>
            <w:vAlign w:val="bottom"/>
          </w:tcPr>
          <w:p>
            <w:pPr>
              <w:spacing w:after="0"/>
              <w:rPr>
                <w:sz w:val="1"/>
                <w:szCs w:val="1"/>
                <w:color w:val="auto"/>
              </w:rPr>
            </w:pP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2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Denominator for basic and diluted EPS—weighted average number of common shares</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216,180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215,457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216,108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215,375</w:t>
            </w:r>
          </w:p>
        </w:tc>
        <w:tc>
          <w:tcPr>
            <w:tcW w:w="0" w:type="dxa"/>
            <w:vAlign w:val="bottom"/>
          </w:tcPr>
          <w:p>
            <w:pPr>
              <w:spacing w:after="0"/>
              <w:rPr>
                <w:sz w:val="1"/>
                <w:szCs w:val="1"/>
                <w:color w:val="auto"/>
              </w:rPr>
            </w:pPr>
          </w:p>
        </w:tc>
      </w:tr>
      <w:tr>
        <w:trPr>
          <w:trHeight w:val="211"/>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EPS—net income (loss) attributable to common stockholders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20" w:hanging="299"/>
        <w:spacing w:after="0"/>
        <w:tabs>
          <w:tab w:leader="none" w:pos="6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EPS excludes 99,565 convertible preferred units for each of the three months ended June 30, 2024 and 2023 and 99,565 convertible preferred partnership units for each of the six</w:t>
      </w:r>
    </w:p>
    <w:p>
      <w:pPr>
        <w:spacing w:after="0" w:line="49" w:lineRule="exact"/>
        <w:rPr>
          <w:rFonts w:ascii="Times New Roman" w:cs="Times New Roman" w:eastAsia="Times New Roman" w:hAnsi="Times New Roman"/>
          <w:sz w:val="14"/>
          <w:szCs w:val="14"/>
          <w:color w:val="auto"/>
        </w:rPr>
      </w:pPr>
    </w:p>
    <w:p>
      <w:pPr>
        <w:ind w:left="640" w:right="60"/>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months ended June 30, 2024 and 2023, as their impact was antidilutive. Diluted EPS also excludes 10,090,429 and 8,985,493 Operating Partnership units ("OP Units") for the three months ended June 30, 2024 and 2023, respectively, and 10,097,546 and 8,982,075 OP Units for the six months ended June 30, 2024 and 2023, respectively, as their impact was antidilutive.</w:t>
      </w:r>
    </w:p>
    <w:p>
      <w:pPr>
        <w:spacing w:after="0" w:line="301" w:lineRule="exact"/>
        <w:rPr>
          <w:rFonts w:ascii="Times New Roman" w:cs="Times New Roman" w:eastAsia="Times New Roman" w:hAnsi="Times New Roman"/>
          <w:sz w:val="14"/>
          <w:szCs w:val="14"/>
          <w:color w:val="auto"/>
        </w:rPr>
      </w:pPr>
    </w:p>
    <w:p>
      <w:pPr>
        <w:ind w:left="180" w:hanging="175"/>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Joint Ventures: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made the following recent financings or other events within its unconsolidated joint ventures:</w:t>
      </w:r>
    </w:p>
    <w:p>
      <w:pPr>
        <w:spacing w:after="0" w:line="135" w:lineRule="exact"/>
        <w:rPr>
          <w:sz w:val="20"/>
          <w:szCs w:val="20"/>
          <w:color w:val="auto"/>
        </w:rPr>
      </w:pPr>
    </w:p>
    <w:p>
      <w:pPr>
        <w:ind w:right="520" w:firstLine="434"/>
        <w:spacing w:after="0" w:line="268" w:lineRule="auto"/>
        <w:rPr>
          <w:sz w:val="20"/>
          <w:szCs w:val="20"/>
          <w:color w:val="auto"/>
        </w:rPr>
      </w:pPr>
      <w:r>
        <w:rPr>
          <w:rFonts w:ascii="Times New Roman" w:cs="Times New Roman" w:eastAsia="Times New Roman" w:hAnsi="Times New Roman"/>
          <w:sz w:val="18"/>
          <w:szCs w:val="18"/>
          <w:color w:val="auto"/>
        </w:rPr>
        <w:t>On March 3, 2023, the Company’s joint venture in Scottsdale Fashion Square replaced the existing $403,931 mortgage loan on the property with a $700,000 loan that bears interest at a fixed rate of 6.21%, is interest only during the entire loan term and matures on March 6, 2028.</w:t>
      </w:r>
    </w:p>
    <w:p>
      <w:pPr>
        <w:spacing w:after="0" w:line="104" w:lineRule="exact"/>
        <w:rPr>
          <w:sz w:val="20"/>
          <w:szCs w:val="20"/>
          <w:color w:val="auto"/>
        </w:rPr>
      </w:pPr>
    </w:p>
    <w:p>
      <w:pPr>
        <w:ind w:right="180" w:firstLine="434"/>
        <w:spacing w:after="0" w:line="256" w:lineRule="auto"/>
        <w:rPr>
          <w:sz w:val="20"/>
          <w:szCs w:val="20"/>
          <w:color w:val="auto"/>
        </w:rPr>
      </w:pPr>
      <w:r>
        <w:rPr>
          <w:rFonts w:ascii="Times New Roman" w:cs="Times New Roman" w:eastAsia="Times New Roman" w:hAnsi="Times New Roman"/>
          <w:sz w:val="18"/>
          <w:szCs w:val="18"/>
          <w:color w:val="auto"/>
        </w:rPr>
        <w:t>On April 25, 2023, the Company's joint venture in Deptford Mall closed on a three-year maturity date extension for the existing loan to April 3, 2026, including extension options. The Company's joint venture repaid $10,000 ($5,100 at the Company's pro rata share) of the outstanding loan balance at closing. The interest rate on the loan remains unchanged at 3.73%.</w:t>
      </w:r>
    </w:p>
    <w:p>
      <w:pPr>
        <w:spacing w:after="0" w:line="114" w:lineRule="exact"/>
        <w:rPr>
          <w:sz w:val="20"/>
          <w:szCs w:val="20"/>
          <w:color w:val="auto"/>
        </w:rPr>
      </w:pPr>
    </w:p>
    <w:p>
      <w:pPr>
        <w:ind w:right="100" w:firstLine="434"/>
        <w:spacing w:after="0" w:line="249" w:lineRule="auto"/>
        <w:rPr>
          <w:sz w:val="20"/>
          <w:szCs w:val="20"/>
          <w:color w:val="auto"/>
        </w:rPr>
      </w:pPr>
      <w:r>
        <w:rPr>
          <w:rFonts w:ascii="Times New Roman" w:cs="Times New Roman" w:eastAsia="Times New Roman" w:hAnsi="Times New Roman"/>
          <w:sz w:val="18"/>
          <w:szCs w:val="18"/>
          <w:color w:val="auto"/>
        </w:rPr>
        <w:t>Effective May 9, 2023, the Company’s joint venture in Country Club Plaza defaulted on the $295,210 ($147,605 at the Company’s pro rata share) non-recourse loan on the property. The Company’s joint venture was in negotiations with the lender on the terms of this non-recourse loan. Accordingly, the joint venture shortened the holding period of the property due to the uncertainty as to the outcome of those discussions. As a result of shortening the holding period, the joint venture determined the fair value of the property was less than the carrying value and recorded an impairment loss during 2023. The Company recognized $100,997 as its share of the impairment which was limited to the extent of its investment which has been reduced to zero. As discussed below, the joint venture subsequently sold the property on June 28, 2024.</w:t>
      </w:r>
    </w:p>
    <w:p>
      <w:pPr>
        <w:spacing w:after="0" w:line="106" w:lineRule="exact"/>
        <w:rPr>
          <w:sz w:val="20"/>
          <w:szCs w:val="20"/>
          <w:color w:val="auto"/>
        </w:rPr>
      </w:pPr>
    </w:p>
    <w:p>
      <w:pPr>
        <w:ind w:right="140" w:firstLine="434"/>
        <w:spacing w:after="0" w:line="293" w:lineRule="auto"/>
        <w:rPr>
          <w:sz w:val="20"/>
          <w:szCs w:val="20"/>
          <w:color w:val="auto"/>
        </w:rPr>
      </w:pPr>
      <w:r>
        <w:rPr>
          <w:rFonts w:ascii="Times New Roman" w:cs="Times New Roman" w:eastAsia="Times New Roman" w:hAnsi="Times New Roman"/>
          <w:sz w:val="16"/>
          <w:szCs w:val="16"/>
          <w:color w:val="auto"/>
        </w:rPr>
        <w:t>On May 18, 2023, the Company acquired Seritage Growth Properties' ("Seritage") remaining 50% ownership interest in the MS Portfolio LLC joint venture that owns five former Sears parcels, for a total purchase price of $46,687. These parcels are located at Chandler Fashion Center, Danbury Fair Mall, Freehold Raceway Mall, Los Cerritos Center and Washington Square. As a result of this transaction and the shortening of holding periods, an impairment loss was recorded by the joint venture. The Company's share of the impairment loss was $51,363. Effective as of May 18, 2023, the Company now owns and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its 100% interest in these five former Sears parcels in its consolidated financial statements (See Note 15—Acquisitions).</w:t>
      </w:r>
    </w:p>
    <w:p>
      <w:pPr>
        <w:spacing w:after="0" w:line="148" w:lineRule="exact"/>
        <w:rPr>
          <w:sz w:val="20"/>
          <w:szCs w:val="20"/>
          <w:color w:val="auto"/>
        </w:rPr>
      </w:pPr>
    </w:p>
    <w:p>
      <w:pPr>
        <w:ind w:right="240" w:firstLine="434"/>
        <w:spacing w:after="0" w:line="268" w:lineRule="auto"/>
        <w:rPr>
          <w:sz w:val="20"/>
          <w:szCs w:val="20"/>
          <w:color w:val="auto"/>
        </w:rPr>
      </w:pPr>
      <w:r>
        <w:rPr>
          <w:rFonts w:ascii="Times New Roman" w:cs="Times New Roman" w:eastAsia="Times New Roman" w:hAnsi="Times New Roman"/>
          <w:sz w:val="18"/>
          <w:szCs w:val="18"/>
          <w:color w:val="auto"/>
        </w:rPr>
        <w:t>On December 4, 2023, the Company's joint venture in Tysons Corner Center replaced the existing $666,465 mortgage loan on the property with a new $710,000 loan that bears interest at a fixed rate of 6.60%, is interest only during the entire loan term and matures on December 6, 2028.</w:t>
      </w:r>
    </w:p>
    <w:p>
      <w:pPr>
        <w:spacing w:after="0" w:line="90" w:lineRule="exact"/>
        <w:rPr>
          <w:sz w:val="20"/>
          <w:szCs w:val="20"/>
          <w:color w:val="auto"/>
        </w:rPr>
      </w:pPr>
    </w:p>
    <w:p>
      <w:pPr>
        <w:ind w:right="60" w:firstLine="434"/>
        <w:spacing w:after="0" w:line="252" w:lineRule="auto"/>
        <w:rPr>
          <w:sz w:val="20"/>
          <w:szCs w:val="20"/>
          <w:color w:val="auto"/>
        </w:rPr>
      </w:pPr>
      <w:r>
        <w:rPr>
          <w:rFonts w:ascii="Times New Roman" w:cs="Times New Roman" w:eastAsia="Times New Roman" w:hAnsi="Times New Roman"/>
          <w:sz w:val="18"/>
          <w:szCs w:val="18"/>
          <w:color w:val="auto"/>
        </w:rPr>
        <w:t>On December 27, 2023, the Company’s joint venture in One Westside sold the property, a 680,000 square foot office property in Los Angeles, California for $700,000. The existing $324,632 loan on the property was repaid, and $77,643 of net proceeds were generated at the Company’s 25% ownership share, which were used to reduce the Company’s revolving loan facility. As a result of this transaction, the Company recognized its share of gain on sale of assets of $8,118.</w:t>
      </w:r>
    </w:p>
    <w:p>
      <w:pPr>
        <w:spacing w:after="0" w:line="118"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$23,000 mortgage loan on the property with a new $24,000 loan that bears interest at a variable rate of SOFR plus 2.50%, is interest only during the entire loan term and matures on December 5, 2028. The new loan has a required interest rate cap throughout the term of the loan at a strike rate of 7.5%.</w:t>
      </w:r>
    </w:p>
    <w:p>
      <w:pPr>
        <w:spacing w:after="0" w:line="114" w:lineRule="exact"/>
        <w:rPr>
          <w:sz w:val="20"/>
          <w:szCs w:val="20"/>
          <w:color w:val="auto"/>
        </w:rPr>
      </w:pPr>
    </w:p>
    <w:p>
      <w:pPr>
        <w:ind w:right="160" w:firstLine="434"/>
        <w:spacing w:after="0" w:line="250"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which was initially formed to develop Los Angeles Premium Outlets, a premium outlet center in Carson, California. During the three months ended March 31, 2024, the Company evaluated its investment and concluded that due to certain conditions, the Company should not continue to invest capital in this development project. As a result, the Company determined the investment was impaired on an other-than-temporary basis and wrote-off its entire investment of $57,686 in the first quarter of 2024 through equity in loss of unconsolidated joint ventures.</w:t>
      </w:r>
    </w:p>
    <w:p>
      <w:pPr>
        <w:spacing w:after="0" w:line="106" w:lineRule="exact"/>
        <w:rPr>
          <w:sz w:val="20"/>
          <w:szCs w:val="20"/>
          <w:color w:val="auto"/>
        </w:rPr>
      </w:pPr>
    </w:p>
    <w:p>
      <w:pPr>
        <w:ind w:right="340" w:firstLine="434"/>
        <w:spacing w:after="0" w:line="303" w:lineRule="auto"/>
        <w:rPr>
          <w:sz w:val="20"/>
          <w:szCs w:val="20"/>
          <w:color w:val="auto"/>
        </w:rPr>
      </w:pPr>
      <w:r>
        <w:rPr>
          <w:rFonts w:ascii="Times New Roman" w:cs="Times New Roman" w:eastAsia="Times New Roman" w:hAnsi="Times New Roman"/>
          <w:sz w:val="16"/>
          <w:szCs w:val="16"/>
          <w:color w:val="auto"/>
        </w:rPr>
        <w:t>On May 14, 2024, the Company acquired the remaining 40% ownership interest in Arrowhead Towne Center in the New River Associates LLC joint venture that it did not previously own for a total purchase price of $36,447 and the assumption of its joint venture partner's share of debt on the property. Effective as of May 14, 2024, the Company now owns and has consolidated its 100% interest in Arrowhead Towne Center (See Note 15—Acquisitions).</w:t>
      </w:r>
    </w:p>
    <w:p>
      <w:pPr>
        <w:spacing w:after="0" w:line="80" w:lineRule="exact"/>
        <w:rPr>
          <w:sz w:val="20"/>
          <w:szCs w:val="20"/>
          <w:color w:val="auto"/>
        </w:rPr>
      </w:pPr>
    </w:p>
    <w:p>
      <w:pPr>
        <w:jc w:val="both"/>
        <w:ind w:right="20" w:firstLine="434"/>
        <w:spacing w:after="0" w:line="25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South Plains Mall in the Pacific Premier Retail LLC joint venture that it did not previously own for no cash consideration and the assumption of its joint venture partner's share of debt on the property. Effective as of May 14, 2024, the Company now owns and has consolidated its 100% interest in South Plains Mall (See Note 15—Acquisitions).</w:t>
      </w:r>
    </w:p>
    <w:p>
      <w:pPr>
        <w:spacing w:after="0" w:line="114" w:lineRule="exact"/>
        <w:rPr>
          <w:sz w:val="20"/>
          <w:szCs w:val="20"/>
          <w:color w:val="auto"/>
        </w:rPr>
      </w:pPr>
    </w:p>
    <w:p>
      <w:pPr>
        <w:ind w:right="260" w:firstLine="434"/>
        <w:spacing w:after="0" w:line="256"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w:t>
      </w:r>
    </w:p>
    <w:p>
      <w:pPr>
        <w:spacing w:after="0" w:line="101" w:lineRule="exact"/>
        <w:rPr>
          <w:sz w:val="20"/>
          <w:szCs w:val="20"/>
          <w:color w:val="auto"/>
        </w:rPr>
      </w:pPr>
    </w:p>
    <w:p>
      <w:pPr>
        <w:ind w:right="180" w:firstLine="434"/>
        <w:spacing w:after="0" w:line="256" w:lineRule="auto"/>
        <w:rPr>
          <w:sz w:val="20"/>
          <w:szCs w:val="20"/>
          <w:color w:val="auto"/>
        </w:rPr>
      </w:pPr>
      <w:r>
        <w:rPr>
          <w:rFonts w:ascii="Times New Roman" w:cs="Times New Roman" w:eastAsia="Times New Roman" w:hAnsi="Times New Roman"/>
          <w:sz w:val="18"/>
          <w:szCs w:val="18"/>
          <w:color w:val="auto"/>
        </w:rPr>
        <w:t>On June 27, 2024, the Company's joint venture in Chandler Fashion Center refinanced the existing $256,000 loan on the property with a $275,000 loan that bears interest at a fixed rate of 7.06%, is interest only during the entire loan term and matures on July 1, 2029. The Company received a distribution of $17,700 in connection with this transaction.</w:t>
      </w:r>
    </w:p>
    <w:p>
      <w:pPr>
        <w:spacing w:after="0" w:line="114" w:lineRule="exact"/>
        <w:rPr>
          <w:sz w:val="20"/>
          <w:szCs w:val="20"/>
          <w:color w:val="auto"/>
        </w:rPr>
      </w:pPr>
    </w:p>
    <w:p>
      <w:pPr>
        <w:ind w:right="340" w:firstLine="434"/>
        <w:spacing w:after="0" w:line="268" w:lineRule="auto"/>
        <w:rPr>
          <w:sz w:val="20"/>
          <w:szCs w:val="20"/>
          <w:color w:val="auto"/>
        </w:rPr>
      </w:pPr>
      <w:r>
        <w:rPr>
          <w:rFonts w:ascii="Times New Roman" w:cs="Times New Roman" w:eastAsia="Times New Roman" w:hAnsi="Times New Roman"/>
          <w:sz w:val="18"/>
          <w:szCs w:val="18"/>
          <w:color w:val="auto"/>
        </w:rPr>
        <w:t>On June 28, 2024, the Company's joint venture in Country Club Plaza sold the property for $175,600. Concurrent with the transaction, the remaining amount owed by the joint venture under the $295,470 loan ($147,735 at the Company's pro rata share) was forgiven by the lender.</w:t>
      </w:r>
    </w:p>
    <w:p>
      <w:pPr>
        <w:spacing w:after="0" w:line="104" w:lineRule="exact"/>
        <w:rPr>
          <w:sz w:val="20"/>
          <w:szCs w:val="20"/>
          <w:color w:val="auto"/>
        </w:rPr>
      </w:pPr>
    </w:p>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During the three months ending June 30, 2024, the Company shortened the holding periods on certain joint venture properties and recorded impairment losses in equity in loss of unconsolidated joint ventures of $53,690, at the Company's pro rata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Combined and condensed balance sheets and statements of operations are presented below for all unconsolidated joint ventures.</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 of Unconsolidated Joint Ventures: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0" w:type="dxa"/>
            <w:vAlign w:val="bottom"/>
            <w:tcBorders>
              <w:bottom w:val="single" w:sz="8" w:color="CCEEFF"/>
            </w:tcBorders>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5,658,163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7,201,941</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607,864</w:t>
            </w:r>
          </w:p>
        </w:tc>
      </w:tr>
      <w:tr>
        <w:trPr>
          <w:trHeight w:val="217"/>
        </w:trPr>
        <w:tc>
          <w:tcPr>
            <w:tcW w:w="20" w:type="dxa"/>
            <w:vAlign w:val="bottom"/>
          </w:tcPr>
          <w:p>
            <w:pPr>
              <w:spacing w:after="0"/>
              <w:rPr>
                <w:sz w:val="18"/>
                <w:szCs w:val="18"/>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6,250,783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7,809,805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partners' capital(1):</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Mortgage and other notes payable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4,777,115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5,445,411</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436,179</w:t>
            </w: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1,090,403</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Outside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837,812</w:t>
            </w:r>
          </w:p>
        </w:tc>
      </w:tr>
      <w:tr>
        <w:trPr>
          <w:trHeight w:val="217"/>
        </w:trPr>
        <w:tc>
          <w:tcPr>
            <w:tcW w:w="20" w:type="dxa"/>
            <w:vAlign w:val="bottom"/>
          </w:tcPr>
          <w:p>
            <w:pPr>
              <w:spacing w:after="0"/>
              <w:rPr>
                <w:sz w:val="18"/>
                <w:szCs w:val="18"/>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6,250,783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7,809,805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617,092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1,090,403</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Basis adjustment(2)</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(412,425)</w:t>
            </w:r>
          </w:p>
        </w:tc>
      </w:tr>
      <w:tr>
        <w:trPr>
          <w:trHeight w:val="217"/>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730,380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Assets—Investments in unconsolidated joint ventures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915,817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852,764</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Liabilities—Distributions in excess of investments in unconsolidated joint ventures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(174,786)</w:t>
            </w:r>
          </w:p>
        </w:tc>
      </w:tr>
      <w:tr>
        <w:trPr>
          <w:trHeight w:val="217"/>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730,380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677,978</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560" w:type="dxa"/>
            <w:vAlign w:val="bottom"/>
            <w:tcBorders>
              <w:bottom w:val="single" w:sz="8" w:color="auto"/>
            </w:tcBorders>
          </w:tcPr>
          <w:p>
            <w:pPr>
              <w:spacing w:after="0"/>
              <w:rPr>
                <w:sz w:val="22"/>
                <w:szCs w:val="22"/>
                <w:color w:val="auto"/>
              </w:rPr>
            </w:pPr>
          </w:p>
        </w:tc>
        <w:tc>
          <w:tcPr>
            <w:tcW w:w="1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spacing w:after="0" w:line="241" w:lineRule="exact"/>
        <w:rPr>
          <w:sz w:val="20"/>
          <w:szCs w:val="20"/>
          <w:color w:val="auto"/>
        </w:rPr>
      </w:pPr>
    </w:p>
    <w:p>
      <w:pPr>
        <w:ind w:left="400" w:right="320" w:hanging="395"/>
        <w:spacing w:after="0" w:line="287" w:lineRule="auto"/>
        <w:tabs>
          <w:tab w:leader="none" w:pos="34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include assets of $2,269,612 and $2,613,690 of Pacific Premier Retail LLC (the "PPR Portfolio") as of June 30, 2024 and December 31, 2023, respectively, and liabilities of $1,353,917 and $1,578,328 of the PPR Portfolio as of June 30, 2024 and December 31, 2023, respectively.</w:t>
      </w:r>
    </w:p>
    <w:p>
      <w:pPr>
        <w:spacing w:after="0" w:line="88" w:lineRule="exact"/>
        <w:rPr>
          <w:rFonts w:ascii="Times New Roman" w:cs="Times New Roman" w:eastAsia="Times New Roman" w:hAnsi="Times New Roman"/>
          <w:sz w:val="14"/>
          <w:szCs w:val="14"/>
          <w:color w:val="auto"/>
        </w:rPr>
      </w:pPr>
    </w:p>
    <w:p>
      <w:pPr>
        <w:ind w:left="340" w:hanging="335"/>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amortizes the difference between the cost of its investments in unconsolidated joint ventures and the book value of the underlying equity into the Company's share of net income</w:t>
      </w:r>
    </w:p>
    <w:p>
      <w:pPr>
        <w:spacing w:after="0" w:line="50" w:lineRule="exact"/>
        <w:rPr>
          <w:sz w:val="20"/>
          <w:szCs w:val="20"/>
          <w:color w:val="auto"/>
        </w:rPr>
      </w:pPr>
    </w:p>
    <w:p>
      <w:pPr>
        <w:ind w:left="400" w:right="280"/>
        <w:spacing w:after="0" w:line="287" w:lineRule="auto"/>
        <w:rPr>
          <w:sz w:val="20"/>
          <w:szCs w:val="20"/>
          <w:color w:val="auto"/>
        </w:rPr>
      </w:pPr>
      <w:r>
        <w:rPr>
          <w:rFonts w:ascii="Times New Roman" w:cs="Times New Roman" w:eastAsia="Times New Roman" w:hAnsi="Times New Roman"/>
          <w:sz w:val="14"/>
          <w:szCs w:val="14"/>
          <w:color w:val="auto"/>
        </w:rPr>
        <w:t>(loss). The amortization of this difference was $107,378 and $1,106 for the three months ended June 30, 2024 and 2023, respectively, and $182,561 and $(11,448) for the six months ended June 30, 2024 and 2023, respectively.</w:t>
      </w:r>
    </w:p>
    <w:p>
      <w:pPr>
        <w:sectPr>
          <w:pgSz w:w="11900" w:h="16838" w:orient="portrait"/>
          <w:cols w:equalWidth="0" w:num="1">
            <w:col w:w="11220"/>
          </w:cols>
          <w:pgMar w:left="320" w:top="2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4"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300" w:type="dxa"/>
            <w:vAlign w:val="bottom"/>
          </w:tcPr>
          <w:p>
            <w:pPr>
              <w:spacing w:after="0"/>
              <w:rPr>
                <w:sz w:val="12"/>
                <w:szCs w:val="12"/>
                <w:color w:val="auto"/>
              </w:rPr>
            </w:pPr>
          </w:p>
        </w:tc>
        <w:tc>
          <w:tcPr>
            <w:tcW w:w="126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Joint</w:t>
            </w:r>
          </w:p>
        </w:tc>
        <w:tc>
          <w:tcPr>
            <w:tcW w:w="34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39,277</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192,261</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199,417</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67,328</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70,547</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73,210</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212,460</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or write down of assets, net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(218,242)</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(231,285)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42,095</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168,389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210,484</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176,010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218,601</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69,815</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72,638</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85,561</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229,892</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Significant accounting policies used by the unconsolidated joint ventures are similar to those used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00"/>
          </w:cols>
          <w:pgMar w:left="320" w:top="262" w:right="8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Times New Roman" w:cs="Times New Roman" w:eastAsia="Times New Roman" w:hAnsi="Times New Roman"/>
                <w:sz w:val="14"/>
                <w:szCs w:val="14"/>
                <w:b w:val="1"/>
                <w:bCs w:val="1"/>
                <w:color w:val="auto"/>
              </w:rPr>
              <w:t>Joint</w:t>
            </w:r>
          </w:p>
        </w:tc>
        <w:tc>
          <w:tcPr>
            <w:tcW w:w="340" w:type="dxa"/>
            <w:vAlign w:val="bottom"/>
          </w:tcPr>
          <w:p>
            <w:pPr>
              <w:spacing w:after="0"/>
              <w:rPr>
                <w:sz w:val="12"/>
                <w:szCs w:val="12"/>
                <w:color w:val="auto"/>
              </w:rPr>
            </w:pPr>
          </w:p>
        </w:tc>
        <w:tc>
          <w:tcPr>
            <w:tcW w:w="2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Ventures</w:t>
            </w:r>
          </w:p>
        </w:tc>
        <w:tc>
          <w:tcPr>
            <w:tcW w:w="340" w:type="dxa"/>
            <w:vAlign w:val="bottom"/>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 2024</w:t>
            </w:r>
          </w:p>
        </w:tc>
        <w:tc>
          <w:tcPr>
            <w:tcW w:w="1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1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303,046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385,334</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393,472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151,364</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434,748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1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(439,708)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(114,585)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(366,399)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(480,984)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(130,113)</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 2023</w:t>
            </w: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1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85,166</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331,757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416,923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426,386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141,332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136,743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452,938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1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(98,203)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50"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The Company uses interest rate cap agreements to manage the interest rate risk on certain floating rate debt. The Company recorded other comprehensive income related to the marking-to-market of derivative instruments of $305 and $350 for the three months ended June 30, 2024 and 2023, respectively, and $920 and $470 for the six months ended June 30, 2024 and 2023, respectively. The amounts in other comprehensive income represent the Company's pro rata share of hedged derivative instruments from certain unconsolidated joint ventures.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derivatives were outstanding at June 30, 2024 and December 31, 2023: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SOFR/LIBOR</w:t>
            </w: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10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0" w:type="dxa"/>
            <w:vAlign w:val="bottom"/>
            <w:gridSpan w:val="2"/>
            <w:vMerge w:val="continue"/>
          </w:tcPr>
          <w:p>
            <w:pPr>
              <w:spacing w:after="0"/>
              <w:rPr>
                <w:sz w:val="10"/>
                <w:szCs w:val="10"/>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tcPr>
          <w:p>
            <w:pPr>
              <w:spacing w:after="0"/>
              <w:rPr>
                <w:sz w:val="10"/>
                <w:szCs w:val="10"/>
                <w:color w:val="auto"/>
              </w:rPr>
            </w:pPr>
          </w:p>
        </w:tc>
        <w:tc>
          <w:tcPr>
            <w:tcW w:w="1020" w:type="dxa"/>
            <w:vAlign w:val="bottom"/>
          </w:tcPr>
          <w:p>
            <w:pPr>
              <w:jc w:val="center"/>
              <w:ind w:right="206"/>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0"/>
                <w:szCs w:val="10"/>
                <w:color w:val="auto"/>
              </w:rPr>
            </w:pPr>
          </w:p>
        </w:tc>
        <w:tc>
          <w:tcPr>
            <w:tcW w:w="1080" w:type="dxa"/>
            <w:vAlign w:val="bottom"/>
          </w:tcPr>
          <w:p>
            <w:pPr>
              <w:jc w:val="center"/>
              <w:ind w:right="85"/>
              <w:spacing w:after="0" w:line="125"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91"/>
        </w:trPr>
        <w:tc>
          <w:tcPr>
            <w:tcW w:w="262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8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 Monica Place</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Non-Hedged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1,757</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2,665</w:t>
            </w:r>
          </w:p>
        </w:tc>
        <w:tc>
          <w:tcPr>
            <w:tcW w:w="0" w:type="dxa"/>
            <w:vAlign w:val="bottom"/>
          </w:tcPr>
          <w:p>
            <w:pPr>
              <w:spacing w:after="0"/>
              <w:rPr>
                <w:sz w:val="1"/>
                <w:szCs w:val="1"/>
                <w:color w:val="auto"/>
              </w:rPr>
            </w:pPr>
          </w:p>
        </w:tc>
      </w:tr>
      <w:tr>
        <w:trPr>
          <w:trHeight w:val="207"/>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 Macerich Partnership, L.P.</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Non-Hedged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Sold Cap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12/9/2024</w:t>
            </w:r>
          </w:p>
        </w:tc>
        <w:tc>
          <w:tcPr>
            <w:tcW w:w="12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140" w:firstLine="434"/>
        <w:spacing w:after="0" w:line="250" w:lineRule="auto"/>
        <w:rPr>
          <w:sz w:val="20"/>
          <w:szCs w:val="20"/>
          <w:color w:val="auto"/>
        </w:rPr>
      </w:pPr>
      <w:r>
        <w:rPr>
          <w:rFonts w:ascii="Times New Roman" w:cs="Times New Roman" w:eastAsia="Times New Roman" w:hAnsi="Times New Roman"/>
          <w:sz w:val="18"/>
          <w:szCs w:val="18"/>
          <w:color w:val="auto"/>
        </w:rPr>
        <w:t>The above derivatives were valued with an aggregate fair value (Level 2 measurement) and were included in other assets (other accrued liabilities). The fair value of the Company's interest rate derivatives was determined using discounted cash flow analysis on the expected cash flows of the derivatives.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19" w:lineRule="exact"/>
        <w:rPr>
          <w:sz w:val="20"/>
          <w:szCs w:val="20"/>
          <w:color w:val="auto"/>
        </w:rPr>
      </w:pPr>
    </w:p>
    <w:p>
      <w:pPr>
        <w:ind w:right="100" w:firstLine="434"/>
        <w:spacing w:after="0" w:line="250"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caps. As a result, the Company determined that its interest rate cap valuations in their entirety are classified in Level 2 of the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net consists of the following:</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6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1,412,634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1,388,345</w:t>
            </w:r>
          </w:p>
        </w:tc>
      </w:tr>
      <w:tr>
        <w:trPr>
          <w:trHeight w:val="22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6,062,557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6,070,367</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724,427</w:t>
            </w:r>
          </w:p>
        </w:tc>
      </w:tr>
      <w:tr>
        <w:trPr>
          <w:trHeight w:val="22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furnishings(1)</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186,717</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340,496</w:t>
            </w:r>
          </w:p>
        </w:tc>
      </w:tr>
      <w:tr>
        <w:trPr>
          <w:trHeight w:val="217"/>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8,706,883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8,710,352</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depreciation(1)</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(2,567,994)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(2,809,863)</w:t>
            </w:r>
          </w:p>
        </w:tc>
      </w:tr>
      <w:tr>
        <w:trPr>
          <w:trHeight w:val="217"/>
        </w:trPr>
        <w:tc>
          <w:tcPr>
            <w:tcW w:w="668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6,138,889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5,900,489</w:t>
            </w: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1120" w:right="400" w:hanging="483"/>
        <w:spacing w:after="0" w:line="287"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and furnishings and accumulated depreciation include the cost and accumulated amortization of ROU assets in connection with finance leases at June 30, 2024 and December 31, 2023 (See Note 8—Leases).</w:t>
      </w:r>
    </w:p>
    <w:p>
      <w:pPr>
        <w:spacing w:after="0" w:line="93"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Depreciation expense was $67,421 and $66,162 for the three months ended June 30, 2024 and 2023, respectively, and $132,180 and $133,225 for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 (Continued)</w:t>
      </w:r>
    </w:p>
    <w:p>
      <w:pPr>
        <w:spacing w:after="0" w:line="200" w:lineRule="exact"/>
        <w:rPr>
          <w:sz w:val="20"/>
          <w:szCs w:val="20"/>
          <w:color w:val="auto"/>
        </w:rPr>
      </w:pPr>
    </w:p>
    <w:p>
      <w:pPr>
        <w:spacing w:after="0" w:line="3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Gain on sale or write-down of assets, net for the three and six months ended June 30, 2024 and 2023 consist of the following:</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5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6"/>
                <w:szCs w:val="16"/>
                <w:color w:val="auto"/>
              </w:rPr>
            </w:pPr>
          </w:p>
        </w:tc>
        <w:tc>
          <w:tcPr>
            <w:tcW w:w="226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5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property sales, net(1)</w:t>
            </w: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337,405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r>
      <w:tr>
        <w:trPr>
          <w:trHeight w:val="22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write-down of assets(2)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land sales, net(3)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17"/>
        </w:trPr>
        <w:tc>
          <w:tcPr>
            <w:tcW w:w="53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324,996</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288,911</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14,058</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1120" w:right="180" w:hanging="483"/>
        <w:spacing w:after="0" w:line="241" w:lineRule="auto"/>
        <w:tabs>
          <w:tab w:leader="none" w:pos="94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includes a gain of $334,285 for the three and six months ended June 30, 2024, as a result of the Company no longer recognizing its investment in Chandler Fashion Center as a financing arrangement. Effective June 13, 2024, the Company accounts for its investment under the equity method of accounting (See Note 12—Financing Arrangement and Note 16—Dispositions). For the three and six months ended June 30, 2023, the $10,349 of gain is from the sale of Marketplace at Flagstaff (See Note 16—Dispositions).</w:t>
      </w:r>
    </w:p>
    <w:p>
      <w:pPr>
        <w:spacing w:after="0" w:line="199" w:lineRule="exact"/>
        <w:rPr>
          <w:rFonts w:ascii="Times New Roman" w:cs="Times New Roman" w:eastAsia="Times New Roman" w:hAnsi="Times New Roman"/>
          <w:sz w:val="14"/>
          <w:szCs w:val="14"/>
          <w:color w:val="auto"/>
        </w:rPr>
      </w:pPr>
    </w:p>
    <w:p>
      <w:pPr>
        <w:ind w:left="1120" w:right="80" w:hanging="483"/>
        <w:spacing w:after="0" w:line="268" w:lineRule="auto"/>
        <w:tabs>
          <w:tab w:leader="none" w:pos="94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includes impairment losses of $12,692 and $48,679 for the three and six months ended June 30, 2024, respectively, due to the reduction of the estimated holding periods of certain properties. The remaining amounts for the three and six months ended June 30, 2024 and 2023 mainly pertain to the write off of development costs.</w:t>
      </w:r>
    </w:p>
    <w:p>
      <w:pPr>
        <w:spacing w:after="0" w:line="87" w:lineRule="exact"/>
        <w:rPr>
          <w:rFonts w:ascii="Times New Roman" w:cs="Times New Roman" w:eastAsia="Times New Roman" w:hAnsi="Times New Roman"/>
          <w:sz w:val="14"/>
          <w:szCs w:val="14"/>
          <w:color w:val="auto"/>
        </w:rPr>
      </w:pPr>
    </w:p>
    <w:p>
      <w:pPr>
        <w:ind w:left="940" w:hanging="303"/>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16—Dispositions.</w:t>
      </w:r>
    </w:p>
    <w:p>
      <w:pPr>
        <w:spacing w:after="0" w:line="146"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The following table summarizes certain of the Company's assets that were measured on a nonrecurring basis as a result of the impairment losses recorded for the three and six months ended June 30, 2024 and 2023, as described above:</w:t>
      </w:r>
    </w:p>
    <w:p>
      <w:pPr>
        <w:spacing w:after="0" w:line="310"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Quoted Prices in</w:t>
            </w:r>
          </w:p>
        </w:tc>
        <w:tc>
          <w:tcPr>
            <w:tcW w:w="160" w:type="dxa"/>
            <w:vAlign w:val="bottom"/>
          </w:tcPr>
          <w:p>
            <w:pPr>
              <w:spacing w:after="0"/>
              <w:rPr>
                <w:sz w:val="18"/>
                <w:szCs w:val="18"/>
                <w:color w:val="auto"/>
              </w:rPr>
            </w:pP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Significant Other</w:t>
            </w:r>
          </w:p>
        </w:tc>
        <w:tc>
          <w:tcPr>
            <w:tcW w:w="280" w:type="dxa"/>
            <w:vAlign w:val="bottom"/>
          </w:tcPr>
          <w:p>
            <w:pPr>
              <w:spacing w:after="0"/>
              <w:rPr>
                <w:sz w:val="18"/>
                <w:szCs w:val="18"/>
                <w:color w:val="auto"/>
              </w:rPr>
            </w:pPr>
          </w:p>
        </w:tc>
        <w:tc>
          <w:tcPr>
            <w:tcW w:w="144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6"/>
              </w:rPr>
              <w:t>Significant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8"/>
                <w:szCs w:val="18"/>
                <w:b w:val="1"/>
                <w:bCs w:val="1"/>
                <w:color w:val="auto"/>
                <w:w w:val="97"/>
              </w:rPr>
              <w:t>Active Markets for</w:t>
            </w: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Total Fair Value</w:t>
            </w:r>
          </w:p>
        </w:tc>
        <w:tc>
          <w:tcPr>
            <w:tcW w:w="12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Identical Assets</w:t>
            </w:r>
          </w:p>
        </w:tc>
        <w:tc>
          <w:tcPr>
            <w:tcW w:w="18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Unobservable Inputs</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Unobservable Inputs</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60" w:type="dxa"/>
            <w:vAlign w:val="bottom"/>
          </w:tcPr>
          <w:p>
            <w:pPr>
              <w:spacing w:after="0"/>
              <w:rPr>
                <w:sz w:val="2"/>
                <w:szCs w:val="2"/>
                <w:color w:val="auto"/>
              </w:rPr>
            </w:pP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
                <w:szCs w:val="2"/>
                <w:color w:val="auto"/>
              </w:rPr>
            </w:pPr>
          </w:p>
        </w:tc>
        <w:tc>
          <w:tcPr>
            <w:tcW w:w="144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4"/>
              </w:rPr>
              <w:t>(Level 3)</w:t>
            </w:r>
          </w:p>
        </w:tc>
        <w:tc>
          <w:tcPr>
            <w:tcW w:w="0" w:type="dxa"/>
            <w:vAlign w:val="bottom"/>
          </w:tcPr>
          <w:p>
            <w:pPr>
              <w:spacing w:after="0" w:line="20" w:lineRule="exact"/>
              <w:rPr>
                <w:sz w:val="1"/>
                <w:szCs w:val="1"/>
                <w:color w:val="auto"/>
              </w:rPr>
            </w:pPr>
          </w:p>
        </w:tc>
      </w:tr>
      <w:tr>
        <w:trPr>
          <w:trHeight w:val="237"/>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c>
          <w:tcPr>
            <w:tcW w:w="120" w:type="dxa"/>
            <w:vAlign w:val="bottom"/>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314,010</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80" w:firstLine="434"/>
        <w:spacing w:after="0" w:line="256" w:lineRule="auto"/>
        <w:rPr>
          <w:sz w:val="20"/>
          <w:szCs w:val="20"/>
          <w:color w:val="auto"/>
        </w:rPr>
      </w:pPr>
      <w:r>
        <w:rPr>
          <w:rFonts w:ascii="Times New Roman" w:cs="Times New Roman" w:eastAsia="Times New Roman" w:hAnsi="Times New Roman"/>
          <w:sz w:val="18"/>
          <w:szCs w:val="18"/>
          <w:color w:val="auto"/>
        </w:rPr>
        <w:t>The fair value (Level 3 measurement) related to the 2024 impairments are based upon an income approach, using an estimated terminal capitalization rate in the range of 7.3% to 9.0%, a discount rate in the range of 9.0% to 11.0% and market rents per square foot of $20 to $200. The fair value is sensitive to these significant unobservable inputs.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Tenant and Other Receivables, net:</w:t>
      </w:r>
    </w:p>
    <w:p>
      <w:pPr>
        <w:spacing w:after="0" w:line="137" w:lineRule="exact"/>
        <w:rPr>
          <w:sz w:val="20"/>
          <w:szCs w:val="20"/>
          <w:color w:val="auto"/>
        </w:rPr>
      </w:pPr>
    </w:p>
    <w:p>
      <w:pPr>
        <w:ind w:right="300" w:firstLine="434"/>
        <w:spacing w:after="0" w:line="252" w:lineRule="auto"/>
        <w:rPr>
          <w:sz w:val="20"/>
          <w:szCs w:val="20"/>
          <w:color w:val="auto"/>
        </w:rPr>
      </w:pPr>
      <w:r>
        <w:rPr>
          <w:rFonts w:ascii="Times New Roman" w:cs="Times New Roman" w:eastAsia="Times New Roman" w:hAnsi="Times New Roman"/>
          <w:sz w:val="18"/>
          <w:szCs w:val="18"/>
          <w:color w:val="auto"/>
        </w:rPr>
        <w:t>Included in tenant and other receivables, net is an allowance for doubtful accounts of $7,183 and $4,824 at June 30, 2024 and December 31, 2023, respectively. Also included in tenant and other receivables, net are accrued percentage rents of $1,496 and $15,076 at June 30, 2024 and December 31, 2023, respectively, and a deferred rent receivable due to straight-line rent adjustments of $98,699 and $105,260 at June 30, 2024 and December 31, 2023,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37" w:lineRule="exact"/>
        <w:rPr>
          <w:sz w:val="20"/>
          <w:szCs w:val="20"/>
          <w:color w:val="auto"/>
        </w:rPr>
      </w:pPr>
    </w:p>
    <w:p>
      <w:pPr>
        <w:ind w:right="120" w:firstLine="434"/>
        <w:spacing w:after="0" w:line="248" w:lineRule="auto"/>
        <w:rPr>
          <w:sz w:val="20"/>
          <w:szCs w:val="20"/>
          <w:color w:val="auto"/>
        </w:rPr>
      </w:pPr>
      <w:r>
        <w:rPr>
          <w:rFonts w:ascii="Times New Roman" w:cs="Times New Roman" w:eastAsia="Times New Roman" w:hAnsi="Times New Roman"/>
          <w:sz w:val="18"/>
          <w:szCs w:val="18"/>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320" w:top="262"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straight-line rent, are fully reserved in the period in which the lease income is determined not to be probable of collection.</w:t>
      </w: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components of leasing revenue for the three and six months ended June 30, 2024 and 2023:</w:t>
      </w:r>
    </w:p>
    <w:p>
      <w:pPr>
        <w:spacing w:after="0" w:line="16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3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For the Six Months Ended June</w:t>
            </w:r>
          </w:p>
        </w:tc>
      </w:tr>
      <w:tr>
        <w:trPr>
          <w:trHeight w:val="190"/>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30,</w:t>
            </w: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revenue—fixed payments</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141,247</w:t>
            </w:r>
          </w:p>
        </w:tc>
        <w:tc>
          <w:tcPr>
            <w:tcW w:w="1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281,753</w:t>
            </w: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Leasing revenue—variable payments</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108,298</w:t>
            </w: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recovery of doubtful accounts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1,647</w:t>
            </w:r>
          </w:p>
        </w:tc>
      </w:tr>
      <w:tr>
        <w:trPr>
          <w:trHeight w:val="217"/>
        </w:trPr>
        <w:tc>
          <w:tcPr>
            <w:tcW w:w="4440" w:type="dxa"/>
            <w:vAlign w:val="bottom"/>
          </w:tcPr>
          <w:p>
            <w:pPr>
              <w:spacing w:after="0"/>
              <w:rPr>
                <w:sz w:val="18"/>
                <w:szCs w:val="18"/>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197,961</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192,653</w:t>
            </w: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389,613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391,698</w:t>
            </w:r>
          </w:p>
        </w:tc>
      </w:tr>
      <w:tr>
        <w:trPr>
          <w:trHeight w:val="20"/>
        </w:trPr>
        <w:tc>
          <w:tcPr>
            <w:tcW w:w="44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80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The following table summarizes the future rental payments to the Company:</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5"/>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ending June 30,</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496,506</w:t>
            </w:r>
          </w:p>
        </w:tc>
        <w:tc>
          <w:tcPr>
            <w:tcW w:w="160" w:type="dxa"/>
            <w:vAlign w:val="bottom"/>
          </w:tcPr>
          <w:p>
            <w:pPr>
              <w:spacing w:after="0"/>
              <w:rPr>
                <w:sz w:val="18"/>
                <w:szCs w:val="18"/>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416,061</w:t>
            </w:r>
          </w:p>
        </w:tc>
        <w:tc>
          <w:tcPr>
            <w:tcW w:w="160" w:type="dxa"/>
            <w:vAlign w:val="bottom"/>
          </w:tcPr>
          <w:p>
            <w:pPr>
              <w:spacing w:after="0"/>
              <w:rPr>
                <w:sz w:val="19"/>
                <w:szCs w:val="19"/>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331,748</w:t>
            </w:r>
          </w:p>
        </w:tc>
        <w:tc>
          <w:tcPr>
            <w:tcW w:w="160" w:type="dxa"/>
            <w:vAlign w:val="bottom"/>
          </w:tcPr>
          <w:p>
            <w:pPr>
              <w:spacing w:after="0"/>
              <w:rPr>
                <w:sz w:val="19"/>
                <w:szCs w:val="19"/>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257,743</w:t>
            </w:r>
          </w:p>
        </w:tc>
        <w:tc>
          <w:tcPr>
            <w:tcW w:w="160" w:type="dxa"/>
            <w:vAlign w:val="bottom"/>
          </w:tcPr>
          <w:p>
            <w:pPr>
              <w:spacing w:after="0"/>
              <w:rPr>
                <w:sz w:val="19"/>
                <w:szCs w:val="19"/>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196,539</w:t>
            </w:r>
          </w:p>
        </w:tc>
        <w:tc>
          <w:tcPr>
            <w:tcW w:w="160" w:type="dxa"/>
            <w:vAlign w:val="bottom"/>
          </w:tcPr>
          <w:p>
            <w:pPr>
              <w:spacing w:after="0"/>
              <w:rPr>
                <w:sz w:val="19"/>
                <w:szCs w:val="19"/>
                <w:color w:val="auto"/>
              </w:rPr>
            </w:pPr>
          </w:p>
        </w:tc>
      </w:tr>
      <w:tr>
        <w:trPr>
          <w:trHeight w:val="224"/>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812,237</w:t>
            </w:r>
          </w:p>
        </w:tc>
        <w:tc>
          <w:tcPr>
            <w:tcW w:w="160" w:type="dxa"/>
            <w:vAlign w:val="bottom"/>
          </w:tcPr>
          <w:p>
            <w:pPr>
              <w:spacing w:after="0"/>
              <w:rPr>
                <w:sz w:val="19"/>
                <w:szCs w:val="19"/>
                <w:color w:val="auto"/>
              </w:rPr>
            </w:pPr>
          </w:p>
        </w:tc>
      </w:tr>
      <w:tr>
        <w:trPr>
          <w:trHeight w:val="242"/>
        </w:trPr>
        <w:tc>
          <w:tcPr>
            <w:tcW w:w="44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2,510,834</w:t>
            </w:r>
          </w:p>
        </w:tc>
        <w:tc>
          <w:tcPr>
            <w:tcW w:w="160" w:type="dxa"/>
            <w:vAlign w:val="bottom"/>
          </w:tcPr>
          <w:p>
            <w:pPr>
              <w:spacing w:after="0"/>
              <w:rPr>
                <w:sz w:val="20"/>
                <w:szCs w:val="20"/>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37"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has certain properties that are subject to non-cancelable operating leases. The leases expire at various times through 2078, subject in some cases to options to extend the terms of the lease. Certain leases provide for contingent rent payments based on a percentage of base rental income, as defined in the lease. In addition, the Company has five finance leases that expire at various times through 2025.</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lease costs for the three and six months ended June 30, 2024 and 2023:</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2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100" w:type="dxa"/>
            <w:vAlign w:val="bottom"/>
          </w:tcPr>
          <w:p>
            <w:pPr>
              <w:spacing w:after="0"/>
              <w:rPr>
                <w:sz w:val="13"/>
                <w:szCs w:val="13"/>
                <w:color w:val="auto"/>
              </w:rPr>
            </w:pPr>
          </w:p>
        </w:tc>
        <w:tc>
          <w:tcPr>
            <w:tcW w:w="2040" w:type="dxa"/>
            <w:vAlign w:val="bottom"/>
            <w:gridSpan w:val="5"/>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w:t>
            </w:r>
          </w:p>
        </w:tc>
      </w:tr>
      <w:tr>
        <w:trPr>
          <w:trHeight w:val="191"/>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1"/>
        </w:trPr>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24"/>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42"/>
        </w:trPr>
        <w:tc>
          <w:tcPr>
            <w:tcW w:w="44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2"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3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required under the leases: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2740" w:type="dxa"/>
            <w:vAlign w:val="bottom"/>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1"/>
                <w:szCs w:val="11"/>
                <w:color w:val="auto"/>
              </w:rPr>
            </w:pPr>
          </w:p>
        </w:tc>
        <w:tc>
          <w:tcPr>
            <w:tcW w:w="1340" w:type="dxa"/>
            <w:vAlign w:val="bottom"/>
            <w:gridSpan w:val="2"/>
          </w:tcPr>
          <w:p>
            <w:pPr>
              <w:jc w:val="center"/>
              <w:ind w:right="400"/>
              <w:spacing w:after="0" w:line="12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1"/>
                <w:szCs w:val="11"/>
                <w:color w:val="auto"/>
              </w:rPr>
            </w:pPr>
          </w:p>
        </w:tc>
        <w:tc>
          <w:tcPr>
            <w:tcW w:w="132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tcPr>
          <w:p>
            <w:pPr>
              <w:spacing w:after="0"/>
              <w:rPr>
                <w:sz w:val="11"/>
                <w:szCs w:val="11"/>
                <w:color w:val="auto"/>
              </w:rPr>
            </w:pPr>
          </w:p>
        </w:tc>
        <w:tc>
          <w:tcPr>
            <w:tcW w:w="122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6,097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9,478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11,442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11,626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11,626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11,743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11,743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11,914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8,303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74,831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74,831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undiscounted rental payments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124,514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10,878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129,859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10,878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(54,146)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(56,475)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70,368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9,363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73,384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term</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years</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years</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years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40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06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520" w:type="dxa"/>
            <w:vAlign w:val="bottom"/>
            <w:gridSpan w:val="4"/>
          </w:tcPr>
          <w:p>
            <w:pPr>
              <w:jc w:val="right"/>
              <w:ind w:right="640"/>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In-place lease values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Leasing commissions and legal costs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Above-market leases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391,374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accumulated amortization(1)</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(128,306)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960" w:hanging="323"/>
        <w:spacing w:after="0" w:line="261" w:lineRule="auto"/>
        <w:tabs>
          <w:tab w:leader="none" w:pos="90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amortization includes $37,419 and $39,540 relating to in-place lease values, leasing commissions and legal costs at June 30, 2024 and December 31, 2023, respectively. Amortization expense of in-place lease values, leasing commissions and legal costs was $2,384 and $1,876 for the three months ended June 30, 2024 and 2023, respectively, and $4,160 and $3,785 for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26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 (Continued)</w:t>
      </w:r>
    </w:p>
    <w:p>
      <w:pPr>
        <w:spacing w:after="0" w:line="200" w:lineRule="exact"/>
        <w:rPr>
          <w:sz w:val="20"/>
          <w:szCs w:val="20"/>
          <w:color w:val="auto"/>
        </w:rPr>
      </w:pPr>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allocated values of above-market leases and below-market leases consist of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5"/>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Above-Market Leases</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56,636</w:t>
            </w:r>
          </w:p>
        </w:tc>
        <w:tc>
          <w:tcPr>
            <w:tcW w:w="48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6"/>
              </w:rPr>
              <w:t>66,002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7"/>
              </w:rPr>
              <w:t>(36,926)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32,815</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8"/>
                <w:szCs w:val="18"/>
                <w:color w:val="auto"/>
                <w:w w:val="96"/>
              </w:rPr>
              <w:t>29,076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Below-Market Leases(1)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93,543</w:t>
            </w:r>
          </w:p>
        </w:tc>
        <w:tc>
          <w:tcPr>
            <w:tcW w:w="48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6"/>
              </w:rPr>
              <w:t>85,174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7"/>
              </w:rPr>
              <w:t>(37,490)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56,802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8"/>
                <w:szCs w:val="18"/>
                <w:color w:val="auto"/>
                <w:w w:val="96"/>
              </w:rPr>
              <w:t>47,684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0" w:type="dxa"/>
            <w:vAlign w:val="bottom"/>
          </w:tcPr>
          <w:p>
            <w:pPr>
              <w:spacing w:after="0"/>
              <w:rPr>
                <w:sz w:val="14"/>
                <w:szCs w:val="14"/>
                <w:color w:val="auto"/>
              </w:rPr>
            </w:pPr>
          </w:p>
        </w:tc>
        <w:tc>
          <w:tcPr>
            <w:tcW w:w="474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340" w:type="dxa"/>
            <w:vAlign w:val="bottom"/>
          </w:tcPr>
          <w:p>
            <w:pPr>
              <w:spacing w:after="0"/>
              <w:rPr>
                <w:sz w:val="24"/>
                <w:szCs w:val="24"/>
                <w:color w:val="auto"/>
              </w:rPr>
            </w:pPr>
          </w:p>
        </w:tc>
        <w:tc>
          <w:tcPr>
            <w:tcW w:w="484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(1)  Below-market leases are included in other accrued liabilities.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4"/>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10. Mortgage Notes Payable:</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40" w:type="dxa"/>
            <w:vAlign w:val="bottom"/>
          </w:tcPr>
          <w:p>
            <w:pPr>
              <w:spacing w:after="0"/>
              <w:rPr>
                <w:sz w:val="24"/>
                <w:szCs w:val="24"/>
                <w:color w:val="auto"/>
              </w:rPr>
            </w:pPr>
          </w:p>
        </w:tc>
        <w:tc>
          <w:tcPr>
            <w:tcW w:w="7380" w:type="dxa"/>
            <w:vAlign w:val="bottom"/>
            <w:gridSpan w:val="11"/>
          </w:tcPr>
          <w:p>
            <w:pPr>
              <w:jc w:val="right"/>
              <w:ind w:right="836"/>
              <w:spacing w:after="0"/>
              <w:rPr>
                <w:sz w:val="20"/>
                <w:szCs w:val="20"/>
                <w:color w:val="auto"/>
              </w:rPr>
            </w:pPr>
            <w:r>
              <w:rPr>
                <w:rFonts w:ascii="Times New Roman" w:cs="Times New Roman" w:eastAsia="Times New Roman" w:hAnsi="Times New Roman"/>
                <w:sz w:val="18"/>
                <w:szCs w:val="18"/>
                <w:color w:val="auto"/>
                <w:w w:val="98"/>
              </w:rPr>
              <w:t>Mortgage notes payable at June 30, 2024 and December 31, 2023 consist of the following:</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 of Mortgage Notes(1)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120" w:type="dxa"/>
            <w:vAlign w:val="bottom"/>
          </w:tcPr>
          <w:p>
            <w:pPr>
              <w:spacing w:after="0"/>
              <w:rPr>
                <w:sz w:val="2"/>
                <w:szCs w:val="2"/>
                <w:color w:val="auto"/>
              </w:rPr>
            </w:pPr>
          </w:p>
        </w:tc>
        <w:tc>
          <w:tcPr>
            <w:tcW w:w="1100" w:type="dxa"/>
            <w:vAlign w:val="bottom"/>
            <w:gridSpan w:val="5"/>
            <w:vMerge w:val="restart"/>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Monthly</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13"/>
        </w:trPr>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20" w:type="dxa"/>
            <w:vAlign w:val="bottom"/>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Rate(2)</w:t>
            </w:r>
          </w:p>
        </w:tc>
        <w:tc>
          <w:tcPr>
            <w:tcW w:w="120" w:type="dxa"/>
            <w:vAlign w:val="bottom"/>
          </w:tcPr>
          <w:p>
            <w:pPr>
              <w:spacing w:after="0"/>
              <w:rPr>
                <w:sz w:val="16"/>
                <w:szCs w:val="16"/>
                <w:color w:val="auto"/>
              </w:rPr>
            </w:pPr>
          </w:p>
        </w:tc>
        <w:tc>
          <w:tcPr>
            <w:tcW w:w="11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Date(4)</w:t>
            </w:r>
          </w:p>
        </w:tc>
        <w:tc>
          <w:tcPr>
            <w:tcW w:w="0" w:type="dxa"/>
            <w:vAlign w:val="bottom"/>
          </w:tcPr>
          <w:p>
            <w:pPr>
              <w:spacing w:after="0"/>
              <w:rPr>
                <w:sz w:val="1"/>
                <w:szCs w:val="1"/>
                <w:color w:val="auto"/>
              </w:rPr>
            </w:pPr>
          </w:p>
        </w:tc>
      </w:tr>
      <w:tr>
        <w:trPr>
          <w:trHeight w:val="222"/>
        </w:trPr>
        <w:tc>
          <w:tcPr>
            <w:tcW w:w="38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Arrowhead Towne Center(5)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351,353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1,921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Chandler Fashion Center(6)</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Danbury Fair Mall(7)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122,502</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Fashion District Philadelphia(8)</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Outlets of Chicago</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299,375</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1,145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Fashion Outlets of Niagara Falls USA(9)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86,470</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Freehold Raceway Mall(6)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399,044</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1,300</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Fresno Fashion Fair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324,453</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 Acres Mall(10)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359,264</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1,819</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Kings Plaza Shopping Center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536,956</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1,629</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4"/>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Oaks, The(11)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151,496</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1,233</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Pacific View</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70,976</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24"/>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Queens Center</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1,744</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Santa Monica Place(12)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297,474</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1,712</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4"/>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SanTan Village Regional Center</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219,506</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South Plains Mall(13)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4"/>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 Valley, Mall of</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114,966</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4"/>
        </w:trPr>
        <w:tc>
          <w:tcPr>
            <w:tcW w:w="38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Vintage Faire Mall</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226,910</w:t>
            </w:r>
          </w:p>
        </w:tc>
        <w:tc>
          <w:tcPr>
            <w:tcW w:w="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3"/>
              </w:rPr>
              <w:t>1,256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42"/>
        </w:trPr>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4,373,234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4,136,136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both"/>
        <w:ind w:left="800" w:hanging="400"/>
        <w:spacing w:after="0" w:line="271" w:lineRule="auto"/>
        <w:tabs>
          <w:tab w:leader="none" w:pos="7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balances include the unamortized debt discounts. Debt discounts represent the deficiency of the fair value of debt under the principal value of debt assumed in various acquisitions. The debt discounts are being amortized into interest expense over the term of the related debt in a manner which approximates the effective interest method. The debt discounts as of June 30, 2024 and December 31, 2023 consisted of the following:</w:t>
      </w:r>
    </w:p>
    <w:p>
      <w:pPr>
        <w:sectPr>
          <w:pgSz w:w="11900" w:h="16838" w:orient="portrait"/>
          <w:cols w:equalWidth="0" w:num="1">
            <w:col w:w="11140"/>
          </w:cols>
          <w:pgMar w:left="320" w:top="26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262"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Mortgage Notes Payable: (Continued)</w:t>
      </w:r>
    </w:p>
    <w:p>
      <w:pPr>
        <w:spacing w:after="0" w:line="200" w:lineRule="exact"/>
        <w:rPr>
          <w:sz w:val="20"/>
          <w:szCs w:val="20"/>
          <w:color w:val="auto"/>
        </w:rPr>
      </w:pPr>
    </w:p>
    <w:p>
      <w:pPr>
        <w:spacing w:after="0" w:line="323"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26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Arrowhead Towne Center</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South Plains Mall</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ind w:left="800" w:right="580" w:hanging="78"/>
        <w:spacing w:after="0" w:line="287" w:lineRule="auto"/>
        <w:rPr>
          <w:sz w:val="20"/>
          <w:szCs w:val="20"/>
          <w:color w:val="auto"/>
        </w:rPr>
      </w:pPr>
      <w:r>
        <w:rPr>
          <w:rFonts w:ascii="Times New Roman" w:cs="Times New Roman" w:eastAsia="Times New Roman" w:hAnsi="Times New Roman"/>
          <w:sz w:val="14"/>
          <w:szCs w:val="14"/>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$22,641 and $21,148 at June 30, 2024 and December 31, 2023, respectively.</w:t>
      </w:r>
    </w:p>
    <w:p>
      <w:pPr>
        <w:spacing w:after="0" w:line="102" w:lineRule="exact"/>
        <w:rPr>
          <w:sz w:val="20"/>
          <w:szCs w:val="20"/>
          <w:color w:val="auto"/>
        </w:rPr>
      </w:pPr>
    </w:p>
    <w:p>
      <w:pPr>
        <w:ind w:left="780" w:hanging="380"/>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discounts and deferred finance costs.</w:t>
      </w:r>
    </w:p>
    <w:p>
      <w:pPr>
        <w:spacing w:after="0" w:line="141" w:lineRule="exact"/>
        <w:rPr>
          <w:rFonts w:ascii="Times New Roman" w:cs="Times New Roman" w:eastAsia="Times New Roman" w:hAnsi="Times New Roman"/>
          <w:sz w:val="14"/>
          <w:szCs w:val="14"/>
          <w:color w:val="auto"/>
        </w:rPr>
      </w:pPr>
    </w:p>
    <w:p>
      <w:pPr>
        <w:ind w:left="780" w:hanging="380"/>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141" w:lineRule="exact"/>
        <w:rPr>
          <w:rFonts w:ascii="Times New Roman" w:cs="Times New Roman" w:eastAsia="Times New Roman" w:hAnsi="Times New Roman"/>
          <w:sz w:val="14"/>
          <w:szCs w:val="14"/>
          <w:color w:val="auto"/>
        </w:rPr>
      </w:pPr>
    </w:p>
    <w:p>
      <w:pPr>
        <w:ind w:left="800" w:right="160" w:hanging="400"/>
        <w:spacing w:after="0" w:line="287" w:lineRule="auto"/>
        <w:tabs>
          <w:tab w:leader="none" w:pos="7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101" w:lineRule="exact"/>
        <w:rPr>
          <w:rFonts w:ascii="Times New Roman" w:cs="Times New Roman" w:eastAsia="Times New Roman" w:hAnsi="Times New Roman"/>
          <w:sz w:val="14"/>
          <w:szCs w:val="14"/>
          <w:color w:val="auto"/>
        </w:rPr>
      </w:pPr>
    </w:p>
    <w:p>
      <w:pPr>
        <w:ind w:left="800" w:right="120" w:hanging="400"/>
        <w:spacing w:after="0" w:line="268" w:lineRule="auto"/>
        <w:tabs>
          <w:tab w:leader="none" w:pos="7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Arrowhead Towne Center that it did not previously own and has consolidated its 100% interest (See Note 15—Acquisitions). In connection with the acquisition, the Company assumed the partner's share of the loan on the property.</w:t>
      </w:r>
    </w:p>
    <w:p>
      <w:pPr>
        <w:spacing w:after="0" w:line="114" w:lineRule="exact"/>
        <w:rPr>
          <w:rFonts w:ascii="Times New Roman" w:cs="Times New Roman" w:eastAsia="Times New Roman" w:hAnsi="Times New Roman"/>
          <w:sz w:val="14"/>
          <w:szCs w:val="14"/>
          <w:color w:val="auto"/>
        </w:rPr>
      </w:pPr>
    </w:p>
    <w:p>
      <w:pPr>
        <w:ind w:left="800" w:right="160" w:hanging="400"/>
        <w:spacing w:after="0" w:line="258" w:lineRule="auto"/>
        <w:tabs>
          <w:tab w:leader="none" w:pos="7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49.9% interest in the loan had been assumed by a third party in connection with the Company's joint venture in Chandler Freehold (See Note 12—Financing Arrangement). On November 16, 2023, the Company acquired the partner's 49.9% interest in Freehold Raceway Mall for $5.6 million and assumed the partner's share of debt. The Company now owns 100% of Freehold Raceway Mall (See Note 15—Acquisitions). On June 13, 2024, the partnership agreement between the Company and its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w:t>
      </w:r>
    </w:p>
    <w:p>
      <w:pPr>
        <w:spacing w:after="0" w:line="121" w:lineRule="exact"/>
        <w:rPr>
          <w:rFonts w:ascii="Times New Roman" w:cs="Times New Roman" w:eastAsia="Times New Roman" w:hAnsi="Times New Roman"/>
          <w:sz w:val="14"/>
          <w:szCs w:val="14"/>
          <w:color w:val="auto"/>
        </w:rPr>
      </w:pPr>
    </w:p>
    <w:p>
      <w:pPr>
        <w:ind w:left="800" w:right="180" w:hanging="400"/>
        <w:spacing w:after="0" w:line="268" w:lineRule="auto"/>
        <w:tabs>
          <w:tab w:leader="none" w:pos="7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2024, the Company replaced the existing loan with a $155,000 loan that bears interest at a fixed rate of 6.39%, is interest only during the majority of the loan term and matures on February 6, 2034.</w:t>
      </w:r>
    </w:p>
    <w:p>
      <w:pPr>
        <w:spacing w:after="0" w:line="114" w:lineRule="exact"/>
        <w:rPr>
          <w:rFonts w:ascii="Times New Roman" w:cs="Times New Roman" w:eastAsia="Times New Roman" w:hAnsi="Times New Roman"/>
          <w:sz w:val="14"/>
          <w:szCs w:val="14"/>
          <w:color w:val="auto"/>
        </w:rPr>
      </w:pPr>
    </w:p>
    <w:p>
      <w:pPr>
        <w:jc w:val="both"/>
        <w:ind w:left="800" w:right="280" w:hanging="400"/>
        <w:spacing w:after="0" w:line="261" w:lineRule="auto"/>
        <w:tabs>
          <w:tab w:leader="none" w:pos="7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20, 2023, the Company repaid $26,107 of the outstanding loan balance and exercised its one-year extension option of the loan to January 22, 2024. The interest rate was SOFR plus 3.60%. On January 22, 2024, the Company repaid the majority of the loan balance and the remaining $8,171 matured on April 21, 2024 and was paid in full on April 19, 2024.</w:t>
      </w:r>
    </w:p>
    <w:p>
      <w:pPr>
        <w:spacing w:after="0" w:line="119" w:lineRule="exact"/>
        <w:rPr>
          <w:rFonts w:ascii="Times New Roman" w:cs="Times New Roman" w:eastAsia="Times New Roman" w:hAnsi="Times New Roman"/>
          <w:sz w:val="14"/>
          <w:szCs w:val="14"/>
          <w:color w:val="auto"/>
        </w:rPr>
      </w:pPr>
    </w:p>
    <w:p>
      <w:pPr>
        <w:ind w:left="800" w:right="60" w:hanging="400"/>
        <w:spacing w:after="0" w:line="287" w:lineRule="auto"/>
        <w:tabs>
          <w:tab w:leader="none" w:pos="7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October 6, 2023, the loan was in default and the Company was in negotiations with the lender on the terms of this non-recourse loan. On March 19, 2024, the Company closed on a three-year extension of the loan to October 6, 2026. The interest rate remained unchanged at 5.90%.</w:t>
      </w:r>
    </w:p>
    <w:p>
      <w:pPr>
        <w:spacing w:after="0" w:line="88" w:lineRule="exact"/>
        <w:rPr>
          <w:rFonts w:ascii="Times New Roman" w:cs="Times New Roman" w:eastAsia="Times New Roman" w:hAnsi="Times New Roman"/>
          <w:sz w:val="14"/>
          <w:szCs w:val="14"/>
          <w:color w:val="auto"/>
        </w:rPr>
      </w:pPr>
    </w:p>
    <w:p>
      <w:pPr>
        <w:ind w:left="800" w:right="220" w:hanging="400"/>
        <w:spacing w:after="0" w:line="287" w:lineRule="auto"/>
        <w:tabs>
          <w:tab w:leader="none" w:pos="79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 2023, the Company closed on a five-year $370,000 combined refinance of Green Acres Mall and Green Acres Commons. The new interest only loan bears interest at a fixed rate of 5.90% and matures on January 6, 2028.</w:t>
      </w:r>
    </w:p>
    <w:p>
      <w:pPr>
        <w:spacing w:after="0" w:line="88" w:lineRule="exact"/>
        <w:rPr>
          <w:rFonts w:ascii="Times New Roman" w:cs="Times New Roman" w:eastAsia="Times New Roman" w:hAnsi="Times New Roman"/>
          <w:sz w:val="14"/>
          <w:szCs w:val="14"/>
          <w:color w:val="auto"/>
        </w:rPr>
      </w:pPr>
    </w:p>
    <w:p>
      <w:pPr>
        <w:ind w:left="800" w:right="60" w:hanging="400"/>
        <w:spacing w:after="0" w:line="271" w:lineRule="auto"/>
        <w:tabs>
          <w:tab w:leader="none" w:pos="79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2022, the Company closed on a two-year extension of the loan to June 5, 2024 at a new fixed interest rate of 5.25%. The Company repaid $5,000 of the outstanding loan balance at closing. On June 5, 2023, the Company repaid $10,000 of the outstanding loan balance. On May 24, 2024, the Company closed on a two-year extension of the loan to June 5, 2026. The interest rate during the first year of the extended term will be 7.50%, increasing to 8.50% during the second year of the extended term.</w:t>
      </w:r>
    </w:p>
    <w:p>
      <w:pPr>
        <w:spacing w:after="0" w:line="99" w:lineRule="exact"/>
        <w:rPr>
          <w:rFonts w:ascii="Times New Roman" w:cs="Times New Roman" w:eastAsia="Times New Roman" w:hAnsi="Times New Roman"/>
          <w:sz w:val="14"/>
          <w:szCs w:val="14"/>
          <w:color w:val="auto"/>
        </w:rPr>
      </w:pPr>
    </w:p>
    <w:p>
      <w:pPr>
        <w:ind w:left="800" w:hanging="400"/>
        <w:spacing w:after="0" w:line="263" w:lineRule="auto"/>
        <w:tabs>
          <w:tab w:leader="none" w:pos="79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9, 2022, the Company closed on a three-year extension of the loan to December 9, 2025, including extension options. The interest rate remained unchanged at LIBOR plus 1.48%, and has converted to 1-month Term SOFR plus 1.52% effective July 9, 2023. The loan is covered by an interest rate cap agreement that effectively prevented LIBOR from exceeding 4.0% during the period ending December 9, 2023. The interest rate cap agreement was converted to 1-month Term SOFR effective July 9, 2023. The interest rate cap agreement has since been extended with a 4% strike rate to December 9, 2024. Effective April 9, 2024, the loan is in default and the Company is in negotiations with the lender on the terms of this non-recourse loan.</w:t>
      </w:r>
    </w:p>
    <w:p>
      <w:pPr>
        <w:spacing w:after="0" w:line="104" w:lineRule="exact"/>
        <w:rPr>
          <w:rFonts w:ascii="Times New Roman" w:cs="Times New Roman" w:eastAsia="Times New Roman" w:hAnsi="Times New Roman"/>
          <w:sz w:val="14"/>
          <w:szCs w:val="14"/>
          <w:color w:val="auto"/>
        </w:rPr>
      </w:pPr>
    </w:p>
    <w:p>
      <w:pPr>
        <w:ind w:left="800" w:right="80" w:hanging="400"/>
        <w:spacing w:after="0" w:line="287" w:lineRule="auto"/>
        <w:tabs>
          <w:tab w:leader="none" w:pos="79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14, 2024, the Company acquired the remaining 40% ownership interest in South Plains Mall that it did not previously own and has consolidated its 100% interest (See Note 15 —Acquisitions). In connection with the acquisition, the Company assumed the partner's share of the loan on the property.</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Most of the mortgage loan agreements contain a prepayment penalty provision for the early extinguishment of the debt.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2"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Mortgage Notes Payable: (Continued)</w:t>
      </w: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mortgage notes payable are secured by the properties on which they are placed and are non-recourse to the Company.</w:t>
      </w:r>
    </w:p>
    <w:p>
      <w:pPr>
        <w:spacing w:after="0" w:line="148" w:lineRule="exact"/>
        <w:rPr>
          <w:sz w:val="20"/>
          <w:szCs w:val="20"/>
          <w:color w:val="auto"/>
        </w:rPr>
      </w:pPr>
    </w:p>
    <w:p>
      <w:pPr>
        <w:ind w:right="740" w:firstLine="434"/>
        <w:spacing w:after="0" w:line="268" w:lineRule="auto"/>
        <w:rPr>
          <w:sz w:val="20"/>
          <w:szCs w:val="20"/>
          <w:color w:val="auto"/>
        </w:rPr>
      </w:pPr>
      <w:r>
        <w:rPr>
          <w:rFonts w:ascii="Times New Roman" w:cs="Times New Roman" w:eastAsia="Times New Roman" w:hAnsi="Times New Roman"/>
          <w:sz w:val="18"/>
          <w:szCs w:val="18"/>
          <w:color w:val="auto"/>
        </w:rPr>
        <w:t>The Company expects that all loan maturities during the next twelve months will be refinanced, restructured, extended and/or paid off from the Company's line of credit or with cash on hand, with the exception of Santa Monica Place as noted above.</w:t>
      </w:r>
    </w:p>
    <w:p>
      <w:pPr>
        <w:spacing w:after="0" w:line="104" w:lineRule="exact"/>
        <w:rPr>
          <w:sz w:val="20"/>
          <w:szCs w:val="20"/>
          <w:color w:val="auto"/>
        </w:rPr>
      </w:pPr>
    </w:p>
    <w:p>
      <w:pPr>
        <w:ind w:right="200" w:firstLine="434"/>
        <w:spacing w:after="0" w:line="268" w:lineRule="auto"/>
        <w:rPr>
          <w:sz w:val="20"/>
          <w:szCs w:val="20"/>
          <w:color w:val="auto"/>
        </w:rPr>
      </w:pPr>
      <w:r>
        <w:rPr>
          <w:rFonts w:ascii="Times New Roman" w:cs="Times New Roman" w:eastAsia="Times New Roman" w:hAnsi="Times New Roman"/>
          <w:sz w:val="18"/>
          <w:szCs w:val="18"/>
          <w:color w:val="auto"/>
        </w:rPr>
        <w:t>Total interest expense capitalized was $5,313 and $4,850 for the three months ended June 30, 2024 and 2023, respectively, and $10,389 and $9,693 for the six months ended June 30, 2024 and 2023, respectively.</w:t>
      </w:r>
    </w:p>
    <w:p>
      <w:pPr>
        <w:spacing w:after="0" w:line="90" w:lineRule="exact"/>
        <w:rPr>
          <w:sz w:val="20"/>
          <w:szCs w:val="20"/>
          <w:color w:val="auto"/>
        </w:rPr>
      </w:pPr>
    </w:p>
    <w:p>
      <w:pPr>
        <w:jc w:val="both"/>
        <w:ind w:right="280" w:firstLine="434"/>
        <w:spacing w:after="0" w:line="256" w:lineRule="auto"/>
        <w:rPr>
          <w:sz w:val="20"/>
          <w:szCs w:val="20"/>
          <w:color w:val="auto"/>
        </w:rPr>
      </w:pPr>
      <w:r>
        <w:rPr>
          <w:rFonts w:ascii="Times New Roman" w:cs="Times New Roman" w:eastAsia="Times New Roman" w:hAnsi="Times New Roman"/>
          <w:sz w:val="18"/>
          <w:szCs w:val="18"/>
          <w:color w:val="auto"/>
        </w:rPr>
        <w:t>The estimated fair value (Level 2 measurement) of mortgage notes payable at June 30, 2024 and December 31, 2023 was $4,158,327 and $3,863,997,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and other notes payable consist of the following:</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50" w:lineRule="exact"/>
        <w:rPr>
          <w:sz w:val="20"/>
          <w:szCs w:val="20"/>
          <w:color w:val="auto"/>
        </w:rPr>
      </w:pPr>
    </w:p>
    <w:p>
      <w:pPr>
        <w:ind w:right="40" w:firstLine="434"/>
        <w:spacing w:after="0" w:line="279" w:lineRule="auto"/>
        <w:rPr>
          <w:sz w:val="20"/>
          <w:szCs w:val="20"/>
          <w:color w:val="auto"/>
        </w:rPr>
      </w:pPr>
      <w:r>
        <w:rPr>
          <w:rFonts w:ascii="Times New Roman" w:cs="Times New Roman" w:eastAsia="Times New Roman" w:hAnsi="Times New Roman"/>
          <w:sz w:val="16"/>
          <w:szCs w:val="16"/>
          <w:color w:val="auto"/>
        </w:rPr>
        <w:t>Previously, the Company had a $525,000 revolving loan facility, which was scheduled to mature on April 14, 2024. On September 11, 2023, the Company and the Operating Partnership entered into an amended and restated credit agreement, which amended and restated their prior credit agreement, and provides for an aggregate $650,000 revolving loan facility that matures on February 1, 2027, with a one-year extension option. The revolving loan facility can be expanded up to $950,000, subject to receipt of lender commitments and other conditions. Concurrently with the entry into the amended and restated credit agreement, the Company drew $152,000 of the amount available under the revolving loan facility and used the proceeds to repay in full amounts outstanding under its prior credit facility. All obligations under the credit facility are guaranteed unconditionally by the Company and are secured in the form of mortgages on certain wholly-owned assets and pledges of equity interests held by certain of the Company’s subsidiaries. The new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Adjusted term SOFR is Term SOFR (as defined in the credit agreement) plus 0.10% per annum. As of June 30, 2024, the borrowing rate was SOFR plus a spread of 2.35%. As of June 30, 2024, borrowings under the credit facility were $185,000 less unamortized deferred finance costs of $13,564 for the revolving loan facility at a total effective interest rate of 8.40%. As of June 30, 2024, the Company’s availability under the revolving loan facility for additional borrowings was $464,921. The estimated fair value (Level 2 measurement) of borrowings under the credit facility at June 30, 2024 was $190,568 for the revolving loan facility based on a present value model using a credit interest rate spread offered to the Company for comparable debt.</w:t>
      </w:r>
    </w:p>
    <w:p>
      <w:pPr>
        <w:spacing w:after="0" w:line="3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2024 and December 31, 2023, the Company was in compliance with all applicable financial loan covenants.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w:t>
      </w:r>
    </w:p>
    <w:p>
      <w:pPr>
        <w:spacing w:after="0" w:line="150"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On September 30, 2009, the Company formed a joint venture whereby a third party acquired a 49.9% interest in Chandler Fashion Center, a 1,402,000 square foot regional shopping center in Chandler, Arizona, and Freehold Raceway Mall, a 1,546,000 square foot regional shopping center in Freehold, New Jersey (collectively referred to herein as "Chandler Freehold"). As a result of the Company having certain rights under the agreement to repurchase the assets of Chandler Freehold, the transaction did not qualify for sale treatment. The Company, however, was not obligated to repurchase the assets. The Company accounted for its investment in Chandler Freehold as a financing arrangement.</w:t>
      </w:r>
    </w:p>
    <w:p>
      <w:pPr>
        <w:spacing w:after="0" w:line="119" w:lineRule="exact"/>
        <w:rPr>
          <w:sz w:val="20"/>
          <w:szCs w:val="20"/>
          <w:color w:val="auto"/>
        </w:rPr>
      </w:pPr>
    </w:p>
    <w:p>
      <w:pPr>
        <w:ind w:right="480" w:firstLine="434"/>
        <w:spacing w:after="0" w:line="268" w:lineRule="auto"/>
        <w:rPr>
          <w:sz w:val="20"/>
          <w:szCs w:val="20"/>
          <w:color w:val="auto"/>
        </w:rPr>
      </w:pPr>
      <w:r>
        <w:rPr>
          <w:rFonts w:ascii="Times New Roman" w:cs="Times New Roman" w:eastAsia="Times New Roman" w:hAnsi="Times New Roman"/>
          <w:sz w:val="18"/>
          <w:szCs w:val="18"/>
          <w:color w:val="auto"/>
        </w:rPr>
        <w:t>On November 16, 2023, the Company acquired the 49.9% ownership interest in Freehold Raceway Mall (See Note 15—Acquisitions). As a result, Freehold Raceway Mall is no longer part of the financing arrangement and is 100% owned by the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 (Continued)</w:t>
      </w:r>
    </w:p>
    <w:p>
      <w:pPr>
        <w:spacing w:after="0" w:line="200" w:lineRule="exact"/>
        <w:rPr>
          <w:sz w:val="20"/>
          <w:szCs w:val="20"/>
          <w:color w:val="auto"/>
        </w:rPr>
      </w:pPr>
    </w:p>
    <w:p>
      <w:pPr>
        <w:spacing w:after="0" w:line="306"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color w:val="auto"/>
        </w:rPr>
        <w:t>Company. In connection with the acquisition of the 49.9% ownership interest, the Company recorded the $5,587 purchase amount as a reduction to the financing arrangement obligation.</w:t>
      </w:r>
    </w:p>
    <w:p>
      <w:pPr>
        <w:spacing w:after="0" w:line="104" w:lineRule="exact"/>
        <w:rPr>
          <w:sz w:val="20"/>
          <w:szCs w:val="20"/>
          <w:color w:val="auto"/>
        </w:rPr>
      </w:pPr>
    </w:p>
    <w:p>
      <w:pPr>
        <w:ind w:right="160" w:firstLine="434"/>
        <w:spacing w:after="0" w:line="250"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partner was amended, removing the specific rights that prohibited the transaction's qualification for sale treatment. As a result, the transaction qualified for sale treatment and the Company no longer accounts for its investment in Chandler Fashion Center as a financing arrangement. The financing arrangement obligation was $88,721 on June 13, 2024 and was reversed and included in gain on sale of assets (See Note 16—Dispositions). References to Chandler Freehold for the period after November 16, 2023 through June 13, 2024 shall be deemed to only refer to Chandler Fashion Center.</w:t>
      </w:r>
    </w:p>
    <w:p>
      <w:pPr>
        <w:spacing w:after="0" w:line="119" w:lineRule="exact"/>
        <w:rPr>
          <w:sz w:val="20"/>
          <w:szCs w:val="20"/>
          <w:color w:val="auto"/>
        </w:rPr>
      </w:pPr>
    </w:p>
    <w:p>
      <w:pPr>
        <w:ind w:right="20" w:firstLine="434"/>
        <w:spacing w:after="0" w:line="249" w:lineRule="auto"/>
        <w:rPr>
          <w:sz w:val="20"/>
          <w:szCs w:val="20"/>
          <w:color w:val="auto"/>
        </w:rPr>
      </w:pPr>
      <w:r>
        <w:rPr>
          <w:rFonts w:ascii="Times New Roman" w:cs="Times New Roman" w:eastAsia="Times New Roman" w:hAnsi="Times New Roman"/>
          <w:sz w:val="18"/>
          <w:szCs w:val="18"/>
          <w:color w:val="auto"/>
        </w:rPr>
        <w:t>The fair value (Level 3 measurement) of the financing arrangement obligation at June 13, 2024 and December 31, 2023 was based upon a terminal capitalization rate of approximately 7.00% and 6.50%, respectively, a discount rate at June 13, 2024 and December 31, 2023 of 8.25% and 8.00%, respectively, and market rents per square foot of $45 to $240.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related party interest (income) expense in the Company's consolidated statements of operations.</w:t>
      </w:r>
    </w:p>
    <w:p>
      <w:pPr>
        <w:spacing w:after="0" w:line="106" w:lineRule="exact"/>
        <w:rPr>
          <w:sz w:val="20"/>
          <w:szCs w:val="20"/>
          <w:color w:val="auto"/>
        </w:rPr>
      </w:pPr>
    </w:p>
    <w:p>
      <w:pPr>
        <w:ind w:right="480" w:firstLine="434"/>
        <w:spacing w:after="0" w:line="268"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the Company recognized related party interest (income) expense in the Company's consolidated statements of operations in connection with the financing arrangement as follows:</w:t>
      </w:r>
    </w:p>
    <w:p>
      <w:pPr>
        <w:spacing w:after="0" w:line="12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r>
      <w:tr>
        <w:trPr>
          <w:trHeight w:val="190"/>
        </w:trPr>
        <w:tc>
          <w:tcPr>
            <w:tcW w:w="6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80" w:type="dxa"/>
            <w:vAlign w:val="bottom"/>
            <w:tcBorders>
              <w:bottom w:val="single" w:sz="8" w:color="auto"/>
            </w:tcBorders>
          </w:tcPr>
          <w:p>
            <w:pPr>
              <w:spacing w:after="0"/>
              <w:rPr>
                <w:sz w:val="16"/>
                <w:szCs w:val="16"/>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equal to the partner's share of 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in excess of the partner's share of net income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r>
      <w:tr>
        <w:trPr>
          <w:trHeight w:val="22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fair value of financing arrangement obligation</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r>
      <w:tr>
        <w:trPr>
          <w:trHeight w:val="217"/>
        </w:trPr>
        <w:tc>
          <w:tcPr>
            <w:tcW w:w="6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w:t>
      </w:r>
    </w:p>
    <w:p>
      <w:pPr>
        <w:spacing w:after="0" w:line="150" w:lineRule="exact"/>
        <w:rPr>
          <w:sz w:val="20"/>
          <w:szCs w:val="20"/>
          <w:color w:val="auto"/>
        </w:rPr>
      </w:pPr>
    </w:p>
    <w:p>
      <w:pPr>
        <w:ind w:firstLine="434"/>
        <w:spacing w:after="0" w:line="246" w:lineRule="auto"/>
        <w:rPr>
          <w:sz w:val="20"/>
          <w:szCs w:val="20"/>
          <w:color w:val="auto"/>
        </w:rPr>
      </w:pPr>
      <w:r>
        <w:rPr>
          <w:rFonts w:ascii="Times New Roman" w:cs="Times New Roman" w:eastAsia="Times New Roman" w:hAnsi="Times New Roman"/>
          <w:sz w:val="18"/>
          <w:szCs w:val="18"/>
          <w:color w:val="auto"/>
        </w:rPr>
        <w:t>The Company allocates net (loss) income of the Operating Partnership based on the weighted average ownership interest during the period. The net (loss)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June 30, 2024 and December 31, 2023. The remaining 4% limited partnership interest as of June 30, 2024 and December 31, 2023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June 30, 2024 and December 31, 2023, the aggregate redemption value of the then-outstanding OP Units not owned by the Company was $148,380 and $158,157, respectively.</w:t>
      </w:r>
    </w:p>
    <w:p>
      <w:pPr>
        <w:spacing w:after="0" w:line="129"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01"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right="9340" w:hanging="435"/>
        <w:spacing w:after="0" w:line="464" w:lineRule="auto"/>
        <w:tabs>
          <w:tab w:leader="none" w:pos="269"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Stockholders' Equity: </w:t>
      </w:r>
      <w:r>
        <w:rPr>
          <w:rFonts w:ascii="Times New Roman" w:cs="Times New Roman" w:eastAsia="Times New Roman" w:hAnsi="Times New Roman"/>
          <w:sz w:val="16"/>
          <w:szCs w:val="16"/>
          <w:i w:val="1"/>
          <w:iCs w:val="1"/>
          <w:color w:val="auto"/>
        </w:rPr>
        <w:t>Stock Offerings</w:t>
      </w:r>
    </w:p>
    <w:p>
      <w:pPr>
        <w:spacing w:after="0" w:line="1"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March 26, 2021, which is referred to as the “ATM Program,” the Company entered into an equity distribution agreement with certain sales agents pursuant to which the Company may issue and sell shares of its common stock having an aggregate offering price of up to $500,000 under the ATM Program.</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six months ended June 30, 2024, the Company did not issue any shares of common stock under the ATM Program. As of June 30, 2024,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$151,699 remained available to be sold under the ATM Program. Actual future sales will depend upon a variety of factors including, but not limited to,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conditions, the trading price of the Company’s common stock and the Company’s capital needs. The Company has no obligation to sell the remaining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for sale under the ATM Program.</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Buyback Program</w:t>
      </w:r>
    </w:p>
    <w:p>
      <w:pPr>
        <w:spacing w:after="0" w:line="150" w:lineRule="exact"/>
        <w:rPr>
          <w:sz w:val="20"/>
          <w:szCs w:val="20"/>
          <w:color w:val="auto"/>
        </w:rPr>
      </w:pPr>
    </w:p>
    <w:p>
      <w:pPr>
        <w:ind w:right="160" w:firstLine="434"/>
        <w:spacing w:after="0" w:line="252" w:lineRule="auto"/>
        <w:rPr>
          <w:sz w:val="20"/>
          <w:szCs w:val="20"/>
          <w:color w:val="auto"/>
        </w:rPr>
      </w:pPr>
      <w:r>
        <w:rPr>
          <w:rFonts w:ascii="Times New Roman" w:cs="Times New Roman" w:eastAsia="Times New Roman" w:hAnsi="Times New Roman"/>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repurchases under the Stock Buyback Program during the six months ended June 30, 2024 or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w:t>
      </w:r>
    </w:p>
    <w:p>
      <w:pPr>
        <w:spacing w:after="0" w:line="150"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On May 18, 2023, the Company acquired Seritage’s remaining 50% ownership interest in the MS Portfolio LLC joint venture that owns five former Sears parcels, for a total purchase price of $46,687.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w:t>
      </w:r>
    </w:p>
    <w:p>
      <w:pPr>
        <w:spacing w:after="0" w:line="104" w:lineRule="exact"/>
        <w:rPr>
          <w:sz w:val="20"/>
          <w:szCs w:val="20"/>
          <w:color w:val="auto"/>
        </w:rPr>
      </w:pPr>
    </w:p>
    <w:p>
      <w:pPr>
        <w:ind w:right="480" w:firstLine="434"/>
        <w:spacing w:after="0" w:line="268" w:lineRule="auto"/>
        <w:rPr>
          <w:sz w:val="20"/>
          <w:szCs w:val="20"/>
          <w:color w:val="auto"/>
        </w:rPr>
      </w:pPr>
      <w:r>
        <w:rPr>
          <w:rFonts w:ascii="Times New Roman" w:cs="Times New Roman" w:eastAsia="Times New Roman" w:hAnsi="Times New Roman"/>
          <w:sz w:val="18"/>
          <w:szCs w:val="18"/>
          <w:color w:val="auto"/>
        </w:rPr>
        <w:t>The following is a summary of the allocation of the fair value of the former Sears parcels at Chandler Fashion Center, Danbury Fair Mall, Freehold Raceway Mall, Los Cerritos Center and Washington Square:</w:t>
      </w:r>
    </w:p>
    <w:p>
      <w:pPr>
        <w:spacing w:after="0" w:line="148"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39,359</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 (below-market lease)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1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93,400</w:t>
            </w:r>
          </w:p>
        </w:tc>
      </w:tr>
      <w:tr>
        <w:trPr>
          <w:trHeight w:val="20"/>
        </w:trPr>
        <w:tc>
          <w:tcPr>
            <w:tcW w:w="7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right="20" w:firstLine="434"/>
        <w:spacing w:after="0" w:line="256" w:lineRule="auto"/>
        <w:rPr>
          <w:sz w:val="20"/>
          <w:szCs w:val="20"/>
          <w:color w:val="auto"/>
        </w:rPr>
      </w:pPr>
      <w:r>
        <w:rPr>
          <w:rFonts w:ascii="Times New Roman" w:cs="Times New Roman" w:eastAsia="Times New Roman" w:hAnsi="Times New Roman"/>
          <w:sz w:val="18"/>
          <w:szCs w:val="18"/>
          <w:color w:val="auto"/>
        </w:rPr>
        <w:t>On November 16, 2023, the Company acquired its joint venture partner's 49.9% ownership interest in Freehold Raceway Mall for $5,587 and assumed its joint venture partner's share of debt. The Company now owns 100% of this property. Prior to November 16, 2023, the Company accounted for its investment in Freehold Raceway Mall as part of a financing arrangement (See Note 12—Financing Arrangement).</w:t>
      </w:r>
    </w:p>
    <w:p>
      <w:pPr>
        <w:spacing w:after="0" w:line="114" w:lineRule="exact"/>
        <w:rPr>
          <w:sz w:val="20"/>
          <w:szCs w:val="20"/>
          <w:color w:val="auto"/>
        </w:rPr>
      </w:pPr>
    </w:p>
    <w:p>
      <w:pPr>
        <w:ind w:right="120" w:firstLine="434"/>
        <w:spacing w:after="0" w:line="252" w:lineRule="auto"/>
        <w:rPr>
          <w:sz w:val="20"/>
          <w:szCs w:val="20"/>
          <w:color w:val="auto"/>
        </w:rPr>
      </w:pPr>
      <w:r>
        <w:rPr>
          <w:rFonts w:ascii="Times New Roman" w:cs="Times New Roman" w:eastAsia="Times New Roman" w:hAnsi="Times New Roman"/>
          <w:sz w:val="18"/>
          <w:szCs w:val="18"/>
          <w:color w:val="auto"/>
        </w:rPr>
        <w:t>On December 9, 2023, the Company acquired its joint venture partner's 50% interest in Fashion District Philadelphia for no consideration, and the Company now owns 100% of this property. Prior to December 9, 2023, due to the Company's joint venture partner having no substantive participation rights, the Company accounted for this joint venture as a consolidated VIE in its consolidated financial statements (See Note 2—Summary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 (Continued)</w:t>
      </w:r>
    </w:p>
    <w:p>
      <w:pPr>
        <w:spacing w:after="0" w:line="150" w:lineRule="exact"/>
        <w:rPr>
          <w:sz w:val="20"/>
          <w:szCs w:val="20"/>
          <w:color w:val="auto"/>
        </w:rPr>
      </w:pPr>
    </w:p>
    <w:p>
      <w:pPr>
        <w:jc w:val="both"/>
        <w:ind w:right="100" w:firstLine="434"/>
        <w:spacing w:after="0" w:line="25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Arrowhead Towne Center that it did not previously own for a total purchase price of $36,447 and the assumption of its joint venture partner's share of the debt on the property. Effective as of May 14, 2024, the Company now owns and has consolidated its 100% interest in Arrowhead Towne Center.</w:t>
      </w:r>
    </w:p>
    <w:p>
      <w:pPr>
        <w:spacing w:after="0" w:line="114"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Arrowhead Towne Center:</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59"/>
        </w:trPr>
        <w:tc>
          <w:tcPr>
            <w:tcW w:w="7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426,097</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22,307</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451,377</w:t>
            </w: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383,881</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(33,062)</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360,258</w:t>
            </w: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left="400" w:right="120"/>
        <w:spacing w:after="0" w:line="256" w:lineRule="auto"/>
        <w:rPr>
          <w:sz w:val="20"/>
          <w:szCs w:val="20"/>
          <w:color w:val="auto"/>
        </w:rPr>
      </w:pPr>
      <w:r>
        <w:rPr>
          <w:rFonts w:ascii="Times New Roman" w:cs="Times New Roman" w:eastAsia="Times New Roman" w:hAnsi="Times New Roman"/>
          <w:sz w:val="18"/>
          <w:szCs w:val="18"/>
          <w:color w:val="auto"/>
        </w:rPr>
        <w:t>The net assets acquired upon consolidation of Arrowhead Towne Center were initially recorded at their relative fair values as shown in the table above. The carrying value of the property was then reduced by the remaining negative basis of $58,683 from the equity method investment previously held by the Company.</w:t>
      </w:r>
    </w:p>
    <w:p>
      <w:pPr>
        <w:spacing w:after="0" w:line="101"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On May 14, 2024, the Company acquired the remaining 40% ownership interest in South Plains Mall that it did not previously own for no cash consideration and the assumption of its joint venture partner's share of the debt on the property. Effective as of May 14, 2024, the Company now owns and has consolidated its 100% interest in South Plains Mall.</w:t>
      </w:r>
    </w:p>
    <w:p>
      <w:pPr>
        <w:spacing w:after="0" w:line="114"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allocation of the fair value of South Plains Mall:</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2"/>
        </w:trPr>
        <w:tc>
          <w:tcPr>
            <w:tcW w:w="7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183,434</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206,771</w:t>
            </w:r>
          </w:p>
        </w:tc>
      </w:tr>
      <w:tr>
        <w:trPr>
          <w:trHeight w:val="21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mortgage note payable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r>
      <w:tr>
        <w:trPr>
          <w:trHeight w:val="217"/>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198,181</w:t>
            </w: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00" w:right="180"/>
        <w:spacing w:after="0" w:line="256" w:lineRule="auto"/>
        <w:rPr>
          <w:sz w:val="20"/>
          <w:szCs w:val="20"/>
          <w:color w:val="auto"/>
        </w:rPr>
      </w:pPr>
      <w:r>
        <w:rPr>
          <w:rFonts w:ascii="Times New Roman" w:cs="Times New Roman" w:eastAsia="Times New Roman" w:hAnsi="Times New Roman"/>
          <w:sz w:val="18"/>
          <w:szCs w:val="18"/>
          <w:color w:val="auto"/>
        </w:rPr>
        <w:t>The net assets acquired upon consolidation of South Plains Mall were initially recorded at their relative fair values as shown in the table above. The carrying value of the property was then reduced by the remaining negative basis of $72,160 from the equity method investment previously held by the Company.</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May 17, 2024, the Company acquired the former Sears parcel located at Inland Center for $5,382.</w:t>
      </w:r>
    </w:p>
    <w:p>
      <w:pPr>
        <w:sectPr>
          <w:pgSz w:w="11900" w:h="16838" w:orient="portrait"/>
          <w:cols w:equalWidth="0" w:num="1">
            <w:col w:w="11120"/>
          </w:cols>
          <w:pgMar w:left="320" w:top="26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262" w:right="4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Dispositions:</w:t>
      </w:r>
    </w:p>
    <w:p>
      <w:pPr>
        <w:spacing w:after="0" w:line="200" w:lineRule="exact"/>
        <w:rPr>
          <w:sz w:val="20"/>
          <w:szCs w:val="20"/>
          <w:color w:val="auto"/>
        </w:rPr>
      </w:pPr>
    </w:p>
    <w:p>
      <w:pPr>
        <w:spacing w:after="0" w:line="213" w:lineRule="exact"/>
        <w:rPr>
          <w:sz w:val="20"/>
          <w:szCs w:val="20"/>
          <w:color w:val="auto"/>
        </w:rPr>
      </w:pPr>
    </w:p>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On May 2, 2023, the Company sold The Marketplace at Flagstaff, a 268,000 square foot power center in Flagstaff, Arizona, for $23,500, which resulted in a gain on sale of assets of $10,349. The Company used the net proceeds to pay down debt.</w:t>
      </w:r>
    </w:p>
    <w:p>
      <w:pPr>
        <w:spacing w:after="0" w:line="90" w:lineRule="exact"/>
        <w:rPr>
          <w:sz w:val="20"/>
          <w:szCs w:val="20"/>
          <w:color w:val="auto"/>
        </w:rPr>
      </w:pPr>
    </w:p>
    <w:p>
      <w:pPr>
        <w:ind w:firstLine="434"/>
        <w:spacing w:after="0" w:line="253" w:lineRule="auto"/>
        <w:rPr>
          <w:sz w:val="20"/>
          <w:szCs w:val="20"/>
          <w:color w:val="auto"/>
        </w:rPr>
      </w:pPr>
      <w:r>
        <w:rPr>
          <w:rFonts w:ascii="Times New Roman" w:cs="Times New Roman" w:eastAsia="Times New Roman" w:hAnsi="Times New Roman"/>
          <w:sz w:val="18"/>
          <w:szCs w:val="18"/>
          <w:color w:val="auto"/>
        </w:rPr>
        <w:t>On July 17, 2023, the Company sold Superstition Springs Power Center, a 204,000 square foot power center in Mesa, Arizona, for $5,634, which resulted in a gain on sale of assets of $1,903. The Company used the net proceeds to pay down debt.</w:t>
      </w:r>
    </w:p>
    <w:p>
      <w:pPr>
        <w:spacing w:after="0" w:line="90" w:lineRule="exact"/>
        <w:rPr>
          <w:sz w:val="20"/>
          <w:szCs w:val="20"/>
          <w:color w:val="auto"/>
        </w:rPr>
      </w:pPr>
    </w:p>
    <w:p>
      <w:pPr>
        <w:ind w:right="60" w:firstLine="434"/>
        <w:spacing w:after="0" w:line="253" w:lineRule="auto"/>
        <w:rPr>
          <w:sz w:val="20"/>
          <w:szCs w:val="20"/>
          <w:color w:val="auto"/>
        </w:rPr>
      </w:pPr>
      <w:r>
        <w:rPr>
          <w:rFonts w:ascii="Times New Roman" w:cs="Times New Roman" w:eastAsia="Times New Roman" w:hAnsi="Times New Roman"/>
          <w:sz w:val="18"/>
          <w:szCs w:val="18"/>
          <w:color w:val="auto"/>
        </w:rPr>
        <w:t>The Company did not repay the loan on Towne Mall on its maturity date of November 1, 2022, and completed transition of the property to a receiver. On December 4, 2023, Towne Mall was sold by the receiver for $9,500, resulting in a gain on extinguishment of debt of $8,208.</w:t>
      </w:r>
    </w:p>
    <w:p>
      <w:pPr>
        <w:spacing w:after="0" w:line="116"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partner was amended and as a result, the Company no longer accounts for its investment in Chandler Fashion Center as a financing arrangement (See Note 12—Financing Arrangement). Effective June 13, 2024, the Company accounts for its investment in Chandler Fashion Center under the equity method of accounting.</w:t>
      </w:r>
    </w:p>
    <w:p>
      <w:pPr>
        <w:spacing w:after="0" w:line="114"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recognized the following gain on sale of assets on Chandler Fashion Center:</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59"/>
        </w:trPr>
        <w:tc>
          <w:tcPr>
            <w:tcW w:w="7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investment in unconsolidated joint ventures - Chandler Fashion Center</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141,291</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the financing arrangement obligation</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88,721</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Deconsolidation of Chandler Fashion Center - liabilities in excess of assets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104,273</w:t>
            </w:r>
          </w:p>
        </w:tc>
      </w:tr>
      <w:tr>
        <w:trPr>
          <w:trHeight w:val="217"/>
        </w:trPr>
        <w:tc>
          <w:tcPr>
            <w:tcW w:w="778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334,285</w:t>
            </w:r>
          </w:p>
        </w:tc>
      </w:tr>
      <w:tr>
        <w:trPr>
          <w:trHeight w:val="20"/>
        </w:trPr>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firstLine="434"/>
        <w:spacing w:after="0" w:line="268" w:lineRule="auto"/>
        <w:rPr>
          <w:sz w:val="20"/>
          <w:szCs w:val="20"/>
          <w:color w:val="auto"/>
        </w:rPr>
      </w:pPr>
      <w:r>
        <w:rPr>
          <w:rFonts w:ascii="Times New Roman" w:cs="Times New Roman" w:eastAsia="Times New Roman" w:hAnsi="Times New Roman"/>
          <w:sz w:val="18"/>
          <w:szCs w:val="18"/>
          <w:color w:val="auto"/>
        </w:rPr>
        <w:t>On June 28, 2024, the Company sold a former department store parcel at Valle Vista Mall in Harlingen, Texas for $7,100, which resulted in a gain on sale of assets of $1,019. The Company used the net proceeds to pay down debt.</w:t>
      </w:r>
    </w:p>
    <w:p>
      <w:pPr>
        <w:spacing w:after="0" w:line="90" w:lineRule="exact"/>
        <w:rPr>
          <w:sz w:val="20"/>
          <w:szCs w:val="20"/>
          <w:color w:val="auto"/>
        </w:rPr>
      </w:pPr>
    </w:p>
    <w:p>
      <w:pPr>
        <w:jc w:val="both"/>
        <w:ind w:right="140" w:firstLine="434"/>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sold a land parcel, resulting in a gain on sale of land of $289. For the six months ended June 30, 2023, the Company sold various land parcels in separate transactions, resulting in gains on sale of land of $4,375. The Company used its share of the proceeds from these sales to pay down debt and for other general corporate purposes.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50" w:lineRule="exact"/>
        <w:rPr>
          <w:sz w:val="20"/>
          <w:szCs w:val="20"/>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As of June 30, 2024, the Company was contingently liable for $40,899 in letters of credit guaranteeing performance by the Company of certain obligations relating to the Centers. As of June 30, 2024, $40,820 of these letters of credit were secured by restricted cash. The Company does not believe that these letters of credit will result in a liability to the Company.</w:t>
      </w:r>
    </w:p>
    <w:p>
      <w:pPr>
        <w:spacing w:after="0" w:line="101" w:lineRule="exact"/>
        <w:rPr>
          <w:sz w:val="20"/>
          <w:szCs w:val="20"/>
          <w:color w:val="auto"/>
        </w:rPr>
      </w:pPr>
    </w:p>
    <w:p>
      <w:pPr>
        <w:ind w:right="220" w:firstLine="434"/>
        <w:spacing w:after="0" w:line="256" w:lineRule="auto"/>
        <w:rPr>
          <w:sz w:val="20"/>
          <w:szCs w:val="20"/>
          <w:color w:val="auto"/>
        </w:rPr>
      </w:pPr>
      <w:r>
        <w:rPr>
          <w:rFonts w:ascii="Times New Roman" w:cs="Times New Roman" w:eastAsia="Times New Roman" w:hAnsi="Times New Roman"/>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June 30, 2024, the Company had $25,016 in outstanding obligations, which it believes will be settled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50" w:lineRule="exact"/>
        <w:rPr>
          <w:sz w:val="20"/>
          <w:szCs w:val="20"/>
          <w:color w:val="auto"/>
        </w:rPr>
      </w:pPr>
    </w:p>
    <w:p>
      <w:pPr>
        <w:ind w:right="80" w:firstLine="434"/>
        <w:spacing w:after="0" w:line="256" w:lineRule="auto"/>
        <w:rPr>
          <w:sz w:val="20"/>
          <w:szCs w:val="20"/>
          <w:color w:val="auto"/>
        </w:rPr>
      </w:pPr>
      <w:r>
        <w:rPr>
          <w:rFonts w:ascii="Times New Roman" w:cs="Times New Roman" w:eastAsia="Times New Roman" w:hAnsi="Times New Roman"/>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are fees charged to unconsolidated joint ventures:</w:t>
      </w:r>
    </w:p>
    <w:p>
      <w:pPr>
        <w:spacing w:after="0" w:line="1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2040" w:type="dxa"/>
            <w:vAlign w:val="bottom"/>
            <w:gridSpan w:val="5"/>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w:t>
            </w:r>
          </w:p>
        </w:tc>
      </w:tr>
      <w:tr>
        <w:trPr>
          <w:trHeight w:val="191"/>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1"/>
        </w:trPr>
        <w:tc>
          <w:tcPr>
            <w:tcW w:w="3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r>
      <w:tr>
        <w:trPr>
          <w:trHeight w:val="224"/>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and leasing fees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w:t>
            </w:r>
          </w:p>
        </w:tc>
      </w:tr>
      <w:tr>
        <w:trPr>
          <w:trHeight w:val="242"/>
        </w:trPr>
        <w:tc>
          <w:tcPr>
            <w:tcW w:w="3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Interest (income) expense from related party transactions includes $(15,701) and $5,980 for the three months ended June 30, 2024 and 2023, respectively, and $(11,264) and $(3,427) for the six months ended June 30, 2024 and 2023, respectively, in connection with the financing arrangement (See Note 12— Financing Arrangement).</w:t>
      </w:r>
    </w:p>
    <w:p>
      <w:pPr>
        <w:spacing w:after="0" w:line="114" w:lineRule="exact"/>
        <w:rPr>
          <w:sz w:val="20"/>
          <w:szCs w:val="20"/>
          <w:color w:val="auto"/>
        </w:rPr>
      </w:pPr>
    </w:p>
    <w:p>
      <w:pPr>
        <w:ind w:right="80" w:firstLine="434"/>
        <w:spacing w:after="0" w:line="268" w:lineRule="auto"/>
        <w:rPr>
          <w:sz w:val="20"/>
          <w:szCs w:val="20"/>
          <w:color w:val="auto"/>
        </w:rPr>
      </w:pPr>
      <w:r>
        <w:rPr>
          <w:rFonts w:ascii="Times New Roman" w:cs="Times New Roman" w:eastAsia="Times New Roman" w:hAnsi="Times New Roman"/>
          <w:sz w:val="18"/>
          <w:szCs w:val="18"/>
          <w:color w:val="auto"/>
        </w:rPr>
        <w:t>Due from affiliates includes $3,298 and $4,755 of unreimbursed costs and fees from unconsolidated joint ventures due to the Management Companies at June 30, 2024 and December 31, 2023, respectively.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w:t>
      </w:r>
    </w:p>
    <w:p>
      <w:pPr>
        <w:spacing w:after="0" w:line="150" w:lineRule="exact"/>
        <w:rPr>
          <w:sz w:val="20"/>
          <w:szCs w:val="20"/>
          <w:color w:val="auto"/>
        </w:rPr>
      </w:pPr>
    </w:p>
    <w:p>
      <w:pPr>
        <w:ind w:right="60" w:firstLine="434"/>
        <w:spacing w:after="0" w:line="250" w:lineRule="auto"/>
        <w:rPr>
          <w:sz w:val="20"/>
          <w:szCs w:val="20"/>
          <w:color w:val="auto"/>
        </w:rPr>
      </w:pPr>
      <w:r>
        <w:rPr>
          <w:rFonts w:ascii="Times New Roman" w:cs="Times New Roman" w:eastAsia="Times New Roman" w:hAnsi="Times New Roman"/>
          <w:sz w:val="18"/>
          <w:szCs w:val="18"/>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119" w:lineRule="exact"/>
        <w:rPr>
          <w:sz w:val="20"/>
          <w:szCs w:val="20"/>
          <w:color w:val="auto"/>
        </w:rPr>
      </w:pPr>
    </w:p>
    <w:p>
      <w:pPr>
        <w:ind w:right="140" w:firstLine="434"/>
        <w:spacing w:after="0" w:line="256" w:lineRule="auto"/>
        <w:rPr>
          <w:sz w:val="20"/>
          <w:szCs w:val="20"/>
          <w:color w:val="auto"/>
        </w:rPr>
      </w:pPr>
      <w:r>
        <w:rPr>
          <w:rFonts w:ascii="Times New Roman" w:cs="Times New Roman" w:eastAsia="Times New Roman" w:hAnsi="Times New Roman"/>
          <w:sz w:val="18"/>
          <w:szCs w:val="18"/>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performance-based LTI Units vest over a specified period based on the Company's operational performance over that period.</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six months ended June 30, 2024, the Company granted the following LTI Units: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14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4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40" w:type="dxa"/>
            <w:vAlign w:val="bottom"/>
          </w:tcPr>
          <w:p>
            <w:pPr>
              <w:spacing w:after="0"/>
              <w:rPr>
                <w:sz w:val="16"/>
                <w:szCs w:val="16"/>
                <w:color w:val="auto"/>
              </w:rPr>
            </w:pPr>
          </w:p>
        </w:tc>
        <w:tc>
          <w:tcPr>
            <w:tcW w:w="2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per LTI</w:t>
            </w:r>
          </w:p>
        </w:tc>
        <w:tc>
          <w:tcPr>
            <w:tcW w:w="130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10"/>
        </w:trPr>
        <w:tc>
          <w:tcPr>
            <w:tcW w:w="140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Unit</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2/15/2024</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305,129</w:t>
            </w:r>
          </w:p>
        </w:tc>
        <w:tc>
          <w:tcPr>
            <w:tcW w:w="1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24"/>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2/15/2024</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280,637</w:t>
            </w:r>
          </w:p>
        </w:tc>
        <w:tc>
          <w:tcPr>
            <w:tcW w:w="14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24"/>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138,634</w:t>
            </w:r>
          </w:p>
        </w:tc>
        <w:tc>
          <w:tcPr>
            <w:tcW w:w="1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24"/>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152,346</w:t>
            </w:r>
          </w:p>
        </w:tc>
        <w:tc>
          <w:tcPr>
            <w:tcW w:w="14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3/1/2027</w:t>
            </w:r>
          </w:p>
        </w:tc>
        <w:tc>
          <w:tcPr>
            <w:tcW w:w="0" w:type="dxa"/>
            <w:vAlign w:val="bottom"/>
          </w:tcPr>
          <w:p>
            <w:pPr>
              <w:spacing w:after="0"/>
              <w:rPr>
                <w:sz w:val="1"/>
                <w:szCs w:val="1"/>
                <w:color w:val="auto"/>
              </w:rPr>
            </w:pPr>
          </w:p>
        </w:tc>
      </w:tr>
      <w:tr>
        <w:trPr>
          <w:trHeight w:val="224"/>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76,173</w:t>
            </w:r>
          </w:p>
        </w:tc>
        <w:tc>
          <w:tcPr>
            <w:tcW w:w="1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3/1/2028</w:t>
            </w:r>
          </w:p>
        </w:tc>
        <w:tc>
          <w:tcPr>
            <w:tcW w:w="0" w:type="dxa"/>
            <w:vAlign w:val="bottom"/>
          </w:tcPr>
          <w:p>
            <w:pPr>
              <w:spacing w:after="0"/>
              <w:rPr>
                <w:sz w:val="1"/>
                <w:szCs w:val="1"/>
                <w:color w:val="auto"/>
              </w:rPr>
            </w:pPr>
          </w:p>
        </w:tc>
      </w:tr>
      <w:tr>
        <w:trPr>
          <w:trHeight w:val="224"/>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76,173</w:t>
            </w:r>
          </w:p>
        </w:tc>
        <w:tc>
          <w:tcPr>
            <w:tcW w:w="14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3/1/2029</w:t>
            </w:r>
          </w:p>
        </w:tc>
        <w:tc>
          <w:tcPr>
            <w:tcW w:w="0" w:type="dxa"/>
            <w:vAlign w:val="bottom"/>
          </w:tcPr>
          <w:p>
            <w:pPr>
              <w:spacing w:after="0"/>
              <w:rPr>
                <w:sz w:val="1"/>
                <w:szCs w:val="1"/>
                <w:color w:val="auto"/>
              </w:rPr>
            </w:pPr>
          </w:p>
        </w:tc>
      </w:tr>
      <w:tr>
        <w:trPr>
          <w:trHeight w:val="224"/>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261,124</w:t>
            </w:r>
          </w:p>
        </w:tc>
        <w:tc>
          <w:tcPr>
            <w:tcW w:w="1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1,290,216</w:t>
            </w: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280" w:firstLine="434"/>
        <w:spacing w:after="0" w:line="268" w:lineRule="auto"/>
        <w:rPr>
          <w:sz w:val="20"/>
          <w:szCs w:val="20"/>
          <w:color w:val="auto"/>
        </w:rPr>
      </w:pPr>
      <w:r>
        <w:rPr>
          <w:rFonts w:ascii="Times New Roman" w:cs="Times New Roman" w:eastAsia="Times New Roman" w:hAnsi="Times New Roman"/>
          <w:sz w:val="18"/>
          <w:szCs w:val="18"/>
          <w:color w:val="auto"/>
        </w:rPr>
        <w:t>The fair value of the service-based LTI Units was determined by the market price of the Company's common stock on the date of grant. The fair value (Level 3 measurement) of the performance-based LTI Units granted on February 15, 2024 was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200" w:lineRule="exact"/>
        <w:rPr>
          <w:sz w:val="20"/>
          <w:szCs w:val="20"/>
          <w:color w:val="auto"/>
        </w:rPr>
      </w:pPr>
    </w:p>
    <w:p>
      <w:pPr>
        <w:spacing w:after="0" w:line="306" w:lineRule="exact"/>
        <w:rPr>
          <w:sz w:val="20"/>
          <w:szCs w:val="20"/>
          <w:color w:val="auto"/>
        </w:rPr>
      </w:pPr>
    </w:p>
    <w:p>
      <w:pPr>
        <w:jc w:val="both"/>
        <w:ind w:right="120"/>
        <w:spacing w:after="0" w:line="303" w:lineRule="auto"/>
        <w:rPr>
          <w:sz w:val="20"/>
          <w:szCs w:val="20"/>
          <w:color w:val="auto"/>
        </w:rPr>
      </w:pPr>
      <w:r>
        <w:rPr>
          <w:rFonts w:ascii="Times New Roman" w:cs="Times New Roman" w:eastAsia="Times New Roman" w:hAnsi="Times New Roman"/>
          <w:sz w:val="16"/>
          <w:szCs w:val="16"/>
          <w:color w:val="auto"/>
        </w:rPr>
        <w:t>estimated on the date of grant using a Monte Carlo Simulation model that assumed an approximate three-year risk-free interest rate of 4.28% and an expected volatility of 45.04%. The fair value (Level 3 measurement) of the performance-based LTI Units granted on March 1, 2024 was estimated on the date of grant using a Monte Carlo Simulation model that assumed an approximate three-year risk-free interest rate of 4.25% and an expected volatility of 45.09%.</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LTI Units, phantom stock units and stock units:</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2720" w:type="dxa"/>
            <w:vAlign w:val="bottom"/>
          </w:tcPr>
          <w:p>
            <w:pPr>
              <w:spacing w:after="0"/>
              <w:rPr>
                <w:sz w:val="18"/>
                <w:szCs w:val="18"/>
                <w:color w:val="auto"/>
              </w:rPr>
            </w:pPr>
          </w:p>
        </w:tc>
        <w:tc>
          <w:tcPr>
            <w:tcW w:w="226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LTI Units</w:t>
            </w:r>
          </w:p>
        </w:tc>
        <w:tc>
          <w:tcPr>
            <w:tcW w:w="22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Phantom Stock Units</w:t>
            </w:r>
          </w:p>
        </w:tc>
        <w:tc>
          <w:tcPr>
            <w:tcW w:w="2160" w:type="dxa"/>
            <w:vAlign w:val="bottom"/>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05"/>
        </w:trPr>
        <w:tc>
          <w:tcPr>
            <w:tcW w:w="272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1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24"/>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1,290,216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24"/>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6"/>
              </w:rPr>
              <w:t>(205,730)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24"/>
        </w:trPr>
        <w:tc>
          <w:tcPr>
            <w:tcW w:w="2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3,547,063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234,327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(1) Value represents the weighted average grant date fair value.</w:t>
      </w: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activity of the vested stock options outstanding:</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3140" w:type="dxa"/>
            <w:vAlign w:val="bottom"/>
          </w:tcPr>
          <w:p>
            <w:pPr>
              <w:spacing w:after="0"/>
              <w:rPr>
                <w:sz w:val="18"/>
                <w:szCs w:val="18"/>
                <w:color w:val="auto"/>
              </w:rPr>
            </w:pPr>
          </w:p>
        </w:tc>
        <w:tc>
          <w:tcPr>
            <w:tcW w:w="214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05"/>
        </w:trPr>
        <w:tc>
          <w:tcPr>
            <w:tcW w:w="3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24"/>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150495</wp:posOffset>
            </wp:positionV>
            <wp:extent cx="19215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(1) Value represents the weighted average exercise price.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summarizes the compensation cost under the share and unit-based plans:</w:t>
      </w:r>
    </w:p>
    <w:p>
      <w:pPr>
        <w:spacing w:after="0" w:line="15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r>
      <w:tr>
        <w:trPr>
          <w:trHeight w:val="190"/>
        </w:trPr>
        <w:tc>
          <w:tcPr>
            <w:tcW w:w="4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 Units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r>
      <w:tr>
        <w:trPr>
          <w:trHeight w:val="22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2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Phantom stock units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7"/>
        </w:trPr>
        <w:tc>
          <w:tcPr>
            <w:tcW w:w="49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12,019</w:t>
            </w: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Company capitalized share and unit-based compensation costs of $(62) and $1,077 for the three months ended June 30, 2024 and 2023, respectively, and $254 and $2,154 for the six months ended June 30, 2024 and 2023, respectively. Unrecognized compensation costs of share and unit-based plans at June 30, 2024 consisted of $19,025 from LTI Units, $1,843 from stock units and $75 from phantom stock units.</w:t>
      </w:r>
    </w:p>
    <w:p>
      <w:pPr>
        <w:sectPr>
          <w:pgSz w:w="11900" w:h="16838" w:orient="portrait"/>
          <w:cols w:equalWidth="0" w:num="1">
            <w:col w:w="11180"/>
          </w:cols>
          <w:pgMar w:left="320" w:top="26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2" w:right="3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150"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income tax provision of the TRSs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5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340" w:type="dxa"/>
            <w:vAlign w:val="bottom"/>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3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43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42"/>
        </w:trPr>
        <w:tc>
          <w:tcPr>
            <w:tcW w:w="4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benefit</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40" w:firstLine="434"/>
        <w:spacing w:after="0" w:line="293" w:lineRule="auto"/>
        <w:rPr>
          <w:sz w:val="20"/>
          <w:szCs w:val="20"/>
          <w:color w:val="auto"/>
        </w:rPr>
      </w:pPr>
      <w:r>
        <w:rPr>
          <w:rFonts w:ascii="Times New Roman" w:cs="Times New Roman" w:eastAsia="Times New Roman" w:hAnsi="Times New Roman"/>
          <w:sz w:val="16"/>
          <w:szCs w:val="16"/>
          <w:color w:val="auto"/>
        </w:rPr>
        <w:t>The net operating loss ("NOL") carryforwards generated through the 2017 tax year are scheduled to expire through 2037, beginning in 2031.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$24,990 and $24,024 were included in deferred charges and other assets, net at June 30, 2024 and December 31, 2023, respectively.</w:t>
      </w:r>
    </w:p>
    <w:p>
      <w:pPr>
        <w:spacing w:after="0" w:line="88"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June 30, 2024, the Company had no valuation allowance recorded.</w:t>
      </w:r>
    </w:p>
    <w:p>
      <w:pPr>
        <w:spacing w:after="0" w:line="104"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tax years 2020 through 2022 remain open to examination by the taxing jurisdictions to which the Company is subject. The Company does not expect that the total amount of unrecognized tax benefit will materially change within the next twelve months.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50" w:lineRule="exact"/>
        <w:rPr>
          <w:sz w:val="20"/>
          <w:szCs w:val="20"/>
          <w:color w:val="auto"/>
        </w:rPr>
      </w:pPr>
    </w:p>
    <w:p>
      <w:pPr>
        <w:ind w:right="600" w:firstLine="434"/>
        <w:spacing w:after="0" w:line="268" w:lineRule="auto"/>
        <w:rPr>
          <w:sz w:val="20"/>
          <w:szCs w:val="20"/>
          <w:color w:val="auto"/>
        </w:rPr>
      </w:pPr>
      <w:r>
        <w:rPr>
          <w:rFonts w:ascii="Times New Roman" w:cs="Times New Roman" w:eastAsia="Times New Roman" w:hAnsi="Times New Roman"/>
          <w:sz w:val="18"/>
          <w:szCs w:val="18"/>
          <w:color w:val="auto"/>
        </w:rPr>
        <w:t>On July 26, 2024, the Company announced a dividend/distribution of $0.17 per share for common stockholders and OP Unitholders of record on August 19, 2024. All dividends/distributions will be paid 100% in cash on September 9, 2024.</w:t>
      </w:r>
    </w:p>
    <w:p>
      <w:pPr>
        <w:spacing w:after="0" w:line="196" w:lineRule="exact"/>
        <w:rPr>
          <w:sz w:val="20"/>
          <w:szCs w:val="20"/>
          <w:color w:val="auto"/>
        </w:rPr>
      </w:pPr>
    </w:p>
    <w:p>
      <w:pPr>
        <w:ind w:right="400" w:firstLine="434"/>
        <w:spacing w:after="0" w:line="268" w:lineRule="auto"/>
        <w:rPr>
          <w:sz w:val="20"/>
          <w:szCs w:val="20"/>
          <w:color w:val="auto"/>
        </w:rPr>
      </w:pPr>
      <w:r>
        <w:rPr>
          <w:rFonts w:ascii="Times New Roman" w:cs="Times New Roman" w:eastAsia="Times New Roman" w:hAnsi="Times New Roman"/>
          <w:sz w:val="18"/>
          <w:szCs w:val="18"/>
          <w:color w:val="auto"/>
        </w:rPr>
        <w:t>On July 31, 2024, the Company sold its 50% interest in Biltmore Fashion Park, a 611,000 square foot regional retail center in Phoenix, Arizona, for $110,000. The Company used the net proceeds to pay down debt.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2"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880"/>
        <w:spacing w:after="0" w:line="456"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IMPORTANT INFORMATION RELATED TO FORWARD-LOOKING STATEMENTS</w:t>
      </w:r>
    </w:p>
    <w:p>
      <w:pPr>
        <w:ind w:firstLine="434"/>
        <w:spacing w:after="0" w:line="249" w:lineRule="auto"/>
        <w:rPr>
          <w:sz w:val="20"/>
          <w:szCs w:val="20"/>
          <w:color w:val="auto"/>
        </w:rPr>
      </w:pPr>
      <w:r>
        <w:rPr>
          <w:rFonts w:ascii="Times New Roman" w:cs="Times New Roman" w:eastAsia="Times New Roman" w:hAnsi="Times New Roman"/>
          <w:sz w:val="18"/>
          <w:szCs w:val="18"/>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19" w:lineRule="exact"/>
        <w:rPr>
          <w:sz w:val="20"/>
          <w:szCs w:val="20"/>
          <w:color w:val="auto"/>
        </w:rPr>
      </w:pPr>
    </w:p>
    <w:p>
      <w:pPr>
        <w:ind w:left="1260" w:hanging="62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growth;</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Path Forward Plan and its ability to meet the goals established under such plan;</w:t>
      </w:r>
    </w:p>
    <w:p>
      <w:pPr>
        <w:spacing w:after="0" w:line="56" w:lineRule="exact"/>
        <w:rPr>
          <w:rFonts w:ascii="Times New Roman" w:cs="Times New Roman" w:eastAsia="Times New Roman" w:hAnsi="Times New Roman"/>
          <w:sz w:val="18"/>
          <w:szCs w:val="18"/>
          <w:color w:val="auto"/>
        </w:rPr>
      </w:pPr>
    </w:p>
    <w:p>
      <w:pPr>
        <w:ind w:left="1260" w:right="160" w:hanging="623"/>
        <w:spacing w:after="0" w:line="268" w:lineRule="auto"/>
        <w:tabs>
          <w:tab w:leader="none" w:pos="12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beliefs regarding its acquisition, redevelopment, development, leasing and operational activities and opportunities, including the performance and financial stability of its retailers;</w:t>
      </w:r>
    </w:p>
    <w:p>
      <w:pPr>
        <w:spacing w:after="0" w:line="1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disposition and other strategies;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 plans and expectations for obtaining capital for expenditures;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income tax benefits;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its financial condition or results of operations; and</w:t>
      </w:r>
    </w:p>
    <w:p>
      <w:pPr>
        <w:spacing w:after="0" w:line="56" w:lineRule="exact"/>
        <w:rPr>
          <w:rFonts w:ascii="Times New Roman" w:cs="Times New Roman" w:eastAsia="Times New Roman" w:hAnsi="Times New Roman"/>
          <w:sz w:val="18"/>
          <w:szCs w:val="18"/>
          <w:color w:val="auto"/>
        </w:rPr>
      </w:pPr>
    </w:p>
    <w:p>
      <w:pPr>
        <w:ind w:left="1260" w:right="460" w:hanging="623"/>
        <w:spacing w:after="0" w:line="268" w:lineRule="auto"/>
        <w:tabs>
          <w:tab w:leader="none" w:pos="12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for refinancing its indebtedness, entering into and servicing debt obligations and entering into joint venture arrangements.</w:t>
      </w:r>
    </w:p>
    <w:p>
      <w:pPr>
        <w:spacing w:after="0" w:line="90" w:lineRule="exact"/>
        <w:rPr>
          <w:sz w:val="20"/>
          <w:szCs w:val="20"/>
          <w:color w:val="auto"/>
        </w:rPr>
      </w:pPr>
    </w:p>
    <w:p>
      <w:pPr>
        <w:ind w:right="40" w:firstLine="434"/>
        <w:spacing w:after="0" w:line="245" w:lineRule="auto"/>
        <w:rPr>
          <w:sz w:val="20"/>
          <w:szCs w:val="20"/>
          <w:color w:val="auto"/>
        </w:rPr>
      </w:pPr>
      <w:r>
        <w:rPr>
          <w:rFonts w:ascii="Times New Roman" w:cs="Times New Roman" w:eastAsia="Times New Roman" w:hAnsi="Times New Roman"/>
          <w:sz w:val="18"/>
          <w:szCs w:val="18"/>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elevated interest rates and inflation and its impact on the financial condition and results of operations of the Company, including as a result of any defaults on mortgage loans, and its tenants, availability, terms and cost of financing and operating expenses; adverse changes in the real estate markets including, among other things, competition from other companies, retail formats and technology, risks of real estate development and redevelopment (including rising inflation, supply chain disruptions and construction delays), acquisitions and dispositions; adverse impacts from any future pandemic, epidemic or outbreak of any highly infectious disease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in our Annual Report on Form 10-K for the year ended December 31, 2023,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Overview and Summary</w:t>
      </w:r>
    </w:p>
    <w:p>
      <w:pPr>
        <w:spacing w:after="0" w:line="150"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June 30, 2024, the Operating Partnership owned or had an ownership interest in 42 regional retail centers (including office, hotel and residential space adjacent to these shopping centers), three community/power shopping centers and one redevelopment property. These 46 regional retail centers, community/power shopping centers and one redevelopment property consist of approximately 45 million square feet of gross leasable area ("GLA") and are referred to herein as the "Centers". The Centers consist of consolidated Centers ("Consolidated Centers") and unconsolidated joint venture Centers ("Unconsolidated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Joint Venture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spacing w:after="0" w:line="66"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The following discussion is based primarily on the consolidated financial statements of the Company for the three and six months ended June 30, 2024 and 2023. It compares the results of operations for the three months ended June 30, 2024 to the results of operations for the three months ended June 30, 2023. It also compares the results of operations and cash flows for the six months ended June 30, 2024 to the results of operations and cash flows for the six months ended June 30, 2023.</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information should be read in conjunction with the accompanying consolidated financial statements and notes thereto.</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right="220" w:firstLine="434"/>
        <w:spacing w:after="0" w:line="250" w:lineRule="auto"/>
        <w:rPr>
          <w:sz w:val="20"/>
          <w:szCs w:val="20"/>
          <w:color w:val="auto"/>
        </w:rPr>
      </w:pPr>
      <w:r>
        <w:rPr>
          <w:rFonts w:ascii="Times New Roman" w:cs="Times New Roman" w:eastAsia="Times New Roman" w:hAnsi="Times New Roman"/>
          <w:sz w:val="18"/>
          <w:szCs w:val="18"/>
          <w:color w:val="auto"/>
        </w:rPr>
        <w:t>On May 18, 2023, the Company acquired Seritage Growth Properties' ("Seritage") remaining 50% ownership interest in the MS Portfolio LLC joint venture that owns five former Sears parcels, for a total purchase price of approximately $46.7 million.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 (See Note 15—Acquisitions in the Notes to the Consolidated Financial Statements).</w:t>
      </w:r>
    </w:p>
    <w:p>
      <w:pPr>
        <w:spacing w:after="0" w:line="119" w:lineRule="exact"/>
        <w:rPr>
          <w:sz w:val="20"/>
          <w:szCs w:val="20"/>
          <w:color w:val="auto"/>
        </w:rPr>
      </w:pPr>
    </w:p>
    <w:p>
      <w:pPr>
        <w:jc w:val="both"/>
        <w:ind w:right="100" w:firstLine="434"/>
        <w:spacing w:after="0" w:line="252" w:lineRule="auto"/>
        <w:rPr>
          <w:sz w:val="20"/>
          <w:szCs w:val="20"/>
          <w:color w:val="auto"/>
        </w:rPr>
      </w:pPr>
      <w:r>
        <w:rPr>
          <w:rFonts w:ascii="Times New Roman" w:cs="Times New Roman" w:eastAsia="Times New Roman" w:hAnsi="Times New Roman"/>
          <w:sz w:val="18"/>
          <w:szCs w:val="18"/>
          <w:color w:val="auto"/>
        </w:rPr>
        <w:t>On November 16, 2023, the Company acquired its joint venture partner’s 49.9% ownership interest in Freehold Raceway Mall for $5.6 million and the assumption of its joint venture partner’s share of debt. The Company now owns 100% of Freehold Raceway Mall. Prior to November 16, 2023, the Company accounted for its investment in Freehold Raceway Mall as part of a financing arrangement (See Note 12 – Financing Arrangement and Note 15 – Acquisitions in the Notes to the Consolidated Financial Statements).</w:t>
      </w:r>
    </w:p>
    <w:p>
      <w:pPr>
        <w:spacing w:after="0" w:line="118" w:lineRule="exact"/>
        <w:rPr>
          <w:sz w:val="20"/>
          <w:szCs w:val="20"/>
          <w:color w:val="auto"/>
        </w:rPr>
      </w:pPr>
    </w:p>
    <w:p>
      <w:pPr>
        <w:ind w:right="140" w:firstLine="434"/>
        <w:spacing w:after="0" w:line="252" w:lineRule="auto"/>
        <w:rPr>
          <w:sz w:val="20"/>
          <w:szCs w:val="20"/>
          <w:color w:val="auto"/>
        </w:rPr>
      </w:pPr>
      <w:r>
        <w:rPr>
          <w:rFonts w:ascii="Times New Roman" w:cs="Times New Roman" w:eastAsia="Times New Roman" w:hAnsi="Times New Roman"/>
          <w:sz w:val="18"/>
          <w:szCs w:val="18"/>
          <w:color w:val="auto"/>
        </w:rPr>
        <w:t>On December 9, 2023, the Company acquired its joint venture partner’s 50% interest in Fashion District Philadelphia for no consideration, and the Company now owns 100% of this property. Prior to December 9, 2023, due to the Company’s joint venture partner having no substantive participation rights, the Company accounted for this joint venture as a consolidated variable interest entity in its consolidated financial statements (See Note 2 – Summary of Significant Accounting Policies and Note 15 – Acquisitions in the Notes to the Consolidated Financial Statements).</w:t>
      </w:r>
    </w:p>
    <w:p>
      <w:pPr>
        <w:spacing w:after="0" w:line="104" w:lineRule="exact"/>
        <w:rPr>
          <w:sz w:val="20"/>
          <w:szCs w:val="20"/>
          <w:color w:val="auto"/>
        </w:rPr>
      </w:pPr>
    </w:p>
    <w:p>
      <w:pPr>
        <w:ind w:right="80" w:firstLine="434"/>
        <w:spacing w:after="0" w:line="303" w:lineRule="auto"/>
        <w:rPr>
          <w:sz w:val="20"/>
          <w:szCs w:val="20"/>
          <w:color w:val="auto"/>
        </w:rPr>
      </w:pPr>
      <w:r>
        <w:rPr>
          <w:rFonts w:ascii="Times New Roman" w:cs="Times New Roman" w:eastAsia="Times New Roman" w:hAnsi="Times New Roman"/>
          <w:sz w:val="16"/>
          <w:szCs w:val="16"/>
          <w:color w:val="auto"/>
        </w:rPr>
        <w:t>On May 14, 2024, the Company acquired its joint venture partner's 40% interest in each of Arrowhead Towne Center and South Plains Mall for a purchase price of $36.4 million and the assumption of its joint venture partner's share of debt for each property. The Company now owns and has consolidated its 100% interests in Arrowhead Towne Center and South Plains Mall (See Note 15—Acquisitions in the Notes to the Consolidated Financial Statements).</w:t>
      </w:r>
    </w:p>
    <w:p>
      <w:pPr>
        <w:spacing w:after="0" w:line="80" w:lineRule="exact"/>
        <w:rPr>
          <w:sz w:val="20"/>
          <w:szCs w:val="20"/>
          <w:color w:val="auto"/>
        </w:rPr>
      </w:pPr>
    </w:p>
    <w:p>
      <w:pPr>
        <w:ind w:right="200" w:firstLine="434"/>
        <w:spacing w:after="0" w:line="268" w:lineRule="auto"/>
        <w:rPr>
          <w:sz w:val="20"/>
          <w:szCs w:val="20"/>
          <w:color w:val="auto"/>
        </w:rPr>
      </w:pPr>
      <w:r>
        <w:rPr>
          <w:rFonts w:ascii="Times New Roman" w:cs="Times New Roman" w:eastAsia="Times New Roman" w:hAnsi="Times New Roman"/>
          <w:sz w:val="18"/>
          <w:szCs w:val="18"/>
          <w:color w:val="auto"/>
        </w:rPr>
        <w:t>On May 17, 2024, the Company acquired the former Sears parcel located at Inland Center for $5.4 million (See Note 15—Acquisitions in the Notes to the Consolidated Financial Statements).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37" w:lineRule="exact"/>
        <w:rPr>
          <w:sz w:val="20"/>
          <w:szCs w:val="20"/>
          <w:color w:val="auto"/>
        </w:rPr>
      </w:pPr>
    </w:p>
    <w:p>
      <w:pPr>
        <w:ind w:right="320" w:firstLine="434"/>
        <w:spacing w:after="0" w:line="332" w:lineRule="auto"/>
        <w:rPr>
          <w:sz w:val="20"/>
          <w:szCs w:val="20"/>
          <w:color w:val="auto"/>
        </w:rPr>
      </w:pPr>
      <w:r>
        <w:rPr>
          <w:rFonts w:ascii="Times New Roman" w:cs="Times New Roman" w:eastAsia="Times New Roman" w:hAnsi="Times New Roman"/>
          <w:sz w:val="16"/>
          <w:szCs w:val="16"/>
          <w:color w:val="auto"/>
        </w:rPr>
        <w:t>On May 2, 2023, the Company sold The Marketplace at Flagstaff, a 268,000 square foot power center in Flagstaff, Arizona, for $23.5 million, which resulted in a gain on sale of assets of $10.3 million. The Company used the net proceeds to pay down debt (See "Liquidity and Capital Resources").</w:t>
      </w:r>
    </w:p>
    <w:p>
      <w:pPr>
        <w:spacing w:after="0" w:line="44" w:lineRule="exact"/>
        <w:rPr>
          <w:sz w:val="20"/>
          <w:szCs w:val="20"/>
          <w:color w:val="auto"/>
        </w:rPr>
      </w:pPr>
    </w:p>
    <w:p>
      <w:pPr>
        <w:ind w:right="200" w:firstLine="434"/>
        <w:spacing w:after="0" w:line="315" w:lineRule="auto"/>
        <w:rPr>
          <w:sz w:val="20"/>
          <w:szCs w:val="20"/>
          <w:color w:val="auto"/>
        </w:rPr>
      </w:pPr>
      <w:r>
        <w:rPr>
          <w:rFonts w:ascii="Times New Roman" w:cs="Times New Roman" w:eastAsia="Times New Roman" w:hAnsi="Times New Roman"/>
          <w:sz w:val="16"/>
          <w:szCs w:val="16"/>
          <w:color w:val="auto"/>
        </w:rPr>
        <w:t>On July 17, 2023, the Company sold Superstition Springs Power Center, a 204,000 square foot power center in Mesa, Arizona, for $5.6 million, which resulted in a gain on sale of assets of $1.9 million. The Company used the net proceeds to pay down debt (See "Liquidity and Capital Resources").</w:t>
      </w:r>
    </w:p>
    <w:p>
      <w:pPr>
        <w:spacing w:after="0" w:line="149" w:lineRule="exact"/>
        <w:rPr>
          <w:sz w:val="20"/>
          <w:szCs w:val="20"/>
          <w:color w:val="auto"/>
        </w:rPr>
      </w:pPr>
    </w:p>
    <w:p>
      <w:pPr>
        <w:jc w:val="both"/>
        <w:ind w:right="2220" w:firstLine="434"/>
        <w:spacing w:after="0" w:line="241" w:lineRule="auto"/>
        <w:rPr>
          <w:sz w:val="20"/>
          <w:szCs w:val="20"/>
          <w:color w:val="auto"/>
        </w:rPr>
      </w:pPr>
      <w:r>
        <w:rPr>
          <w:rFonts w:ascii="Times New Roman" w:cs="Times New Roman" w:eastAsia="Times New Roman" w:hAnsi="Times New Roman"/>
          <w:sz w:val="18"/>
          <w:szCs w:val="18"/>
          <w:color w:val="auto"/>
        </w:rPr>
        <w:t>The Company did not repay the loan on Towne Mall on its maturity date of November 1, 2022, and completed transition of the property to a receiver. On December 4, 2023, Towne Mall was sold by the receiver for $9.5 million, resulting in a gain on extinguishment of debt of $8.2 million.</w:t>
      </w:r>
    </w:p>
    <w:p>
      <w:pPr>
        <w:spacing w:after="0" w:line="192" w:lineRule="exact"/>
        <w:rPr>
          <w:sz w:val="20"/>
          <w:szCs w:val="20"/>
          <w:color w:val="auto"/>
        </w:rPr>
      </w:pPr>
    </w:p>
    <w:p>
      <w:pPr>
        <w:ind w:right="2260" w:firstLine="434"/>
        <w:spacing w:after="0" w:line="236" w:lineRule="auto"/>
        <w:rPr>
          <w:sz w:val="20"/>
          <w:szCs w:val="20"/>
          <w:color w:val="auto"/>
        </w:rPr>
      </w:pPr>
      <w:r>
        <w:rPr>
          <w:rFonts w:ascii="Times New Roman" w:cs="Times New Roman" w:eastAsia="Times New Roman" w:hAnsi="Times New Roman"/>
          <w:sz w:val="18"/>
          <w:szCs w:val="18"/>
          <w:color w:val="auto"/>
        </w:rPr>
        <w:t>On December 27, 2023, the Company’s joint venture in One Westside sold the property, a 680,000 square foot office property in Los Angeles, California, for $700.0 million. The existing $324.6 million loan on the property was repaid, and $77.6 million of net proceeds were generated at the Company’s 25% ownership share, which were used to reduce the Company’s revolving loan facility. As a result of this transaction, the Company recognized its share of gain on sale of assets of $8.1 million (See "Liquidity and Capital Resources").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20" w:firstLine="434"/>
        <w:spacing w:after="0" w:line="256" w:lineRule="auto"/>
        <w:rPr>
          <w:sz w:val="20"/>
          <w:szCs w:val="20"/>
          <w:color w:val="auto"/>
        </w:rPr>
      </w:pPr>
      <w:r>
        <w:rPr>
          <w:rFonts w:ascii="Times New Roman" w:cs="Times New Roman" w:eastAsia="Times New Roman" w:hAnsi="Times New Roman"/>
          <w:sz w:val="18"/>
          <w:szCs w:val="18"/>
          <w:color w:val="auto"/>
        </w:rPr>
        <w:t>For the twelve months ended December 31, 2023, the Company and certain joint venture partners sold various land parcels in separate transactions, resulting in the Company’s share of the gain on sale of land of $10.8 million. The Company used its share of the proceeds from these sales of $16.4 million to pay down debt and for other general corporate purposes.</w:t>
      </w:r>
    </w:p>
    <w:p>
      <w:pPr>
        <w:spacing w:after="0" w:line="101" w:lineRule="exact"/>
        <w:rPr>
          <w:sz w:val="20"/>
          <w:szCs w:val="20"/>
          <w:color w:val="auto"/>
        </w:rPr>
      </w:pPr>
    </w:p>
    <w:p>
      <w:pPr>
        <w:ind w:right="240" w:firstLine="434"/>
        <w:spacing w:after="0" w:line="252" w:lineRule="auto"/>
        <w:rPr>
          <w:sz w:val="20"/>
          <w:szCs w:val="20"/>
          <w:color w:val="auto"/>
        </w:rPr>
      </w:pPr>
      <w:r>
        <w:rPr>
          <w:rFonts w:ascii="Times New Roman" w:cs="Times New Roman" w:eastAsia="Times New Roman" w:hAnsi="Times New Roman"/>
          <w:sz w:val="18"/>
          <w:szCs w:val="18"/>
          <w:color w:val="auto"/>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 in the Notes to the Consolidated Financial Statements).</w:t>
      </w:r>
    </w:p>
    <w:p>
      <w:pPr>
        <w:spacing w:after="0" w:line="118"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On June 28, 2024, the Company's joint venture sold Country Club Plaza, a 971,000 square foot regional retail center in Kansas City, Missouri, for $175.6 million. Concurrent with the sale, the remaining amount owed by the joint venture under the $295.5 million loan ($147.7 million at the Company's share) was forgiven by the lender.</w:t>
      </w:r>
    </w:p>
    <w:p>
      <w:pPr>
        <w:spacing w:after="0" w:line="114" w:lineRule="exact"/>
        <w:rPr>
          <w:sz w:val="20"/>
          <w:szCs w:val="20"/>
          <w:color w:val="auto"/>
        </w:rPr>
      </w:pPr>
    </w:p>
    <w:p>
      <w:pPr>
        <w:ind w:right="200" w:firstLine="434"/>
        <w:spacing w:after="0" w:line="268" w:lineRule="auto"/>
        <w:rPr>
          <w:sz w:val="20"/>
          <w:szCs w:val="20"/>
          <w:color w:val="auto"/>
        </w:rPr>
      </w:pPr>
      <w:r>
        <w:rPr>
          <w:rFonts w:ascii="Times New Roman" w:cs="Times New Roman" w:eastAsia="Times New Roman" w:hAnsi="Times New Roman"/>
          <w:sz w:val="18"/>
          <w:szCs w:val="18"/>
          <w:color w:val="auto"/>
        </w:rPr>
        <w:t>On June 28, 2024, the Company sold a former department store parcel at Valle Vista Mall in Harlingen, Texas for $7.1 million. The Company used the net proceeds to pay down debt (See "Liquidity and Capital Resources").</w:t>
      </w:r>
    </w:p>
    <w:p>
      <w:pPr>
        <w:spacing w:after="0" w:line="77" w:lineRule="exact"/>
        <w:rPr>
          <w:sz w:val="20"/>
          <w:szCs w:val="20"/>
          <w:color w:val="auto"/>
        </w:rPr>
      </w:pPr>
    </w:p>
    <w:p>
      <w:pPr>
        <w:ind w:right="120" w:firstLine="434"/>
        <w:spacing w:after="0" w:line="277" w:lineRule="auto"/>
        <w:rPr>
          <w:sz w:val="20"/>
          <w:szCs w:val="20"/>
          <w:color w:val="auto"/>
        </w:rPr>
      </w:pPr>
      <w:r>
        <w:rPr>
          <w:rFonts w:ascii="Times New Roman" w:cs="Times New Roman" w:eastAsia="Times New Roman" w:hAnsi="Times New Roman"/>
          <w:sz w:val="16"/>
          <w:szCs w:val="16"/>
          <w:color w:val="auto"/>
        </w:rPr>
        <w:t>For the three and six months ended June 30, 2024, the Company and certain joint venture partners sold various land parcels in separate transactions, resulting in the Company’s share of the gain on sale of land of $1.3 million. The Company’s proceeds from these sales in the three and six months ended June 30, 2024 were $2.5 million. The Company used its share of the proceeds from these sales to pay down debt and for other general corporate purposes.</w:t>
      </w:r>
    </w:p>
    <w:p>
      <w:pPr>
        <w:spacing w:after="0" w:line="166" w:lineRule="exact"/>
        <w:rPr>
          <w:sz w:val="20"/>
          <w:szCs w:val="20"/>
          <w:color w:val="auto"/>
        </w:rPr>
      </w:pPr>
    </w:p>
    <w:p>
      <w:pPr>
        <w:ind w:right="400" w:firstLine="434"/>
        <w:spacing w:after="0" w:line="239" w:lineRule="auto"/>
        <w:rPr>
          <w:sz w:val="20"/>
          <w:szCs w:val="20"/>
          <w:color w:val="auto"/>
        </w:rPr>
      </w:pPr>
      <w:r>
        <w:rPr>
          <w:rFonts w:ascii="Times New Roman" w:cs="Times New Roman" w:eastAsia="Times New Roman" w:hAnsi="Times New Roman"/>
          <w:sz w:val="18"/>
          <w:szCs w:val="18"/>
          <w:color w:val="auto"/>
        </w:rPr>
        <w:t>On July 31, 2024, the Company sold its 50% interest in Biltmore Fashion Park, a 611,000 square foot regional retail center in Phoenix, Arizona, for $110.0 million. The Company used the net proceeds to pay down debt (See "Liquidity and Capital Resources").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50" w:lineRule="exact"/>
        <w:rPr>
          <w:sz w:val="20"/>
          <w:szCs w:val="20"/>
          <w:color w:val="auto"/>
        </w:rPr>
      </w:pPr>
    </w:p>
    <w:p>
      <w:pPr>
        <w:ind w:right="180" w:firstLine="434"/>
        <w:spacing w:after="0" w:line="256" w:lineRule="auto"/>
        <w:rPr>
          <w:sz w:val="20"/>
          <w:szCs w:val="20"/>
          <w:color w:val="auto"/>
        </w:rPr>
      </w:pPr>
      <w:r>
        <w:rPr>
          <w:rFonts w:ascii="Times New Roman" w:cs="Times New Roman" w:eastAsia="Times New Roman" w:hAnsi="Times New Roman"/>
          <w:sz w:val="18"/>
          <w:szCs w:val="18"/>
          <w:color w:val="auto"/>
        </w:rPr>
        <w:t>On January 3, 2023, the Company replaced the existing $363.0 million of combined loans on Green Acres Mall and Green Acres Commons, both of which were scheduled to mature during the first quarter of 2023, with a $370.0 million loan that bears interest at a fixed rate of 5.90%, is interest only during the entire loan term and matures on January 6, 2028.</w:t>
      </w:r>
    </w:p>
    <w:p>
      <w:pPr>
        <w:spacing w:after="0" w:line="114"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On January 20, 2023, the Company exercised its one-year extension option of the loan on Fashion District Philadelphia to January 22, 2024. The interest rate was SOFR plus 3.60% and the Company repaid $26.1 million of the outstanding loan balance at closing.</w:t>
      </w:r>
    </w:p>
    <w:p>
      <w:pPr>
        <w:spacing w:after="0" w:line="90"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On March 3, 2023, the Company’s joint venture in Scottsdale Fashion Square replaced the existing $403.9 million mortgage loan on the property with a new $700.0 million loan that bears interest at a fixed rate of 6.21%, is interest only during the entire loan term and matures on March 6, 2028.</w:t>
      </w:r>
    </w:p>
    <w:p>
      <w:pPr>
        <w:spacing w:after="0" w:line="104" w:lineRule="exact"/>
        <w:rPr>
          <w:sz w:val="20"/>
          <w:szCs w:val="20"/>
          <w:color w:val="auto"/>
        </w:rPr>
      </w:pPr>
    </w:p>
    <w:p>
      <w:pPr>
        <w:ind w:right="280" w:firstLine="434"/>
        <w:spacing w:after="0" w:line="268" w:lineRule="auto"/>
        <w:rPr>
          <w:sz w:val="20"/>
          <w:szCs w:val="20"/>
          <w:color w:val="auto"/>
        </w:rPr>
      </w:pPr>
      <w:r>
        <w:rPr>
          <w:rFonts w:ascii="Times New Roman" w:cs="Times New Roman" w:eastAsia="Times New Roman" w:hAnsi="Times New Roman"/>
          <w:sz w:val="18"/>
          <w:szCs w:val="18"/>
          <w:color w:val="auto"/>
        </w:rPr>
        <w:t>On March 22, 2023, the Company executed the one-year extension option on its credit facility to April 14, 2024. Effective March 13, 2023, the credit facility converted from LIBOR to 1-month Term SOFR.</w:t>
      </w:r>
    </w:p>
    <w:p>
      <w:pPr>
        <w:spacing w:after="0" w:line="10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April 25, 2023, the Company's joint venture in Deptford Mall closed on a three-year maturity date extension for the existing loan of $159.9 million to April 3, 2026, including extension options. The Company's joint venture repaid $10.0 million ($5.1 million at the Company's pro rata share) of the outstanding loan balance at closing. The interest rate on the loan remains unchanged at 3.73%.</w:t>
      </w:r>
    </w:p>
    <w:p>
      <w:pPr>
        <w:spacing w:after="0" w:line="101" w:lineRule="exact"/>
        <w:rPr>
          <w:sz w:val="20"/>
          <w:szCs w:val="20"/>
          <w:color w:val="auto"/>
        </w:rPr>
      </w:pPr>
    </w:p>
    <w:p>
      <w:pPr>
        <w:ind w:right="280" w:firstLine="434"/>
        <w:spacing w:after="0" w:line="268" w:lineRule="auto"/>
        <w:rPr>
          <w:sz w:val="20"/>
          <w:szCs w:val="20"/>
          <w:color w:val="auto"/>
        </w:rPr>
      </w:pPr>
      <w:r>
        <w:rPr>
          <w:rFonts w:ascii="Times New Roman" w:cs="Times New Roman" w:eastAsia="Times New Roman" w:hAnsi="Times New Roman"/>
          <w:sz w:val="18"/>
          <w:szCs w:val="18"/>
          <w:color w:val="auto"/>
        </w:rPr>
        <w:t>Effective May 9, 2023, the Company’s joint venture in Country Club Plaza defaulted on the $295.2 million ($147.6 million at the Company's pro rata share) non-recourse loan on the property. The Company’s joint venture subsequently sold the property on June 28, 2024.</w:t>
      </w:r>
    </w:p>
    <w:p>
      <w:pPr>
        <w:spacing w:after="0" w:line="104" w:lineRule="exact"/>
        <w:rPr>
          <w:sz w:val="20"/>
          <w:szCs w:val="20"/>
          <w:color w:val="auto"/>
        </w:rPr>
      </w:pPr>
    </w:p>
    <w:p>
      <w:pPr>
        <w:jc w:val="both"/>
        <w:ind w:right="160" w:firstLine="434"/>
        <w:spacing w:after="0" w:line="256" w:lineRule="auto"/>
        <w:rPr>
          <w:sz w:val="20"/>
          <w:szCs w:val="20"/>
          <w:color w:val="auto"/>
        </w:rPr>
      </w:pPr>
      <w:r>
        <w:rPr>
          <w:rFonts w:ascii="Times New Roman" w:cs="Times New Roman" w:eastAsia="Times New Roman" w:hAnsi="Times New Roman"/>
          <w:sz w:val="18"/>
          <w:szCs w:val="18"/>
          <w:color w:val="auto"/>
        </w:rPr>
        <w:t>On June 27, 2023, the Company closed on a one-year extension on the $133.5 million loan on Danbury Fair Mall to July 1, 2024. The Company repaid $10.0 million of the outstanding loan balance at closing and the amended interest rate was 7.5% as of July 1, 2023 and incrementally increased to 8.0% as of October 1, 2023, 8.5% as of January 1, 2024 and 9.0% as of April 1, 2024.</w:t>
      </w:r>
    </w:p>
    <w:p>
      <w:pPr>
        <w:spacing w:after="0" w:line="114" w:lineRule="exact"/>
        <w:rPr>
          <w:sz w:val="20"/>
          <w:szCs w:val="20"/>
          <w:color w:val="auto"/>
        </w:rPr>
      </w:pPr>
    </w:p>
    <w:p>
      <w:pPr>
        <w:ind w:right="60" w:firstLine="434"/>
        <w:spacing w:after="0" w:line="250" w:lineRule="auto"/>
        <w:rPr>
          <w:sz w:val="20"/>
          <w:szCs w:val="20"/>
          <w:color w:val="auto"/>
        </w:rPr>
      </w:pPr>
      <w:r>
        <w:rPr>
          <w:rFonts w:ascii="Times New Roman" w:cs="Times New Roman" w:eastAsia="Times New Roman" w:hAnsi="Times New Roman"/>
          <w:sz w:val="18"/>
          <w:szCs w:val="18"/>
          <w:color w:val="auto"/>
        </w:rPr>
        <w:t>On September 11, 2023, the Company and Operating Partnership entered into an amended and restated credit agreement, which amended and restated their prior $525 million credit agreement, and provides for an aggregate $650 million revolving loan facility that matures on February 1, 2027, with a one-year extension option. Concurrently with the entry into the amended and restated credit agreement, the Company drew $152 million of the amount available under the revolving loan facility and used the proceeds to repay in full amounts outstanding under the Company’s prior credit facility. (See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Effective October 6, 2023, the Company's $86.5 million loan on Fashion Outlets of Niagara Falls was in default. On March 19, 2024, the Company closed a three-year extension of the $84.7 million loan on Fashion Outlets of Niagara Falls. The scheduled outstanding $1.8 million principal payments were applied at closing. The extended loan bears the same fixed interest rate of 5.90%, and matures on October 6, 2026.</w:t>
      </w:r>
    </w:p>
    <w:p>
      <w:pPr>
        <w:spacing w:after="0" w:line="101" w:lineRule="exact"/>
        <w:rPr>
          <w:sz w:val="20"/>
          <w:szCs w:val="20"/>
          <w:color w:val="auto"/>
        </w:rPr>
      </w:pPr>
    </w:p>
    <w:p>
      <w:pPr>
        <w:ind w:right="180" w:firstLine="434"/>
        <w:spacing w:after="0" w:line="268" w:lineRule="auto"/>
        <w:rPr>
          <w:sz w:val="20"/>
          <w:szCs w:val="20"/>
          <w:color w:val="auto"/>
        </w:rPr>
      </w:pPr>
      <w:r>
        <w:rPr>
          <w:rFonts w:ascii="Times New Roman" w:cs="Times New Roman" w:eastAsia="Times New Roman" w:hAnsi="Times New Roman"/>
          <w:sz w:val="18"/>
          <w:szCs w:val="18"/>
          <w:color w:val="auto"/>
        </w:rPr>
        <w:t>On December 4, 2023, the Company's joint venture in Tysons Corner Center replaced the existing $666.5 million mortgage loan on the property with a new $710.0 million loan that bears interest at a fixed rate of 6.60%, is interest only during the entire loan term and matures on December 6, 2028.</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 million mortgage loan on the property with a new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$24.0 million loan that bears interest at a variable rate of SOFR plus 2.50%, is interest only during the entire loan term and matures on December 5, 2028.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loan has a required interest rate cap throughout the term of the loan at a strike rate of 7.5%.</w:t>
      </w:r>
    </w:p>
    <w:p>
      <w:pPr>
        <w:spacing w:after="0" w:line="131"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On January 22, 2024, the Company repaid the majority of the mortgage loan on Fashion District Philadelphia. The remaining $8.2 million was scheduled to mature on April 21, 2024 and was paid in full prior to maturity.</w:t>
      </w:r>
    </w:p>
    <w:p>
      <w:pPr>
        <w:spacing w:after="0" w:line="90" w:lineRule="exact"/>
        <w:rPr>
          <w:sz w:val="20"/>
          <w:szCs w:val="20"/>
          <w:color w:val="auto"/>
        </w:rPr>
      </w:pPr>
    </w:p>
    <w:p>
      <w:pPr>
        <w:ind w:right="120" w:firstLine="434"/>
        <w:spacing w:after="0" w:line="268" w:lineRule="auto"/>
        <w:rPr>
          <w:sz w:val="20"/>
          <w:szCs w:val="20"/>
          <w:color w:val="auto"/>
        </w:rPr>
      </w:pPr>
      <w:r>
        <w:rPr>
          <w:rFonts w:ascii="Times New Roman" w:cs="Times New Roman" w:eastAsia="Times New Roman" w:hAnsi="Times New Roman"/>
          <w:sz w:val="18"/>
          <w:szCs w:val="18"/>
          <w:color w:val="auto"/>
        </w:rPr>
        <w:t>On January 25, 2024, the Company replaced the existing $116.9 million mortgage loan on Danbury Fair Mall with a new $155.0 million loan that bears interest at a fixed rate of 6.39%, is interest only during the majority of the loan term and matures on February 6, 2034.</w:t>
      </w:r>
    </w:p>
    <w:p>
      <w:pPr>
        <w:spacing w:after="0" w:line="104" w:lineRule="exact"/>
        <w:rPr>
          <w:sz w:val="20"/>
          <w:szCs w:val="20"/>
          <w:color w:val="auto"/>
        </w:rPr>
      </w:pPr>
    </w:p>
    <w:p>
      <w:pPr>
        <w:ind w:right="380" w:firstLine="434"/>
        <w:spacing w:after="0" w:line="268" w:lineRule="auto"/>
        <w:rPr>
          <w:sz w:val="20"/>
          <w:szCs w:val="20"/>
          <w:color w:val="auto"/>
        </w:rPr>
      </w:pPr>
      <w:r>
        <w:rPr>
          <w:rFonts w:ascii="Times New Roman" w:cs="Times New Roman" w:eastAsia="Times New Roman" w:hAnsi="Times New Roman"/>
          <w:sz w:val="18"/>
          <w:szCs w:val="18"/>
          <w:color w:val="auto"/>
        </w:rPr>
        <w:t>On April 9, 2024, the Company defaulted on the $300.0 million loan on Santa Monica Place. The Company is in negotiations with the lender on the terms of this non-recourse loan.</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19, 2024, the Company repaid in full the remaining $8.2 million loan on Fashion District Philadelphia.</w:t>
      </w:r>
    </w:p>
    <w:p>
      <w:pPr>
        <w:spacing w:after="0" w:line="135" w:lineRule="exact"/>
        <w:rPr>
          <w:sz w:val="20"/>
          <w:szCs w:val="20"/>
          <w:color w:val="auto"/>
        </w:rPr>
      </w:pPr>
    </w:p>
    <w:p>
      <w:pPr>
        <w:ind w:right="160" w:firstLine="434"/>
        <w:spacing w:after="0" w:line="268" w:lineRule="auto"/>
        <w:rPr>
          <w:sz w:val="20"/>
          <w:szCs w:val="20"/>
          <w:color w:val="auto"/>
        </w:rPr>
      </w:pPr>
      <w:r>
        <w:rPr>
          <w:rFonts w:ascii="Times New Roman" w:cs="Times New Roman" w:eastAsia="Times New Roman" w:hAnsi="Times New Roman"/>
          <w:sz w:val="18"/>
          <w:szCs w:val="18"/>
          <w:color w:val="auto"/>
        </w:rPr>
        <w:t>On May 24, 2024, the Company closed a two-year extension of the $149.9 million loan on The Oaks, which now matures on June 5, 2026. The interest rate during the first year of the extended term will be 7.5% and will increase to 8.5% during the second year of the extended term.</w:t>
      </w:r>
    </w:p>
    <w:p>
      <w:pPr>
        <w:spacing w:after="0" w:line="104"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On June 27, 2024, the Company's joint venture in Chandler Fashion Center replaced the existing $256.0 million loan on the property with a new $275.0 million loan that bears interest at 7.06%, is interest only during the entire loan term and matures on July 1, 2029. The Company received a distribution of $17.7 million in connection with the refinancing.</w:t>
      </w:r>
    </w:p>
    <w:p>
      <w:pPr>
        <w:spacing w:after="0" w:line="114"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The Company is in the process of closing a refinance of the $115.0 million loan on The Mall at Victor Valley, which matures on September 1, 2024. The new ten-year loan, which is expected to be $85.0 million, will bear a fixed interest rate that is yet to be determined.</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150" w:lineRule="exact"/>
        <w:rPr>
          <w:sz w:val="20"/>
          <w:szCs w:val="20"/>
          <w:color w:val="auto"/>
        </w:rPr>
      </w:pPr>
    </w:p>
    <w:p>
      <w:pPr>
        <w:ind w:right="80" w:firstLine="434"/>
        <w:spacing w:after="0" w:line="250"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which was initially formed to develop Los Angeles Premium Outlets, a premium outlet center in Carson, California. During the first quarter of 2024, the Company evaluated its investment and concluded that due to certain conditions, the Company should not continue to invest capital in this development project. As a result, the Company wrote-off its share of the investment in the three months ended March 31, 2024. At the time of the write-off, the Company had funded $39.5 million of the total $78.9 million incurred by the joint venture (See Note 4 – Investments in Unconsolidated Joint Ventures in the Notes to the Consolidated Financial Statements).</w:t>
      </w:r>
    </w:p>
    <w:p>
      <w:pPr>
        <w:spacing w:after="0" w:line="119"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The Company’s joint venture in Scottsdale Fashion Square, a 1,871,000 square foot regional retail center in Scottsdale, Arizona, is redeveloping a two-level Nordstrom wing with luxury-focused retail and restaurant uses. The total cost of the project is estimated to be between $84.0 million and $90.0 million, with $42.0 million and $45.0 million estimated to be the Company’s pro rata share. The Company has incurred $23.4 million of the total $46.8 million incurred by the joint venture as of June 30, 2024. The anticipated opening will be in phases beginning in 2024, with completion in 2025.</w:t>
      </w:r>
    </w:p>
    <w:p>
      <w:pPr>
        <w:spacing w:after="0" w:line="104" w:lineRule="exact"/>
        <w:rPr>
          <w:sz w:val="20"/>
          <w:szCs w:val="20"/>
          <w:color w:val="auto"/>
        </w:rPr>
      </w:pPr>
    </w:p>
    <w:p>
      <w:pPr>
        <w:jc w:val="both"/>
        <w:ind w:right="180" w:firstLine="434"/>
        <w:spacing w:after="0" w:line="252" w:lineRule="auto"/>
        <w:rPr>
          <w:sz w:val="20"/>
          <w:szCs w:val="20"/>
          <w:color w:val="auto"/>
        </w:rPr>
      </w:pPr>
      <w:r>
        <w:rPr>
          <w:rFonts w:ascii="Times New Roman" w:cs="Times New Roman" w:eastAsia="Times New Roman" w:hAnsi="Times New Roman"/>
          <w:sz w:val="18"/>
          <w:szCs w:val="18"/>
          <w:color w:val="auto"/>
        </w:rPr>
        <w:t>The Company is redeveloping the northeast quadrant of Green Acres Mall, a 2,058,000 square foot regional retail center in Valley Stream, New York. The project will include new exterior shops and facade totaling approximately 385,000 square feet of leasing, including new grocery use, redevelopment of a vacant anchor building and demolition of another vacant anchor building. The total cost of the project is estimated to be between $120.0 million and $140.0 million. The Company has incurred approximately $14.0 million as of June 30, 2024. The anticipated opening is in 2026.</w:t>
      </w:r>
    </w:p>
    <w:p>
      <w:pPr>
        <w:spacing w:after="0" w:line="118"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The Company’s joint venture in FlatIron Crossing, a 1,393,000 square foot regional retail center in Broomfield, Colorado, is developing luxury, multi-family residential units, new/repurposed retail and food and beverage uses, and a community plaza, in addition to the redevelopment of the vacant former Nordstrom store located on the property. The Company's ownership percentage is expected to be 43.4% in the residential portion of the development and 51% in the remainder of the property.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total cost of the project is estimated to be between $240.0 million and $260.0 million, with $120.0 million and $130.0 million estimated to be the Company’s pro rata share. The Company has incurred $6.6 million of the total $13.0 million incurred by the joint venture as of June 30, 2024. The anticipated opening is in 2027.</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50" w:lineRule="exact"/>
        <w:rPr>
          <w:sz w:val="20"/>
          <w:szCs w:val="20"/>
          <w:color w:val="auto"/>
        </w:rPr>
      </w:pPr>
    </w:p>
    <w:p>
      <w:pPr>
        <w:jc w:val="both"/>
        <w:ind w:right="140" w:firstLine="434"/>
        <w:spacing w:after="0" w:line="256" w:lineRule="auto"/>
        <w:rPr>
          <w:sz w:val="20"/>
          <w:szCs w:val="20"/>
          <w:color w:val="auto"/>
        </w:rPr>
      </w:pPr>
      <w:r>
        <w:rPr>
          <w:rFonts w:ascii="Times New Roman" w:cs="Times New Roman" w:eastAsia="Times New Roman" w:hAnsi="Times New Roman"/>
          <w:sz w:val="18"/>
          <w:szCs w:val="18"/>
          <w:color w:val="auto"/>
        </w:rPr>
        <w:t>The Company declared a cash dividend of $0.17 per share of its common stock for each quarter of 2023 and the first two quarters of 2024. On July 26, 2024, the Company announced a third quarter cash dividend of $0.17 per share of its common stock, which will be paid on September 9, 2024 to stockholders of record on August 19, 2024. The dividend amount will be reviewed by the Board on a quarterly basis.</w:t>
      </w:r>
    </w:p>
    <w:p>
      <w:pPr>
        <w:spacing w:after="0" w:line="114"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March 26, 2021, which is referred to as the “ATM Program,” the Company entered into an equity distribution agreement with certain sales agents pursuant to which the Company may issue and sell shares of its common stock having an aggregate offering price of up to $500 million. As of June 30, 2024, the Company had approximately $151.7 million of gross sales of its common stock available under the ATM Program.</w:t>
      </w:r>
    </w:p>
    <w:p>
      <w:pPr>
        <w:spacing w:after="0" w:line="104" w:lineRule="exact"/>
        <w:rPr>
          <w:sz w:val="20"/>
          <w:szCs w:val="20"/>
          <w:color w:val="auto"/>
        </w:rPr>
      </w:pPr>
    </w:p>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See “—Liquidity and Capital Resources” for a further discussion of the Company’s anticipated liquidity needs, and the measures taken by the Company to meet those needs.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50" w:lineRule="exact"/>
        <w:rPr>
          <w:sz w:val="20"/>
          <w:szCs w:val="20"/>
          <w:color w:val="auto"/>
        </w:rPr>
      </w:pPr>
    </w:p>
    <w:p>
      <w:pPr>
        <w:ind w:right="220" w:firstLine="434"/>
        <w:spacing w:after="0" w:line="286" w:lineRule="auto"/>
        <w:rPr>
          <w:sz w:val="20"/>
          <w:szCs w:val="20"/>
          <w:color w:val="auto"/>
        </w:rPr>
      </w:pPr>
      <w:r>
        <w:rPr>
          <w:rFonts w:ascii="Times New Roman" w:cs="Times New Roman" w:eastAsia="Times New Roman" w:hAnsi="Times New Roman"/>
          <w:sz w:val="16"/>
          <w:szCs w:val="16"/>
          <w:color w:val="auto"/>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is expected to have a negative impact on the Company's costs in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50" w:lineRule="exact"/>
        <w:rPr>
          <w:sz w:val="20"/>
          <w:szCs w:val="20"/>
          <w:color w:val="auto"/>
        </w:rPr>
      </w:pPr>
    </w:p>
    <w:p>
      <w:pPr>
        <w:ind w:firstLine="434"/>
        <w:spacing w:after="0" w:line="303"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80" w:lineRule="exact"/>
        <w:rPr>
          <w:sz w:val="20"/>
          <w:szCs w:val="20"/>
          <w:color w:val="auto"/>
        </w:rPr>
      </w:pPr>
    </w:p>
    <w:p>
      <w:pPr>
        <w:ind w:right="20" w:firstLine="434"/>
        <w:spacing w:after="0" w:line="293" w:lineRule="auto"/>
        <w:rPr>
          <w:sz w:val="20"/>
          <w:szCs w:val="20"/>
          <w:color w:val="auto"/>
        </w:rPr>
      </w:pPr>
      <w:r>
        <w:rPr>
          <w:rFonts w:ascii="Times New Roman" w:cs="Times New Roman" w:eastAsia="Times New Roman" w:hAnsi="Times New Roman"/>
          <w:sz w:val="16"/>
          <w:szCs w:val="16"/>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50" w:lineRule="exact"/>
        <w:rPr>
          <w:sz w:val="20"/>
          <w:szCs w:val="20"/>
          <w:color w:val="auto"/>
        </w:rPr>
      </w:pPr>
    </w:p>
    <w:p>
      <w:pPr>
        <w:ind w:right="80" w:firstLine="434"/>
        <w:spacing w:after="0" w:line="280" w:lineRule="auto"/>
        <w:rPr>
          <w:sz w:val="20"/>
          <w:szCs w:val="20"/>
          <w:color w:val="auto"/>
        </w:rPr>
      </w:pPr>
      <w:r>
        <w:rPr>
          <w:rFonts w:ascii="Times New Roman" w:cs="Times New Roman" w:eastAsia="Times New Roman" w:hAnsi="Times New Roman"/>
          <w:sz w:val="16"/>
          <w:szCs w:val="16"/>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09" w:lineRule="exact"/>
        <w:rPr>
          <w:sz w:val="20"/>
          <w:szCs w:val="20"/>
          <w:color w:val="auto"/>
        </w:rPr>
      </w:pPr>
    </w:p>
    <w:p>
      <w:pPr>
        <w:ind w:right="160" w:firstLine="434"/>
        <w:spacing w:after="0" w:line="252" w:lineRule="auto"/>
        <w:rPr>
          <w:sz w:val="20"/>
          <w:szCs w:val="20"/>
          <w:color w:val="auto"/>
        </w:rPr>
      </w:pPr>
      <w:r>
        <w:rPr>
          <w:rFonts w:ascii="Times New Roman" w:cs="Times New Roman" w:eastAsia="Times New Roman" w:hAnsi="Times New Roman"/>
          <w:sz w:val="18"/>
          <w:szCs w:val="18"/>
          <w:color w:val="auto"/>
        </w:rPr>
        <w:t>Remeasurement gains are recognized when the Company becomes the primary beneficiary of an existing equity method investment that is a variable interest entity to the extent that the fair value of the existing equity investment exceeds the carrying value of the investment, and remeasurement losses are recognized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50" w:lineRule="exact"/>
        <w:rPr>
          <w:sz w:val="20"/>
          <w:szCs w:val="20"/>
          <w:color w:val="auto"/>
        </w:rPr>
      </w:pPr>
    </w:p>
    <w:p>
      <w:pPr>
        <w:ind w:right="60" w:firstLine="434"/>
        <w:spacing w:after="0" w:line="284" w:lineRule="auto"/>
        <w:rPr>
          <w:sz w:val="20"/>
          <w:szCs w:val="20"/>
          <w:color w:val="auto"/>
        </w:rPr>
      </w:pPr>
      <w:r>
        <w:rPr>
          <w:rFonts w:ascii="Times New Roman" w:cs="Times New Roman" w:eastAsia="Times New Roman" w:hAnsi="Times New Roman"/>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 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spacing w:after="0" w:line="81" w:lineRule="exact"/>
        <w:rPr>
          <w:sz w:val="20"/>
          <w:szCs w:val="20"/>
          <w:color w:val="auto"/>
        </w:rPr>
      </w:pPr>
    </w:p>
    <w:p>
      <w:pPr>
        <w:ind w:right="420" w:firstLine="434"/>
        <w:spacing w:after="0" w:line="256" w:lineRule="auto"/>
        <w:rPr>
          <w:sz w:val="20"/>
          <w:szCs w:val="20"/>
          <w:color w:val="auto"/>
        </w:rPr>
      </w:pPr>
      <w:r>
        <w:rPr>
          <w:rFonts w:ascii="Times New Roman" w:cs="Times New Roman" w:eastAsia="Times New Roman" w:hAnsi="Times New Roman"/>
          <w:sz w:val="18"/>
          <w:szCs w:val="18"/>
          <w:color w:val="auto"/>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spacing w:after="0" w:line="114"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The Company’s investments in unconsolidated joint ventures apply the same accounting model for property level impairment as described above. Further, 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 The Company records any such impairment up to the extent of its investment.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37" w:lineRule="exact"/>
        <w:rPr>
          <w:sz w:val="20"/>
          <w:szCs w:val="20"/>
          <w:color w:val="auto"/>
        </w:rPr>
      </w:pPr>
    </w:p>
    <w:p>
      <w:pPr>
        <w:ind w:right="120" w:firstLine="434"/>
        <w:spacing w:after="0" w:line="246" w:lineRule="auto"/>
        <w:rPr>
          <w:sz w:val="20"/>
          <w:szCs w:val="20"/>
          <w:color w:val="auto"/>
        </w:rPr>
      </w:pPr>
      <w:r>
        <w:rPr>
          <w:rFonts w:ascii="Times New Roman" w:cs="Times New Roman" w:eastAsia="Times New Roman" w:hAnsi="Times New Roman"/>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9" w:lineRule="exact"/>
        <w:rPr>
          <w:sz w:val="20"/>
          <w:szCs w:val="20"/>
          <w:color w:val="auto"/>
        </w:rPr>
      </w:pPr>
    </w:p>
    <w:p>
      <w:pPr>
        <w:ind w:right="340" w:firstLine="434"/>
        <w:spacing w:after="0" w:line="256" w:lineRule="auto"/>
        <w:rPr>
          <w:sz w:val="20"/>
          <w:szCs w:val="20"/>
          <w:color w:val="auto"/>
        </w:rPr>
      </w:pPr>
      <w:r>
        <w:rPr>
          <w:rFonts w:ascii="Times New Roman" w:cs="Times New Roman" w:eastAsia="Times New Roman" w:hAnsi="Times New Roman"/>
          <w:sz w:val="18"/>
          <w:szCs w:val="18"/>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The Company recorded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was determined based on a discounted 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0"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Many of the variations in the results of operations, discussed below, occurred because of the transactions affecting the Company’s properties described in Management’s Overview and Summary above, including the Redevelopment Properties, the JV Transition Centers and the Disposition Properties (as defined below).</w:t>
      </w:r>
    </w:p>
    <w:p>
      <w:pPr>
        <w:spacing w:after="0" w:line="114" w:lineRule="exact"/>
        <w:rPr>
          <w:sz w:val="20"/>
          <w:szCs w:val="20"/>
          <w:color w:val="auto"/>
        </w:rPr>
      </w:pPr>
    </w:p>
    <w:p>
      <w:pPr>
        <w:ind w:right="20" w:firstLine="434"/>
        <w:spacing w:after="0" w:line="247" w:lineRule="auto"/>
        <w:rPr>
          <w:sz w:val="20"/>
          <w:szCs w:val="20"/>
          <w:color w:val="auto"/>
        </w:rPr>
      </w:pPr>
      <w:r>
        <w:rPr>
          <w:rFonts w:ascii="Times New Roman" w:cs="Times New Roman" w:eastAsia="Times New Roman" w:hAnsi="Times New Roman"/>
          <w:sz w:val="18"/>
          <w:szCs w:val="18"/>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Santa Monica Place and the Disposition Properties, for the periods of comparison. Santa Monica Place is excluded from Same Centers due to the Company's default on the non-recourse loan on April 9, 2024.</w:t>
      </w:r>
    </w:p>
    <w:p>
      <w:pPr>
        <w:spacing w:after="0" w:line="112" w:lineRule="exact"/>
        <w:rPr>
          <w:sz w:val="20"/>
          <w:szCs w:val="20"/>
          <w:color w:val="auto"/>
        </w:rPr>
      </w:pPr>
    </w:p>
    <w:p>
      <w:pPr>
        <w:ind w:right="220" w:firstLine="434"/>
        <w:spacing w:after="0" w:line="249" w:lineRule="auto"/>
        <w:rPr>
          <w:sz w:val="20"/>
          <w:szCs w:val="20"/>
          <w:color w:val="auto"/>
        </w:rPr>
      </w:pPr>
      <w:r>
        <w:rPr>
          <w:rFonts w:ascii="Times New Roman" w:cs="Times New Roman" w:eastAsia="Times New Roman" w:hAnsi="Times New Roman"/>
          <w:sz w:val="18"/>
          <w:szCs w:val="18"/>
          <w:color w:val="auto"/>
        </w:rPr>
        <w:t>For the comparison of the three and six months ended June 30, 2024 to the three and six months ended June 30, 2023, the JV Transition Centers are Arrowhead Towne Center, Chandler Fashion Center, South Plains Mall and the five former Sears parcels located at Chandler Fashion Center, Danbury Fair Mall, Freehold Raceway Mall, Los Cerritos Center and Washington Square (See “Acquisitions” in Management’s Overview and Summary). The Disposition Properties are The Marketplace at Flagstaff, Superstition Springs Power Center, Towne Mall and a former department store parcel at Valle Vista Mall (See "Dispositions" in Management’s Overview and Summary). For the comparison of the three and six months ended June 30, 2024 to the three and six months ended June 30, 2023, the Redevelopment Properties are Green Acres Mall and Fashion District Philadelphia.</w:t>
      </w:r>
    </w:p>
    <w:p>
      <w:pPr>
        <w:spacing w:after="0" w:line="119" w:lineRule="exact"/>
        <w:rPr>
          <w:sz w:val="20"/>
          <w:szCs w:val="20"/>
          <w:color w:val="auto"/>
        </w:rPr>
      </w:pPr>
    </w:p>
    <w:p>
      <w:pPr>
        <w:ind w:right="360" w:firstLine="434"/>
        <w:spacing w:after="0" w:line="268" w:lineRule="auto"/>
        <w:rPr>
          <w:sz w:val="20"/>
          <w:szCs w:val="20"/>
          <w:color w:val="auto"/>
        </w:rPr>
      </w:pPr>
      <w:r>
        <w:rPr>
          <w:rFonts w:ascii="Times New Roman" w:cs="Times New Roman" w:eastAsia="Times New Roman" w:hAnsi="Times New Roman"/>
          <w:sz w:val="18"/>
          <w:szCs w:val="18"/>
          <w:color w:val="auto"/>
        </w:rPr>
        <w:t>Unconsolidated joint ventures are reflected using the equity method of accounting. The Company’s pro rata share of the results from these Centers is reflected in the Consolidated Statements of Operations as equity in loss of unconsolidated joint ventures.</w:t>
      </w:r>
    </w:p>
    <w:p>
      <w:pPr>
        <w:spacing w:after="0" w:line="104" w:lineRule="exact"/>
        <w:rPr>
          <w:sz w:val="20"/>
          <w:szCs w:val="20"/>
          <w:color w:val="auto"/>
        </w:rPr>
      </w:pPr>
    </w:p>
    <w:p>
      <w:pPr>
        <w:ind w:right="300" w:firstLine="434"/>
        <w:spacing w:after="0" w:line="252" w:lineRule="auto"/>
        <w:rPr>
          <w:sz w:val="20"/>
          <w:szCs w:val="20"/>
          <w:color w:val="auto"/>
        </w:rPr>
      </w:pPr>
      <w:r>
        <w:rPr>
          <w:rFonts w:ascii="Times New Roman" w:cs="Times New Roman" w:eastAsia="Times New Roman" w:hAnsi="Times New Roman"/>
          <w:sz w:val="18"/>
          <w:szCs w:val="18"/>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04" w:lineRule="exact"/>
        <w:rPr>
          <w:sz w:val="20"/>
          <w:szCs w:val="20"/>
          <w:color w:val="auto"/>
        </w:rPr>
      </w:pPr>
    </w:p>
    <w:p>
      <w:pPr>
        <w:ind w:firstLine="434"/>
        <w:spacing w:after="0" w:line="289" w:lineRule="auto"/>
        <w:rPr>
          <w:sz w:val="20"/>
          <w:szCs w:val="20"/>
          <w:color w:val="auto"/>
        </w:rPr>
      </w:pPr>
      <w:r>
        <w:rPr>
          <w:rFonts w:ascii="Times New Roman" w:cs="Times New Roman" w:eastAsia="Times New Roman" w:hAnsi="Times New Roman"/>
          <w:sz w:val="16"/>
          <w:szCs w:val="16"/>
          <w:color w:val="auto"/>
        </w:rPr>
        <w:t>During the trailing twelve months ended June 30, 2024, comparable tenant sales for spaces less than 10,000 square feet across the portfolio decreased by 1.1% relative to the second quarter of 2023. The leased occupancy rate of 93.3% at June 30, 2024 represented a 0.7% increase from 92.6% at June 30, 2023 and a 0.1% sequential decrease compared to the 93.4% occupancy rate at March 31, 2024. Releasing spreads increased as the Company executed leases at an average rent of $63.35 for new and renewal leases executed compared to $57.54 on leases expiring, resulting in a releasing spread increase of $5.81 per square foot, or 10.1%, for the trailing twelve months ended June 30, 2024. This was the Company’s eleventh consecutive quarter of positive base rent leasing spreads.</w:t>
      </w:r>
    </w:p>
    <w:p>
      <w:pPr>
        <w:spacing w:after="0" w:line="90" w:lineRule="exact"/>
        <w:rPr>
          <w:sz w:val="20"/>
          <w:szCs w:val="20"/>
          <w:color w:val="auto"/>
        </w:rPr>
      </w:pPr>
    </w:p>
    <w:p>
      <w:pPr>
        <w:ind w:right="80" w:firstLine="434"/>
        <w:spacing w:after="0" w:line="250" w:lineRule="auto"/>
        <w:rPr>
          <w:sz w:val="20"/>
          <w:szCs w:val="20"/>
          <w:color w:val="auto"/>
        </w:rPr>
      </w:pPr>
      <w:r>
        <w:rPr>
          <w:rFonts w:ascii="Times New Roman" w:cs="Times New Roman" w:eastAsia="Times New Roman" w:hAnsi="Times New Roman"/>
          <w:sz w:val="18"/>
          <w:szCs w:val="18"/>
          <w:color w:val="auto"/>
        </w:rPr>
        <w:t>2024 lease expirations continue to be an important focal point for the Company. As of June 30, 2024, the Company has executed renewal leases or commitments on 76% of its square footage expiring in 2024, which leases are expected to commence throughout 2024 and another 18% of such expiring space is in the letter of intent stage. Excluding those leases, the remaining leases expiring in 2024, which represent approximately 181,000 square feet of the Centers, are in the prospecting stage. The Company continues to renew or replace leases that are scheduled to expire in 2024, however, due to a variety of factors, the Company cannot be certain of its ability to sign, renew or replace leases expiring in 2024 or beyond.</w:t>
      </w:r>
    </w:p>
    <w:p>
      <w:pPr>
        <w:spacing w:after="0" w:line="119" w:lineRule="exact"/>
        <w:rPr>
          <w:sz w:val="20"/>
          <w:szCs w:val="20"/>
          <w:color w:val="auto"/>
        </w:rPr>
      </w:pPr>
    </w:p>
    <w:p>
      <w:pPr>
        <w:ind w:right="260" w:firstLine="434"/>
        <w:spacing w:after="0" w:line="252" w:lineRule="auto"/>
        <w:rPr>
          <w:sz w:val="20"/>
          <w:szCs w:val="20"/>
          <w:color w:val="auto"/>
        </w:rPr>
      </w:pPr>
      <w:r>
        <w:rPr>
          <w:rFonts w:ascii="Times New Roman" w:cs="Times New Roman" w:eastAsia="Times New Roman" w:hAnsi="Times New Roman"/>
          <w:sz w:val="18"/>
          <w:szCs w:val="18"/>
          <w:color w:val="auto"/>
        </w:rPr>
        <w:t>The Company has entered into 184 leases for new stores totaling approximately 1.5 million square feet that have opened or are planned for opening in 2024, and another 33 leases for new stores totaling approximately 994,000 square feet opening throughout 2025 and 2026. In total, new store leases are expected to produce incremental rent of approximately $71.4 million (at the Company’s pro rata share) in excess of the rent generated from prior uses in the same spaces. While there may be additional new space openings in 2024, any such leases are not yet executed.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80" w:firstLine="434"/>
        <w:spacing w:after="0" w:line="268" w:lineRule="auto"/>
        <w:rPr>
          <w:sz w:val="20"/>
          <w:szCs w:val="20"/>
          <w:color w:val="auto"/>
        </w:rPr>
      </w:pPr>
      <w:r>
        <w:rPr>
          <w:rFonts w:ascii="Times New Roman" w:cs="Times New Roman" w:eastAsia="Times New Roman" w:hAnsi="Times New Roman"/>
          <w:sz w:val="18"/>
          <w:szCs w:val="18"/>
          <w:color w:val="auto"/>
        </w:rPr>
        <w:t>During the quarter ended June 30, 2024, the Company signed 61 new leases and 172 renewal leases comprising approximately 750,000 square feet of GLA. The average tenant allowance was $18.40 per square foot.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50" w:lineRule="exact"/>
        <w:rPr>
          <w:sz w:val="20"/>
          <w:szCs w:val="20"/>
          <w:color w:val="auto"/>
        </w:rPr>
      </w:pPr>
    </w:p>
    <w:p>
      <w:pPr>
        <w:ind w:right="120" w:firstLine="434"/>
        <w:spacing w:after="0" w:line="256" w:lineRule="auto"/>
        <w:rPr>
          <w:sz w:val="20"/>
          <w:szCs w:val="20"/>
          <w:color w:val="auto"/>
        </w:rPr>
      </w:pPr>
      <w:r>
        <w:rPr>
          <w:rFonts w:ascii="Times New Roman" w:cs="Times New Roman" w:eastAsia="Times New Roman" w:hAnsi="Times New Roman"/>
          <w:sz w:val="18"/>
          <w:szCs w:val="18"/>
          <w:color w:val="auto"/>
        </w:rPr>
        <w:t>During March 2024, the Company celebrated its 30th anniversary as a public company and also welcomed Jackson Hsieh as its Chief Executive Officer and President. Following the appointment of Mr. Hsieh, the Company’s leadership team has spent considerable time refining the Company's strategy and unveiled the Path Forward Plan during the second quarter of 2024.</w:t>
      </w:r>
    </w:p>
    <w:p>
      <w:pPr>
        <w:spacing w:after="0" w:line="114" w:lineRule="exact"/>
        <w:rPr>
          <w:sz w:val="20"/>
          <w:szCs w:val="20"/>
          <w:color w:val="auto"/>
        </w:rPr>
      </w:pPr>
    </w:p>
    <w:p>
      <w:pPr>
        <w:ind w:right="380" w:firstLine="434"/>
        <w:spacing w:after="0" w:line="268" w:lineRule="auto"/>
        <w:rPr>
          <w:sz w:val="20"/>
          <w:szCs w:val="20"/>
          <w:color w:val="auto"/>
        </w:rPr>
      </w:pPr>
      <w:r>
        <w:rPr>
          <w:rFonts w:ascii="Times New Roman" w:cs="Times New Roman" w:eastAsia="Times New Roman" w:hAnsi="Times New Roman"/>
          <w:sz w:val="18"/>
          <w:szCs w:val="18"/>
          <w:color w:val="auto"/>
        </w:rPr>
        <w:t>The Path Forward Plan is a multi-pronged strategy to improve the Company's balance sheet, while also making inward-facing enhancements to both bolster company culture and improve key business processes to gain operating efficiencies. Essential goals of the Path Forward Plan include:</w:t>
      </w:r>
    </w:p>
    <w:p>
      <w:pPr>
        <w:spacing w:after="0" w:line="90" w:lineRule="exact"/>
        <w:rPr>
          <w:sz w:val="20"/>
          <w:szCs w:val="20"/>
          <w:color w:val="auto"/>
        </w:rPr>
      </w:pPr>
    </w:p>
    <w:p>
      <w:pPr>
        <w:ind w:left="1260" w:right="60" w:hanging="623"/>
        <w:spacing w:after="0" w:line="268" w:lineRule="auto"/>
        <w:tabs>
          <w:tab w:leader="none" w:pos="12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Deleverage the capital structure, with a focus on reducing the Company's Net Debt to Adjusted EBITDA leverage ratio over the next three to four years;</w:t>
      </w:r>
    </w:p>
    <w:p>
      <w:pPr>
        <w:spacing w:after="0" w:line="1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and fortify the Company's key assets in the portfolio;</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consolidate selected joint venture assets over time that are core to the Company's overall strategy;</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post-deleveraging Funds From Operations ("FFO") launch point goal over the next three to four years;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outstanding operational results through rigorous internal process improvements; and</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the Company to take an offensive stance on acquisitions, reinvestment and selected development.</w:t>
      </w:r>
    </w:p>
    <w:p>
      <w:pPr>
        <w:spacing w:after="0" w:line="148" w:lineRule="exact"/>
        <w:rPr>
          <w:sz w:val="20"/>
          <w:szCs w:val="20"/>
          <w:color w:val="auto"/>
        </w:rPr>
      </w:pPr>
    </w:p>
    <w:p>
      <w:pPr>
        <w:ind w:firstLine="434"/>
        <w:spacing w:after="0" w:line="289" w:lineRule="auto"/>
        <w:rPr>
          <w:sz w:val="20"/>
          <w:szCs w:val="20"/>
          <w:color w:val="auto"/>
        </w:rPr>
      </w:pPr>
      <w:r>
        <w:rPr>
          <w:rFonts w:ascii="Times New Roman" w:cs="Times New Roman" w:eastAsia="Times New Roman" w:hAnsi="Times New Roman"/>
          <w:sz w:val="16"/>
          <w:szCs w:val="16"/>
          <w:color w:val="auto"/>
        </w:rPr>
        <w:t>The Company may achieve these goals through a variety of methods and the timing, extent and impact of any transactions that the Company has or will undertake while implementing the Path Forward Plan are indeterminable at this time. In order to deleverage its capital structure, the Company may pursue asset dispositions and acquisitions, experience organic growth in EBITDA as properties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w:t>
      </w:r>
    </w:p>
    <w:p>
      <w:pPr>
        <w:spacing w:after="0" w:line="90"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Further, the Company has a long-term four-pronged business strategy that focuses on the acquisition, leasing and management, redevelopment and development of regional retail centers. Although the majority of the key performance indicators at the Centers continued to improve during the first half of 2024, operating results in 2024 have been and are expected to continue to be negatively impacted by certain external factors, including any increase in inflation and elevated interest rates, as well as the impact from the recent bankruptcy of Express and any future tenant bankruptcies.</w:t>
      </w:r>
    </w:p>
    <w:p>
      <w:pPr>
        <w:spacing w:after="0" w:line="104"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Traffic levels at the Company’s Centers for the first half of 2024 increased by 4.6% from 2023 levels for the same time period. Portfolio tenant sales per square foot from spaces less than 10,000 square feet for the trailing twelve months ended June 30, 2024 were $835 compared to $836 for the year ended December 31, 2023. Comparable tenant sales from spaces less than 10,000 square feet across the portfolio for the quarter ended June 30, 2024 decreased by 0.4% compared to the same period in 2023.</w:t>
      </w:r>
    </w:p>
    <w:p>
      <w:pPr>
        <w:spacing w:after="0" w:line="118" w:lineRule="exact"/>
        <w:rPr>
          <w:sz w:val="20"/>
          <w:szCs w:val="20"/>
          <w:color w:val="auto"/>
        </w:rPr>
      </w:pPr>
    </w:p>
    <w:p>
      <w:pPr>
        <w:ind w:right="40" w:firstLine="434"/>
        <w:spacing w:after="0" w:line="248" w:lineRule="auto"/>
        <w:rPr>
          <w:sz w:val="20"/>
          <w:szCs w:val="20"/>
          <w:color w:val="auto"/>
        </w:rPr>
      </w:pPr>
      <w:r>
        <w:rPr>
          <w:rFonts w:ascii="Times New Roman" w:cs="Times New Roman" w:eastAsia="Times New Roman" w:hAnsi="Times New Roman"/>
          <w:sz w:val="18"/>
          <w:szCs w:val="18"/>
          <w:color w:val="auto"/>
        </w:rPr>
        <w:t>During 2023, the Company signed 839 new and renewal leases for approximately 4.2 million square feet, compared to 963 leases and 3.8 million square feet signed during 2022. This leasing volume represented a 13% decrease in the number of leases and a 12% increase in the amount of square footage leased compared to the same period in 2022 on a comparable basis, and was the highest volume leasing year in the Company’s history. During the second quarter of 2024, the Company signed 233 leases for approximately 750,000 square feet, compared to 188 leases and 1.4 million square feet leased during the second quarter of 2023, representing a 47% decrease in the amount of square footage leased and a 24% increase in the number of leases signed on a comparable center basis. The decline was primarily due to unusually heavy leasing activity in the second quarter of 2023 from a multi-lease renewal with a major national retailer covering a significant amount of space, as well as several larger format space within the same period.</w:t>
      </w:r>
    </w:p>
    <w:p>
      <w:pPr>
        <w:spacing w:after="0" w:line="121" w:lineRule="exact"/>
        <w:rPr>
          <w:sz w:val="20"/>
          <w:szCs w:val="20"/>
          <w:color w:val="auto"/>
        </w:rPr>
      </w:pPr>
    </w:p>
    <w:p>
      <w:pPr>
        <w:ind w:right="120" w:firstLine="434"/>
        <w:spacing w:after="0" w:line="289" w:lineRule="auto"/>
        <w:rPr>
          <w:sz w:val="20"/>
          <w:szCs w:val="20"/>
          <w:color w:val="auto"/>
        </w:rPr>
      </w:pPr>
      <w:r>
        <w:rPr>
          <w:rFonts w:ascii="Times New Roman" w:cs="Times New Roman" w:eastAsia="Times New Roman" w:hAnsi="Times New Roman"/>
          <w:sz w:val="16"/>
          <w:szCs w:val="16"/>
          <w:color w:val="auto"/>
        </w:rPr>
        <w:t>The Company believes that diversity of use within its tenant base has been, and will continue to be, a prominent internal growth catalyst at its Centers going forward, as new uses enhance the productivity and diversity of the tenant mix and have the potential to significantly increase customer traffic at the applicable Centers. During the quarter ended June 30, 2024, the Company signed leases for new stores with new-to-Macerich portfolio uses for 98,000 square feet, with another 204,000 square feet of such new-to-Macerich portfolio leases currently in negotiation as of the date of this Quarterly Report on Form 10-Q. During the year ended December 31, 2023, the Company signed leases for new stores with new-to-Macerich portfolio uses totaling over 600,000 square feet.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As of June 30, 2024, the leased occupancy rate was 93.3%, a 0.7% increase compared to the leased occupancy rate at June 30, 2023 of 92.6% and a 0.1% sequential decrease compared to the leased occupancy rate of 93.4% at March 31, 2024.</w:t>
      </w:r>
    </w:p>
    <w:p>
      <w:pPr>
        <w:spacing w:after="0" w:line="90" w:lineRule="exact"/>
        <w:rPr>
          <w:sz w:val="20"/>
          <w:szCs w:val="20"/>
          <w:color w:val="auto"/>
        </w:rPr>
      </w:pPr>
    </w:p>
    <w:p>
      <w:pPr>
        <w:ind w:right="120" w:firstLine="434"/>
        <w:spacing w:after="0" w:line="256" w:lineRule="auto"/>
        <w:rPr>
          <w:sz w:val="20"/>
          <w:szCs w:val="20"/>
          <w:color w:val="auto"/>
        </w:rPr>
      </w:pPr>
      <w:r>
        <w:rPr>
          <w:rFonts w:ascii="Times New Roman" w:cs="Times New Roman" w:eastAsia="Times New Roman" w:hAnsi="Times New Roman"/>
          <w:sz w:val="18"/>
          <w:szCs w:val="18"/>
          <w:color w:val="auto"/>
        </w:rPr>
        <w:t>Many of the Company’s leases contain co-tenancy clauses. Certain Anchor or small tenant closures have become permanent, whether caused by the pandemic or otherwise, and co-tenancy clauses within certain leases may be triggered as a result. The Company does not anticipate that the negative impact of such clauses on lease revenue will be significant.</w:t>
      </w:r>
    </w:p>
    <w:p>
      <w:pPr>
        <w:spacing w:after="0" w:line="114" w:lineRule="exact"/>
        <w:rPr>
          <w:sz w:val="20"/>
          <w:szCs w:val="20"/>
          <w:color w:val="auto"/>
        </w:rPr>
      </w:pPr>
    </w:p>
    <w:p>
      <w:pPr>
        <w:ind w:right="20" w:firstLine="434"/>
        <w:spacing w:after="0" w:line="250" w:lineRule="auto"/>
        <w:rPr>
          <w:sz w:val="20"/>
          <w:szCs w:val="20"/>
          <w:color w:val="auto"/>
        </w:rPr>
      </w:pPr>
      <w:r>
        <w:rPr>
          <w:rFonts w:ascii="Times New Roman" w:cs="Times New Roman" w:eastAsia="Times New Roman" w:hAnsi="Times New Roman"/>
          <w:sz w:val="18"/>
          <w:szCs w:val="18"/>
          <w:color w:val="auto"/>
        </w:rPr>
        <w:t>The pace of bankruptcy filings involving the Company’s tenants decreased substantially in 2023 and in 2022 compared to 2021. For the year ended December 31, 2023, there were ten bankruptcy filings involving the Company’s tenants totaling fifteen leases and representing approximately 111,000 square feet of leased space and $3.6 million of annual leasing revenue at the Company’s share. Year-to-date in 2024, there have been eight bankruptcy filings involving the Company’s tenants, including the bankruptcy of Express announced on April 22, 2024, totaling 43 leases and representing approximately 305,000 square feet of leased space and $18.1 million of annual leasing revenue at the Company’s share.</w:t>
      </w:r>
    </w:p>
    <w:p>
      <w:pPr>
        <w:spacing w:after="0" w:line="119" w:lineRule="exact"/>
        <w:rPr>
          <w:sz w:val="20"/>
          <w:szCs w:val="20"/>
          <w:color w:val="auto"/>
        </w:rPr>
      </w:pPr>
    </w:p>
    <w:p>
      <w:pPr>
        <w:ind w:right="260" w:firstLine="434"/>
        <w:spacing w:after="0" w:line="252" w:lineRule="auto"/>
        <w:rPr>
          <w:sz w:val="20"/>
          <w:szCs w:val="20"/>
          <w:color w:val="auto"/>
        </w:rPr>
      </w:pPr>
      <w:r>
        <w:rPr>
          <w:rFonts w:ascii="Times New Roman" w:cs="Times New Roman" w:eastAsia="Times New Roman" w:hAnsi="Times New Roman"/>
          <w:sz w:val="18"/>
          <w:szCs w:val="18"/>
          <w:color w:val="auto"/>
        </w:rPr>
        <w:t>During 2024, the Company expects to generate positive cash flow from operations after recurring operating capital expenditures, leasing capital expenditures and payment of dividends. This assumption does not include any potential capital generated from dispositions, refinancings or issuances of common stock. This expected surplus will be used to fund the Company’s development and redevelopment pipeline and, to the extent available, de-lever the Company’s balance sheet.</w:t>
      </w:r>
    </w:p>
    <w:p>
      <w:pPr>
        <w:spacing w:after="0" w:line="104"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Company continues to actively address its near-term, non-recourse loan maturities, with five completed transactions year-to-date in 2024 totaling approximately $688.6 million, or approximately $539.4 million at the Company’s pro rata share. The Company has one remaining maturity in 2024 that is in the process of refinancing. For additional information on the Company’s financing transactions in the year ended 2023 through the date of this Quarterly Report on Form 10-Q, see “Financing Activities” in Management’s Overview and Summary.</w:t>
      </w:r>
    </w:p>
    <w:p>
      <w:pPr>
        <w:spacing w:after="0" w:line="118" w:lineRule="exact"/>
        <w:rPr>
          <w:sz w:val="20"/>
          <w:szCs w:val="20"/>
          <w:color w:val="auto"/>
        </w:rPr>
      </w:pPr>
    </w:p>
    <w:p>
      <w:pPr>
        <w:ind w:right="220" w:firstLine="434"/>
        <w:spacing w:after="0" w:line="268" w:lineRule="auto"/>
        <w:rPr>
          <w:sz w:val="20"/>
          <w:szCs w:val="20"/>
          <w:color w:val="auto"/>
        </w:rPr>
      </w:pPr>
      <w:r>
        <w:rPr>
          <w:rFonts w:ascii="Times New Roman" w:cs="Times New Roman" w:eastAsia="Times New Roman" w:hAnsi="Times New Roman"/>
          <w:sz w:val="18"/>
          <w:szCs w:val="18"/>
          <w:color w:val="auto"/>
        </w:rPr>
        <w:t>On April 9, 2024, the Company defaulted on the $300.0 million loan on Santa Monica Place and the Company is in negotiations with the lender on the terms of this non-recourse loan.</w:t>
      </w:r>
    </w:p>
    <w:p>
      <w:pPr>
        <w:spacing w:after="0" w:line="104" w:lineRule="exact"/>
        <w:rPr>
          <w:sz w:val="20"/>
          <w:szCs w:val="20"/>
          <w:color w:val="auto"/>
        </w:rPr>
      </w:pPr>
    </w:p>
    <w:p>
      <w:pPr>
        <w:ind w:right="100" w:firstLine="434"/>
        <w:spacing w:after="0" w:line="249" w:lineRule="auto"/>
        <w:rPr>
          <w:sz w:val="20"/>
          <w:szCs w:val="20"/>
          <w:color w:val="auto"/>
        </w:rPr>
      </w:pPr>
      <w:r>
        <w:rPr>
          <w:rFonts w:ascii="Times New Roman" w:cs="Times New Roman" w:eastAsia="Times New Roman" w:hAnsi="Times New Roman"/>
          <w:sz w:val="18"/>
          <w:szCs w:val="18"/>
          <w:color w:val="auto"/>
        </w:rPr>
        <w:t>Elevated interest rates are increasing the cost of the Company’s borrowings due to its outstanding floating-rate debt and have led to higher interest rates on new fixed-rate debt. The Company expects to incur increased interest expense from the refinancing or extension of loans that may currently carry below-market interest rates. In certain cases, the Company has limited, and may continue to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June 30, 2024 and 2023</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50"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Leasing revenue increased by $5.3 million, or 2.8%, from 2023 to 2024. The increase in leasing revenue is attributed to increases of $7.5 million from the JV Transition Centers and $0.5 million from the Same Centers offset in part by decreases of $1.0 million from the Disposition Properties and $1.6 million from the Redevelopment Properties. Leasing revenue includes the amortization of above and below-market leases, the amortization of straight-line rents, lease termination income, percentage rent and the recovery of bad debts. The amortization of above and below-market leases increased from $0.5 million in 2023 to $2.5 million in 2024. The amortization of straight-line rents increased from $(0.8) million in 2023 to $(0.5) million in 2024. Lease termination income was $0.0 million for both 2023 and 2024. Percentage rent decreased from $4.5 million in 2023 to $2.9 million in 2024. (Provisions for) recovery of bad debts decreased from $0.6 million in 2023 to $(1.5) million in 2024.</w:t>
      </w:r>
    </w:p>
    <w:p>
      <w:pPr>
        <w:spacing w:after="0" w:line="108" w:lineRule="exact"/>
        <w:rPr>
          <w:sz w:val="20"/>
          <w:szCs w:val="20"/>
          <w:color w:val="auto"/>
        </w:rPr>
      </w:pPr>
    </w:p>
    <w:p>
      <w:pPr>
        <w:ind w:left="400" w:right="60"/>
        <w:spacing w:after="0" w:line="380" w:lineRule="auto"/>
        <w:rPr>
          <w:sz w:val="20"/>
          <w:szCs w:val="20"/>
          <w:color w:val="auto"/>
        </w:rPr>
      </w:pPr>
      <w:r>
        <w:rPr>
          <w:rFonts w:ascii="Times New Roman" w:cs="Times New Roman" w:eastAsia="Times New Roman" w:hAnsi="Times New Roman"/>
          <w:sz w:val="16"/>
          <w:szCs w:val="16"/>
          <w:color w:val="auto"/>
        </w:rPr>
        <w:t>Other revenue decreased from $11.7 million in 2023 to $10.8 million in 2024. This decrease is primarily due to other income related to the Same Centers. Management Companies' revenue decreased from $8.0 million in 2023 to $6.8 million in 2024 primarily due to a decrease in leasing and development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37" w:lineRule="exact"/>
        <w:rPr>
          <w:sz w:val="20"/>
          <w:szCs w:val="20"/>
          <w:color w:val="auto"/>
        </w:rPr>
      </w:pPr>
    </w:p>
    <w:p>
      <w:pPr>
        <w:jc w:val="both"/>
        <w:ind w:right="160" w:firstLine="434"/>
        <w:spacing w:after="0" w:line="256" w:lineRule="auto"/>
        <w:rPr>
          <w:sz w:val="20"/>
          <w:szCs w:val="20"/>
          <w:color w:val="auto"/>
        </w:rPr>
      </w:pPr>
      <w:r>
        <w:rPr>
          <w:rFonts w:ascii="Times New Roman" w:cs="Times New Roman" w:eastAsia="Times New Roman" w:hAnsi="Times New Roman"/>
          <w:sz w:val="18"/>
          <w:szCs w:val="18"/>
          <w:color w:val="auto"/>
        </w:rPr>
        <w:t>Shopping center and operating expenses increased $0.5 million, or 0.7%, from 2023 to 2024. The increase in shopping center and operating expenses is attributed to increases of $1.5 million from the JV Transition Centers and $0.9 million from the Same Centers offset in part by decreases of $1.7 million from the Redevelopment Properties and $0.6 million from the Disposition Properties.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Leasing expenses increased from $8.4 million in 2023 to $9.6 million in 2024 primarily due to an increase in compensation expense.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REIT general and administrative expenses decreased $1.8 million from 2023 to 2024 primarily due to a decrease in compensation expense.</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50" w:lineRule="exact"/>
        <w:rPr>
          <w:sz w:val="20"/>
          <w:szCs w:val="20"/>
          <w:color w:val="auto"/>
        </w:rPr>
      </w:pPr>
    </w:p>
    <w:p>
      <w:pPr>
        <w:jc w:val="both"/>
        <w:ind w:right="340" w:firstLine="434"/>
        <w:spacing w:after="0" w:line="303" w:lineRule="auto"/>
        <w:rPr>
          <w:sz w:val="20"/>
          <w:szCs w:val="20"/>
          <w:color w:val="auto"/>
        </w:rPr>
      </w:pPr>
      <w:r>
        <w:rPr>
          <w:rFonts w:ascii="Times New Roman" w:cs="Times New Roman" w:eastAsia="Times New Roman" w:hAnsi="Times New Roman"/>
          <w:sz w:val="16"/>
          <w:szCs w:val="16"/>
          <w:color w:val="auto"/>
        </w:rPr>
        <w:t>Depreciation and amortization increased $1.3 million from 2023 to 2024. The increase in depreciation and amortization is attributed to an increase of $2.6 million from the JV Transition Centers and $0.3 million from the Redevelopment Properties offset in part by decreases of $3.1 million from the Same Centers and $0.3 million from the Disposition Properties. Additionally, $1.8 million of the increase is attributable to Santa Monica Place.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37" w:lineRule="exact"/>
        <w:rPr>
          <w:sz w:val="20"/>
          <w:szCs w:val="20"/>
          <w:color w:val="auto"/>
        </w:rPr>
      </w:pPr>
    </w:p>
    <w:p>
      <w:pPr>
        <w:ind w:right="60" w:firstLine="434"/>
        <w:spacing w:after="0" w:line="286" w:lineRule="auto"/>
        <w:rPr>
          <w:sz w:val="20"/>
          <w:szCs w:val="20"/>
          <w:color w:val="auto"/>
        </w:rPr>
      </w:pPr>
      <w:r>
        <w:rPr>
          <w:rFonts w:ascii="Times New Roman" w:cs="Times New Roman" w:eastAsia="Times New Roman" w:hAnsi="Times New Roman"/>
          <w:sz w:val="16"/>
          <w:szCs w:val="16"/>
          <w:color w:val="auto"/>
        </w:rPr>
        <w:t>Interest expense decreased $14.9 million from 2023 to 2024. The decrease in interest expense is attributed to decreases of $21.7 million from the financing arrangement (See Note 12—Financing Arrangement in the Company's Notes to the Consolidated Financial Statements), $2.1 million from the Redevelopment Properties and $0.2 million from the Disposition Properties offset in part by $4.0 million from the JV Transition Centers, $1.1 million from the Same Centers and $0.6 million from higher outstanding balances and interest rates on the Company's revolving line of credit. Additionally, $3.4 million of the offset is attributable to Santa Monica Place, which includes default interest expense of $2.8 million. The decrease in interest expense from the financing arrangement is primarily due to the change in fair value of the underlying properties and the mortgage notes payable on the underlying properties.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Equity in Loss of Unconsolidated Joint Ventures:</w:t>
      </w:r>
    </w:p>
    <w:p>
      <w:pPr>
        <w:spacing w:after="0" w:line="150" w:lineRule="exact"/>
        <w:rPr>
          <w:sz w:val="20"/>
          <w:szCs w:val="20"/>
          <w:color w:val="auto"/>
        </w:rPr>
      </w:pPr>
    </w:p>
    <w:p>
      <w:pPr>
        <w:ind w:right="60" w:firstLine="434"/>
        <w:spacing w:after="0" w:line="256" w:lineRule="auto"/>
        <w:rPr>
          <w:sz w:val="20"/>
          <w:szCs w:val="20"/>
          <w:color w:val="auto"/>
        </w:rPr>
      </w:pPr>
      <w:r>
        <w:rPr>
          <w:rFonts w:ascii="Times New Roman" w:cs="Times New Roman" w:eastAsia="Times New Roman" w:hAnsi="Times New Roman"/>
          <w:sz w:val="18"/>
          <w:szCs w:val="18"/>
          <w:color w:val="auto"/>
        </w:rPr>
        <w:t>Equity in loss of unconsolidated joint ventures increased $49.9 million from 2023 to 2024. The increase in equity in loss of unconsolidated joint ventures is primarily due to impairment losses of $53.7 million recognized as a result of the reduction in the estimated holding period of properties held by certain unconsolidated joint ventures.</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Gain on Sale or Write Down of Assets, net:</w:t>
      </w:r>
    </w:p>
    <w:p>
      <w:pPr>
        <w:spacing w:after="0" w:line="150"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The gain on sale or write down of assets, net increased $314.7 million from 2023 to 2024 primarily due to the gain of $334.3 million relating to the Company no longer accounting for its investment in Chandler Fashion Center as a financing arrangement (See Note 12 – Financing Arrangement and Note 16 – Dispositions in the Company’s Notes to the Consolidated Financial Statements) offset by an impairment loss of $12.7 million as a result of the reduction in the estimated holding period of a certain property.</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37" w:lineRule="exact"/>
        <w:rPr>
          <w:sz w:val="20"/>
          <w:szCs w:val="20"/>
          <w:color w:val="auto"/>
        </w:rPr>
      </w:pPr>
    </w:p>
    <w:p>
      <w:pPr>
        <w:ind w:right="180" w:firstLine="434"/>
        <w:spacing w:after="0" w:line="268" w:lineRule="auto"/>
        <w:rPr>
          <w:sz w:val="20"/>
          <w:szCs w:val="20"/>
          <w:color w:val="auto"/>
        </w:rPr>
      </w:pPr>
      <w:r>
        <w:rPr>
          <w:rFonts w:ascii="Times New Roman" w:cs="Times New Roman" w:eastAsia="Times New Roman" w:hAnsi="Times New Roman"/>
          <w:sz w:val="18"/>
          <w:szCs w:val="18"/>
          <w:color w:val="auto"/>
        </w:rPr>
        <w:t>Net income (loss) increased $279.9 million from 2023 to 2024. The increase in net income (loss) is primarily due to the gain on sale of assets discussed above offset in part by impairment losses recognized as a result of the reduction in the estimated holding periods of certain properties.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50"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accrued default interest expense and loss on non-real estate investments decreased 1.1% from $89.1 million in 2023 to $88.1 million in 2024. For a reconciliation of net income (loss) attributable to the Company, the most directly comparable GAAP financial measure, to FFO attributable to common stockholders and unit holders—diluted, and FFO attributable to common stockholders and unit holders, excluding financing expense in connection with Chandler Freehold, accrued default interest expense and loss on non-real estate investments—diluted, see "Funds From Operations ("FFO")"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June 30, 2024 and 2023</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37" w:lineRule="exact"/>
        <w:rPr>
          <w:sz w:val="20"/>
          <w:szCs w:val="20"/>
          <w:color w:val="auto"/>
        </w:rPr>
      </w:pPr>
    </w:p>
    <w:p>
      <w:pPr>
        <w:ind w:right="180" w:firstLine="434"/>
        <w:spacing w:after="0" w:line="256" w:lineRule="auto"/>
        <w:rPr>
          <w:sz w:val="20"/>
          <w:szCs w:val="20"/>
          <w:color w:val="auto"/>
        </w:rPr>
      </w:pPr>
      <w:r>
        <w:rPr>
          <w:rFonts w:ascii="Times New Roman" w:cs="Times New Roman" w:eastAsia="Times New Roman" w:hAnsi="Times New Roman"/>
          <w:sz w:val="18"/>
          <w:szCs w:val="18"/>
          <w:color w:val="auto"/>
        </w:rPr>
        <w:t>Leasing revenue decreased by $2.1 million, or 0.5%, from 2023 to 2024. The decrease in leasing revenue is attributed to decreases of $3.4 million from the Same Centers, $2.4 million from the Disposition Properties and $4.3 million from the Redevelopment Properties offset in part by an increase of $8.6 million from the JV Transition Centers. Leasing revenue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includes the amortization of above and below-market leases, the amortization of straight-line rents, lease termination income, percentage rent and the recovery of bad debts. The amortization of above and below-market leases increased from $1.6 million in 2023 to $2.5 million in 2024. Straight-line rents decreased from $(2.6) million in 2023 to $(3.7) million in 2024. Lease termination income decreased from $1.7 million in 2023 to $1.2 million in 2024. Percentage rent decreased from $10.0 million in 2023 to $5.5 million in 2024. (Provisions for) recovery of bad debts decreased from $1.6 million in 2023 to $(4.4) million in 2024.</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Other revenue decreased from $20.7 million in 2023 to $19.7 million in 2024. This decrease is primarily due to other income related to the Same Centers.</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50" w:lineRule="exact"/>
        <w:rPr>
          <w:sz w:val="20"/>
          <w:szCs w:val="20"/>
          <w:color w:val="auto"/>
        </w:rPr>
      </w:pPr>
    </w:p>
    <w:p>
      <w:pPr>
        <w:ind w:right="140" w:firstLine="434"/>
        <w:spacing w:after="0" w:line="252" w:lineRule="auto"/>
        <w:rPr>
          <w:sz w:val="20"/>
          <w:szCs w:val="20"/>
          <w:color w:val="auto"/>
        </w:rPr>
      </w:pPr>
      <w:r>
        <w:rPr>
          <w:rFonts w:ascii="Times New Roman" w:cs="Times New Roman" w:eastAsia="Times New Roman" w:hAnsi="Times New Roman"/>
          <w:sz w:val="18"/>
          <w:szCs w:val="18"/>
          <w:color w:val="auto"/>
        </w:rPr>
        <w:t>Shopping center and operating expenses increased $4.2 million, or 3.0%, from 2023 to 2024. The increase in shopping center and operating expenses is attributed to an increase of $4.1 million from the Same Centers, which is primarily due to increased insurance, utilities and snow removal costs, and $1.5 million from the JV Transition Centers offset in part by decreases of $1.4 million from the Redevelopment Properties and $1.2 million from the Disposition Properties. Additionally, $1.1 million of the increase is attributable to Santa Monica Place.</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Leasing expenses increased from $18.1 million in 2023 to $20.1 million in 2024 due to an increase in compensation expense.</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REIT general and administrative expenses decreased $1.1 million from 2023 to 2024 due to a decrease in compensation expense.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50" w:lineRule="exact"/>
        <w:rPr>
          <w:sz w:val="20"/>
          <w:szCs w:val="20"/>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Depreciation and amortization decreased $1.8 million from 2023 to 2024. The decrease in depreciation and amortization is attributed to decreases of $7.4 million from the Same Centers and $0.9 million from the Disposition Properties offset in part by increases of $3.4 million from the JV Transition Centers and $0.9 million from the Redevelopment Properties. Additionally, $2.2 million of the offset is attributable to Santa Monica Place.</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50" w:lineRule="exact"/>
        <w:rPr>
          <w:sz w:val="20"/>
          <w:szCs w:val="20"/>
          <w:color w:val="auto"/>
        </w:rPr>
      </w:pPr>
    </w:p>
    <w:p>
      <w:pPr>
        <w:ind w:right="60" w:firstLine="434"/>
        <w:spacing w:after="0" w:line="286" w:lineRule="auto"/>
        <w:rPr>
          <w:sz w:val="20"/>
          <w:szCs w:val="20"/>
          <w:color w:val="auto"/>
        </w:rPr>
      </w:pPr>
      <w:r>
        <w:rPr>
          <w:rFonts w:ascii="Times New Roman" w:cs="Times New Roman" w:eastAsia="Times New Roman" w:hAnsi="Times New Roman"/>
          <w:sz w:val="16"/>
          <w:szCs w:val="16"/>
          <w:color w:val="auto"/>
        </w:rPr>
        <w:t>Interest expense decreased $2.2 million from 2023 to 2024. The decrease in interest expense is attributed to decreases of $7.8 million from the financing arrangement discussed in Note 12 in the Company's Notes to the Consolidated Financial Statements, $3.0 million from the Redevelopment Properties and $0.4 million from the Disposition Properties offset in part by increases of $1.9 million from higher interest rates and outstanding balances on the Company's revolving line of credit, $1.1 million from the Same Centers and $3.2 million from the JV Transition Centers. Additionally, $2.8 million of the offset is attributable to Santa Monica Place, which includes default interest expense of $2.8 million. The decrease in interest expense from the financing arrangement is primarily due to the change in fair value of the underlying properties and the mortgage notes payable on the underlying properties.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Equity in Loss of Unconsolidated Joint Ventures:</w:t>
      </w:r>
    </w:p>
    <w:p>
      <w:pPr>
        <w:spacing w:after="0" w:line="137"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Equity in loss of unconsolidated joint ventures increased $61.3 million from 2023 to 2024. The increase in equity in loss of unconsolidated joint ventures is primarily due to the write-down of the Company's investment in Los Angeles Premium Outlets of $57.7 million in 2024 and impairment losses of $53.7 million as a result of the reduction in the estimated holding period of properties held by certain unconsolidated joint ventures offset in part by the impairment loss in 2023 of $51.4 million at MS Portfolio LLC, as a result of the reduction in the estimated holding period (See Note 4 – Investments in Unconsolidated Joint Ventures in the Company’s Notes to the Consolidated Financial Statements).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Gain on Sale or Write Down of Assets, net:</w:t>
      </w:r>
    </w:p>
    <w:p>
      <w:pPr>
        <w:spacing w:after="0" w:line="150"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Gain on sale or write down of assets, net increased $274.9 million from 2023 to 2024. The increase is primarily due to the gain of $334.3 million relating to the Company no longer accounting for its investment in Chandler Fashion Center as a financing arrangement (See Note 12 – Financing Arrangement and Note 16 – Dispositions in the Company’s Notes to the Consolidated Financial Statements) offset by impairment losses of $48.7 million as a result of the reduction in the estimated holding period of certain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37" w:lineRule="exact"/>
        <w:rPr>
          <w:sz w:val="20"/>
          <w:szCs w:val="20"/>
          <w:color w:val="auto"/>
        </w:rPr>
      </w:pPr>
    </w:p>
    <w:p>
      <w:pPr>
        <w:jc w:val="both"/>
        <w:ind w:right="140" w:firstLine="434"/>
        <w:spacing w:after="0" w:line="252" w:lineRule="auto"/>
        <w:rPr>
          <w:sz w:val="20"/>
          <w:szCs w:val="20"/>
          <w:color w:val="auto"/>
        </w:rPr>
      </w:pPr>
      <w:r>
        <w:rPr>
          <w:rFonts w:ascii="Times New Roman" w:cs="Times New Roman" w:eastAsia="Times New Roman" w:hAnsi="Times New Roman"/>
          <w:sz w:val="18"/>
          <w:szCs w:val="18"/>
          <w:color w:val="auto"/>
        </w:rPr>
        <w:t>Net income (loss) increased $206.7 million from 2023 to 2024. The increase in net income (loss) is primarily due to the gain on sale of assets discussed above offset in part by impairment losses recognized as a result of the reduction in the estimated holding period of certain unconsolidated joint ventures, 2024 impairment losses at Santa Monica Place and Los Angeles Premium Outlets and by the 2023 write-down of assets as a result of the reduction in the estimated holding period at MS Portfolio LLC, along with the other variances noted above.</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50"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accrued default interest expense and loss on non-real estate investments decreased 12.0% from $185.0 million in 2023 to $162.7 million in 2024. For a reconciliation of net income (loss) attributable to the Company, the most directly comparable GAAP financial measure, to FFO attributable to common stockholders and unit holders—diluted, and FFO attributable to common stockholders and unit holders, excluding financing expense in connection with Chandler Freehold, accrued default interest expense and loss on non-real estate investments—diluted, see "Funds From Operations ("FFO")" below.</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50" w:lineRule="exact"/>
        <w:rPr>
          <w:sz w:val="20"/>
          <w:szCs w:val="20"/>
          <w:color w:val="auto"/>
        </w:rPr>
      </w:pPr>
    </w:p>
    <w:p>
      <w:pPr>
        <w:ind w:right="260" w:firstLine="434"/>
        <w:spacing w:after="0" w:line="268" w:lineRule="auto"/>
        <w:rPr>
          <w:sz w:val="20"/>
          <w:szCs w:val="20"/>
          <w:color w:val="auto"/>
        </w:rPr>
      </w:pPr>
      <w:r>
        <w:rPr>
          <w:rFonts w:ascii="Times New Roman" w:cs="Times New Roman" w:eastAsia="Times New Roman" w:hAnsi="Times New Roman"/>
          <w:sz w:val="18"/>
          <w:szCs w:val="18"/>
          <w:color w:val="auto"/>
        </w:rPr>
        <w:t>Cash provided by operating activities decreased $10.2 million from 2023 to 2024. The decrease is primarily due to the changes in assets and liabilities and the results, as discussed above.</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37" w:lineRule="exact"/>
        <w:rPr>
          <w:sz w:val="20"/>
          <w:szCs w:val="20"/>
          <w:color w:val="auto"/>
        </w:rPr>
      </w:pPr>
    </w:p>
    <w:p>
      <w:pPr>
        <w:ind w:right="160" w:firstLine="434"/>
        <w:spacing w:after="0" w:line="249" w:lineRule="auto"/>
        <w:rPr>
          <w:sz w:val="20"/>
          <w:szCs w:val="20"/>
          <w:color w:val="auto"/>
        </w:rPr>
      </w:pPr>
      <w:r>
        <w:rPr>
          <w:rFonts w:ascii="Times New Roman" w:cs="Times New Roman" w:eastAsia="Times New Roman" w:hAnsi="Times New Roman"/>
          <w:sz w:val="18"/>
          <w:szCs w:val="18"/>
          <w:color w:val="auto"/>
        </w:rPr>
        <w:t>Cash used in investing activities was $83.4 million in 2024 compared to cash provided by investing activities of $58.9 million in 2023. The increase in cash used in investing activities is primarily attributed to decreases in distributions from unconsolidated joint ventures of $128.4 million, increases in development, redevelopment and renovation of $17.6 million and decreases in proceeds from the sale of assets of $15.4 million offset in part by decreases in property improvements of $12.2 million and contributions to unconsolidated joint ventures of $7.2 million. The decrease in distributions from unconsolidated joint ventures is primarily due to the distribution of net loan proceeds from the Scottsdale Fashion Square refinance in 2023 (See “—Financing Activities” in Management’s Overview and Summary).</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50"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decreased $140.2 million from 2023 to 2024. The decrease in cash used in financing activities is primarily due to a decrease in payments on mortgages, bank and other notes payable of $338.2 million and a decrease in deferred financing costs of $11.1 million offset in part by a decrease in proceeds from mortgages, bank and other notes payable of $210.0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0" w:lineRule="exact"/>
        <w:rPr>
          <w:sz w:val="20"/>
          <w:szCs w:val="20"/>
          <w:color w:val="auto"/>
        </w:rPr>
      </w:pPr>
    </w:p>
    <w:p>
      <w:pPr>
        <w:jc w:val="both"/>
        <w:ind w:right="140" w:firstLine="434"/>
        <w:spacing w:after="0" w:line="256" w:lineRule="auto"/>
        <w:rPr>
          <w:sz w:val="20"/>
          <w:szCs w:val="20"/>
          <w:color w:val="auto"/>
        </w:rPr>
      </w:pPr>
      <w:r>
        <w:rPr>
          <w:rFonts w:ascii="Times New Roman" w:cs="Times New Roman" w:eastAsia="Times New Roman" w:hAnsi="Times New Roman"/>
          <w:sz w:val="18"/>
          <w:szCs w:val="18"/>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line of credit.</w:t>
      </w:r>
    </w:p>
    <w:p>
      <w:pPr>
        <w:spacing w:after="0" w:line="114"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Additionally, the Company is focused on implementing the Path Forward Plan, including its goal to reduce its Net Debt to Adjusted EBITDA leverage ratio to a lower level over the next three to four years. The Company may achieve this goal, and other goals set in connection with the Path Forward Plan, through a variety of methods and the timing, extent and impact of any transactions that the Company has or will undertake while implementing the Path Forward Plan are indeterminable at this time. In order to de-leverage its capital structure, the Company may pursue asset dispositions and acquisitions, experience organic growth in EBITDA as properties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Uses of Capital</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capital expenditures incurred at the Centers (at the Company's pro rata share):</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Centers: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57,589</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58,717</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35,216</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20,216</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17"/>
        </w:trPr>
        <w:tc>
          <w:tcPr>
            <w:tcW w:w="6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116,932</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Joint Venture Centers: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35,967</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17"/>
        </w:trPr>
        <w:tc>
          <w:tcPr>
            <w:tcW w:w="6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400" w:hanging="395"/>
        <w:spacing w:after="0" w:line="258" w:lineRule="auto"/>
        <w:tabs>
          <w:tab w:leader="none" w:pos="39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2024, this includes the cash paid of $36.4 million on May 14, 2024, for the Company's acquisition of its joint venture partner's 40% interest in Arrowhead Towne Center and South Plains Mall. The total purchase price also included the assumption of the partner's share of debt. The Company now owns 100% of these regional retail centers. For the six months ended June 30, 2023, this includes the Company's acquisition of its joint venture partner's (Seritage Growth Partners) 50% interest in five former Sears parcels on May 18, 2023 for $46.7 million. The Company now owns 100% of these five parcels located at Chandler Fashion Center, Danbury Fair Mall, Freehold Raceway Mall, Los Cerritos Center and Washington Square (See Note 15—Acquisitions in the Notes to the Consolidated Financial Statements).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expects amounts to be incurred during the next twelve months for tenant allowances and deferred leasing charges to be comparable to</w:t>
      </w:r>
    </w:p>
    <w:p>
      <w:pPr>
        <w:spacing w:after="0" w:line="2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2023. The Company expects to incur approximately $160.0 million to $180.0 million during 2024 for development, redevelopment, expansion and renovations.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 The Company will be very selective in undertaking any future development or redevelopment projects and may choose to pause existing projects if the Company believes they are no longer economically viable.</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Sources of Capital</w:t>
      </w:r>
    </w:p>
    <w:p>
      <w:pPr>
        <w:spacing w:after="0" w:line="137" w:lineRule="exact"/>
        <w:rPr>
          <w:sz w:val="20"/>
          <w:szCs w:val="20"/>
          <w:color w:val="auto"/>
        </w:rPr>
      </w:pPr>
    </w:p>
    <w:p>
      <w:pPr>
        <w:ind w:right="80" w:firstLine="434"/>
        <w:spacing w:after="0" w:line="246" w:lineRule="auto"/>
        <w:rPr>
          <w:sz w:val="20"/>
          <w:szCs w:val="20"/>
          <w:color w:val="auto"/>
        </w:rPr>
      </w:pPr>
      <w:r>
        <w:rPr>
          <w:rFonts w:ascii="Times New Roman" w:cs="Times New Roman" w:eastAsia="Times New Roman" w:hAnsi="Times New Roman"/>
          <w:sz w:val="18"/>
          <w:szCs w:val="18"/>
          <w:color w:val="auto"/>
        </w:rPr>
        <w:t>The Company has also generated liquidity in the past, and may continue to do so in the future, through equity offerings and issuances, property refinancings, joint venture transactions and the sale of non-core assets. Asset sales will focus on whether a property is core to the Company's strategy and may include defaulting on certain mortgage debts on the Company's properties and giving possession of such secured properties to the lender. For example, the Company sold The Marketplace at Flagstaff in Flagstaff, Arizona on May 2, 2023, Superstition Springs Power Center in Mesa, Arizona on July 17, 2023, and the Company's joint venture sold One Westside in Los Angeles, California on December 27, 2023. Since implementing the Path Forward Plan, the Company's joint venture sold Country Club Plaza in Kansas City, Missouri on June 28, 2024 and the Company sold its 50% interest in Biltmore Fashion Park in Phoenix, Arizona on July 31, 2024. The Company used its share of proceeds from these transactions to pay down its line of credit and other debt obligations. During the year ended December 31, 2023 and six months ended June 30, 2024, the Company and certain joint venture partners sold various land parcels in separate transactions for aggregate proceeds of $16.4 million and $2.5 million, respectively (at the Company's share), which the Company used to pay down debt and for other general corporate purposes.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125" w:lineRule="exact"/>
        <w:rPr>
          <w:sz w:val="20"/>
          <w:szCs w:val="20"/>
          <w:color w:val="auto"/>
        </w:rPr>
      </w:pPr>
    </w:p>
    <w:p>
      <w:pPr>
        <w:ind w:right="240" w:firstLine="434"/>
        <w:spacing w:after="0" w:line="252" w:lineRule="auto"/>
        <w:rPr>
          <w:sz w:val="20"/>
          <w:szCs w:val="20"/>
          <w:color w:val="auto"/>
        </w:rPr>
      </w:pPr>
      <w:r>
        <w:rPr>
          <w:rFonts w:ascii="Times New Roman" w:cs="Times New Roman" w:eastAsia="Times New Roman" w:hAnsi="Times New Roman"/>
          <w:sz w:val="18"/>
          <w:szCs w:val="18"/>
          <w:color w:val="auto"/>
        </w:rPr>
        <w:t>On March 26, 2021, the Company registered an "at the market" offering program, pursuant to which the Company may issue and sell shares of its common stock having an aggregate offering price of up to $500 million under the ATM Program, in amounts and at times to be determined by the Company. During the six months ended June 30, 2024, no shares were issued under the ATM Program. As of June 30, 2024, the Company had approximately $151.7 million of gross sales of its common stock available under the ATM Program.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0" w:firstLine="434"/>
        <w:spacing w:after="0" w:line="252" w:lineRule="auto"/>
        <w:rPr>
          <w:sz w:val="20"/>
          <w:szCs w:val="20"/>
          <w:color w:val="auto"/>
        </w:rPr>
      </w:pPr>
      <w:r>
        <w:rPr>
          <w:rFonts w:ascii="Times New Roman" w:cs="Times New Roman" w:eastAsia="Times New Roman" w:hAnsi="Times New Roman"/>
          <w:sz w:val="18"/>
          <w:szCs w:val="18"/>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w:t>
      </w:r>
    </w:p>
    <w:p>
      <w:pPr>
        <w:spacing w:after="0" w:line="104" w:lineRule="exact"/>
        <w:rPr>
          <w:sz w:val="20"/>
          <w:szCs w:val="20"/>
          <w:color w:val="auto"/>
        </w:rPr>
      </w:pPr>
    </w:p>
    <w:p>
      <w:pPr>
        <w:ind w:right="60" w:firstLine="434"/>
        <w:spacing w:after="0" w:line="250" w:lineRule="auto"/>
        <w:rPr>
          <w:sz w:val="20"/>
          <w:szCs w:val="20"/>
          <w:color w:val="auto"/>
        </w:rPr>
      </w:pPr>
      <w:r>
        <w:rPr>
          <w:rFonts w:ascii="Times New Roman" w:cs="Times New Roman" w:eastAsia="Times New Roman" w:hAnsi="Times New Roman"/>
          <w:sz w:val="18"/>
          <w:szCs w:val="18"/>
          <w:color w:val="auto"/>
        </w:rPr>
        <w:t>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The Company expects to incur increased interest expense from the refinancing or extension of loans that may carry below-market interest rates. In addition, increases in the Company's proportion of floating rate debt will cause it to be subject to interest rate fluctuations in the future.</w:t>
      </w:r>
    </w:p>
    <w:p>
      <w:pPr>
        <w:spacing w:after="0" w:line="119"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The Company's total outstanding loan indebtedness, which includes mortgages and other notes payable, at June 30, 2024 was $6.99 billion (consisting of $4.54 billion of consolidated debt, less $0.03 billion of noncontrolling interests, plus $2.48 billion of its pro rata share of unconsolidated joint venture debt). The majority of the Company's debt consists of fixed-rate conventional mortgage notes collateralized by individual properties. The Company has one remaining maturity in 2024 that is in the process of refinancing and expects that all of the maturities during the next twelve months will be refinanced, restructured, extended and/or paid off from the Company's line of credit or cash on hand, with the exception of Santa Monica Place (See “—Financing Activities” in Management’s Overview and Summary).</w:t>
      </w:r>
    </w:p>
    <w:p>
      <w:pPr>
        <w:spacing w:after="0" w:line="119" w:lineRule="exact"/>
        <w:rPr>
          <w:sz w:val="20"/>
          <w:szCs w:val="20"/>
          <w:color w:val="auto"/>
        </w:rPr>
      </w:pPr>
    </w:p>
    <w:p>
      <w:pPr>
        <w:ind w:right="40" w:firstLine="434"/>
        <w:spacing w:after="0" w:line="248" w:lineRule="auto"/>
        <w:rPr>
          <w:sz w:val="20"/>
          <w:szCs w:val="20"/>
          <w:color w:val="auto"/>
        </w:rPr>
      </w:pPr>
      <w:r>
        <w:rPr>
          <w:rFonts w:ascii="Times New Roman" w:cs="Times New Roman" w:eastAsia="Times New Roman" w:hAnsi="Times New Roman"/>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08" w:lineRule="exact"/>
        <w:rPr>
          <w:sz w:val="20"/>
          <w:szCs w:val="20"/>
          <w:color w:val="auto"/>
        </w:rPr>
      </w:pPr>
    </w:p>
    <w:p>
      <w:pPr>
        <w:jc w:val="both"/>
        <w:ind w:right="140" w:firstLine="434"/>
        <w:spacing w:after="0" w:line="332" w:lineRule="auto"/>
        <w:rPr>
          <w:sz w:val="20"/>
          <w:szCs w:val="20"/>
          <w:color w:val="auto"/>
        </w:rPr>
      </w:pPr>
      <w:r>
        <w:rPr>
          <w:rFonts w:ascii="Times New Roman" w:cs="Times New Roman" w:eastAsia="Times New Roman" w:hAnsi="Times New Roman"/>
          <w:sz w:val="16"/>
          <w:szCs w:val="16"/>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57" w:lineRule="exact"/>
        <w:rPr>
          <w:sz w:val="20"/>
          <w:szCs w:val="20"/>
          <w:color w:val="auto"/>
        </w:rPr>
      </w:pPr>
    </w:p>
    <w:p>
      <w:pPr>
        <w:jc w:val="both"/>
        <w:ind w:right="160" w:firstLine="434"/>
        <w:spacing w:after="0" w:line="256" w:lineRule="auto"/>
        <w:rPr>
          <w:sz w:val="20"/>
          <w:szCs w:val="20"/>
          <w:color w:val="auto"/>
        </w:rPr>
      </w:pPr>
      <w:r>
        <w:rPr>
          <w:rFonts w:ascii="Times New Roman" w:cs="Times New Roman" w:eastAsia="Times New Roman" w:hAnsi="Times New Roman"/>
          <w:sz w:val="18"/>
          <w:szCs w:val="18"/>
          <w:color w:val="auto"/>
        </w:rPr>
        <w:t>Additionally, as of June 30, 2024, the Company was contingently liable for $40.9 million in letters of credit guaranteeing performance by the Company of certain obligations relating to the Centers. As of June 30, 2024, $40.8 million of these letters of credit were secured by restricted cash. The Company does not believe that these letters of credit will result in a liability to the Company.</w:t>
      </w:r>
    </w:p>
    <w:p>
      <w:pPr>
        <w:spacing w:after="0" w:line="114" w:lineRule="exact"/>
        <w:rPr>
          <w:sz w:val="20"/>
          <w:szCs w:val="20"/>
          <w:color w:val="auto"/>
        </w:rPr>
      </w:pPr>
    </w:p>
    <w:p>
      <w:pPr>
        <w:jc w:val="both"/>
        <w:ind w:right="180" w:firstLine="434"/>
        <w:spacing w:after="0" w:line="252" w:lineRule="auto"/>
        <w:rPr>
          <w:sz w:val="20"/>
          <w:szCs w:val="20"/>
          <w:color w:val="auto"/>
        </w:rPr>
      </w:pPr>
      <w:r>
        <w:rPr>
          <w:rFonts w:ascii="Times New Roman" w:cs="Times New Roman" w:eastAsia="Times New Roman" w:hAnsi="Times New Roman"/>
          <w:sz w:val="18"/>
          <w:szCs w:val="18"/>
          <w:color w:val="auto"/>
        </w:rPr>
        <w:t>The Company continues to actively address its near-term, non-recourse loan maturities, with five completed or in process transactions year-to-date in 2024 totaling approximately $688.6 million, or approximately $539.4 million at the Company’s pro rata share. The Company has one remaining maturity in 2024 that is in the process of refinancing. For additional information on the Company’s financing transactions in the year ended 2023 through the date of this Quarterly Report on Form 10-Q, see “Financing Activities” in Management’s Overview and Summary.</w:t>
      </w:r>
    </w:p>
    <w:p>
      <w:pPr>
        <w:spacing w:after="0" w:line="104" w:lineRule="exact"/>
        <w:rPr>
          <w:sz w:val="20"/>
          <w:szCs w:val="20"/>
          <w:color w:val="auto"/>
        </w:rPr>
      </w:pPr>
    </w:p>
    <w:p>
      <w:pPr>
        <w:ind w:firstLine="434"/>
        <w:spacing w:after="0" w:line="280" w:lineRule="auto"/>
        <w:rPr>
          <w:sz w:val="20"/>
          <w:szCs w:val="20"/>
          <w:color w:val="auto"/>
        </w:rPr>
      </w:pPr>
      <w:r>
        <w:rPr>
          <w:rFonts w:ascii="Times New Roman" w:cs="Times New Roman" w:eastAsia="Times New Roman" w:hAnsi="Times New Roman"/>
          <w:sz w:val="16"/>
          <w:szCs w:val="16"/>
          <w:color w:val="auto"/>
        </w:rPr>
        <w:t>Previously, the Company had a $525 million revolving loan facility, which was scheduled to mature on April 14, 2024. On September 11, 2023, the Company and the Operating Partnership entered into an amended and restated credit agreement, which amended and restated their prior credit agreement, and provides for an aggregate $650 million revolving loan facility that matures on February 1, 2027, with a one-year extension option. The revolving loan facility can be expanded up to $950 million, subject to receipt of lender commitments and other conditions. Concurrently with the entry into the amended and restated credit agreement, the Company drew $152 million of the amount available under the revolving loan facility and used the proceeds to repay in full amounts outstanding under its prior credit facility. All obligations under the credit facility are guaranteed unconditionally by the Company and are secured in the form of mortgages on certain wholly-owned assets and pledges of equity interests held by certain of the Company’s subsidiaries. The new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As of June 30, 2024, the borrowing rate was SOFR plus a spread of 2.35%. As of June 30, 2024, borrowings under the credit facility were $185.0 million less unamortized deferred finance costs of $13.6 million for the revolving loan facility at a total effective interest rate of 8.40%. As of June 30, 2024, the Company’s availability under the revolving loan facility for additional borrowings was $464.9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Cash dividends and distributions for the six months ended June 30, 2024 were $80.2 million (including distributions from consolidated joint ventures of $1.1 million), which were funded by operations.</w:t>
      </w:r>
    </w:p>
    <w:p>
      <w:pPr>
        <w:spacing w:after="0" w:line="90" w:lineRule="exact"/>
        <w:rPr>
          <w:sz w:val="20"/>
          <w:szCs w:val="20"/>
          <w:color w:val="auto"/>
        </w:rPr>
      </w:pPr>
    </w:p>
    <w:p>
      <w:pPr>
        <w:ind w:left="400" w:right="3120" w:firstLine="40"/>
        <w:spacing w:after="0" w:line="406" w:lineRule="auto"/>
        <w:rPr>
          <w:sz w:val="20"/>
          <w:szCs w:val="20"/>
          <w:color w:val="auto"/>
        </w:rPr>
      </w:pPr>
      <w:r>
        <w:rPr>
          <w:rFonts w:ascii="Times New Roman" w:cs="Times New Roman" w:eastAsia="Times New Roman" w:hAnsi="Times New Roman"/>
          <w:sz w:val="18"/>
          <w:szCs w:val="18"/>
          <w:color w:val="auto"/>
        </w:rPr>
        <w:t xml:space="preserve">At June 30, 2024, the Company was in compliance with all applicable loan covenants under its agreements. At June 30, 2024, the Company had cash and cash equivalents of $70.7 million. </w:t>
      </w:r>
      <w:r>
        <w:rPr>
          <w:rFonts w:ascii="Times New Roman" w:cs="Times New Roman" w:eastAsia="Times New Roman" w:hAnsi="Times New Roman"/>
          <w:sz w:val="18"/>
          <w:szCs w:val="18"/>
          <w:i w:val="1"/>
          <w:iCs w:val="1"/>
          <w:color w:val="auto"/>
        </w:rPr>
        <w:t>Material Cash Commitments:</w:t>
      </w:r>
    </w:p>
    <w:p>
      <w:pPr>
        <w:spacing w:after="0" w:line="2"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is a schedule of material cash commitments as of June 30, 2024 for the Consolidated Centers over the periods in which they are expected to be paid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Commitments</w:t>
            </w: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080" w:type="dxa"/>
            <w:vAlign w:val="bottom"/>
          </w:tcPr>
          <w:p>
            <w:pPr>
              <w:jc w:val="right"/>
              <w:ind w:right="299"/>
              <w:spacing w:after="0" w:line="127"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center"/>
              <w:ind w:right="239"/>
              <w:spacing w:after="0" w:line="127"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ind w:right="459"/>
              <w:spacing w:after="0" w:line="127" w:lineRule="exact"/>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279"/>
              <w:spacing w:after="0" w:line="127"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0"/>
        </w:trPr>
        <w:tc>
          <w:tcPr>
            <w:tcW w:w="3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64"/>
        </w:trPr>
        <w:tc>
          <w:tcPr>
            <w:tcW w:w="358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Long-term debt obligations (includes expected</w:t>
            </w: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5,400,638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951,487</w:t>
            </w:r>
          </w:p>
        </w:tc>
        <w:tc>
          <w:tcPr>
            <w:tcW w:w="4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1,577,538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1,768,059</w:t>
            </w:r>
          </w:p>
        </w:tc>
        <w:tc>
          <w:tcPr>
            <w:tcW w:w="0" w:type="dxa"/>
            <w:vAlign w:val="bottom"/>
          </w:tcPr>
          <w:p>
            <w:pPr>
              <w:spacing w:after="0"/>
              <w:rPr>
                <w:sz w:val="1"/>
                <w:szCs w:val="1"/>
                <w:color w:val="auto"/>
              </w:rPr>
            </w:pPr>
          </w:p>
        </w:tc>
      </w:tr>
      <w:tr>
        <w:trPr>
          <w:trHeight w:val="224"/>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obligations(2)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74,831</w:t>
            </w:r>
          </w:p>
        </w:tc>
        <w:tc>
          <w:tcPr>
            <w:tcW w:w="0" w:type="dxa"/>
            <w:vAlign w:val="bottom"/>
          </w:tcPr>
          <w:p>
            <w:pPr>
              <w:spacing w:after="0"/>
              <w:rPr>
                <w:sz w:val="1"/>
                <w:szCs w:val="1"/>
                <w:color w:val="auto"/>
              </w:rPr>
            </w:pPr>
          </w:p>
        </w:tc>
      </w:tr>
      <w:tr>
        <w:trPr>
          <w:trHeight w:val="242"/>
        </w:trPr>
        <w:tc>
          <w:tcPr>
            <w:tcW w:w="3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5,536,030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1,842,890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June 30, 2024.</w:t>
      </w:r>
    </w:p>
    <w:p>
      <w:pPr>
        <w:spacing w:after="0" w:line="6" w:lineRule="exact"/>
        <w:rPr>
          <w:rFonts w:ascii="Times New Roman" w:cs="Times New Roman" w:eastAsia="Times New Roman" w:hAnsi="Times New Roman"/>
          <w:sz w:val="16"/>
          <w:szCs w:val="16"/>
          <w:color w:val="auto"/>
        </w:rPr>
      </w:pPr>
    </w:p>
    <w:p>
      <w:pPr>
        <w:ind w:left="320" w:hanging="315"/>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8—Leases in the Company's Notes to the Consolidated Financial Statements.</w:t>
      </w:r>
    </w:p>
    <w:p>
      <w:pPr>
        <w:sectPr>
          <w:pgSz w:w="11900" w:h="16838" w:orient="portrait"/>
          <w:cols w:equalWidth="0" w:num="1">
            <w:col w:w="11100"/>
          </w:cols>
          <w:pgMar w:left="320" w:top="118"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137"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 xml:space="preserve">The Company uses FFO in addition to net income to report its operating and financial results and considers FFO and FFO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19" w:lineRule="exact"/>
        <w:rPr>
          <w:sz w:val="20"/>
          <w:szCs w:val="20"/>
          <w:color w:val="auto"/>
        </w:rPr>
      </w:pPr>
    </w:p>
    <w:p>
      <w:pPr>
        <w:ind w:right="20" w:firstLine="434"/>
        <w:spacing w:after="0" w:line="281" w:lineRule="auto"/>
        <w:rPr>
          <w:sz w:val="20"/>
          <w:szCs w:val="20"/>
          <w:color w:val="auto"/>
        </w:rPr>
      </w:pPr>
      <w:r>
        <w:rPr>
          <w:rFonts w:ascii="Times New Roman" w:cs="Times New Roman" w:eastAsia="Times New Roman" w:hAnsi="Times New Roman"/>
          <w:sz w:val="16"/>
          <w:szCs w:val="16"/>
          <w:color w:val="auto"/>
        </w:rPr>
        <w:t>Prior to June 13, 2024, the Company accounted for its joint venture in Chandler Freehold as a financing arrangement. In connection with this treatment, the Company recognized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 On November 16, 2023, the Company acquired its joint venture partner’s 49.9% ownership interest in Freehold Raceway Mall and as a result, this property is no longer part of the financing arrangement and is 100% owned by the Company. On June 13, 2024, the partnership agreement between the Company and its partner was amended. As a result, the Company no longer accounts for its investment in Chandler Fashion Center as a financing arrangement. Effective June 13, 2024, the Company accounts for its investment in Chandler Fashion Center under the equity method of accounting (See Note 12 – Financing Arrangement and Note 16 – Dispositions in the Notes to the Consolidated Financial Statements). References to Chandler Freehold for the period November 16, 2023 through June 13, 2024 shall be deemed to only refer to Chandler Fashion Center.</w:t>
      </w:r>
    </w:p>
    <w:p>
      <w:pPr>
        <w:spacing w:after="0" w:line="311" w:lineRule="exact"/>
        <w:rPr>
          <w:sz w:val="20"/>
          <w:szCs w:val="20"/>
          <w:color w:val="auto"/>
        </w:rPr>
      </w:pPr>
    </w:p>
    <w:p>
      <w:pPr>
        <w:ind w:right="320" w:firstLine="434"/>
        <w:spacing w:after="0" w:line="268" w:lineRule="auto"/>
        <w:rPr>
          <w:sz w:val="20"/>
          <w:szCs w:val="20"/>
          <w:color w:val="auto"/>
        </w:rPr>
      </w:pPr>
      <w:r>
        <w:rPr>
          <w:rFonts w:ascii="Times New Roman" w:cs="Times New Roman" w:eastAsia="Times New Roman" w:hAnsi="Times New Roman"/>
          <w:sz w:val="18"/>
          <w:szCs w:val="18"/>
          <w:color w:val="auto"/>
        </w:rPr>
        <w:t>The Company also presents FFO excluding financing expense in connection with Chandler Freehold, gain or loss on extinguishment of debt, accrued default interest expense and gain or loss on non-real estate investments.</w:t>
      </w:r>
    </w:p>
    <w:p>
      <w:pPr>
        <w:spacing w:after="0" w:line="90" w:lineRule="exact"/>
        <w:rPr>
          <w:sz w:val="20"/>
          <w:szCs w:val="20"/>
          <w:color w:val="auto"/>
        </w:rPr>
      </w:pPr>
    </w:p>
    <w:p>
      <w:pPr>
        <w:ind w:firstLine="434"/>
        <w:spacing w:after="0" w:line="278" w:lineRule="auto"/>
        <w:rPr>
          <w:sz w:val="20"/>
          <w:szCs w:val="20"/>
          <w:color w:val="auto"/>
        </w:rPr>
      </w:pPr>
      <w:r>
        <w:rPr>
          <w:rFonts w:ascii="Times New Roman" w:cs="Times New Roman" w:eastAsia="Times New Roman" w:hAnsi="Times New Roman"/>
          <w:sz w:val="16"/>
          <w:szCs w:val="16"/>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more meaningful measure of its operating results in comparison to the operating results of other REITs. In addition, the Company believes that FFO excluding financing expense in connection with Chandler Freehold, impact associated with extinguishment of debt, accrued default interest expense and impact of non-cash changes in the market value of non-real estate investments provides useful supplemental information regarding the Company’s performance as it shows a more meaningful and consistent comparison of the Company’s operating performance and allows investors to more easily compare the Company’s results. On March 19, 2024, the Company closed on a three-year extension of the Fashion Outlets of Niagara Falls non-recourse loan and all default interest expense was reversed. Effective April 9, 2024, default interest expense has been accrued on the non-recourse loan on Santa Monica Place. GAAP requires that the Company accrue default interest expense, which is not expected to be paid and is expected to be reversed once a loan is modified or once title to the mortgaged loan collateral is transferred. The Company believes that the accrual of default interest on non-recourse loans, and the related reversal thereof should be excluded. The Company holds certain non-real estate investments that are subject to mark to market changes every quarter. These investments are not core to the Company's business, and the changes to market value and the related gain or loss are entirely non-cash in nature. As a result, the Company believes that the gain or loss on non-real estate investments should be excluded. In the first quarter of 2024, the Company updated its presentation to exclude gain or loss on non-real estate investments for the reasons noted above. The Company recast the presentation for prior periods to reflect this change.</w:t>
      </w:r>
    </w:p>
    <w:p>
      <w:pPr>
        <w:spacing w:after="0" w:line="319" w:lineRule="exact"/>
        <w:rPr>
          <w:sz w:val="20"/>
          <w:szCs w:val="20"/>
          <w:color w:val="auto"/>
        </w:rPr>
      </w:pPr>
    </w:p>
    <w:p>
      <w:pPr>
        <w:ind w:right="100" w:firstLine="434"/>
        <w:spacing w:after="0" w:line="256" w:lineRule="auto"/>
        <w:rPr>
          <w:sz w:val="20"/>
          <w:szCs w:val="20"/>
          <w:color w:val="auto"/>
        </w:rPr>
      </w:pPr>
      <w:r>
        <w:rPr>
          <w:rFonts w:ascii="Times New Roman" w:cs="Times New Roman" w:eastAsia="Times New Roman" w:hAnsi="Times New Roman"/>
          <w:sz w:val="18"/>
          <w:szCs w:val="18"/>
          <w:color w:val="auto"/>
        </w:rPr>
        <w:t>The Company believes that FFO does not represent cash flow from operations as defined by GAAP, should not be considered as an alternative to net income (loss) as defined by GAAP, and is not indicative of cash available to fund all cash flow needs. The Company also cautions that FFO, as presented, may not be comparable to similarly titled measures reported by other real estate investment trusts.</w:t>
      </w:r>
    </w:p>
    <w:p>
      <w:pPr>
        <w:spacing w:after="0" w:line="114" w:lineRule="exact"/>
        <w:rPr>
          <w:sz w:val="20"/>
          <w:szCs w:val="20"/>
          <w:color w:val="auto"/>
        </w:rPr>
      </w:pPr>
    </w:p>
    <w:p>
      <w:pPr>
        <w:ind w:right="100" w:firstLine="434"/>
        <w:spacing w:after="0" w:line="286" w:lineRule="auto"/>
        <w:rPr>
          <w:sz w:val="20"/>
          <w:szCs w:val="20"/>
          <w:color w:val="auto"/>
        </w:rPr>
      </w:pPr>
      <w:r>
        <w:rPr>
          <w:rFonts w:ascii="Times New Roman" w:cs="Times New Roman" w:eastAsia="Times New Roman" w:hAnsi="Times New Roman"/>
          <w:sz w:val="16"/>
          <w:szCs w:val="16"/>
          <w:color w:val="auto"/>
        </w:rPr>
        <w:t>Management compensates for the limitations of FFO by providing investors with financial statements prepared according to GAAP, along with this detailed discussion of FFO and a reconciliation of net (loss) income to FFO and FFO</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diluted. Management believes that to further understand the Company's performance, FFO should be compared with the Company's reported net income (loss) and considered in addition to cash flows in accordance with GAAP, as presented in the Company's consolidated financial statements. The following reconciles net income (loss) attributable to the Company to FFO and FFO</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diluted attributable to common stockholders and unit holders-basic and diluted, excluding financing expense in connection with Chandler Freehold, accrued default interest expense and loss on non-real estate investments for the three and six months ended June 30, 2024 and 2023 (dollars and shares in thousands):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25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9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the Company</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252,007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58"/>
        </w:trPr>
        <w:tc>
          <w:tcPr>
            <w:tcW w:w="63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Adjustments to reconcile net income (loss) attributable to the Company to FFO attributable to</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stockholders and unit holders—basic and diluted: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11,778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or write down of assets, net—consolidated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noncontrolling interests share of gain on sale or write down of assets—consolidated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gain on sale of undepreciated assets—consolidated assets</w:t>
            </w: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or write down of assets—unconsolidated joint ventures, net(1)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51,526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gain on sale of undepreciated assets—unconsolidated joint ventures(1)</w:t>
            </w: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amortization—consolidated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71,676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70,388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in depreciation and amortization—consolidated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39,310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 and diluted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99,702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82,988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 expense in connection with Chandler Freehold</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(16,467)</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40"/>
        </w:trPr>
        <w:tc>
          <w:tcPr>
            <w:tcW w:w="636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 financing expense in</w:t>
            </w: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83,235</w:t>
            </w:r>
          </w:p>
        </w:tc>
        <w:tc>
          <w:tcPr>
            <w:tcW w:w="1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88,708</w:t>
            </w:r>
          </w:p>
        </w:tc>
        <w:tc>
          <w:tcPr>
            <w:tcW w:w="1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153,416</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connection with Chandler Freehold—basic and diluted</w:t>
            </w:r>
          </w:p>
        </w:tc>
        <w:tc>
          <w:tcPr>
            <w:tcW w:w="2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default interest expense</w:t>
            </w: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2,767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non-real estate investments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2,097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38"/>
        </w:trPr>
        <w:tc>
          <w:tcPr>
            <w:tcW w:w="636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color w:val="auto"/>
              </w:rPr>
              <w:t>FFO attributable to common stockholders and unit holders, excluding financing expense in</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3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connection with Chandler Freehold, accrued default interest expense and loss on non-real estate</w:t>
            </w:r>
          </w:p>
        </w:tc>
        <w:tc>
          <w:tcPr>
            <w:tcW w:w="260" w:type="dxa"/>
            <w:vAlign w:val="bottom"/>
            <w:vMerge w:val="restart"/>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88,099</w:t>
            </w:r>
          </w:p>
        </w:tc>
        <w:tc>
          <w:tcPr>
            <w:tcW w:w="160" w:type="dxa"/>
            <w:vAlign w:val="bottom"/>
          </w:tcPr>
          <w:p>
            <w:pPr>
              <w:spacing w:after="0"/>
              <w:rPr>
                <w:sz w:val="13"/>
                <w:szCs w:val="13"/>
                <w:color w:val="auto"/>
              </w:rPr>
            </w:pPr>
          </w:p>
        </w:tc>
        <w:tc>
          <w:tcPr>
            <w:tcW w:w="2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89,055</w:t>
            </w:r>
          </w:p>
        </w:tc>
        <w:tc>
          <w:tcPr>
            <w:tcW w:w="180" w:type="dxa"/>
            <w:vAlign w:val="bottom"/>
          </w:tcPr>
          <w:p>
            <w:pPr>
              <w:spacing w:after="0"/>
              <w:rPr>
                <w:sz w:val="13"/>
                <w:szCs w:val="13"/>
                <w:color w:val="auto"/>
              </w:rPr>
            </w:pPr>
          </w:p>
        </w:tc>
        <w:tc>
          <w:tcPr>
            <w:tcW w:w="24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162,697</w:t>
            </w:r>
          </w:p>
        </w:tc>
        <w:tc>
          <w:tcPr>
            <w:tcW w:w="100" w:type="dxa"/>
            <w:vAlign w:val="bottom"/>
          </w:tcPr>
          <w:p>
            <w:pPr>
              <w:spacing w:after="0"/>
              <w:rPr>
                <w:sz w:val="13"/>
                <w:szCs w:val="13"/>
                <w:color w:val="auto"/>
              </w:rPr>
            </w:pPr>
          </w:p>
        </w:tc>
        <w:tc>
          <w:tcPr>
            <w:tcW w:w="24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18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—basic and diluted</w:t>
            </w:r>
          </w:p>
        </w:tc>
        <w:tc>
          <w:tcPr>
            <w:tcW w:w="2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226,270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224,442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 impact of dilutive securities in computing FFO—diluted: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40"/>
          </w:cols>
          <w:pgMar w:left="320" w:top="118" w:right="239" w:bottom="1440" w:gutter="0" w:footer="0" w:header="0"/>
        </w:sectPr>
      </w:pPr>
    </w:p>
    <w:p>
      <w:pPr>
        <w:ind w:left="580"/>
        <w:spacing w:after="0"/>
        <w:rPr>
          <w:sz w:val="20"/>
          <w:szCs w:val="20"/>
          <w:color w:val="auto"/>
        </w:rPr>
      </w:pPr>
      <w:r>
        <w:rPr>
          <w:rFonts w:ascii="Times New Roman" w:cs="Times New Roman" w:eastAsia="Times New Roman" w:hAnsi="Times New Roman"/>
          <w:sz w:val="16"/>
          <w:szCs w:val="16"/>
          <w:color w:val="auto"/>
        </w:rPr>
        <w:t>Share and unit based compensation plans</w:t>
      </w:r>
    </w:p>
    <w:p>
      <w:pPr>
        <w:spacing w:after="0" w:line="26" w:lineRule="exact"/>
        <w:rPr>
          <w:sz w:val="20"/>
          <w:szCs w:val="20"/>
          <w:color w:val="auto"/>
        </w:rPr>
      </w:pPr>
    </w:p>
    <w:p>
      <w:pPr>
        <w:ind w:left="460" w:right="740"/>
        <w:spacing w:after="0" w:line="237" w:lineRule="auto"/>
        <w:rPr>
          <w:sz w:val="20"/>
          <w:szCs w:val="20"/>
          <w:color w:val="auto"/>
        </w:rPr>
      </w:pPr>
      <w:r>
        <w:rPr>
          <w:rFonts w:ascii="Times New Roman" w:cs="Times New Roman" w:eastAsia="Times New Roman" w:hAnsi="Times New Roman"/>
          <w:sz w:val="16"/>
          <w:szCs w:val="16"/>
          <w:color w:val="auto"/>
        </w:rPr>
        <w:t>Weighted average number of FFO shares outstanding for FFO attributable to common stockholders and unit holders—basic and diluted(2)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-229870</wp:posOffset>
            </wp:positionV>
            <wp:extent cx="6921500" cy="233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1500" cy="233680"/>
                    </a:xfrm>
                    <a:prstGeom prst="rect">
                      <a:avLst/>
                    </a:prstGeom>
                    <a:noFill/>
                  </pic:spPr>
                </pic:pic>
              </a:graphicData>
            </a:graphic>
          </wp:anchor>
        </w:drawing>
      </w:r>
    </w:p>
    <w:p>
      <w:pPr>
        <w:spacing w:after="0" w:line="222" w:lineRule="exact"/>
        <w:rPr>
          <w:sz w:val="20"/>
          <w:szCs w:val="20"/>
          <w:color w:val="auto"/>
        </w:rPr>
      </w:pPr>
    </w:p>
    <w:p>
      <w:pPr>
        <w:ind w:left="380" w:hanging="375"/>
        <w:spacing w:after="0"/>
        <w:tabs>
          <w:tab w:leader="none" w:pos="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joint ventures are presented at the Company's pro rata share.</w:t>
      </w:r>
    </w:p>
    <w:p>
      <w:pPr>
        <w:spacing w:after="0" w:line="20" w:lineRule="exact"/>
        <w:rPr>
          <w:sz w:val="20"/>
          <w:szCs w:val="20"/>
          <w:color w:val="auto"/>
        </w:rPr>
      </w:pPr>
      <w:r>
        <w:rPr>
          <w:sz w:val="20"/>
          <w:szCs w:val="20"/>
          <w:color w:val="auto"/>
        </w:rPr>
        <w:br w:type="column"/>
      </w:r>
    </w:p>
    <w:p>
      <w:pPr>
        <w:ind w:left="360"/>
        <w:spacing w:after="0"/>
        <w:tabs>
          <w:tab w:leader="none" w:pos="1620" w:val="left"/>
          <w:tab w:leader="none" w:pos="29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spacing w:after="0"/>
        <w:tabs>
          <w:tab w:leader="none" w:pos="1260" w:val="left"/>
          <w:tab w:leader="none" w:pos="2540" w:val="left"/>
          <w:tab w:leader="none" w:pos="3700" w:val="left"/>
        </w:tabs>
        <w:rPr>
          <w:sz w:val="20"/>
          <w:szCs w:val="20"/>
          <w:color w:val="auto"/>
        </w:rPr>
      </w:pPr>
      <w:r>
        <w:rPr>
          <w:rFonts w:ascii="Times New Roman" w:cs="Times New Roman" w:eastAsia="Times New Roman" w:hAnsi="Times New Roman"/>
          <w:sz w:val="16"/>
          <w:szCs w:val="16"/>
          <w:color w:val="auto"/>
        </w:rPr>
        <w:t>226,270</w:t>
      </w:r>
      <w:r>
        <w:rPr>
          <w:sz w:val="20"/>
          <w:szCs w:val="20"/>
          <w:color w:val="auto"/>
        </w:rPr>
        <w:tab/>
      </w:r>
      <w:r>
        <w:rPr>
          <w:rFonts w:ascii="Times New Roman" w:cs="Times New Roman" w:eastAsia="Times New Roman" w:hAnsi="Times New Roman"/>
          <w:sz w:val="16"/>
          <w:szCs w:val="16"/>
          <w:color w:val="auto"/>
        </w:rPr>
        <w:t>224,442</w:t>
      </w:r>
      <w:r>
        <w:rPr>
          <w:sz w:val="20"/>
          <w:szCs w:val="20"/>
          <w:color w:val="auto"/>
        </w:rPr>
        <w:tab/>
      </w:r>
      <w:r>
        <w:rPr>
          <w:rFonts w:ascii="Times New Roman" w:cs="Times New Roman" w:eastAsia="Times New Roman" w:hAnsi="Times New Roman"/>
          <w:sz w:val="16"/>
          <w:szCs w:val="16"/>
          <w:color w:val="auto"/>
        </w:rPr>
        <w:t>226,206</w:t>
      </w:r>
      <w:r>
        <w:rPr>
          <w:sz w:val="20"/>
          <w:szCs w:val="20"/>
          <w:color w:val="auto"/>
        </w:rPr>
        <w:tab/>
      </w:r>
      <w:r>
        <w:rPr>
          <w:rFonts w:ascii="Times New Roman" w:cs="Times New Roman" w:eastAsia="Times New Roman" w:hAnsi="Times New Roman"/>
          <w:sz w:val="16"/>
          <w:szCs w:val="16"/>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42545</wp:posOffset>
            </wp:positionV>
            <wp:extent cx="28860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86075" cy="8255"/>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6620" w:space="720"/>
            <w:col w:w="4000"/>
          </w:cols>
          <w:pgMar w:left="320" w:top="118" w:right="239" w:bottom="1440" w:gutter="0" w:footer="0" w:header="0"/>
          <w:type w:val="continuous"/>
        </w:sectPr>
      </w:pPr>
    </w:p>
    <w:p>
      <w:pPr>
        <w:ind w:left="400" w:right="160" w:hanging="395"/>
        <w:spacing w:after="0" w:line="269" w:lineRule="auto"/>
        <w:tabs>
          <w:tab w:leader="none" w:pos="38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upon basic net income as adjusted to reach basic FFO. Includes 10.1 million and 9.0 million of OP Units outstanding for the three months ended June 30, 2024 and 2023, respectively, and 10.1 million and 9.0 million of OP Units outstanding for the six months ended June 30, 2024 and 2023, respectively.</w:t>
      </w:r>
    </w:p>
    <w:p>
      <w:pPr>
        <w:spacing w:after="0" w:line="100" w:lineRule="exact"/>
        <w:rPr>
          <w:rFonts w:ascii="Times New Roman" w:cs="Times New Roman" w:eastAsia="Times New Roman" w:hAnsi="Times New Roman"/>
          <w:sz w:val="16"/>
          <w:szCs w:val="16"/>
          <w:color w:val="auto"/>
        </w:rPr>
      </w:pPr>
    </w:p>
    <w:p>
      <w:pPr>
        <w:ind w:left="400" w:right="260"/>
        <w:spacing w:after="0" w:line="28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primary market risk exposure is interest rate risk. The Company has managed and will continue to manage interest rate risk by</w:t>
      </w:r>
    </w:p>
    <w:p>
      <w:pPr>
        <w:spacing w:after="0" w:line="21" w:lineRule="exact"/>
        <w:rPr>
          <w:sz w:val="20"/>
          <w:szCs w:val="20"/>
          <w:color w:val="auto"/>
        </w:rPr>
      </w:pPr>
    </w:p>
    <w:p>
      <w:pPr>
        <w:ind w:right="140" w:firstLine="5"/>
        <w:spacing w:after="0" w:line="245" w:lineRule="auto"/>
        <w:tabs>
          <w:tab w:leader="none" w:pos="2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4" w:lineRule="exact"/>
        <w:rPr>
          <w:sz w:val="20"/>
          <w:szCs w:val="20"/>
          <w:color w:val="auto"/>
        </w:rPr>
      </w:pPr>
    </w:p>
    <w:p>
      <w:pPr>
        <w:ind w:right="140" w:firstLine="434"/>
        <w:spacing w:after="0" w:line="263" w:lineRule="auto"/>
        <w:rPr>
          <w:sz w:val="20"/>
          <w:szCs w:val="20"/>
          <w:color w:val="auto"/>
        </w:rPr>
      </w:pPr>
      <w:r>
        <w:rPr>
          <w:rFonts w:ascii="Times New Roman" w:cs="Times New Roman" w:eastAsia="Times New Roman" w:hAnsi="Times New Roman"/>
          <w:sz w:val="18"/>
          <w:szCs w:val="18"/>
          <w:color w:val="auto"/>
        </w:rPr>
        <w:t>The following table sets forth information as of June 30, 2024 concerning the Company's long-term debt obligations, including principal cash flows by scheduled maturity, weighted average interest rates and estimated fair value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twelve months ending June 30,</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0"/>
        </w:trPr>
        <w:tc>
          <w:tcPr>
            <w:tcW w:w="170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748,411</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565,377</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410,288</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734,531</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8,518</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1,670,116</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4,137,241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3,861,020</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4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485,000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487,875</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70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Total debt—Consolidated</w:t>
            </w:r>
          </w:p>
        </w:tc>
        <w:tc>
          <w:tcPr>
            <w:tcW w:w="24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748,411</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865,377</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410,288</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734,531</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193,518</w:t>
            </w:r>
          </w:p>
        </w:tc>
        <w:tc>
          <w:tcPr>
            <w:tcW w:w="10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1,670,116</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4,622,241</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4,348,895</w:t>
            </w:r>
          </w:p>
        </w:tc>
        <w:tc>
          <w:tcPr>
            <w:tcW w:w="0" w:type="dxa"/>
            <w:vAlign w:val="bottom"/>
          </w:tcPr>
          <w:p>
            <w:pPr>
              <w:spacing w:after="0"/>
              <w:rPr>
                <w:sz w:val="1"/>
                <w:szCs w:val="1"/>
                <w:color w:val="auto"/>
              </w:rPr>
            </w:pPr>
          </w:p>
        </w:tc>
      </w:tr>
      <w:tr>
        <w:trPr>
          <w:trHeight w:val="172"/>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Centers</w:t>
            </w: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70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UNCONSOLIDATED</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7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Long-term debt (at</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pro rata share):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121,289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354,158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392,878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638,841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459,710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482,403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2,449,279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2,346,625</w:t>
            </w:r>
          </w:p>
        </w:tc>
        <w:tc>
          <w:tcPr>
            <w:tcW w:w="0" w:type="dxa"/>
            <w:vAlign w:val="bottom"/>
          </w:tcPr>
          <w:p>
            <w:pPr>
              <w:spacing w:after="0"/>
              <w:rPr>
                <w:sz w:val="1"/>
                <w:szCs w:val="1"/>
                <w:color w:val="auto"/>
              </w:rPr>
            </w:pPr>
          </w:p>
        </w:tc>
      </w:tr>
      <w:tr>
        <w:trPr>
          <w:trHeight w:val="190"/>
        </w:trPr>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32,979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44,979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46,427</w:t>
            </w:r>
          </w:p>
        </w:tc>
        <w:tc>
          <w:tcPr>
            <w:tcW w:w="0" w:type="dxa"/>
            <w:vAlign w:val="bottom"/>
          </w:tcPr>
          <w:p>
            <w:pPr>
              <w:spacing w:after="0"/>
              <w:rPr>
                <w:sz w:val="1"/>
                <w:szCs w:val="1"/>
                <w:color w:val="auto"/>
              </w:rPr>
            </w:pPr>
          </w:p>
        </w:tc>
      </w:tr>
      <w:tr>
        <w:trPr>
          <w:trHeight w:val="191"/>
        </w:trPr>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0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Total debt—Unconsolidated</w:t>
            </w: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121,289</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354,158</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425,857</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638,841</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471,710</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482,403</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2,494,258</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2,393,052</w:t>
            </w:r>
          </w:p>
        </w:tc>
        <w:tc>
          <w:tcPr>
            <w:tcW w:w="0" w:type="dxa"/>
            <w:vAlign w:val="bottom"/>
          </w:tcPr>
          <w:p>
            <w:pPr>
              <w:spacing w:after="0"/>
              <w:rPr>
                <w:sz w:val="1"/>
                <w:szCs w:val="1"/>
                <w:color w:val="auto"/>
              </w:rPr>
            </w:pPr>
          </w:p>
        </w:tc>
      </w:tr>
      <w:tr>
        <w:trPr>
          <w:trHeight w:val="187"/>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 Centers</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160" w:firstLine="434"/>
        <w:spacing w:after="0" w:line="252" w:lineRule="auto"/>
        <w:rPr>
          <w:sz w:val="20"/>
          <w:szCs w:val="20"/>
          <w:color w:val="auto"/>
        </w:rPr>
      </w:pPr>
      <w:r>
        <w:rPr>
          <w:rFonts w:ascii="Times New Roman" w:cs="Times New Roman" w:eastAsia="Times New Roman" w:hAnsi="Times New Roman"/>
          <w:sz w:val="18"/>
          <w:szCs w:val="18"/>
          <w:color w:val="auto"/>
        </w:rPr>
        <w:t>The Consolidated Centers' total fixed rate debt at June 30, 2024 and December 31, 2023 was $4.1 billion and $3.8 billion, respectively. The average interest rate on the fixed rate debt at June 30, 2024 and December 31, 2023 was 4.33% and 4.29%, respectively. The Consolidated Centers' total floating rate debt at June 30, 2024 and December 31, 2023 was $485.0 million and $475.8 million, respectively. The average interest rate on the floating rate debt at June 30, 2024 and December 31, 2023 was 7.22% and 7.43%, respectively.</w:t>
      </w:r>
    </w:p>
    <w:p>
      <w:pPr>
        <w:spacing w:after="0" w:line="118" w:lineRule="exact"/>
        <w:rPr>
          <w:sz w:val="20"/>
          <w:szCs w:val="20"/>
          <w:color w:val="auto"/>
        </w:rPr>
      </w:pPr>
    </w:p>
    <w:p>
      <w:pPr>
        <w:ind w:firstLine="434"/>
        <w:spacing w:after="0" w:line="293" w:lineRule="auto"/>
        <w:rPr>
          <w:sz w:val="20"/>
          <w:szCs w:val="20"/>
          <w:color w:val="auto"/>
        </w:rPr>
      </w:pPr>
      <w:r>
        <w:rPr>
          <w:rFonts w:ascii="Times New Roman" w:cs="Times New Roman" w:eastAsia="Times New Roman" w:hAnsi="Times New Roman"/>
          <w:sz w:val="16"/>
          <w:szCs w:val="16"/>
          <w:color w:val="auto"/>
        </w:rPr>
        <w:t>The Company's pro rata share of the Unconsolidated Joint Venture Centers' fixed rate debt at June 30, 2024 and December 31, 2023 was $2.4 billion and $2.8 billion, respectively. The average interest rate on the fixed rate debt at June 30, 2024 and December 31, 2023 was 5.42% and 5.06%, respectively. The Company's pro rata share of the Unconsolidated Joint Venture Centers' floating rate debt at June 30, 2024 and December 31, 2023 was $45.0 million and $45.2 million, respectively. The average interest rate on the floating rate debt at June 30, 2024 and December 31, 2023 was 9.11% and 9.00%, respectively.</w:t>
      </w:r>
    </w:p>
    <w:p>
      <w:pPr>
        <w:spacing w:after="0" w:line="88" w:lineRule="exact"/>
        <w:rPr>
          <w:sz w:val="20"/>
          <w:szCs w:val="20"/>
          <w:color w:val="auto"/>
        </w:rPr>
      </w:pPr>
    </w:p>
    <w:p>
      <w:pPr>
        <w:ind w:right="20" w:firstLine="434"/>
        <w:spacing w:after="0" w:line="247" w:lineRule="auto"/>
        <w:rPr>
          <w:sz w:val="20"/>
          <w:szCs w:val="20"/>
          <w:color w:val="auto"/>
        </w:rPr>
      </w:pPr>
      <w:r>
        <w:rPr>
          <w:rFonts w:ascii="Times New Roman" w:cs="Times New Roman" w:eastAsia="Times New Roman" w:hAnsi="Times New Roman"/>
          <w:sz w:val="18"/>
          <w:szCs w:val="18"/>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June 30, 2024, the Company has interest rate cap agreements in place (See Note 4—Investments in Unconsolidated Joint Ventures and Note 5—Derivative Instruments and Hedging Activities in the Company's Notes to the Consolidated Financial Statements). The respective loans each require an interest rate cap agreement to be in place at all times, which limits how high the prevailing floating loan rate index (i.e., SOFR) for the loans can rise. As of the date of this Quarterly Report on Form 10-Q, SOFR for each of these loans exceeded the strike interest rate (the "Strike Rate") within the required interest rate cap agreement. If SOFR does exceed the Strike Rate, each of these loans would then be considered fixed rate debt. If SOFR for these respective loans thereafter no longer exceeds the Strike Rate, then these loans would once again be considered floating rate debt.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40" w:firstLine="434"/>
        <w:spacing w:after="0" w:line="268" w:lineRule="auto"/>
        <w:rPr>
          <w:sz w:val="20"/>
          <w:szCs w:val="20"/>
          <w:color w:val="auto"/>
        </w:rPr>
      </w:pPr>
      <w:r>
        <w:rPr>
          <w:rFonts w:ascii="Times New Roman" w:cs="Times New Roman" w:eastAsia="Times New Roman" w:hAnsi="Times New Roman"/>
          <w:sz w:val="18"/>
          <w:szCs w:val="18"/>
          <w:color w:val="auto"/>
        </w:rPr>
        <w:t>In addition, the Company has assessed the market risk for its floating rate debt and believes that a 1% increase in interest rates would decrease future earnings and cash flows by approximately $5.3 million per year based on $530.0 million of floating rate debt outstanding at June 30, 2024.</w:t>
      </w:r>
    </w:p>
    <w:p>
      <w:pPr>
        <w:spacing w:after="0" w:line="90" w:lineRule="exact"/>
        <w:rPr>
          <w:sz w:val="20"/>
          <w:szCs w:val="20"/>
          <w:color w:val="auto"/>
        </w:rPr>
      </w:pPr>
    </w:p>
    <w:p>
      <w:pPr>
        <w:ind w:right="200" w:firstLine="434"/>
        <w:spacing w:after="0" w:line="252" w:lineRule="auto"/>
        <w:rPr>
          <w:sz w:val="20"/>
          <w:szCs w:val="20"/>
          <w:color w:val="auto"/>
        </w:rPr>
      </w:pPr>
      <w:r>
        <w:rPr>
          <w:rFonts w:ascii="Times New Roman" w:cs="Times New Roman" w:eastAsia="Times New Roman" w:hAnsi="Times New Roman"/>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11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management carried out an evaluation,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supervision and with the participation of the Company's Chief Executive Officer and Chief Financial Officer, of the effectiveness of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disclosure controls and procedures as of the end of the period covered by this Quarterly Report on Form 10-Q. Based on their evaluation as of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Chief Executive Officer and Chief Financial Officer have concluded that the Company's disclosure controls and procedures (as defined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Rule 13a-15(e) and 15d-15(e) under the Exchange Act) were effective to ensure that the information required to be disclosed by the Company in the reports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 files or submits under the Exchange Act is (a) recorded, processed, summarized, and reported within the time periods specified in the SEC's rules and forms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 accumulated and communicated to the Company's management, including its Chief Executive Officer and Chief Financial Officer, or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similar functions, as appropriate to allow timely decisions regarding required disclosure.</w:t>
      </w:r>
    </w:p>
    <w:p>
      <w:pPr>
        <w:spacing w:after="0" w:line="117" w:lineRule="exact"/>
        <w:rPr>
          <w:sz w:val="20"/>
          <w:szCs w:val="20"/>
          <w:color w:val="auto"/>
        </w:rPr>
      </w:pPr>
    </w:p>
    <w:p>
      <w:pPr>
        <w:ind w:right="520" w:firstLine="434"/>
        <w:spacing w:after="0" w:line="256" w:lineRule="auto"/>
        <w:rPr>
          <w:sz w:val="20"/>
          <w:szCs w:val="20"/>
          <w:color w:val="auto"/>
        </w:rPr>
      </w:pPr>
      <w:r>
        <w:rPr>
          <w:rFonts w:ascii="Times New Roman" w:cs="Times New Roman" w:eastAsia="Times New Roman" w:hAnsi="Times New Roman"/>
          <w:sz w:val="18"/>
          <w:szCs w:val="18"/>
          <w:color w:val="auto"/>
        </w:rPr>
        <w:t>In addition, there has been no change in the Company's internal control over financial reporting (as such term is defined in Rules 13a-15(f) and 15(d)-15(f) under the Exchange Act) that occurred during the Company's most recent fiscal quarter that has materially affected, or is reasonably likely to materially affect, the Company's internal control over financial reporting.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7" w:lineRule="exact"/>
        <w:rPr>
          <w:sz w:val="20"/>
          <w:szCs w:val="20"/>
          <w:color w:val="auto"/>
        </w:rPr>
      </w:pPr>
    </w:p>
    <w:p>
      <w:pPr>
        <w:ind w:right="240" w:firstLine="434"/>
        <w:spacing w:after="0" w:line="268" w:lineRule="auto"/>
        <w:rPr>
          <w:sz w:val="20"/>
          <w:szCs w:val="20"/>
          <w:color w:val="auto"/>
        </w:rPr>
      </w:pPr>
      <w:r>
        <w:rPr>
          <w:rFonts w:ascii="Times New Roman" w:cs="Times New Roman" w:eastAsia="Times New Roman" w:hAnsi="Times New Roman"/>
          <w:sz w:val="18"/>
          <w:szCs w:val="18"/>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0" w:lineRule="exact"/>
        <w:rPr>
          <w:sz w:val="20"/>
          <w:szCs w:val="20"/>
          <w:color w:val="auto"/>
        </w:rPr>
      </w:pPr>
    </w:p>
    <w:p>
      <w:pPr>
        <w:ind w:right="300" w:firstLine="434"/>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to the risk factors relating to the Company set forth under the caption "Item 1A. Risk Factors" in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4" w:lineRule="exact"/>
        <w:rPr>
          <w:sz w:val="20"/>
          <w:szCs w:val="20"/>
          <w:color w:val="auto"/>
        </w:rPr>
      </w:pPr>
    </w:p>
    <w:p>
      <w:pPr>
        <w:jc w:val="both"/>
        <w:ind w:right="180" w:firstLine="440"/>
        <w:spacing w:after="0" w:line="277" w:lineRule="auto"/>
        <w:tabs>
          <w:tab w:leader="none" w:pos="67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17, 2024, the Company, as general partner of the Operating Partnership, issued 92,523 shares of common stock of the Company, upon the redemption of 92,523 common partnership units of the Operating Partnership. These shares of common stock were issued in a private placement to a limited partner of the Operating Partnership, an accredited investor, pursuant to Section 4(a)(2) of the Securities Act of 1933, as amended.</w:t>
      </w:r>
    </w:p>
    <w:p>
      <w:pPr>
        <w:spacing w:after="0" w:line="86" w:lineRule="exact"/>
        <w:rPr>
          <w:rFonts w:ascii="Times New Roman" w:cs="Times New Roman" w:eastAsia="Times New Roman" w:hAnsi="Times New Roman"/>
          <w:sz w:val="16"/>
          <w:szCs w:val="16"/>
          <w:color w:val="auto"/>
        </w:rPr>
      </w:pPr>
    </w:p>
    <w:p>
      <w:pPr>
        <w:ind w:left="680" w:hanging="240"/>
        <w:spacing w:after="0"/>
        <w:tabs>
          <w:tab w:leader="none" w:pos="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5" w:lineRule="exact"/>
        <w:rPr>
          <w:rFonts w:ascii="Times New Roman" w:cs="Times New Roman" w:eastAsia="Times New Roman" w:hAnsi="Times New Roman"/>
          <w:sz w:val="18"/>
          <w:szCs w:val="18"/>
          <w:color w:val="auto"/>
        </w:rPr>
      </w:pPr>
    </w:p>
    <w:p>
      <w:pPr>
        <w:ind w:left="240" w:hanging="235"/>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281"/>
              <w:spacing w:after="0" w:line="158" w:lineRule="exact"/>
              <w:rPr>
                <w:sz w:val="20"/>
                <w:szCs w:val="20"/>
                <w:color w:val="auto"/>
              </w:rPr>
            </w:pPr>
            <w:r>
              <w:rPr>
                <w:rFonts w:ascii="Times New Roman" w:cs="Times New Roman" w:eastAsia="Times New Roman" w:hAnsi="Times New Roman"/>
                <w:sz w:val="16"/>
                <w:szCs w:val="16"/>
                <w:b w:val="1"/>
                <w:bCs w:val="1"/>
                <w:color w:val="auto"/>
                <w:w w:val="98"/>
              </w:rPr>
              <w:t>Value of Shares That</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center"/>
              <w:ind w:right="1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May Yet Be Purchased</w:t>
            </w:r>
          </w:p>
        </w:tc>
        <w:tc>
          <w:tcPr>
            <w:tcW w:w="0" w:type="dxa"/>
            <w:vAlign w:val="bottom"/>
          </w:tcPr>
          <w:p>
            <w:pPr>
              <w:spacing w:after="0"/>
              <w:rPr>
                <w:sz w:val="1"/>
                <w:szCs w:val="1"/>
                <w:color w:val="auto"/>
              </w:rPr>
            </w:pPr>
          </w:p>
        </w:tc>
      </w:tr>
      <w:tr>
        <w:trPr>
          <w:trHeight w:val="158"/>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3"/>
                <w:szCs w:val="13"/>
                <w:color w:val="auto"/>
              </w:rPr>
            </w:pPr>
          </w:p>
        </w:tc>
        <w:tc>
          <w:tcPr>
            <w:tcW w:w="1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Publicly Announced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2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Under the Plans or</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9"/>
              </w:rPr>
              <w:t>Programs (1)</w:t>
            </w:r>
          </w:p>
        </w:tc>
        <w:tc>
          <w:tcPr>
            <w:tcW w:w="0" w:type="dxa"/>
            <w:vAlign w:val="bottom"/>
          </w:tcPr>
          <w:p>
            <w:pPr>
              <w:spacing w:after="0"/>
              <w:rPr>
                <w:sz w:val="1"/>
                <w:szCs w:val="1"/>
                <w:color w:val="auto"/>
              </w:rPr>
            </w:pPr>
          </w:p>
        </w:tc>
      </w:tr>
      <w:tr>
        <w:trPr>
          <w:trHeight w:val="218"/>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2024 to April 30,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1, 2024 to May 31,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4"/>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2024 to June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0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1180" w:right="220" w:hanging="543"/>
        <w:spacing w:after="0" w:line="269" w:lineRule="auto"/>
        <w:tabs>
          <w:tab w:leader="none" w:pos="11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107" w:lineRule="exact"/>
        <w:rPr>
          <w:sz w:val="20"/>
          <w:szCs w:val="20"/>
          <w:color w:val="auto"/>
        </w:rPr>
      </w:pPr>
    </w:p>
    <w:p>
      <w:pPr>
        <w:jc w:val="center"/>
        <w:ind w:right="8160"/>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60"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6"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60"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6" w:lineRule="exact"/>
        <w:rPr>
          <w:sz w:val="20"/>
          <w:szCs w:val="20"/>
          <w:color w:val="auto"/>
        </w:rPr>
      </w:pPr>
    </w:p>
    <w:p>
      <w:pPr>
        <w:jc w:val="center"/>
        <w:ind w:right="91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0" w:lineRule="exact"/>
        <w:rPr>
          <w:sz w:val="20"/>
          <w:szCs w:val="20"/>
          <w:color w:val="auto"/>
        </w:rPr>
      </w:pPr>
    </w:p>
    <w:p>
      <w:pPr>
        <w:ind w:firstLine="434"/>
        <w:spacing w:after="0" w:line="332" w:lineRule="auto"/>
        <w:rPr>
          <w:sz w:val="20"/>
          <w:szCs w:val="20"/>
          <w:color w:val="auto"/>
        </w:rPr>
      </w:pPr>
      <w:r>
        <w:rPr>
          <w:rFonts w:ascii="Times New Roman" w:cs="Times New Roman" w:eastAsia="Times New Roman" w:hAnsi="Times New Roman"/>
          <w:sz w:val="16"/>
          <w:szCs w:val="16"/>
          <w:color w:val="auto"/>
        </w:rPr>
        <w:t>During the three months ended June 30, 2024, none of the Company’s directors or officers (as defined in Rule 16a-1(f) of the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040" w:type="dxa"/>
            <w:vAlign w:val="bottom"/>
          </w:tcPr>
          <w:p>
            <w:pPr>
              <w:jc w:val="center"/>
              <w:ind w:right="245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2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5"/>
        </w:trPr>
        <w:tc>
          <w:tcPr>
            <w:tcW w:w="3040" w:type="dxa"/>
            <w:vAlign w:val="bottom"/>
          </w:tcPr>
          <w:p>
            <w:pPr>
              <w:jc w:val="center"/>
              <w:ind w:right="247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107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ind w:left="1120" w:hanging="358"/>
        <w:spacing w:after="0" w:line="220" w:lineRule="auto"/>
        <w:tabs>
          <w:tab w:leader="none" w:pos="1100" w:val="left"/>
        </w:tabs>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u w:val="single" w:color="auto"/>
          <w:color w:val="0000FF"/>
        </w:rPr>
        <w:tab/>
      </w:r>
      <w:hyperlink r:id="rId66">
        <w:r>
          <w:rPr>
            <w:rFonts w:ascii="Times New Roman" w:cs="Times New Roman" w:eastAsia="Times New Roman" w:hAnsi="Times New Roman"/>
            <w:sz w:val="18"/>
            <w:szCs w:val="18"/>
            <w:u w:val="single" w:color="auto"/>
            <w:color w:val="0000FF"/>
          </w:rPr>
          <w:t>Master Agreement, dated November 14, 2014, by and among Pacific Premier Retail LP, MACPT LLC, Macerich PPR GP LLC, Queens JV LP,</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Macerich Queens JV LP, Queens JV GP LLC, 1700480 Ontario Inc. and the Company (incorporated by reference as an exhibit to the</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Company’s Current Report on Form 8-K, event date November 14, 2014).</w:t>
        </w:r>
      </w:hyperlink>
    </w:p>
    <w:p>
      <w:pPr>
        <w:spacing w:after="0" w:line="10" w:lineRule="exact"/>
        <w:rPr>
          <w:rFonts w:ascii="Times New Roman" w:cs="Times New Roman" w:eastAsia="Times New Roman" w:hAnsi="Times New Roman"/>
          <w:sz w:val="18"/>
          <w:szCs w:val="18"/>
          <w:u w:val="single" w:color="auto"/>
          <w:color w:val="0000FF"/>
        </w:rPr>
      </w:pPr>
    </w:p>
    <w:p>
      <w:pPr>
        <w:ind w:left="1120" w:right="60" w:hanging="358"/>
        <w:spacing w:after="0" w:line="231" w:lineRule="auto"/>
        <w:tabs>
          <w:tab w:leader="none" w:pos="1100" w:val="left"/>
        </w:tabs>
        <w:rPr>
          <w:sz w:val="20"/>
          <w:szCs w:val="20"/>
          <w:color w:val="auto"/>
        </w:rPr>
      </w:pPr>
      <w:r>
        <w:rPr>
          <w:rFonts w:ascii="Times New Roman" w:cs="Times New Roman" w:eastAsia="Times New Roman" w:hAnsi="Times New Roman"/>
          <w:sz w:val="18"/>
          <w:szCs w:val="18"/>
          <w:color w:val="auto"/>
        </w:rPr>
        <w:t>3.1</w:t>
        <w:tab/>
        <w:t>Articles of Amendment and Restatement of the Company (incorporated by reference as an exhibit to the Company's Registration Statement on Form S-11, as amended (No. 33-68964)) (Filed in paper - hyperlink is not required pursuant to Rule 105 of Regulation S-T).</w:t>
      </w:r>
    </w:p>
    <w:p>
      <w:pPr>
        <w:spacing w:after="0" w:line="9" w:lineRule="exact"/>
        <w:rPr>
          <w:rFonts w:ascii="Times New Roman" w:cs="Times New Roman" w:eastAsia="Times New Roman" w:hAnsi="Times New Roman"/>
          <w:sz w:val="18"/>
          <w:szCs w:val="18"/>
          <w:u w:val="single" w:color="auto"/>
          <w:color w:val="0000FF"/>
        </w:rPr>
      </w:pPr>
    </w:p>
    <w:p>
      <w:pPr>
        <w:ind w:left="1120" w:right="260" w:hanging="490"/>
        <w:spacing w:after="0" w:line="231" w:lineRule="auto"/>
        <w:tabs>
          <w:tab w:leader="none" w:pos="1100" w:val="left"/>
        </w:tabs>
        <w:rPr>
          <w:sz w:val="20"/>
          <w:szCs w:val="20"/>
          <w:color w:val="auto"/>
        </w:rPr>
      </w:pPr>
      <w:r>
        <w:rPr>
          <w:rFonts w:ascii="Times New Roman" w:cs="Times New Roman" w:eastAsia="Times New Roman" w:hAnsi="Times New Roman"/>
          <w:sz w:val="18"/>
          <w:szCs w:val="18"/>
          <w:color w:val="auto"/>
        </w:rPr>
        <w:t>3.1.1</w:t>
        <w:tab/>
        <w:t>Articles Supplementary of the Company (incorporated by reference as an exhibit to the Company's Current Report on Form 8-K, event date May 30, 1995) (Filed in paper - hyperlink is not required pursuant to Rule 105 of Regulation S-T).</w:t>
      </w:r>
    </w:p>
    <w:p>
      <w:pPr>
        <w:spacing w:after="0" w:line="9" w:lineRule="exact"/>
        <w:rPr>
          <w:rFonts w:ascii="Times New Roman" w:cs="Times New Roman" w:eastAsia="Times New Roman" w:hAnsi="Times New Roman"/>
          <w:sz w:val="18"/>
          <w:szCs w:val="18"/>
          <w:u w:val="single" w:color="auto"/>
          <w:color w:val="0000FF"/>
        </w:rPr>
      </w:pPr>
    </w:p>
    <w:p>
      <w:pPr>
        <w:ind w:left="1120" w:right="22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u w:val="single" w:color="auto"/>
          <w:color w:val="0000FF"/>
        </w:rPr>
        <w:tab/>
      </w:r>
      <w:hyperlink r:id="rId67">
        <w:r>
          <w:rPr>
            <w:rFonts w:ascii="Times New Roman" w:cs="Times New Roman" w:eastAsia="Times New Roman" w:hAnsi="Times New Roman"/>
            <w:sz w:val="18"/>
            <w:szCs w:val="18"/>
            <w:u w:val="single" w:color="auto"/>
            <w:color w:val="0000FF"/>
          </w:rPr>
          <w:t>Articles Supplementary of the Company (with respect to the first paragraph) (incorporated by reference as an exhibit to the Company's 1998</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Form 10-K).</w:t>
        </w:r>
      </w:hyperlink>
    </w:p>
    <w:p>
      <w:pPr>
        <w:spacing w:after="0" w:line="9" w:lineRule="exact"/>
        <w:rPr>
          <w:rFonts w:ascii="Times New Roman" w:cs="Times New Roman" w:eastAsia="Times New Roman" w:hAnsi="Times New Roman"/>
          <w:sz w:val="18"/>
          <w:szCs w:val="18"/>
          <w:u w:val="single" w:color="auto"/>
          <w:color w:val="0000FF"/>
        </w:rPr>
      </w:pPr>
    </w:p>
    <w:p>
      <w:pPr>
        <w:ind w:left="1120" w:right="14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3.1.3</w:t>
        </w:r>
      </w:hyperlink>
      <w:r>
        <w:rPr>
          <w:rFonts w:ascii="Times New Roman" w:cs="Times New Roman" w:eastAsia="Times New Roman" w:hAnsi="Times New Roman"/>
          <w:sz w:val="18"/>
          <w:szCs w:val="18"/>
          <w:u w:val="single" w:color="auto"/>
          <w:color w:val="0000FF"/>
        </w:rPr>
        <w:tab/>
      </w:r>
      <w:hyperlink r:id="rId68">
        <w:r>
          <w:rPr>
            <w:rFonts w:ascii="Times New Roman" w:cs="Times New Roman" w:eastAsia="Times New Roman" w:hAnsi="Times New Roman"/>
            <w:sz w:val="18"/>
            <w:szCs w:val="18"/>
            <w:u w:val="single" w:color="auto"/>
            <w:color w:val="0000FF"/>
          </w:rPr>
          <w:t>Articles Supplementary of the Company (Series D Preferred Stock) (incorporated by reference as an exhibit to the Company's Current Report</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on Form 8-K, event date July 26, 2002).</w:t>
        </w:r>
      </w:hyperlink>
    </w:p>
    <w:p>
      <w:pPr>
        <w:spacing w:after="0" w:line="9" w:lineRule="exact"/>
        <w:rPr>
          <w:rFonts w:ascii="Times New Roman" w:cs="Times New Roman" w:eastAsia="Times New Roman" w:hAnsi="Times New Roman"/>
          <w:sz w:val="18"/>
          <w:szCs w:val="18"/>
          <w:u w:val="single" w:color="auto"/>
          <w:color w:val="0000FF"/>
        </w:rPr>
      </w:pPr>
    </w:p>
    <w:p>
      <w:pPr>
        <w:ind w:left="1120" w:right="32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3.1.4</w:t>
        </w:r>
      </w:hyperlink>
      <w:r>
        <w:rPr>
          <w:rFonts w:ascii="Times New Roman" w:cs="Times New Roman" w:eastAsia="Times New Roman" w:hAnsi="Times New Roman"/>
          <w:sz w:val="18"/>
          <w:szCs w:val="18"/>
          <w:u w:val="single" w:color="auto"/>
          <w:color w:val="0000FF"/>
        </w:rPr>
        <w:tab/>
      </w:r>
      <w:hyperlink r:id="rId69">
        <w:r>
          <w:rPr>
            <w:rFonts w:ascii="Times New Roman" w:cs="Times New Roman" w:eastAsia="Times New Roman" w:hAnsi="Times New Roman"/>
            <w:sz w:val="18"/>
            <w:szCs w:val="18"/>
            <w:u w:val="single" w:color="auto"/>
            <w:color w:val="0000FF"/>
          </w:rPr>
          <w:t>Articles Supplementary of the Company (incorporated by reference as an exhibit to the Company's Registration Statement on Form S-3, as</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amended (No. 333-88718)).</w:t>
        </w:r>
      </w:hyperlink>
    </w:p>
    <w:p>
      <w:pPr>
        <w:spacing w:after="0" w:line="9" w:lineRule="exact"/>
        <w:rPr>
          <w:rFonts w:ascii="Times New Roman" w:cs="Times New Roman" w:eastAsia="Times New Roman" w:hAnsi="Times New Roman"/>
          <w:sz w:val="18"/>
          <w:szCs w:val="18"/>
          <w:u w:val="single" w:color="auto"/>
          <w:color w:val="0000FF"/>
        </w:rPr>
      </w:pPr>
    </w:p>
    <w:p>
      <w:pPr>
        <w:ind w:left="1120" w:right="12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3.1.5</w:t>
        </w:r>
      </w:hyperlink>
      <w:r>
        <w:rPr>
          <w:rFonts w:ascii="Times New Roman" w:cs="Times New Roman" w:eastAsia="Times New Roman" w:hAnsi="Times New Roman"/>
          <w:sz w:val="18"/>
          <w:szCs w:val="18"/>
          <w:u w:val="single" w:color="auto"/>
          <w:color w:val="0000FF"/>
        </w:rPr>
        <w:tab/>
      </w:r>
      <w:hyperlink r:id="rId70">
        <w:r>
          <w:rPr>
            <w:rFonts w:ascii="Times New Roman" w:cs="Times New Roman" w:eastAsia="Times New Roman" w:hAnsi="Times New Roman"/>
            <w:sz w:val="18"/>
            <w:szCs w:val="18"/>
            <w:u w:val="single" w:color="auto"/>
            <w:color w:val="0000FF"/>
          </w:rPr>
          <w:t>Articles of Amendment of the Company (declassification of Board) (incorporated by reference as an exhibit to the Company's 2008 Form 10-</w:t>
        </w:r>
      </w:hyperlink>
      <w:hyperlink r:id="rId70">
        <w:r>
          <w:rPr>
            <w:rFonts w:ascii="Times New Roman" w:cs="Times New Roman" w:eastAsia="Times New Roman" w:hAnsi="Times New Roman"/>
            <w:sz w:val="18"/>
            <w:szCs w:val="18"/>
            <w:u w:val="single" w:color="auto"/>
            <w:color w:val="0000FF"/>
          </w:rPr>
          <w:t>K).</w:t>
        </w:r>
      </w:hyperlink>
    </w:p>
    <w:p>
      <w:pPr>
        <w:spacing w:after="0" w:line="9" w:lineRule="exact"/>
        <w:rPr>
          <w:rFonts w:ascii="Times New Roman" w:cs="Times New Roman" w:eastAsia="Times New Roman" w:hAnsi="Times New Roman"/>
          <w:sz w:val="18"/>
          <w:szCs w:val="18"/>
          <w:u w:val="single" w:color="auto"/>
          <w:color w:val="0000FF"/>
        </w:rPr>
      </w:pPr>
    </w:p>
    <w:p>
      <w:pPr>
        <w:ind w:left="1120" w:right="26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3.1.6</w:t>
        </w:r>
      </w:hyperlink>
      <w:r>
        <w:rPr>
          <w:rFonts w:ascii="Times New Roman" w:cs="Times New Roman" w:eastAsia="Times New Roman" w:hAnsi="Times New Roman"/>
          <w:sz w:val="18"/>
          <w:szCs w:val="18"/>
          <w:u w:val="single" w:color="auto"/>
          <w:color w:val="0000FF"/>
        </w:rPr>
        <w:tab/>
      </w:r>
      <w:hyperlink r:id="rId71">
        <w:r>
          <w:rPr>
            <w:rFonts w:ascii="Times New Roman" w:cs="Times New Roman" w:eastAsia="Times New Roman" w:hAnsi="Times New Roman"/>
            <w:sz w:val="18"/>
            <w:szCs w:val="18"/>
            <w:u w:val="single" w:color="auto"/>
            <w:color w:val="0000FF"/>
          </w:rPr>
          <w:t>Articles Supplementary of the Company (incorporated by reference as an exhibit to the Company's Current Report on Form 8-K, event date</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February 5, 2009).</w:t>
        </w:r>
      </w:hyperlink>
    </w:p>
    <w:p>
      <w:pPr>
        <w:spacing w:after="0" w:line="9" w:lineRule="exact"/>
        <w:rPr>
          <w:rFonts w:ascii="Times New Roman" w:cs="Times New Roman" w:eastAsia="Times New Roman" w:hAnsi="Times New Roman"/>
          <w:sz w:val="18"/>
          <w:szCs w:val="18"/>
          <w:u w:val="single" w:color="auto"/>
          <w:color w:val="0000FF"/>
        </w:rPr>
      </w:pPr>
    </w:p>
    <w:p>
      <w:pPr>
        <w:ind w:left="1120" w:right="34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3.1.7</w:t>
        </w:r>
      </w:hyperlink>
      <w:r>
        <w:rPr>
          <w:rFonts w:ascii="Times New Roman" w:cs="Times New Roman" w:eastAsia="Times New Roman" w:hAnsi="Times New Roman"/>
          <w:sz w:val="18"/>
          <w:szCs w:val="18"/>
          <w:u w:val="single" w:color="auto"/>
          <w:color w:val="0000FF"/>
        </w:rPr>
        <w:tab/>
      </w:r>
      <w:hyperlink r:id="rId72">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Quarterly</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Report on Form 10-Q for the quarter ended June 30, 2009).</w:t>
        </w:r>
      </w:hyperlink>
    </w:p>
    <w:p>
      <w:pPr>
        <w:spacing w:after="0" w:line="9" w:lineRule="exact"/>
        <w:rPr>
          <w:rFonts w:ascii="Times New Roman" w:cs="Times New Roman" w:eastAsia="Times New Roman" w:hAnsi="Times New Roman"/>
          <w:sz w:val="18"/>
          <w:szCs w:val="18"/>
          <w:u w:val="single" w:color="auto"/>
          <w:color w:val="0000FF"/>
        </w:rPr>
      </w:pPr>
    </w:p>
    <w:p>
      <w:pPr>
        <w:jc w:val="center"/>
        <w:ind w:left="600" w:right="340"/>
        <w:spacing w:after="0" w:line="266" w:lineRule="auto"/>
        <w:rPr>
          <w:rFonts w:ascii="Times New Roman" w:cs="Times New Roman" w:eastAsia="Times New Roman" w:hAnsi="Times New Roman"/>
          <w:sz w:val="16"/>
          <w:szCs w:val="16"/>
          <w:u w:val="single" w:color="auto"/>
          <w:color w:val="0000FF"/>
        </w:rPr>
      </w:pPr>
      <w:hyperlink r:id="rId73">
        <w:r>
          <w:rPr>
            <w:rFonts w:ascii="Times New Roman" w:cs="Times New Roman" w:eastAsia="Times New Roman" w:hAnsi="Times New Roman"/>
            <w:sz w:val="16"/>
            <w:szCs w:val="16"/>
            <w:u w:val="single" w:color="auto"/>
            <w:color w:val="0000FF"/>
          </w:rPr>
          <w:t>3.1.8  Articles of Amendment of the Company (to eliminate the supermajority vote requirement to amend the charter and to clarify a reference in</w:t>
        </w:r>
      </w:hyperlink>
      <w:r>
        <w:rPr>
          <w:rFonts w:ascii="Times New Roman" w:cs="Times New Roman" w:eastAsia="Times New Roman" w:hAnsi="Times New Roman"/>
          <w:sz w:val="16"/>
          <w:szCs w:val="16"/>
          <w:u w:val="single" w:color="auto"/>
          <w:color w:val="0000FF"/>
        </w:rPr>
        <w:t xml:space="preserve"> </w:t>
      </w:r>
      <w:hyperlink r:id="rId73">
        <w:r>
          <w:rPr>
            <w:rFonts w:ascii="Times New Roman" w:cs="Times New Roman" w:eastAsia="Times New Roman" w:hAnsi="Times New Roman"/>
            <w:sz w:val="16"/>
            <w:szCs w:val="16"/>
            <w:u w:val="single" w:color="auto"/>
            <w:color w:val="0000FF"/>
          </w:rPr>
          <w:t>Article NINTH) (incorporated by reference as an exhibit to the Company’s Current Report on Form 8-K, event date May 30, 2014).</w:t>
        </w:r>
      </w:hyperlink>
    </w:p>
    <w:p>
      <w:pPr>
        <w:ind w:left="1120" w:right="16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3.1.9</w:t>
        </w:r>
      </w:hyperlink>
      <w:r>
        <w:rPr>
          <w:rFonts w:ascii="Times New Roman" w:cs="Times New Roman" w:eastAsia="Times New Roman" w:hAnsi="Times New Roman"/>
          <w:sz w:val="18"/>
          <w:szCs w:val="18"/>
          <w:u w:val="single" w:color="auto"/>
          <w:color w:val="0000FF"/>
        </w:rPr>
        <w:tab/>
      </w:r>
      <w:hyperlink r:id="rId74">
        <w:r>
          <w:rPr>
            <w:rFonts w:ascii="Times New Roman" w:cs="Times New Roman" w:eastAsia="Times New Roman" w:hAnsi="Times New Roman"/>
            <w:sz w:val="18"/>
            <w:szCs w:val="18"/>
            <w:u w:val="single" w:color="auto"/>
            <w:color w:val="0000FF"/>
          </w:rPr>
          <w:t>Articles Supplementary of the Company (election to be subject to Section 3-803 of the Maryland General Corporation Law) (incorporated by</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reference as an exhibit to the Company’s Current Report on Form 8-K, event date March 17,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140" w:hanging="57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3.1.10</w:t>
        </w:r>
      </w:hyperlink>
      <w:r>
        <w:rPr>
          <w:rFonts w:ascii="Times New Roman" w:cs="Times New Roman" w:eastAsia="Times New Roman" w:hAnsi="Times New Roman"/>
          <w:sz w:val="18"/>
          <w:szCs w:val="18"/>
          <w:u w:val="single" w:color="auto"/>
          <w:color w:val="0000FF"/>
        </w:rPr>
        <w:tab/>
      </w:r>
      <w:hyperlink r:id="rId75">
        <w:r>
          <w:rPr>
            <w:rFonts w:ascii="Times New Roman" w:cs="Times New Roman" w:eastAsia="Times New Roman" w:hAnsi="Times New Roman"/>
            <w:sz w:val="18"/>
            <w:szCs w:val="18"/>
            <w:u w:val="single" w:color="auto"/>
            <w:color w:val="0000FF"/>
          </w:rPr>
          <w:t>Articles Supplementary of the Company (Series E Preferred Stock) (incorporated by reference as an exhibit to the Company’s Current Report</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on Form 8-K, event date March 18,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440" w:hanging="571"/>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3.1.11</w:t>
        </w:r>
      </w:hyperlink>
      <w:r>
        <w:rPr>
          <w:rFonts w:ascii="Times New Roman" w:cs="Times New Roman" w:eastAsia="Times New Roman" w:hAnsi="Times New Roman"/>
          <w:sz w:val="18"/>
          <w:szCs w:val="18"/>
          <w:u w:val="single" w:color="auto"/>
          <w:color w:val="0000FF"/>
        </w:rPr>
        <w:tab/>
      </w:r>
      <w:hyperlink r:id="rId76">
        <w:r>
          <w:rPr>
            <w:rFonts w:ascii="Times New Roman" w:cs="Times New Roman" w:eastAsia="Times New Roman" w:hAnsi="Times New Roman"/>
            <w:sz w:val="18"/>
            <w:szCs w:val="18"/>
            <w:u w:val="single" w:color="auto"/>
            <w:color w:val="0000FF"/>
          </w:rPr>
          <w:t>Articles Supplementary of the Company (reclassification of Series E Preferred Stock to Preferred Stock) (incorporated by reference as an</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exhibit to the Company’s Current Report on Form 8-K, event date May 7,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700" w:hanging="57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3.1.12</w:t>
        </w:r>
      </w:hyperlink>
      <w:r>
        <w:rPr>
          <w:rFonts w:ascii="Times New Roman" w:cs="Times New Roman" w:eastAsia="Times New Roman" w:hAnsi="Times New Roman"/>
          <w:sz w:val="18"/>
          <w:szCs w:val="18"/>
          <w:u w:val="single" w:color="auto"/>
          <w:color w:val="0000FF"/>
        </w:rPr>
        <w:tab/>
      </w:r>
      <w:hyperlink r:id="rId77">
        <w:r>
          <w:rPr>
            <w:rFonts w:ascii="Times New Roman" w:cs="Times New Roman" w:eastAsia="Times New Roman" w:hAnsi="Times New Roman"/>
            <w:sz w:val="18"/>
            <w:szCs w:val="18"/>
            <w:u w:val="single" w:color="auto"/>
            <w:color w:val="0000FF"/>
          </w:rPr>
          <w:t>Articles Supplementary of the Company (repeal of election to be subject to Section 3-803 of the Maryland General Corporation Law)</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(incorporated by reference as an exhibit to the Company’s Current Report on Form 8-K, event date May 28,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360" w:hanging="578"/>
        <w:spacing w:after="0" w:line="266" w:lineRule="auto"/>
        <w:tabs>
          <w:tab w:leader="none" w:pos="1100" w:val="left"/>
        </w:tabs>
        <w:rPr>
          <w:rFonts w:ascii="Times New Roman" w:cs="Times New Roman" w:eastAsia="Times New Roman" w:hAnsi="Times New Roman"/>
          <w:sz w:val="16"/>
          <w:szCs w:val="16"/>
          <w:u w:val="single" w:color="auto"/>
          <w:color w:val="0000FF"/>
        </w:rPr>
      </w:pPr>
      <w:hyperlink r:id="rId78">
        <w:r>
          <w:rPr>
            <w:rFonts w:ascii="Times New Roman" w:cs="Times New Roman" w:eastAsia="Times New Roman" w:hAnsi="Times New Roman"/>
            <w:sz w:val="18"/>
            <w:szCs w:val="18"/>
            <w:u w:val="single" w:color="auto"/>
            <w:color w:val="0000FF"/>
          </w:rPr>
          <w:t>3.1.13</w:t>
        </w:r>
      </w:hyperlink>
      <w:r>
        <w:rPr>
          <w:rFonts w:ascii="Times New Roman" w:cs="Times New Roman" w:eastAsia="Times New Roman" w:hAnsi="Times New Roman"/>
          <w:sz w:val="18"/>
          <w:szCs w:val="18"/>
          <w:u w:val="single" w:color="auto"/>
          <w:color w:val="0000FF"/>
        </w:rPr>
        <w:tab/>
      </w:r>
      <w:hyperlink r:id="rId78">
        <w:r>
          <w:rPr>
            <w:rFonts w:ascii="Times New Roman" w:cs="Times New Roman" w:eastAsia="Times New Roman" w:hAnsi="Times New Roman"/>
            <w:sz w:val="16"/>
            <w:szCs w:val="16"/>
            <w:u w:val="single" w:color="auto"/>
            <w:color w:val="0000FF"/>
          </w:rPr>
          <w:t>Articles Supplementary of the Company (opting out of provisions of Subtitle 8 of Title 3 of the Maryland General Corporate Law (MUTA</w:t>
        </w:r>
      </w:hyperlink>
      <w:r>
        <w:rPr>
          <w:rFonts w:ascii="Times New Roman" w:cs="Times New Roman" w:eastAsia="Times New Roman" w:hAnsi="Times New Roman"/>
          <w:sz w:val="16"/>
          <w:szCs w:val="16"/>
          <w:u w:val="single" w:color="auto"/>
          <w:color w:val="0000FF"/>
        </w:rPr>
        <w:t xml:space="preserve"> </w:t>
      </w:r>
      <w:hyperlink r:id="rId78">
        <w:r>
          <w:rPr>
            <w:rFonts w:ascii="Times New Roman" w:cs="Times New Roman" w:eastAsia="Times New Roman" w:hAnsi="Times New Roman"/>
            <w:sz w:val="16"/>
            <w:szCs w:val="16"/>
            <w:u w:val="single" w:color="auto"/>
            <w:color w:val="0000FF"/>
          </w:rPr>
          <w:t>provisions)) (incorporated by reference as an exhibit to the Company’s Current Report on Form 8-K, event date April 24, 2019).</w:t>
        </w:r>
      </w:hyperlink>
    </w:p>
    <w:p>
      <w:pPr>
        <w:ind w:left="1120" w:right="460" w:hanging="57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3.1.14</w:t>
        </w:r>
      </w:hyperlink>
      <w:r>
        <w:rPr>
          <w:rFonts w:ascii="Times New Roman" w:cs="Times New Roman" w:eastAsia="Times New Roman" w:hAnsi="Times New Roman"/>
          <w:sz w:val="18"/>
          <w:szCs w:val="18"/>
          <w:u w:val="single" w:color="auto"/>
          <w:color w:val="0000FF"/>
        </w:rPr>
        <w:tab/>
      </w:r>
      <w:hyperlink r:id="rId79">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Report on Form 8-K, event date May 28, 2021).</w:t>
        </w:r>
      </w:hyperlink>
    </w:p>
    <w:p>
      <w:pPr>
        <w:spacing w:after="0" w:line="9" w:lineRule="exact"/>
        <w:rPr>
          <w:rFonts w:ascii="Times New Roman" w:cs="Times New Roman" w:eastAsia="Times New Roman" w:hAnsi="Times New Roman"/>
          <w:sz w:val="18"/>
          <w:szCs w:val="18"/>
          <w:u w:val="single" w:color="auto"/>
          <w:color w:val="0000FF"/>
        </w:rPr>
      </w:pPr>
    </w:p>
    <w:p>
      <w:pPr>
        <w:ind w:left="1120" w:right="60" w:hanging="35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80">
        <w:r>
          <w:rPr>
            <w:rFonts w:ascii="Times New Roman" w:cs="Times New Roman" w:eastAsia="Times New Roman" w:hAnsi="Times New Roman"/>
            <w:sz w:val="18"/>
            <w:szCs w:val="18"/>
            <w:u w:val="single" w:color="auto"/>
            <w:color w:val="0000FF"/>
          </w:rPr>
          <w:t>Amended and Restated Bylaws of the Company (incorporated by reference as an exhibit to the Company's Current Report on Form 8-K, event</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date January 26, 2023).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6"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11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8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8"/>
        </w:trPr>
        <w:tc>
          <w:tcPr>
            <w:tcW w:w="1000" w:type="dxa"/>
            <w:vAlign w:val="bottom"/>
            <w:tcBorders>
              <w:top w:val="single" w:sz="8" w:color="0000FF"/>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84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8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80" w:type="dxa"/>
            <w:vAlign w:val="bottom"/>
            <w:gridSpan w:val="4"/>
          </w:tcPr>
          <w:p>
            <w:pPr>
              <w:jc w:val="right"/>
              <w:spacing w:after="0" w:line="195"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40" w:type="dxa"/>
            <w:vAlign w:val="bottom"/>
            <w:gridSpan w:val="7"/>
          </w:tcPr>
          <w:p>
            <w:pPr>
              <w:spacing w:after="0" w:line="195" w:lineRule="exact"/>
              <w:rPr>
                <w:rFonts w:ascii="Times New Roman" w:cs="Times New Roman" w:eastAsia="Times New Roman" w:hAnsi="Times New Roman"/>
                <w:sz w:val="18"/>
                <w:szCs w:val="18"/>
                <w:color w:val="0000FF"/>
                <w:w w:val="97"/>
              </w:rPr>
            </w:pPr>
            <w:hyperlink r:id="rId82">
              <w:r>
                <w:rPr>
                  <w:rFonts w:ascii="Times New Roman" w:cs="Times New Roman" w:eastAsia="Times New Roman" w:hAnsi="Times New Roman"/>
                  <w:sz w:val="18"/>
                  <w:szCs w:val="18"/>
                  <w:color w:val="0000FF"/>
                  <w:w w:val="97"/>
                </w:rPr>
                <w:t>First Amendment to the Macerich Company Employee Stock Purchase Plan (incorporated by reference as an exhibit to the Company's</w:t>
              </w:r>
            </w:hyperlink>
          </w:p>
        </w:tc>
        <w:tc>
          <w:tcPr>
            <w:tcW w:w="0" w:type="dxa"/>
            <w:vAlign w:val="bottom"/>
          </w:tcPr>
          <w:p>
            <w:pPr>
              <w:spacing w:after="0"/>
              <w:rPr>
                <w:sz w:val="1"/>
                <w:szCs w:val="1"/>
                <w:color w:val="auto"/>
              </w:rPr>
            </w:pPr>
          </w:p>
        </w:tc>
      </w:tr>
      <w:tr>
        <w:trPr>
          <w:trHeight w:val="151"/>
        </w:trPr>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2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Registration Statement on Form S-8 filed with the Securities and Exchange Commission on May 30, 2024).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60" w:type="dxa"/>
            <w:vAlign w:val="bottom"/>
            <w:gridSpan w:val="3"/>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Section 302</w:t>
            </w:r>
          </w:p>
        </w:tc>
        <w:tc>
          <w:tcPr>
            <w:tcW w:w="6700" w:type="dxa"/>
            <w:vAlign w:val="bottom"/>
            <w:tcBorders>
              <w:top w:val="single" w:sz="8" w:color="0000FF"/>
            </w:tcBorders>
            <w:gridSpan w:val="4"/>
          </w:tcPr>
          <w:p>
            <w:pPr>
              <w:ind w:left="40"/>
              <w:spacing w:after="0"/>
              <w:rPr>
                <w:sz w:val="20"/>
                <w:szCs w:val="20"/>
                <w:color w:val="auto"/>
              </w:rPr>
            </w:pPr>
            <w:r>
              <w:rPr>
                <w:rFonts w:ascii="Times New Roman" w:cs="Times New Roman" w:eastAsia="Times New Roman" w:hAnsi="Times New Roman"/>
                <w:sz w:val="18"/>
                <w:szCs w:val="18"/>
                <w:color w:val="0000FF"/>
              </w:rPr>
              <w:t>Certification of Jackson Hsieh, Chief Executive Officer</w:t>
            </w: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 w:type="dxa"/>
            <w:vAlign w:val="bottom"/>
            <w:gridSpan w:val="3"/>
          </w:tcPr>
          <w:p>
            <w:pPr>
              <w:spacing w:after="0"/>
              <w:rPr>
                <w:sz w:val="17"/>
                <w:szCs w:val="17"/>
                <w:color w:val="auto"/>
              </w:rPr>
            </w:pPr>
          </w:p>
        </w:tc>
        <w:tc>
          <w:tcPr>
            <w:tcW w:w="3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5"/>
              </w:rPr>
              <w:t>Section 302</w:t>
            </w:r>
          </w:p>
        </w:tc>
        <w:tc>
          <w:tcPr>
            <w:tcW w:w="4060" w:type="dxa"/>
            <w:vAlign w:val="bottom"/>
            <w:tcBorders>
              <w:bottom w:val="single" w:sz="8" w:color="0000FF"/>
            </w:tcBorders>
            <w:gridSpan w:val="3"/>
          </w:tcPr>
          <w:p>
            <w:pPr>
              <w:ind w:left="40"/>
              <w:spacing w:after="0" w:line="204" w:lineRule="exact"/>
              <w:rPr>
                <w:sz w:val="20"/>
                <w:szCs w:val="20"/>
                <w:color w:val="auto"/>
              </w:rPr>
            </w:pPr>
            <w:r>
              <w:rPr>
                <w:rFonts w:ascii="Times New Roman" w:cs="Times New Roman" w:eastAsia="Times New Roman" w:hAnsi="Times New Roman"/>
                <w:sz w:val="18"/>
                <w:szCs w:val="18"/>
                <w:color w:val="0000FF"/>
                <w:w w:val="96"/>
              </w:rPr>
              <w:t>Certification of Scott Kingsmore, Chief Financial Officer</w:t>
            </w:r>
          </w:p>
        </w:tc>
        <w:tc>
          <w:tcPr>
            <w:tcW w:w="4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8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5"/>
              </w:rPr>
              <w:t>Section 906</w:t>
            </w:r>
          </w:p>
        </w:tc>
        <w:tc>
          <w:tcPr>
            <w:tcW w:w="3760" w:type="dxa"/>
            <w:vAlign w:val="bottom"/>
            <w:tcBorders>
              <w:bottom w:val="single" w:sz="8" w:color="0000FF"/>
            </w:tcBorders>
          </w:tcPr>
          <w:p>
            <w:pPr>
              <w:ind w:left="40"/>
              <w:spacing w:after="0" w:line="204" w:lineRule="exact"/>
              <w:rPr>
                <w:sz w:val="20"/>
                <w:szCs w:val="20"/>
                <w:color w:val="auto"/>
              </w:rPr>
            </w:pPr>
            <w:r>
              <w:rPr>
                <w:rFonts w:ascii="Times New Roman" w:cs="Times New Roman" w:eastAsia="Times New Roman" w:hAnsi="Times New Roman"/>
                <w:sz w:val="18"/>
                <w:szCs w:val="18"/>
                <w:color w:val="0000FF"/>
                <w:w w:val="96"/>
              </w:rPr>
              <w:t>Certifications of Jackson Hsieh and Scott Kingsmore</w:t>
            </w:r>
          </w:p>
        </w:tc>
        <w:tc>
          <w:tcPr>
            <w:tcW w:w="48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101.SCH</w:t>
            </w: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4"/>
        </w:trPr>
        <w:tc>
          <w:tcPr>
            <w:tcW w:w="11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101.CAL</w:t>
            </w: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4"/>
        </w:trPr>
        <w:tc>
          <w:tcPr>
            <w:tcW w:w="11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101.LAB</w:t>
            </w: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4"/>
        </w:trPr>
        <w:tc>
          <w:tcPr>
            <w:tcW w:w="11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101.PRE</w:t>
            </w: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8"/>
        </w:trPr>
        <w:tc>
          <w:tcPr>
            <w:tcW w:w="11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101.DEF</w:t>
            </w: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firstLine="712"/>
        <w:spacing w:after="0" w:line="607" w:lineRule="auto"/>
        <w:tabs>
          <w:tab w:leader="none" w:pos="11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Represents a management contract, or compensatory plan, contract or arrangement required to be filed pursuant to Regulation S-K.</w:t>
      </w:r>
    </w:p>
    <w:p>
      <w:pPr>
        <w:spacing w:after="0" w:line="1"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4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320" w:top="110" w:right="6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37" w:lineRule="exact"/>
        <w:rPr>
          <w:sz w:val="20"/>
          <w:szCs w:val="20"/>
          <w:color w:val="auto"/>
        </w:rPr>
      </w:pPr>
    </w:p>
    <w:p>
      <w:pPr>
        <w:ind w:right="460" w:firstLine="43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474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1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SCOTT W. KINGSMORE</w:t>
            </w:r>
          </w:p>
        </w:tc>
      </w:tr>
      <w:tr>
        <w:trPr>
          <w:trHeight w:val="210"/>
        </w:trPr>
        <w:tc>
          <w:tcPr>
            <w:tcW w:w="516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Scott W. Kingsmore</w:t>
            </w:r>
          </w:p>
        </w:tc>
      </w:tr>
      <w:tr>
        <w:trPr>
          <w:trHeight w:val="224"/>
        </w:trPr>
        <w:tc>
          <w:tcPr>
            <w:tcW w:w="516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Senior Executive Vice President, Treasurer and Chief Financial Officer</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20"/>
          </w:cols>
          <w:pgMar w:left="320" w:top="118" w:right="6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Jackson Hsieh, certify that:</w:t>
      </w:r>
    </w:p>
    <w:p>
      <w:pPr>
        <w:spacing w:after="0" w:line="148" w:lineRule="exact"/>
        <w:rPr>
          <w:sz w:val="20"/>
          <w:szCs w:val="20"/>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June 30, 2024 of The Macerich Company;</w:t>
      </w:r>
    </w:p>
    <w:p>
      <w:pPr>
        <w:spacing w:after="0" w:line="148"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360" w:hanging="319"/>
        <w:spacing w:after="0" w:line="268"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960" w:right="340" w:hanging="323"/>
        <w:spacing w:after="0" w:line="256" w:lineRule="auto"/>
        <w:tabs>
          <w:tab w:leader="none" w:pos="9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960" w:right="40" w:hanging="323"/>
        <w:spacing w:after="0" w:line="256" w:lineRule="auto"/>
        <w:tabs>
          <w:tab w:leader="none" w:pos="9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jc w:val="both"/>
        <w:ind w:left="960" w:right="800" w:hanging="323"/>
        <w:spacing w:after="0" w:line="332" w:lineRule="auto"/>
        <w:tabs>
          <w:tab w:leader="none" w:pos="957"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960" w:right="80" w:hanging="323"/>
        <w:spacing w:after="0" w:line="256" w:lineRule="auto"/>
        <w:tabs>
          <w:tab w:leader="none" w:pos="9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8"/>
          <w:szCs w:val="18"/>
          <w:color w:val="auto"/>
        </w:rPr>
      </w:pPr>
    </w:p>
    <w:p>
      <w:pPr>
        <w:ind w:left="960" w:right="240" w:hanging="323"/>
        <w:spacing w:after="0" w:line="268" w:lineRule="auto"/>
        <w:tabs>
          <w:tab w:leader="none" w:pos="9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8"/>
          <w:szCs w:val="18"/>
          <w:color w:val="auto"/>
        </w:rPr>
      </w:pPr>
    </w:p>
    <w:p>
      <w:pPr>
        <w:ind w:left="960" w:right="220" w:hanging="323"/>
        <w:spacing w:after="0" w:line="267" w:lineRule="auto"/>
        <w:tabs>
          <w:tab w:leader="none" w:pos="9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6060"/>
        <w:spacing w:after="0"/>
        <w:rPr>
          <w:sz w:val="20"/>
          <w:szCs w:val="20"/>
          <w:color w:val="auto"/>
        </w:rPr>
      </w:pPr>
      <w:r>
        <w:rPr>
          <w:rFonts w:ascii="Times New Roman" w:cs="Times New Roman" w:eastAsia="Times New Roman" w:hAnsi="Times New Roman"/>
          <w:sz w:val="18"/>
          <w:szCs w:val="18"/>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13970</wp:posOffset>
            </wp:positionV>
            <wp:extent cx="28155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2815590" cy="8255"/>
                    </a:xfrm>
                    <a:prstGeom prst="rect">
                      <a:avLst/>
                    </a:prstGeom>
                    <a:noFill/>
                  </pic:spPr>
                </pic:pic>
              </a:graphicData>
            </a:graphic>
          </wp:anchor>
        </w:drawing>
      </w:r>
    </w:p>
    <w:p>
      <w:pPr>
        <w:spacing w:after="0" w:line="8" w:lineRule="exact"/>
        <w:rPr>
          <w:sz w:val="20"/>
          <w:szCs w:val="20"/>
          <w:color w:val="auto"/>
        </w:rPr>
      </w:pPr>
    </w:p>
    <w:p>
      <w:pPr>
        <w:ind w:left="980"/>
        <w:spacing w:after="0"/>
        <w:tabs>
          <w:tab w:leader="none" w:pos="1720" w:val="left"/>
          <w:tab w:leader="none" w:pos="60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6"/>
          <w:szCs w:val="16"/>
          <w:i w:val="1"/>
          <w:iCs w:val="1"/>
          <w:color w:val="auto"/>
        </w:rPr>
        <w:t>Chief Executive Officer</w:t>
      </w:r>
    </w:p>
    <w:p>
      <w:pPr>
        <w:sectPr>
          <w:pgSz w:w="11900" w:h="16838" w:orient="portrait"/>
          <w:cols w:equalWidth="0" w:num="1">
            <w:col w:w="11240"/>
          </w:cols>
          <w:pgMar w:left="320" w:top="96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 Kingsmore, certify that:</w:t>
      </w:r>
    </w:p>
    <w:p>
      <w:pPr>
        <w:spacing w:after="0" w:line="148" w:lineRule="exact"/>
        <w:rPr>
          <w:sz w:val="20"/>
          <w:szCs w:val="20"/>
          <w:color w:val="auto"/>
        </w:rPr>
      </w:pP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June 30, 2024 of The Macerich Company;</w:t>
      </w:r>
    </w:p>
    <w:p>
      <w:pPr>
        <w:spacing w:after="0" w:line="148"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360" w:hanging="319"/>
        <w:spacing w:after="0" w:line="268"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960" w:right="340" w:hanging="323"/>
        <w:spacing w:after="0" w:line="256" w:lineRule="auto"/>
        <w:tabs>
          <w:tab w:leader="none" w:pos="9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960" w:right="40" w:hanging="323"/>
        <w:spacing w:after="0" w:line="256" w:lineRule="auto"/>
        <w:tabs>
          <w:tab w:leader="none" w:pos="9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jc w:val="both"/>
        <w:ind w:left="960" w:right="800" w:hanging="323"/>
        <w:spacing w:after="0" w:line="332" w:lineRule="auto"/>
        <w:tabs>
          <w:tab w:leader="none" w:pos="95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960" w:right="80" w:hanging="323"/>
        <w:spacing w:after="0" w:line="256" w:lineRule="auto"/>
        <w:tabs>
          <w:tab w:leader="none" w:pos="9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8"/>
          <w:szCs w:val="18"/>
          <w:color w:val="auto"/>
        </w:rPr>
      </w:pPr>
    </w:p>
    <w:p>
      <w:pPr>
        <w:ind w:left="960" w:right="240" w:hanging="323"/>
        <w:spacing w:after="0" w:line="268" w:lineRule="auto"/>
        <w:tabs>
          <w:tab w:leader="none" w:pos="9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8"/>
          <w:szCs w:val="18"/>
          <w:color w:val="auto"/>
        </w:rPr>
      </w:pPr>
    </w:p>
    <w:p>
      <w:pPr>
        <w:ind w:left="960" w:right="220" w:hanging="323"/>
        <w:spacing w:after="0" w:line="267" w:lineRule="auto"/>
        <w:tabs>
          <w:tab w:leader="none" w:pos="9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558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13970</wp:posOffset>
            </wp:positionV>
            <wp:extent cx="3192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8" w:lineRule="exact"/>
        <w:rPr>
          <w:sz w:val="20"/>
          <w:szCs w:val="20"/>
          <w:color w:val="auto"/>
        </w:rPr>
      </w:pPr>
    </w:p>
    <w:p>
      <w:pPr>
        <w:ind w:left="980"/>
        <w:spacing w:after="0"/>
        <w:tabs>
          <w:tab w:leader="none" w:pos="1720" w:val="left"/>
          <w:tab w:leader="none" w:pos="5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6"/>
          <w:szCs w:val="16"/>
          <w:i w:val="1"/>
          <w:iCs w:val="1"/>
          <w:color w:val="auto"/>
        </w:rPr>
        <w:t>Senior Executive Vice President and Chief Financial Officer</w:t>
      </w:r>
    </w:p>
    <w:p>
      <w:pPr>
        <w:sectPr>
          <w:pgSz w:w="11900" w:h="16838" w:orient="portrait"/>
          <w:cols w:equalWidth="0" w:num="1">
            <w:col w:w="11240"/>
          </w:cols>
          <w:pgMar w:left="320" w:top="96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8" w:lineRule="exact"/>
        <w:rPr>
          <w:sz w:val="20"/>
          <w:szCs w:val="20"/>
          <w:color w:val="auto"/>
        </w:rPr>
      </w:pPr>
    </w:p>
    <w:p>
      <w:pPr>
        <w:ind w:right="720" w:firstLine="316"/>
        <w:spacing w:after="0" w:line="268" w:lineRule="auto"/>
        <w:rPr>
          <w:sz w:val="20"/>
          <w:szCs w:val="20"/>
          <w:color w:val="auto"/>
        </w:rPr>
      </w:pPr>
      <w:r>
        <w:rPr>
          <w:rFonts w:ascii="Times New Roman" w:cs="Times New Roman" w:eastAsia="Times New Roman" w:hAnsi="Times New Roman"/>
          <w:sz w:val="18"/>
          <w:szCs w:val="18"/>
          <w:color w:val="auto"/>
        </w:rPr>
        <w:t>The undersigned, Jackson Hsieh and Scott W. Kingsmore, the Chief Executive Officer and Chief Financial Officer, respectively, of The Macerich Company (the "Company"), pursuant to 18 U.S.C. §1350, each hereby certifies that, to the best of his knowledge:</w:t>
      </w:r>
    </w:p>
    <w:p>
      <w:pPr>
        <w:spacing w:after="0" w:line="38" w:lineRule="exact"/>
        <w:rPr>
          <w:sz w:val="20"/>
          <w:szCs w:val="20"/>
          <w:color w:val="auto"/>
        </w:rPr>
      </w:pPr>
    </w:p>
    <w:p>
      <w:pPr>
        <w:ind w:left="960" w:right="240" w:hanging="323"/>
        <w:spacing w:after="0" w:line="268"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June 30, 2024 of the Company (the "Report") fully complies with the requirements of Section 13(a) and 15(d) of the Securities Exchange Act of 1934, as amended; and</w:t>
      </w:r>
    </w:p>
    <w:p>
      <w:pPr>
        <w:spacing w:after="0" w:line="50"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13970</wp:posOffset>
            </wp:positionV>
            <wp:extent cx="35680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13970</wp:posOffset>
            </wp:positionV>
            <wp:extent cx="35680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Executive Vice President and Chief Financial Officer</w:t>
      </w:r>
    </w:p>
    <w:sectPr>
      <w:pgSz w:w="11900" w:h="16838" w:orient="portrait"/>
      <w:cols w:equalWidth="0" w:num="1">
        <w:col w:w="11240"/>
      </w:cols>
      <w:pgMar w:left="320" w:top="9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1"/>
    </w:lvl>
    <w:lvl w:ilvl="1">
      <w:lvlJc w:val="left"/>
      <w:lvlText w:val="(%2)"/>
      <w:numFmt w:val="decimal"/>
      <w:start w:val="1"/>
    </w:lvl>
  </w:abstractNum>
  <w:abstractNum w:abstractNumId="4">
    <w:nsid w:val="6B68079A"/>
    <w:multiLevelType w:val="hybridMultilevel"/>
    <w:lvl w:ilvl="0">
      <w:lvlJc w:val="left"/>
      <w:lvlText w:val="%1."/>
      <w:numFmt w:val="decimal"/>
      <w:start w:val="4"/>
    </w:lvl>
    <w:lvl w:ilvl="1">
      <w:lvlJc w:val="left"/>
      <w:lvlText w:val="%2"/>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2"/>
    </w:lvl>
  </w:abstractNum>
  <w:abstractNum w:abstractNumId="11">
    <w:nsid w:val="257130A3"/>
    <w:multiLevelType w:val="hybridMultilevel"/>
    <w:lvl w:ilvl="0">
      <w:lvlJc w:val="left"/>
      <w:lvlText w:val="%1."/>
      <w:numFmt w:val="decimal"/>
      <w:start w:val="14"/>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2"/>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Letter"/>
      <w:start w:val="1"/>
    </w:lvl>
    <w:lvl w:ilvl="1">
      <w:lvlJc w:val="left"/>
      <w:lvlText w:val="(%2)"/>
      <w:numFmt w:val="lowerLetter"/>
      <w:start w:val="1"/>
    </w:lvl>
  </w:abstractNum>
  <w:abstractNum w:abstractNumId="20">
    <w:nsid w:val="75A2A8D4"/>
    <w:multiLevelType w:val="hybridMultilevel"/>
    <w:lvl w:ilvl="0">
      <w:lvlJc w:val="left"/>
      <w:lvlText w:val="(%1)"/>
      <w:numFmt w:val="lowerLetter"/>
      <w:start w:val="3"/>
    </w:lvl>
    <w:lvl w:ilvl="1">
      <w:lvlJc w:val="left"/>
      <w:lvlText w:val="%2"/>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lvl w:ilvl="1">
      <w:lvlJc w:val="left"/>
      <w:lvlText w:val="%2"/>
      <w:numFmt w:val="decimal"/>
      <w:start w:val="104"/>
    </w:lvl>
  </w:abstractNum>
  <w:abstractNum w:abstractNumId="23">
    <w:nsid w:val="4353D0CD"/>
    <w:multiLevelType w:val="hybridMultilevel"/>
    <w:lvl w:ilvl="0">
      <w:lvlJc w:val="left"/>
      <w:lvlText w:val="**"/>
      <w:numFmt w:val="bullet"/>
      <w:start w:val="1"/>
    </w:lvl>
    <w:lvl w:ilvl="1">
      <w:lvlJc w:val="left"/>
      <w:lvlText w:val="%2"/>
      <w:numFmt w:val="decimal"/>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1"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66" Type="http://schemas.openxmlformats.org/officeDocument/2006/relationships/hyperlink" Target="http://www.sec.gov/Archives/edgar/data/912242/000110465914081468/a14-24669_1ex2d1.htm" TargetMode="External"/><Relationship Id="rId67" Type="http://schemas.openxmlformats.org/officeDocument/2006/relationships/hyperlink" Target="http://www.sec.gov/Archives/edgar/data/912242/0001047469-99-012492.txt" TargetMode="External"/><Relationship Id="rId68" Type="http://schemas.openxmlformats.org/officeDocument/2006/relationships/hyperlink" Target="http://www.sec.gov/Archives/edgar/data/912242/000091205702030706/a2086079zex-3_1.htm" TargetMode="External"/><Relationship Id="rId69" Type="http://schemas.openxmlformats.org/officeDocument/2006/relationships/hyperlink" Target="http://www.sec.gov/Archives/edgar/data/912242/000091205702021417/a2080342zex-4_6.htm" TargetMode="External"/><Relationship Id="rId70" Type="http://schemas.openxmlformats.org/officeDocument/2006/relationships/hyperlink" Target="http://www.sec.gov/Archives/edgar/data/912242/000104746909001981/a2189901zex-3_15.htm" TargetMode="External"/><Relationship Id="rId71" Type="http://schemas.openxmlformats.org/officeDocument/2006/relationships/hyperlink" Target="http://www.sec.gov/Archives/edgar/data/912242/000110465909008348/a09-5253_1ex3d1.htm" TargetMode="External"/><Relationship Id="rId72" Type="http://schemas.openxmlformats.org/officeDocument/2006/relationships/hyperlink" Target="http://www.sec.gov/Archives/edgar/data/912242/000104746909007391/a2193924zex-3_17.htm" TargetMode="External"/><Relationship Id="rId73" Type="http://schemas.openxmlformats.org/officeDocument/2006/relationships/hyperlink" Target="http://www.sec.gov/Archives/edgar/data/912242/000110465914043330/a14-14485_1ex3d1.htm" TargetMode="External"/><Relationship Id="rId74" Type="http://schemas.openxmlformats.org/officeDocument/2006/relationships/hyperlink" Target="http://www.sec.gov/Archives/edgar/data/912242/000110465915020412/a15-6870_1ex3d1.htm" TargetMode="External"/><Relationship Id="rId75" Type="http://schemas.openxmlformats.org/officeDocument/2006/relationships/hyperlink" Target="http://www.sec.gov/Archives/edgar/data/912242/000110465915020810/a15-6873_1ex3d1.htm" TargetMode="External"/><Relationship Id="rId76" Type="http://schemas.openxmlformats.org/officeDocument/2006/relationships/hyperlink" Target="http://www.sec.gov/Archives/edgar/data/912242/000110465915037228/a15-11185_1ex3d1.htm" TargetMode="External"/><Relationship Id="rId77" Type="http://schemas.openxmlformats.org/officeDocument/2006/relationships/hyperlink" Target="http://www.sec.gov/Archives/edgar/data/912242/000110465915042631/a15-13305_1ex3d1.htm" TargetMode="External"/><Relationship Id="rId78" Type="http://schemas.openxmlformats.org/officeDocument/2006/relationships/hyperlink" Target="http://www.sec.gov/Archives/edgar/data/912242/000119312519129272/d731295dex31.htm" TargetMode="External"/><Relationship Id="rId79" Type="http://schemas.openxmlformats.org/officeDocument/2006/relationships/hyperlink" Target="https://www.sec.gov/Archives/edgar/data/912242/000119312521182973/d417870dex31.htm" TargetMode="External"/><Relationship Id="rId80" Type="http://schemas.openxmlformats.org/officeDocument/2006/relationships/hyperlink" Target="http://www.sec.gov/Archives/edgar/data/912242/000119312519129272/d731295dex32.htm" TargetMode="External"/><Relationship Id="rId82" Type="http://schemas.openxmlformats.org/officeDocument/2006/relationships/hyperlink" Target="https://www.sec.gov/Archives/edgar/data/912242/000119312524150381/d794336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2024-08-08T10:08:33Z</dcterms:created>
  <dcterms:modified xsi:type="dcterms:W3CDTF">2024-08-08T10:08:33Z</dcterms:modified>
</cp:coreProperties>
</file>