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980440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jc w:val="center"/>
        <w:ind w:right="-2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SECURITIES AND EXCHANGE COMMISSION</w:t>
      </w:r>
    </w:p>
    <w:p>
      <w:pPr>
        <w:spacing w:after="0" w:line="84"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Washington, D.C. 20549</w:t>
      </w:r>
    </w:p>
    <w:p>
      <w:pPr>
        <w:spacing w:after="0" w:line="96"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FORM 10-Q</w:t>
      </w:r>
    </w:p>
    <w:p>
      <w:pPr>
        <w:spacing w:after="0" w:line="146"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QUARTERLY REPORT PURSUANT TO SECTION 13 OR 15(d) OF THE SECURITIES EXCHANGE ACT OF 1934</w:t>
      </w:r>
    </w:p>
    <w:p>
      <w:pPr>
        <w:spacing w:after="0" w:line="84" w:lineRule="exact"/>
        <w:rPr>
          <w:rFonts w:ascii="MS PGothic" w:cs="MS PGothic" w:eastAsia="MS PGothic" w:hAnsi="MS PGothic"/>
          <w:sz w:val="14"/>
          <w:szCs w:val="14"/>
          <w:color w:val="auto"/>
        </w:rPr>
      </w:pPr>
    </w:p>
    <w:p>
      <w:pPr>
        <w:ind w:left="428"/>
        <w:spacing w:after="0"/>
        <w:rPr>
          <w:rFonts w:ascii="MS PGothic" w:cs="MS PGothic" w:eastAsia="MS PGothic" w:hAnsi="MS PGothic"/>
          <w:sz w:val="14"/>
          <w:szCs w:val="14"/>
          <w:color w:val="auto"/>
        </w:rPr>
      </w:pPr>
      <w:r>
        <w:rPr>
          <w:rFonts w:ascii="Arial" w:cs="Arial" w:eastAsia="Arial" w:hAnsi="Arial"/>
          <w:sz w:val="12"/>
          <w:szCs w:val="12"/>
          <w:b w:val="1"/>
          <w:bCs w:val="1"/>
          <w:color w:val="auto"/>
        </w:rPr>
        <w:t>For the quarterly period ended September 30, 2021</w:t>
      </w:r>
    </w:p>
    <w:p>
      <w:pPr>
        <w:spacing w:after="0" w:line="136" w:lineRule="exact"/>
        <w:rPr>
          <w:sz w:val="24"/>
          <w:szCs w:val="24"/>
          <w:color w:val="auto"/>
        </w:rPr>
      </w:pPr>
    </w:p>
    <w:p>
      <w:pPr>
        <w:ind w:left="428" w:right="5340" w:hanging="428"/>
        <w:spacing w:after="0" w:line="403" w:lineRule="auto"/>
        <w:tabs>
          <w:tab w:leader="none" w:pos="155" w:val="left"/>
        </w:tabs>
        <w:numPr>
          <w:ilvl w:val="0"/>
          <w:numId w:val="2"/>
        </w:numPr>
        <w:rPr>
          <w:rFonts w:ascii="MS PGothic" w:cs="MS PGothic" w:eastAsia="MS PGothic" w:hAnsi="MS PGothic"/>
          <w:sz w:val="14"/>
          <w:szCs w:val="14"/>
          <w:color w:val="auto"/>
        </w:rPr>
      </w:pPr>
      <w:r>
        <w:rPr>
          <w:rFonts w:ascii="Arial" w:cs="Arial" w:eastAsia="Arial" w:hAnsi="Arial"/>
          <w:sz w:val="12"/>
          <w:szCs w:val="12"/>
          <w:color w:val="auto"/>
        </w:rPr>
        <w:t xml:space="preserve">TRANSITION REPORT PURSUANT TO SECTION 13 OR 15(d) OF THE SECURITIES EXCHANGE ACT OF 1934 For the transition period from ___________ to </w:t>
      </w:r>
      <w:r>
        <w:rPr>
          <w:rFonts w:ascii="Arial" w:cs="Arial" w:eastAsia="Arial" w:hAnsi="Arial"/>
          <w:sz w:val="12"/>
          <w:szCs w:val="12"/>
          <w:b w:val="1"/>
          <w:bCs w:val="1"/>
          <w:color w:val="auto"/>
        </w:rPr>
        <w:t>___________</w:t>
      </w:r>
    </w:p>
    <w:p>
      <w:pPr>
        <w:spacing w:after="0" w:line="1" w:lineRule="exact"/>
        <w:rPr>
          <w:sz w:val="24"/>
          <w:szCs w:val="24"/>
          <w:color w:val="auto"/>
        </w:rPr>
      </w:pPr>
    </w:p>
    <w:p>
      <w:pPr>
        <w:jc w:val="center"/>
        <w:ind w:right="352"/>
        <w:spacing w:after="0"/>
        <w:rPr>
          <w:sz w:val="20"/>
          <w:szCs w:val="20"/>
          <w:color w:val="auto"/>
        </w:rPr>
      </w:pPr>
      <w:r>
        <w:rPr>
          <w:rFonts w:ascii="Arial" w:cs="Arial" w:eastAsia="Arial" w:hAnsi="Arial"/>
          <w:sz w:val="12"/>
          <w:szCs w:val="12"/>
          <w:color w:val="auto"/>
        </w:rPr>
        <w:t>Commission File No. 1-12504</w:t>
      </w:r>
    </w:p>
    <w:p>
      <w:pPr>
        <w:spacing w:after="0" w:line="105" w:lineRule="exact"/>
        <w:rPr>
          <w:sz w:val="24"/>
          <w:szCs w:val="24"/>
          <w:color w:val="auto"/>
        </w:rPr>
      </w:pPr>
    </w:p>
    <w:p>
      <w:pPr>
        <w:jc w:val="center"/>
        <w:ind w:right="-27"/>
        <w:spacing w:after="0"/>
        <w:rPr>
          <w:sz w:val="20"/>
          <w:szCs w:val="20"/>
          <w:color w:val="auto"/>
        </w:rPr>
      </w:pPr>
      <w:r>
        <w:rPr>
          <w:rFonts w:ascii="Arial" w:cs="Arial" w:eastAsia="Arial" w:hAnsi="Arial"/>
          <w:sz w:val="12"/>
          <w:szCs w:val="12"/>
          <w:color w:val="auto"/>
        </w:rPr>
        <w:t>THE MACERICH COMPANY</w:t>
      </w:r>
    </w:p>
    <w:p>
      <w:pPr>
        <w:spacing w:after="0" w:line="15" w:lineRule="exact"/>
        <w:rPr>
          <w:sz w:val="24"/>
          <w:szCs w:val="24"/>
          <w:color w:val="auto"/>
        </w:rPr>
      </w:pPr>
    </w:p>
    <w:p>
      <w:pPr>
        <w:jc w:val="center"/>
        <w:ind w:right="-2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88"/>
          </w:cols>
          <w:pgMar w:left="292" w:top="1440" w:right="3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668"/>
        <w:spacing w:after="0"/>
        <w:rPr>
          <w:sz w:val="20"/>
          <w:szCs w:val="20"/>
          <w:color w:val="auto"/>
        </w:rPr>
      </w:pPr>
      <w:r>
        <w:rPr>
          <w:rFonts w:ascii="Arial" w:cs="Arial" w:eastAsia="Arial" w:hAnsi="Arial"/>
          <w:sz w:val="10"/>
          <w:szCs w:val="10"/>
          <w:color w:val="auto"/>
        </w:rPr>
        <w:t>401 Wilshire Boulevard,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40"/>
        <w:spacing w:after="0"/>
        <w:rPr>
          <w:sz w:val="20"/>
          <w:szCs w:val="20"/>
          <w:color w:val="auto"/>
        </w:rPr>
      </w:pPr>
      <w:r>
        <w:rPr>
          <w:rFonts w:ascii="Arial" w:cs="Arial" w:eastAsia="Arial" w:hAnsi="Arial"/>
          <w:sz w:val="11"/>
          <w:szCs w:val="11"/>
          <w:color w:val="auto"/>
        </w:rPr>
        <w:t>Maryland</w:t>
      </w:r>
    </w:p>
    <w:p>
      <w:pPr>
        <w:spacing w:after="0" w:line="7" w:lineRule="exact"/>
        <w:rPr>
          <w:sz w:val="24"/>
          <w:szCs w:val="24"/>
          <w:color w:val="auto"/>
        </w:rPr>
      </w:pPr>
    </w:p>
    <w:p>
      <w:pPr>
        <w:ind w:left="220"/>
        <w:spacing w:after="0"/>
        <w:rPr>
          <w:sz w:val="20"/>
          <w:szCs w:val="20"/>
          <w:color w:val="auto"/>
        </w:rPr>
      </w:pPr>
      <w:r>
        <w:rPr>
          <w:rFonts w:ascii="Arial" w:cs="Arial" w:eastAsia="Arial" w:hAnsi="Arial"/>
          <w:sz w:val="11"/>
          <w:szCs w:val="11"/>
          <w:color w:val="auto"/>
        </w:rPr>
        <w:t>(State or other jurisdiction of</w:t>
      </w:r>
    </w:p>
    <w:p>
      <w:pPr>
        <w:ind w:left="200"/>
        <w:spacing w:after="0"/>
        <w:rPr>
          <w:sz w:val="20"/>
          <w:szCs w:val="20"/>
          <w:color w:val="auto"/>
        </w:rPr>
      </w:pPr>
      <w:r>
        <w:rPr>
          <w:rFonts w:ascii="Arial" w:cs="Arial" w:eastAsia="Arial" w:hAnsi="Arial"/>
          <w:sz w:val="11"/>
          <w:szCs w:val="11"/>
          <w:color w:val="auto"/>
        </w:rPr>
        <w:t>incorporation or organization)</w:t>
      </w:r>
    </w:p>
    <w:p>
      <w:pPr>
        <w:spacing w:after="0" w:line="10" w:lineRule="exact"/>
        <w:rPr>
          <w:sz w:val="24"/>
          <w:szCs w:val="24"/>
          <w:color w:val="auto"/>
        </w:rPr>
      </w:pPr>
    </w:p>
    <w:p>
      <w:pPr>
        <w:ind w:left="520"/>
        <w:spacing w:after="0"/>
        <w:tabs>
          <w:tab w:leader="none" w:pos="1540" w:val="left"/>
        </w:tabs>
        <w:rPr>
          <w:sz w:val="20"/>
          <w:szCs w:val="20"/>
          <w:color w:val="auto"/>
        </w:rPr>
      </w:pPr>
      <w:r>
        <w:rPr>
          <w:rFonts w:ascii="Arial" w:cs="Arial" w:eastAsia="Arial" w:hAnsi="Arial"/>
          <w:sz w:val="11"/>
          <w:szCs w:val="11"/>
          <w:color w:val="auto"/>
        </w:rPr>
        <w:t>Suite 700,</w:t>
      </w:r>
      <w:r>
        <w:rPr>
          <w:sz w:val="20"/>
          <w:szCs w:val="20"/>
          <w:color w:val="auto"/>
        </w:rPr>
        <w:tab/>
      </w:r>
      <w:r>
        <w:rPr>
          <w:rFonts w:ascii="Arial" w:cs="Arial" w:eastAsia="Arial" w:hAnsi="Arial"/>
          <w:sz w:val="10"/>
          <w:szCs w:val="10"/>
          <w:color w:val="auto"/>
        </w:rPr>
        <w:t>Santa Monica,</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(Address of principal executive office)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0"/>
          <w:szCs w:val="10"/>
          <w:color w:val="auto"/>
        </w:rPr>
        <w:t>California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1940"/>
        <w:spacing w:after="0"/>
        <w:rPr>
          <w:sz w:val="20"/>
          <w:szCs w:val="20"/>
          <w:color w:val="auto"/>
        </w:rPr>
      </w:pPr>
      <w:r>
        <w:rPr>
          <w:rFonts w:ascii="Arial" w:cs="Arial" w:eastAsia="Arial" w:hAnsi="Arial"/>
          <w:sz w:val="11"/>
          <w:szCs w:val="11"/>
          <w:color w:val="auto"/>
        </w:rPr>
        <w:t>95-4448705</w:t>
      </w:r>
    </w:p>
    <w:p>
      <w:pPr>
        <w:spacing w:after="0" w:line="18" w:lineRule="exact"/>
        <w:rPr>
          <w:sz w:val="24"/>
          <w:szCs w:val="24"/>
          <w:color w:val="auto"/>
        </w:rPr>
      </w:pPr>
    </w:p>
    <w:p>
      <w:pPr>
        <w:jc w:val="center"/>
        <w:ind w:right="1940"/>
        <w:spacing w:after="0"/>
        <w:rPr>
          <w:sz w:val="20"/>
          <w:szCs w:val="20"/>
          <w:color w:val="auto"/>
        </w:rPr>
      </w:pPr>
      <w:r>
        <w:rPr>
          <w:rFonts w:ascii="Arial" w:cs="Arial" w:eastAsia="Arial" w:hAnsi="Arial"/>
          <w:sz w:val="10"/>
          <w:szCs w:val="10"/>
          <w:color w:val="auto"/>
        </w:rPr>
        <w:t>(I.R.S. Employer Identification Number)</w:t>
      </w:r>
    </w:p>
    <w:p>
      <w:pPr>
        <w:spacing w:after="0" w:line="137" w:lineRule="exact"/>
        <w:rPr>
          <w:sz w:val="24"/>
          <w:szCs w:val="24"/>
          <w:color w:val="auto"/>
        </w:rPr>
      </w:pPr>
    </w:p>
    <w:p>
      <w:pPr>
        <w:jc w:val="center"/>
        <w:ind w:right="1940"/>
        <w:spacing w:after="0"/>
        <w:rPr>
          <w:sz w:val="20"/>
          <w:szCs w:val="20"/>
          <w:color w:val="auto"/>
        </w:rPr>
      </w:pPr>
      <w:r>
        <w:rPr>
          <w:rFonts w:ascii="Arial" w:cs="Arial" w:eastAsia="Arial" w:hAnsi="Arial"/>
          <w:sz w:val="11"/>
          <w:szCs w:val="11"/>
          <w:color w:val="auto"/>
        </w:rPr>
        <w:t>90401</w:t>
      </w:r>
    </w:p>
    <w:p>
      <w:pPr>
        <w:spacing w:after="0" w:line="18" w:lineRule="exact"/>
        <w:rPr>
          <w:sz w:val="24"/>
          <w:szCs w:val="24"/>
          <w:color w:val="auto"/>
        </w:rPr>
      </w:pPr>
    </w:p>
    <w:p>
      <w:pPr>
        <w:jc w:val="center"/>
        <w:ind w:right="1940"/>
        <w:spacing w:after="0"/>
        <w:rPr>
          <w:sz w:val="20"/>
          <w:szCs w:val="20"/>
          <w:color w:val="auto"/>
        </w:rPr>
      </w:pPr>
      <w:r>
        <w:rPr>
          <w:rFonts w:ascii="Arial" w:cs="Arial" w:eastAsia="Arial" w:hAnsi="Arial"/>
          <w:sz w:val="11"/>
          <w:szCs w:val="11"/>
          <w:color w:val="auto"/>
        </w:rPr>
        <w:t>(Zip Code)</w:t>
      </w:r>
    </w:p>
    <w:p>
      <w:pPr>
        <w:spacing w:after="0" w:line="18" w:lineRule="exact"/>
        <w:rPr>
          <w:sz w:val="24"/>
          <w:szCs w:val="24"/>
          <w:color w:val="auto"/>
        </w:rPr>
      </w:pPr>
    </w:p>
    <w:p>
      <w:pPr>
        <w:sectPr>
          <w:pgSz w:w="11900" w:h="16838" w:orient="portrait"/>
          <w:cols w:equalWidth="0" w:num="4">
            <w:col w:w="1728" w:space="300"/>
            <w:col w:w="2200" w:space="660"/>
            <w:col w:w="1980" w:space="720"/>
            <w:col w:w="3700"/>
          </w:cols>
          <w:pgMar w:left="292" w:top="1440" w:right="319" w:bottom="1440" w:gutter="0" w:footer="0" w:header="0"/>
          <w:type w:val="continuous"/>
        </w:sectPr>
      </w:pPr>
    </w:p>
    <w:p>
      <w:pPr>
        <w:ind w:left="5388"/>
        <w:spacing w:after="0"/>
        <w:rPr>
          <w:sz w:val="20"/>
          <w:szCs w:val="20"/>
          <w:color w:val="auto"/>
        </w:rPr>
      </w:pPr>
      <w:r>
        <w:rPr>
          <w:rFonts w:ascii="Arial" w:cs="Arial" w:eastAsia="Arial" w:hAnsi="Arial"/>
          <w:sz w:val="11"/>
          <w:szCs w:val="11"/>
          <w:color w:val="auto"/>
        </w:rPr>
        <w:t>(310) 394-6000</w:t>
      </w:r>
    </w:p>
    <w:p>
      <w:pPr>
        <w:spacing w:after="0" w:line="18" w:lineRule="exact"/>
        <w:rPr>
          <w:sz w:val="24"/>
          <w:szCs w:val="24"/>
          <w:color w:val="auto"/>
        </w:rPr>
      </w:pPr>
    </w:p>
    <w:p>
      <w:pPr>
        <w:ind w:left="4528"/>
        <w:spacing w:after="0"/>
        <w:rPr>
          <w:sz w:val="20"/>
          <w:szCs w:val="20"/>
          <w:color w:val="auto"/>
        </w:rPr>
      </w:pPr>
      <w:r>
        <w:rPr>
          <w:rFonts w:ascii="Arial" w:cs="Arial" w:eastAsia="Arial" w:hAnsi="Arial"/>
          <w:sz w:val="9"/>
          <w:szCs w:val="9"/>
          <w:color w:val="auto"/>
        </w:rPr>
        <w:t>(Registrant's telephone number, including area code)</w:t>
      </w:r>
    </w:p>
    <w:p>
      <w:pPr>
        <w:sectPr>
          <w:pgSz w:w="11900" w:h="16838" w:orient="portrait"/>
          <w:cols w:equalWidth="0" w:num="1">
            <w:col w:w="11288"/>
          </w:cols>
          <w:pgMar w:left="292" w:top="1440" w:right="319" w:bottom="1440" w:gutter="0" w:footer="0" w:header="0"/>
          <w:type w:val="continuous"/>
        </w:sectPr>
      </w:pP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1"/>
          <w:szCs w:val="11"/>
          <w:color w:val="auto"/>
        </w:rPr>
        <w:t>N/A</w:t>
      </w:r>
    </w:p>
    <w:p>
      <w:pPr>
        <w:jc w:val="center"/>
        <w:ind w:right="-27"/>
        <w:spacing w:after="0"/>
        <w:rPr>
          <w:sz w:val="20"/>
          <w:szCs w:val="20"/>
          <w:color w:val="auto"/>
        </w:rPr>
      </w:pPr>
      <w:r>
        <w:rPr>
          <w:rFonts w:ascii="Arial" w:cs="Arial" w:eastAsia="Arial" w:hAnsi="Arial"/>
          <w:sz w:val="9"/>
          <w:szCs w:val="9"/>
          <w:color w:val="auto"/>
        </w:rPr>
        <w:t>(Former name, former address and former fiscal year, if changed since last report)</w:t>
      </w:r>
    </w:p>
    <w:p>
      <w:pPr>
        <w:spacing w:after="0" w:line="173" w:lineRule="exact"/>
        <w:rPr>
          <w:sz w:val="24"/>
          <w:szCs w:val="24"/>
          <w:color w:val="auto"/>
        </w:rPr>
      </w:pPr>
    </w:p>
    <w:p>
      <w:pPr>
        <w:ind w:left="288"/>
        <w:spacing w:after="0"/>
        <w:rPr>
          <w:sz w:val="20"/>
          <w:szCs w:val="20"/>
          <w:color w:val="auto"/>
        </w:rPr>
      </w:pPr>
      <w:r>
        <w:rPr>
          <w:rFonts w:ascii="Arial" w:cs="Arial" w:eastAsia="Arial" w:hAnsi="Arial"/>
          <w:sz w:val="12"/>
          <w:szCs w:val="12"/>
          <w:color w:val="auto"/>
        </w:rPr>
        <w:t>Securities registered pursuant to Section 12(b) of the Securities Act:</w:t>
      </w:r>
    </w:p>
    <w:p>
      <w:pPr>
        <w:sectPr>
          <w:pgSz w:w="11900" w:h="16838" w:orient="portrait"/>
          <w:cols w:equalWidth="0" w:num="1">
            <w:col w:w="11288"/>
          </w:cols>
          <w:pgMar w:left="292" w:top="1440" w:right="319" w:bottom="1440" w:gutter="0" w:footer="0" w:header="0"/>
          <w:type w:val="continuous"/>
        </w:sectPr>
      </w:pPr>
    </w:p>
    <w:p>
      <w:pPr>
        <w:spacing w:after="0" w:line="33" w:lineRule="exact"/>
        <w:rPr>
          <w:sz w:val="24"/>
          <w:szCs w:val="24"/>
          <w:color w:val="auto"/>
        </w:rPr>
      </w:pPr>
    </w:p>
    <w:p>
      <w:pPr>
        <w:jc w:val="center"/>
        <w:ind w:right="372"/>
        <w:spacing w:after="0"/>
        <w:rPr>
          <w:sz w:val="20"/>
          <w:szCs w:val="20"/>
          <w:color w:val="auto"/>
        </w:rPr>
      </w:pPr>
      <w:r>
        <w:rPr>
          <w:rFonts w:ascii="Arial" w:cs="Arial" w:eastAsia="Arial" w:hAnsi="Arial"/>
          <w:sz w:val="12"/>
          <w:szCs w:val="12"/>
          <w:color w:val="auto"/>
        </w:rPr>
        <w:t>Title of each class</w:t>
      </w:r>
    </w:p>
    <w:p>
      <w:pPr>
        <w:spacing w:after="0" w:line="15" w:lineRule="exact"/>
        <w:rPr>
          <w:sz w:val="24"/>
          <w:szCs w:val="24"/>
          <w:color w:val="auto"/>
        </w:rPr>
      </w:pPr>
    </w:p>
    <w:p>
      <w:pPr>
        <w:jc w:val="center"/>
        <w:ind w:right="372"/>
        <w:spacing w:after="0"/>
        <w:rPr>
          <w:sz w:val="20"/>
          <w:szCs w:val="20"/>
          <w:color w:val="auto"/>
        </w:rPr>
      </w:pPr>
      <w:r>
        <w:rPr>
          <w:rFonts w:ascii="Arial" w:cs="Arial" w:eastAsia="Arial" w:hAnsi="Arial"/>
          <w:sz w:val="10"/>
          <w:szCs w:val="10"/>
          <w:color w:val="auto"/>
        </w:rPr>
        <w:t>Common Stock, $0.01 Par Value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620"/>
        <w:spacing w:after="0"/>
        <w:rPr>
          <w:sz w:val="20"/>
          <w:szCs w:val="20"/>
          <w:color w:val="auto"/>
        </w:rPr>
      </w:pPr>
      <w:r>
        <w:rPr>
          <w:rFonts w:ascii="Arial" w:cs="Arial" w:eastAsia="Arial" w:hAnsi="Arial"/>
          <w:sz w:val="11"/>
          <w:szCs w:val="11"/>
          <w:color w:val="auto"/>
        </w:rPr>
        <w:t>Trading symbol</w:t>
      </w:r>
    </w:p>
    <w:p>
      <w:pPr>
        <w:spacing w:after="0" w:line="27" w:lineRule="exact"/>
        <w:rPr>
          <w:sz w:val="24"/>
          <w:szCs w:val="24"/>
          <w:color w:val="auto"/>
        </w:rPr>
      </w:pPr>
    </w:p>
    <w:p>
      <w:pPr>
        <w:jc w:val="center"/>
        <w:ind w:right="1620"/>
        <w:spacing w:after="0"/>
        <w:rPr>
          <w:sz w:val="20"/>
          <w:szCs w:val="20"/>
          <w:color w:val="auto"/>
        </w:rPr>
      </w:pPr>
      <w:r>
        <w:rPr>
          <w:rFonts w:ascii="Arial" w:cs="Arial" w:eastAsia="Arial" w:hAnsi="Arial"/>
          <w:sz w:val="12"/>
          <w:szCs w:val="12"/>
          <w:color w:val="auto"/>
        </w:rPr>
        <w:t>MAC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940"/>
        <w:spacing w:after="0"/>
        <w:rPr>
          <w:sz w:val="20"/>
          <w:szCs w:val="20"/>
          <w:color w:val="auto"/>
        </w:rPr>
      </w:pPr>
      <w:r>
        <w:rPr>
          <w:rFonts w:ascii="Arial" w:cs="Arial" w:eastAsia="Arial" w:hAnsi="Arial"/>
          <w:sz w:val="10"/>
          <w:szCs w:val="10"/>
          <w:color w:val="auto"/>
        </w:rPr>
        <w:t>Name of each exchange on which registered</w:t>
      </w:r>
    </w:p>
    <w:p>
      <w:pPr>
        <w:spacing w:after="0" w:line="38" w:lineRule="exact"/>
        <w:rPr>
          <w:sz w:val="24"/>
          <w:szCs w:val="24"/>
          <w:color w:val="auto"/>
        </w:rPr>
      </w:pPr>
    </w:p>
    <w:p>
      <w:pPr>
        <w:jc w:val="center"/>
        <w:ind w:right="940"/>
        <w:spacing w:after="0"/>
        <w:rPr>
          <w:sz w:val="20"/>
          <w:szCs w:val="20"/>
          <w:color w:val="auto"/>
        </w:rPr>
      </w:pPr>
      <w:r>
        <w:rPr>
          <w:rFonts w:ascii="Arial" w:cs="Arial" w:eastAsia="Arial" w:hAnsi="Arial"/>
          <w:sz w:val="12"/>
          <w:szCs w:val="12"/>
          <w:color w:val="auto"/>
        </w:rPr>
        <w:t>New York Stock Exchange</w:t>
      </w:r>
    </w:p>
    <w:p>
      <w:pPr>
        <w:spacing w:after="0" w:line="163" w:lineRule="exact"/>
        <w:rPr>
          <w:sz w:val="24"/>
          <w:szCs w:val="24"/>
          <w:color w:val="auto"/>
        </w:rPr>
      </w:pPr>
    </w:p>
    <w:p>
      <w:pPr>
        <w:sectPr>
          <w:pgSz w:w="11900" w:h="16838" w:orient="portrait"/>
          <w:cols w:equalWidth="0" w:num="3">
            <w:col w:w="4408" w:space="720"/>
            <w:col w:w="2380" w:space="720"/>
            <w:col w:w="3060"/>
          </w:cols>
          <w:pgMar w:left="292" w:top="1440" w:right="319" w:bottom="1440" w:gutter="0" w:footer="0" w:header="0"/>
          <w:type w:val="continuous"/>
        </w:sectPr>
      </w:pPr>
    </w:p>
    <w:p>
      <w:pPr>
        <w:ind w:left="8" w:right="80" w:firstLine="297"/>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7" w:lineRule="exact"/>
        <w:rPr>
          <w:sz w:val="24"/>
          <w:szCs w:val="24"/>
          <w:color w:val="auto"/>
        </w:rPr>
      </w:pPr>
    </w:p>
    <w:p>
      <w:pPr>
        <w:ind w:left="8" w:firstLine="297"/>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2" w:lineRule="exact"/>
        <w:rPr>
          <w:sz w:val="24"/>
          <w:szCs w:val="24"/>
          <w:color w:val="auto"/>
        </w:rPr>
      </w:pPr>
    </w:p>
    <w:p>
      <w:pPr>
        <w:ind w:left="8" w:right="160" w:firstLine="297"/>
        <w:spacing w:after="0" w:line="24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88"/>
          </w:cols>
          <w:pgMar w:left="292" w:top="1440" w:right="319" w:bottom="1440" w:gutter="0" w:footer="0" w:header="0"/>
          <w:type w:val="continuous"/>
        </w:sectPr>
      </w:pPr>
    </w:p>
    <w:p>
      <w:pPr>
        <w:spacing w:after="0" w:line="18" w:lineRule="exact"/>
        <w:rPr>
          <w:sz w:val="24"/>
          <w:szCs w:val="24"/>
          <w:color w:val="auto"/>
        </w:rPr>
      </w:pPr>
    </w:p>
    <w:p>
      <w:pPr>
        <w:ind w:left="708"/>
        <w:spacing w:after="0"/>
        <w:tabs>
          <w:tab w:leader="none" w:pos="2448" w:val="left"/>
          <w:tab w:leader="none" w:pos="3228"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Arial" w:cs="Arial" w:eastAsia="Arial" w:hAnsi="Arial"/>
          <w:sz w:val="11"/>
          <w:szCs w:val="11"/>
          <w:color w:val="auto"/>
        </w:rPr>
        <w:t>x</w:t>
      </w:r>
      <w:r>
        <w:rPr>
          <w:sz w:val="20"/>
          <w:szCs w:val="20"/>
          <w:color w:val="auto"/>
        </w:rPr>
        <w:tab/>
      </w:r>
      <w:r>
        <w:rPr>
          <w:rFonts w:ascii="Arial" w:cs="Arial" w:eastAsia="Arial" w:hAnsi="Arial"/>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62"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Smaller Reporting Company</w:t>
      </w:r>
    </w:p>
    <w:p>
      <w:pPr>
        <w:spacing w:after="0" w:line="41" w:lineRule="exact"/>
        <w:rPr>
          <w:sz w:val="24"/>
          <w:szCs w:val="24"/>
          <w:color w:val="auto"/>
        </w:rPr>
      </w:pPr>
    </w:p>
    <w:p>
      <w:pPr>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6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83" w:lineRule="exact"/>
        <w:rPr>
          <w:sz w:val="24"/>
          <w:szCs w:val="24"/>
          <w:color w:val="auto"/>
        </w:rPr>
      </w:pPr>
    </w:p>
    <w:p>
      <w:pPr>
        <w:sectPr>
          <w:pgSz w:w="11900" w:h="16838" w:orient="portrait"/>
          <w:cols w:equalWidth="0" w:num="6">
            <w:col w:w="3988" w:space="660"/>
            <w:col w:w="240" w:space="720"/>
            <w:col w:w="1020" w:space="720"/>
            <w:col w:w="1000" w:space="720"/>
            <w:col w:w="1240" w:space="320"/>
            <w:col w:w="660"/>
          </w:cols>
          <w:pgMar w:left="292" w:top="1440" w:right="319" w:bottom="1440" w:gutter="0" w:footer="0" w:header="0"/>
          <w:type w:val="continuous"/>
        </w:sectPr>
      </w:pPr>
    </w:p>
    <w:p>
      <w:pPr>
        <w:ind w:left="28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4" w:lineRule="exact"/>
        <w:rPr>
          <w:sz w:val="24"/>
          <w:szCs w:val="24"/>
          <w:color w:val="auto"/>
        </w:rPr>
      </w:pPr>
    </w:p>
    <w:p>
      <w:pPr>
        <w:ind w:left="8"/>
        <w:spacing w:after="0" w:line="12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ind w:left="288" w:right="5160"/>
        <w:spacing w:after="0" w:line="203" w:lineRule="exact"/>
        <w:rPr>
          <w:sz w:val="20"/>
          <w:szCs w:val="20"/>
          <w:color w:val="auto"/>
        </w:rPr>
      </w:pPr>
      <w:r>
        <w:rPr>
          <w:rFonts w:ascii="Arial" w:cs="Arial" w:eastAsia="Arial" w:hAnsi="Arial"/>
          <w:sz w:val="9"/>
          <w:szCs w:val="9"/>
          <w:color w:val="auto"/>
        </w:rPr>
        <w:t xml:space="preserve">Indicate by check mark whether the registrant is a shell company (as defined in Rule 12b-2 of the Exchange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r>
        <w:rPr>
          <w:rFonts w:ascii="Arial" w:cs="Arial" w:eastAsia="Arial" w:hAnsi="Arial"/>
          <w:sz w:val="9"/>
          <w:szCs w:val="9"/>
          <w:color w:val="auto"/>
        </w:rPr>
        <w:t xml:space="preserve"> Number of shares outstanding as of November 5, 2021 of the registrant's common stock, par value $0.01 per share: 213,037,660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492760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440" w:right="319" w:bottom="1440" w:gutter="0" w:footer="0" w:header="0"/>
          <w:type w:val="continuous"/>
        </w:sectPr>
      </w:pPr>
    </w:p>
    <w:bookmarkStart w:id="1" w:name="page2"/>
    <w:bookmarkEnd w:id="1"/>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80" w:type="dxa"/>
            <w:vAlign w:val="bottom"/>
            <w:gridSpan w:val="6"/>
          </w:tcPr>
          <w:p>
            <w:pPr>
              <w:jc w:val="center"/>
              <w:ind w:right="2680"/>
              <w:spacing w:after="0"/>
              <w:rPr>
                <w:sz w:val="20"/>
                <w:szCs w:val="20"/>
                <w:color w:val="auto"/>
              </w:rPr>
            </w:pPr>
            <w:r>
              <w:rPr>
                <w:rFonts w:ascii="Arial" w:cs="Arial" w:eastAsia="Arial" w:hAnsi="Arial"/>
                <w:sz w:val="12"/>
                <w:szCs w:val="12"/>
                <w:b w:val="1"/>
                <w:bCs w:val="1"/>
                <w:color w:val="auto"/>
              </w:rPr>
              <w:t>THE MACERICH COMPANY</w:t>
            </w: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3"/>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20" w:type="dxa"/>
            <w:vAlign w:val="bottom"/>
            <w:gridSpan w:val="5"/>
          </w:tcPr>
          <w:p>
            <w:pPr>
              <w:jc w:val="center"/>
              <w:ind w:right="3140"/>
              <w:spacing w:after="0"/>
              <w:rPr>
                <w:sz w:val="20"/>
                <w:szCs w:val="20"/>
                <w:color w:val="auto"/>
              </w:rPr>
            </w:pPr>
            <w:r>
              <w:rPr>
                <w:rFonts w:ascii="Arial" w:cs="Arial" w:eastAsia="Arial" w:hAnsi="Arial"/>
                <w:sz w:val="12"/>
                <w:szCs w:val="12"/>
                <w:b w:val="1"/>
                <w:bCs w:val="1"/>
                <w:color w:val="auto"/>
                <w:w w:val="97"/>
              </w:rPr>
              <w:t>FORM 10-Q</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20" w:type="dxa"/>
            <w:vAlign w:val="bottom"/>
            <w:gridSpan w:val="5"/>
          </w:tcPr>
          <w:p>
            <w:pPr>
              <w:jc w:val="center"/>
              <w:ind w:right="3120"/>
              <w:spacing w:after="0"/>
              <w:rPr>
                <w:sz w:val="20"/>
                <w:szCs w:val="20"/>
                <w:color w:val="auto"/>
              </w:rPr>
            </w:pPr>
            <w:r>
              <w:rPr>
                <w:rFonts w:ascii="Arial" w:cs="Arial" w:eastAsia="Arial" w:hAnsi="Arial"/>
                <w:sz w:val="12"/>
                <w:szCs w:val="12"/>
                <w:b w:val="1"/>
                <w:bCs w:val="1"/>
                <w:color w:val="auto"/>
              </w:rPr>
              <w:t>INDEX</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1"/>
        </w:trPr>
        <w:tc>
          <w:tcPr>
            <w:tcW w:w="1020" w:type="dxa"/>
            <w:vAlign w:val="bottom"/>
            <w:gridSpan w:val="4"/>
          </w:tcPr>
          <w:p>
            <w:pPr>
              <w:spacing w:after="0"/>
              <w:rPr>
                <w:sz w:val="20"/>
                <w:szCs w:val="20"/>
                <w:color w:val="auto"/>
              </w:rPr>
            </w:pPr>
            <w:r>
              <w:rPr>
                <w:rFonts w:ascii="Arial" w:cs="Arial" w:eastAsia="Arial" w:hAnsi="Arial"/>
                <w:sz w:val="12"/>
                <w:szCs w:val="12"/>
                <w:b w:val="1"/>
                <w:bCs w:val="1"/>
                <w:color w:val="auto"/>
              </w:rPr>
              <w:t>Part I</w:t>
            </w:r>
          </w:p>
        </w:tc>
        <w:tc>
          <w:tcPr>
            <w:tcW w:w="8100" w:type="dxa"/>
            <w:vAlign w:val="bottom"/>
            <w:gridSpan w:val="14"/>
          </w:tcPr>
          <w:p>
            <w:pPr>
              <w:spacing w:after="0"/>
              <w:rPr>
                <w:sz w:val="20"/>
                <w:szCs w:val="20"/>
                <w:color w:val="auto"/>
              </w:rPr>
            </w:pPr>
            <w:r>
              <w:rPr>
                <w:rFonts w:ascii="Arial" w:cs="Arial" w:eastAsia="Arial" w:hAnsi="Arial"/>
                <w:sz w:val="12"/>
                <w:szCs w:val="12"/>
                <w:color w:val="auto"/>
              </w:rPr>
              <w:t>Financial Information</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20" w:type="dxa"/>
            <w:vAlign w:val="bottom"/>
            <w:gridSpan w:val="4"/>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Item 1.</w:t>
              </w:r>
            </w:hyperlink>
          </w:p>
        </w:tc>
        <w:tc>
          <w:tcPr>
            <w:tcW w:w="8100" w:type="dxa"/>
            <w:vAlign w:val="bottom"/>
            <w:gridSpan w:val="14"/>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Financial Statements (Unaudited)</w:t>
              </w:r>
            </w:hyperlink>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20" w:type="dxa"/>
            <w:vAlign w:val="bottom"/>
            <w:tcBorders>
              <w:bottom w:val="single" w:sz="8" w:color="0000FF"/>
            </w:tcBorders>
            <w:gridSpan w:val="8"/>
          </w:tcPr>
          <w:p>
            <w:pPr>
              <w:spacing w:after="0"/>
              <w:rPr>
                <w:rFonts w:ascii="Arial" w:cs="Arial" w:eastAsia="Arial" w:hAnsi="Arial"/>
                <w:sz w:val="12"/>
                <w:szCs w:val="12"/>
                <w:color w:val="0000FF"/>
                <w:w w:val="88"/>
              </w:rPr>
            </w:pPr>
            <w:hyperlink w:anchor="page3">
              <w:r>
                <w:rPr>
                  <w:rFonts w:ascii="Arial" w:cs="Arial" w:eastAsia="Arial" w:hAnsi="Arial"/>
                  <w:sz w:val="12"/>
                  <w:szCs w:val="12"/>
                  <w:color w:val="0000FF"/>
                  <w:w w:val="88"/>
                </w:rPr>
                <w:t xml:space="preserve">Consolidated Balance Sheets as of September 30, 2021 and December 31, </w:t>
              </w:r>
            </w:hyperlink>
            <w:r>
              <w:rPr>
                <w:rFonts w:ascii="Arial" w:cs="Arial" w:eastAsia="Arial" w:hAnsi="Arial"/>
                <w:sz w:val="12"/>
                <w:szCs w:val="12"/>
                <w:color w:val="0000FF"/>
                <w:w w:val="88"/>
              </w:rPr>
              <w:t>2020</w:t>
            </w:r>
          </w:p>
        </w:tc>
        <w:tc>
          <w:tcPr>
            <w:tcW w:w="4280" w:type="dxa"/>
            <w:vAlign w:val="bottom"/>
            <w:gridSpan w:val="6"/>
          </w:tcPr>
          <w:p>
            <w:pPr>
              <w:spacing w:after="0"/>
              <w:rPr>
                <w:sz w:val="14"/>
                <w:szCs w:val="14"/>
                <w:color w:val="auto"/>
              </w:rPr>
            </w:pPr>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3</w:t>
              </w:r>
            </w:hyperlink>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00" w:type="dxa"/>
            <w:vAlign w:val="bottom"/>
            <w:gridSpan w:val="14"/>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 xml:space="preserve">Consolidated Statements of Operations for the three and nine months ended September 30, 2021 and </w:t>
              </w:r>
            </w:hyperlink>
            <w:r>
              <w:rPr>
                <w:rFonts w:ascii="Arial" w:cs="Arial" w:eastAsia="Arial" w:hAnsi="Arial"/>
                <w:sz w:val="12"/>
                <w:szCs w:val="12"/>
                <w:color w:val="0000FF"/>
              </w:rPr>
              <w:t>2020</w:t>
            </w:r>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4</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00" w:type="dxa"/>
            <w:vAlign w:val="bottom"/>
            <w:gridSpan w:val="1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 xml:space="preserve">Consolidated Statements of Comprehensive Income (Loss) for the three and nine months ended September 30, 2021 and </w:t>
              </w:r>
            </w:hyperlink>
            <w:r>
              <w:rPr>
                <w:rFonts w:ascii="Arial" w:cs="Arial" w:eastAsia="Arial" w:hAnsi="Arial"/>
                <w:sz w:val="12"/>
                <w:szCs w:val="12"/>
                <w:color w:val="0000FF"/>
              </w:rPr>
              <w:t>2020</w:t>
            </w:r>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40" w:type="dxa"/>
            <w:vAlign w:val="bottom"/>
            <w:tcBorders>
              <w:top w:val="single" w:sz="8" w:color="0000FF"/>
            </w:tcBorders>
            <w:gridSpan w:val="13"/>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 xml:space="preserve">Consolidated Statements of Equity for the three and nine months ended September 30, 2021 and </w:t>
              </w:r>
            </w:hyperlink>
            <w:r>
              <w:rPr>
                <w:rFonts w:ascii="Arial" w:cs="Arial" w:eastAsia="Arial" w:hAnsi="Arial"/>
                <w:sz w:val="12"/>
                <w:szCs w:val="12"/>
                <w:color w:val="0000FF"/>
              </w:rPr>
              <w:t>2020</w:t>
            </w:r>
          </w:p>
        </w:tc>
        <w:tc>
          <w:tcPr>
            <w:tcW w:w="2060" w:type="dxa"/>
            <w:vAlign w:val="bottom"/>
          </w:tcPr>
          <w:p>
            <w:pPr>
              <w:spacing w:after="0"/>
              <w:rPr>
                <w:sz w:val="14"/>
                <w:szCs w:val="14"/>
                <w:color w:val="auto"/>
              </w:rPr>
            </w:pPr>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6</w:t>
              </w:r>
            </w:hyperlink>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10"/>
          </w:tcPr>
          <w:p>
            <w:pPr>
              <w:spacing w:after="0"/>
              <w:rPr>
                <w:rFonts w:ascii="Arial" w:cs="Arial" w:eastAsia="Arial" w:hAnsi="Arial"/>
                <w:sz w:val="12"/>
                <w:szCs w:val="12"/>
                <w:color w:val="0000FF"/>
                <w:w w:val="88"/>
              </w:rPr>
            </w:pPr>
            <w:hyperlink w:anchor="page7">
              <w:r>
                <w:rPr>
                  <w:rFonts w:ascii="Arial" w:cs="Arial" w:eastAsia="Arial" w:hAnsi="Arial"/>
                  <w:sz w:val="12"/>
                  <w:szCs w:val="12"/>
                  <w:color w:val="0000FF"/>
                  <w:w w:val="88"/>
                </w:rPr>
                <w:t>Consolidated Statements of Cash Flows for the nine months ended September 30, 2021 and 2020</w:t>
              </w:r>
            </w:hyperlink>
          </w:p>
        </w:tc>
        <w:tc>
          <w:tcPr>
            <w:tcW w:w="220" w:type="dxa"/>
            <w:vAlign w:val="bottom"/>
            <w:tcBorders>
              <w:top w:val="single" w:sz="8" w:color="0000FF"/>
            </w:tcBorders>
          </w:tcPr>
          <w:p>
            <w:pPr>
              <w:spacing w:after="0"/>
              <w:rPr>
                <w:sz w:val="14"/>
                <w:szCs w:val="14"/>
                <w:color w:val="auto"/>
              </w:rPr>
            </w:pPr>
          </w:p>
        </w:tc>
        <w:tc>
          <w:tcPr>
            <w:tcW w:w="3220" w:type="dxa"/>
            <w:vAlign w:val="bottom"/>
            <w:gridSpan w:val="3"/>
          </w:tcPr>
          <w:p>
            <w:pPr>
              <w:spacing w:after="0"/>
              <w:rPr>
                <w:sz w:val="14"/>
                <w:szCs w:val="14"/>
                <w:color w:val="auto"/>
              </w:rPr>
            </w:pPr>
          </w:p>
        </w:tc>
        <w:tc>
          <w:tcPr>
            <w:tcW w:w="2180" w:type="dxa"/>
            <w:vAlign w:val="bottom"/>
            <w:gridSpan w:val="3"/>
          </w:tcPr>
          <w:p>
            <w:pPr>
              <w:jc w:val="right"/>
              <w:ind w:right="20"/>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8</w:t>
              </w:r>
            </w:hyperlink>
          </w:p>
        </w:tc>
      </w:tr>
      <w:tr>
        <w:trPr>
          <w:trHeight w:val="169"/>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00" w:type="dxa"/>
            <w:vAlign w:val="bottom"/>
            <w:tcBorders>
              <w:bottom w:val="single" w:sz="8" w:color="0000FF"/>
            </w:tcBorders>
            <w:gridSpan w:val="6"/>
          </w:tcPr>
          <w:p>
            <w:pPr>
              <w:spacing w:after="0"/>
              <w:rPr>
                <w:rFonts w:ascii="Arial" w:cs="Arial" w:eastAsia="Arial" w:hAnsi="Arial"/>
                <w:sz w:val="12"/>
                <w:szCs w:val="12"/>
                <w:color w:val="0000FF"/>
                <w:w w:val="89"/>
              </w:rPr>
            </w:pPr>
            <w:hyperlink w:anchor="page9">
              <w:r>
                <w:rPr>
                  <w:rFonts w:ascii="Arial" w:cs="Arial" w:eastAsia="Arial" w:hAnsi="Arial"/>
                  <w:sz w:val="12"/>
                  <w:szCs w:val="12"/>
                  <w:color w:val="0000FF"/>
                  <w:w w:val="89"/>
                </w:rPr>
                <w:t>Notes to Consolidated Financial Statements</w:t>
              </w:r>
            </w:hyperlink>
          </w:p>
        </w:tc>
        <w:tc>
          <w:tcPr>
            <w:tcW w:w="6000" w:type="dxa"/>
            <w:vAlign w:val="bottom"/>
            <w:gridSpan w:val="8"/>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9">
              <w:r>
                <w:rPr>
                  <w:rFonts w:ascii="Arial" w:cs="Arial" w:eastAsia="Arial" w:hAnsi="Arial"/>
                  <w:sz w:val="12"/>
                  <w:szCs w:val="12"/>
                  <w:color w:val="0000FF"/>
                  <w:w w:val="74"/>
                </w:rPr>
                <w:t>10</w:t>
              </w:r>
            </w:hyperlink>
          </w:p>
        </w:tc>
        <w:tc>
          <w:tcPr>
            <w:tcW w:w="20" w:type="dxa"/>
            <w:vAlign w:val="bottom"/>
          </w:tcPr>
          <w:p>
            <w:pPr>
              <w:spacing w:after="0"/>
              <w:rPr>
                <w:sz w:val="14"/>
                <w:szCs w:val="14"/>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27">
              <w:r>
                <w:rPr>
                  <w:rFonts w:ascii="Arial" w:cs="Arial" w:eastAsia="Arial" w:hAnsi="Arial"/>
                  <w:sz w:val="12"/>
                  <w:szCs w:val="12"/>
                  <w:color w:val="0000FF"/>
                </w:rPr>
                <w:t>Item 2.</w:t>
              </w:r>
            </w:hyperlink>
          </w:p>
        </w:tc>
        <w:tc>
          <w:tcPr>
            <w:tcW w:w="8100" w:type="dxa"/>
            <w:vAlign w:val="bottom"/>
            <w:gridSpan w:val="14"/>
          </w:tcPr>
          <w:p>
            <w:pPr>
              <w:spacing w:after="0"/>
              <w:rPr>
                <w:rFonts w:ascii="Arial" w:cs="Arial" w:eastAsia="Arial" w:hAnsi="Arial"/>
                <w:sz w:val="12"/>
                <w:szCs w:val="12"/>
                <w:color w:val="0000FF"/>
              </w:rPr>
            </w:pPr>
            <w:hyperlink w:anchor="page27">
              <w:r>
                <w:rPr>
                  <w:rFonts w:ascii="Arial" w:cs="Arial" w:eastAsia="Arial" w:hAnsi="Arial"/>
                  <w:sz w:val="12"/>
                  <w:szCs w:val="12"/>
                  <w:color w:val="0000FF"/>
                </w:rPr>
                <w:t>Management's Discussion and Analysis of Financial Condition and Results of Operations</w:t>
              </w:r>
            </w:hyperlink>
          </w:p>
        </w:tc>
        <w:tc>
          <w:tcPr>
            <w:tcW w:w="2160" w:type="dxa"/>
            <w:vAlign w:val="bottom"/>
            <w:gridSpan w:val="2"/>
          </w:tcPr>
          <w:p>
            <w:pPr>
              <w:jc w:val="right"/>
              <w:spacing w:after="0"/>
              <w:rPr>
                <w:rFonts w:ascii="Arial" w:cs="Arial" w:eastAsia="Arial" w:hAnsi="Arial"/>
                <w:sz w:val="12"/>
                <w:szCs w:val="12"/>
                <w:color w:val="0000FF"/>
              </w:rPr>
            </w:pPr>
            <w:hyperlink w:anchor="page27">
              <w:r>
                <w:rPr>
                  <w:rFonts w:ascii="Arial" w:cs="Arial" w:eastAsia="Arial" w:hAnsi="Arial"/>
                  <w:sz w:val="12"/>
                  <w:szCs w:val="12"/>
                  <w:color w:val="0000FF"/>
                </w:rPr>
                <w:t>28</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2">
              <w:r>
                <w:rPr>
                  <w:rFonts w:ascii="Arial" w:cs="Arial" w:eastAsia="Arial" w:hAnsi="Arial"/>
                  <w:sz w:val="12"/>
                  <w:szCs w:val="12"/>
                  <w:color w:val="0000FF"/>
                </w:rPr>
                <w:t>Item 3.</w:t>
              </w:r>
            </w:hyperlink>
          </w:p>
        </w:tc>
        <w:tc>
          <w:tcPr>
            <w:tcW w:w="8100" w:type="dxa"/>
            <w:vAlign w:val="bottom"/>
            <w:gridSpan w:val="14"/>
          </w:tcPr>
          <w:p>
            <w:pPr>
              <w:spacing w:after="0"/>
              <w:rPr>
                <w:rFonts w:ascii="Arial" w:cs="Arial" w:eastAsia="Arial" w:hAnsi="Arial"/>
                <w:sz w:val="12"/>
                <w:szCs w:val="12"/>
                <w:color w:val="0000FF"/>
              </w:rPr>
            </w:pPr>
            <w:hyperlink w:anchor="page42">
              <w:r>
                <w:rPr>
                  <w:rFonts w:ascii="Arial" w:cs="Arial" w:eastAsia="Arial" w:hAnsi="Arial"/>
                  <w:sz w:val="12"/>
                  <w:szCs w:val="12"/>
                  <w:color w:val="0000FF"/>
                </w:rPr>
                <w:t>Quantitative and Qualitative Disclosures About Market Risk</w:t>
              </w:r>
            </w:hyperlink>
          </w:p>
        </w:tc>
        <w:tc>
          <w:tcPr>
            <w:tcW w:w="2160" w:type="dxa"/>
            <w:vAlign w:val="bottom"/>
            <w:gridSpan w:val="2"/>
          </w:tcPr>
          <w:p>
            <w:pPr>
              <w:jc w:val="right"/>
              <w:spacing w:after="0"/>
              <w:rPr>
                <w:rFonts w:ascii="Arial" w:cs="Arial" w:eastAsia="Arial" w:hAnsi="Arial"/>
                <w:sz w:val="12"/>
                <w:szCs w:val="12"/>
                <w:color w:val="0000FF"/>
              </w:rPr>
            </w:pPr>
            <w:hyperlink w:anchor="page42">
              <w:r>
                <w:rPr>
                  <w:rFonts w:ascii="Arial" w:cs="Arial" w:eastAsia="Arial" w:hAnsi="Arial"/>
                  <w:sz w:val="12"/>
                  <w:szCs w:val="12"/>
                  <w:color w:val="0000FF"/>
                </w:rPr>
                <w:t>43</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Item 4.</w:t>
              </w:r>
            </w:hyperlink>
          </w:p>
        </w:tc>
        <w:tc>
          <w:tcPr>
            <w:tcW w:w="8100" w:type="dxa"/>
            <w:vAlign w:val="bottom"/>
            <w:gridSpan w:val="1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Controls and Procedures</w:t>
              </w:r>
            </w:hyperlink>
          </w:p>
        </w:tc>
        <w:tc>
          <w:tcPr>
            <w:tcW w:w="2160" w:type="dxa"/>
            <w:vAlign w:val="bottom"/>
            <w:gridSpan w:val="2"/>
          </w:tcPr>
          <w:p>
            <w:pPr>
              <w:jc w:val="right"/>
              <w:spacing w:after="0"/>
              <w:rPr>
                <w:rFonts w:ascii="Arial" w:cs="Arial" w:eastAsia="Arial" w:hAnsi="Arial"/>
                <w:sz w:val="12"/>
                <w:szCs w:val="12"/>
                <w:color w:val="0000FF"/>
              </w:rPr>
            </w:pPr>
            <w:hyperlink w:anchor="page44">
              <w:r>
                <w:rPr>
                  <w:rFonts w:ascii="Arial" w:cs="Arial" w:eastAsia="Arial" w:hAnsi="Arial"/>
                  <w:sz w:val="12"/>
                  <w:szCs w:val="12"/>
                  <w:color w:val="0000FF"/>
                </w:rPr>
                <w:t>44</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gridSpan w:val="4"/>
          </w:tcPr>
          <w:p>
            <w:pPr>
              <w:spacing w:after="0"/>
              <w:rPr>
                <w:sz w:val="20"/>
                <w:szCs w:val="20"/>
                <w:color w:val="auto"/>
              </w:rPr>
            </w:pPr>
            <w:r>
              <w:rPr>
                <w:rFonts w:ascii="Arial" w:cs="Arial" w:eastAsia="Arial" w:hAnsi="Arial"/>
                <w:sz w:val="12"/>
                <w:szCs w:val="12"/>
                <w:b w:val="1"/>
                <w:bCs w:val="1"/>
                <w:color w:val="auto"/>
              </w:rPr>
              <w:t>Part II</w:t>
            </w:r>
          </w:p>
        </w:tc>
        <w:tc>
          <w:tcPr>
            <w:tcW w:w="8100" w:type="dxa"/>
            <w:vAlign w:val="bottom"/>
            <w:gridSpan w:val="14"/>
          </w:tcPr>
          <w:p>
            <w:pPr>
              <w:spacing w:after="0"/>
              <w:rPr>
                <w:sz w:val="20"/>
                <w:szCs w:val="20"/>
                <w:color w:val="auto"/>
              </w:rPr>
            </w:pPr>
            <w:r>
              <w:rPr>
                <w:rFonts w:ascii="Arial" w:cs="Arial" w:eastAsia="Arial" w:hAnsi="Arial"/>
                <w:sz w:val="12"/>
                <w:szCs w:val="12"/>
                <w:b w:val="1"/>
                <w:bCs w:val="1"/>
                <w:color w:val="auto"/>
              </w:rPr>
              <w:t>Other Information</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1020" w:type="dxa"/>
            <w:vAlign w:val="bottom"/>
            <w:gridSpan w:val="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Item 1.</w:t>
              </w:r>
            </w:hyperlink>
          </w:p>
        </w:tc>
        <w:tc>
          <w:tcPr>
            <w:tcW w:w="8100" w:type="dxa"/>
            <w:vAlign w:val="bottom"/>
            <w:gridSpan w:val="1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Legal Proceedings</w:t>
              </w:r>
            </w:hyperlink>
          </w:p>
        </w:tc>
        <w:tc>
          <w:tcPr>
            <w:tcW w:w="2160" w:type="dxa"/>
            <w:vAlign w:val="bottom"/>
            <w:gridSpan w:val="2"/>
          </w:tcPr>
          <w:p>
            <w:pPr>
              <w:jc w:val="right"/>
              <w:spacing w:after="0"/>
              <w:rPr>
                <w:rFonts w:ascii="Arial" w:cs="Arial" w:eastAsia="Arial" w:hAnsi="Arial"/>
                <w:sz w:val="12"/>
                <w:szCs w:val="12"/>
                <w:color w:val="0000FF"/>
              </w:rPr>
            </w:pPr>
            <w:hyperlink w:anchor="page44">
              <w:r>
                <w:rPr>
                  <w:rFonts w:ascii="Arial" w:cs="Arial" w:eastAsia="Arial" w:hAnsi="Arial"/>
                  <w:sz w:val="12"/>
                  <w:szCs w:val="12"/>
                  <w:color w:val="0000FF"/>
                </w:rPr>
                <w:t>44</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40" w:type="dxa"/>
            <w:vAlign w:val="bottom"/>
            <w:tcBorders>
              <w:bottom w:val="single" w:sz="8" w:color="0000FF"/>
            </w:tcBorders>
            <w:gridSpan w:val="2"/>
          </w:tcPr>
          <w:p>
            <w:pPr>
              <w:spacing w:after="0"/>
              <w:rPr>
                <w:rFonts w:ascii="Arial" w:cs="Arial" w:eastAsia="Arial" w:hAnsi="Arial"/>
                <w:sz w:val="12"/>
                <w:szCs w:val="12"/>
                <w:color w:val="0000FF"/>
                <w:w w:val="93"/>
              </w:rPr>
            </w:pPr>
            <w:hyperlink w:anchor="page44">
              <w:r>
                <w:rPr>
                  <w:rFonts w:ascii="Arial" w:cs="Arial" w:eastAsia="Arial" w:hAnsi="Arial"/>
                  <w:sz w:val="12"/>
                  <w:szCs w:val="12"/>
                  <w:color w:val="0000FF"/>
                  <w:w w:val="93"/>
                </w:rPr>
                <w:t>Item 1A.</w:t>
              </w:r>
            </w:hyperlink>
          </w:p>
        </w:tc>
        <w:tc>
          <w:tcPr>
            <w:tcW w:w="580" w:type="dxa"/>
            <w:vAlign w:val="bottom"/>
            <w:gridSpan w:val="2"/>
          </w:tcPr>
          <w:p>
            <w:pPr>
              <w:spacing w:after="0"/>
              <w:rPr>
                <w:sz w:val="14"/>
                <w:szCs w:val="14"/>
                <w:color w:val="auto"/>
              </w:rPr>
            </w:pPr>
          </w:p>
        </w:tc>
        <w:tc>
          <w:tcPr>
            <w:tcW w:w="600" w:type="dxa"/>
            <w:vAlign w:val="bottom"/>
            <w:tcBorders>
              <w:bottom w:val="single" w:sz="8" w:color="0000FF"/>
            </w:tcBorders>
            <w:gridSpan w:val="2"/>
          </w:tcPr>
          <w:p>
            <w:pPr>
              <w:spacing w:after="0"/>
              <w:rPr>
                <w:rFonts w:ascii="Arial" w:cs="Arial" w:eastAsia="Arial" w:hAnsi="Arial"/>
                <w:sz w:val="12"/>
                <w:szCs w:val="12"/>
                <w:color w:val="0000FF"/>
                <w:w w:val="86"/>
              </w:rPr>
            </w:pPr>
            <w:hyperlink w:anchor="page44">
              <w:r>
                <w:rPr>
                  <w:rFonts w:ascii="Arial" w:cs="Arial" w:eastAsia="Arial" w:hAnsi="Arial"/>
                  <w:sz w:val="12"/>
                  <w:szCs w:val="12"/>
                  <w:color w:val="0000FF"/>
                  <w:w w:val="86"/>
                </w:rPr>
                <w:t>Risk Factors</w:t>
              </w:r>
            </w:hyperlink>
          </w:p>
        </w:tc>
        <w:tc>
          <w:tcPr>
            <w:tcW w:w="7500" w:type="dxa"/>
            <w:vAlign w:val="bottom"/>
            <w:gridSpan w:val="12"/>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0000FF"/>
            </w:tcBorders>
          </w:tcPr>
          <w:p>
            <w:pPr>
              <w:jc w:val="right"/>
              <w:spacing w:after="0"/>
              <w:rPr>
                <w:rFonts w:ascii="Arial" w:cs="Arial" w:eastAsia="Arial" w:hAnsi="Arial"/>
                <w:sz w:val="12"/>
                <w:szCs w:val="12"/>
                <w:color w:val="0000FF"/>
                <w:w w:val="74"/>
              </w:rPr>
            </w:pPr>
            <w:hyperlink w:anchor="page44">
              <w:r>
                <w:rPr>
                  <w:rFonts w:ascii="Arial" w:cs="Arial" w:eastAsia="Arial" w:hAnsi="Arial"/>
                  <w:sz w:val="12"/>
                  <w:szCs w:val="12"/>
                  <w:color w:val="0000FF"/>
                  <w:w w:val="74"/>
                </w:rPr>
                <w:t>44</w:t>
              </w:r>
            </w:hyperlink>
          </w:p>
        </w:tc>
        <w:tc>
          <w:tcPr>
            <w:tcW w:w="20" w:type="dxa"/>
            <w:vAlign w:val="bottom"/>
          </w:tcPr>
          <w:p>
            <w:pPr>
              <w:spacing w:after="0"/>
              <w:rPr>
                <w:sz w:val="14"/>
                <w:szCs w:val="14"/>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Item 2.</w:t>
              </w:r>
            </w:hyperlink>
          </w:p>
        </w:tc>
        <w:tc>
          <w:tcPr>
            <w:tcW w:w="8100" w:type="dxa"/>
            <w:vAlign w:val="bottom"/>
            <w:gridSpan w:val="14"/>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Unregistered Sales of Equity Securities and Use of Proceeds</w:t>
              </w:r>
            </w:hyperlink>
          </w:p>
        </w:tc>
        <w:tc>
          <w:tcPr>
            <w:tcW w:w="2160" w:type="dxa"/>
            <w:vAlign w:val="bottom"/>
            <w:gridSpan w:val="2"/>
          </w:tcPr>
          <w:p>
            <w:pPr>
              <w:jc w:val="right"/>
              <w:spacing w:after="0"/>
              <w:rPr>
                <w:rFonts w:ascii="Arial" w:cs="Arial" w:eastAsia="Arial" w:hAnsi="Arial"/>
                <w:sz w:val="12"/>
                <w:szCs w:val="12"/>
                <w:color w:val="0000FF"/>
              </w:rPr>
            </w:pPr>
            <w:hyperlink w:anchor="page44">
              <w:r>
                <w:rPr>
                  <w:rFonts w:ascii="Arial" w:cs="Arial" w:eastAsia="Arial" w:hAnsi="Arial"/>
                  <w:sz w:val="12"/>
                  <w:szCs w:val="12"/>
                  <w:color w:val="0000FF"/>
                </w:rPr>
                <w:t>45</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2"/>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Item 3.</w:t>
              </w:r>
            </w:hyperlink>
          </w:p>
        </w:tc>
        <w:tc>
          <w:tcPr>
            <w:tcW w:w="8100" w:type="dxa"/>
            <w:vAlign w:val="bottom"/>
            <w:gridSpan w:val="1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Defaults Upon Senior Securities</w:t>
              </w:r>
            </w:hyperlink>
          </w:p>
        </w:tc>
        <w:tc>
          <w:tcPr>
            <w:tcW w:w="2160" w:type="dxa"/>
            <w:vAlign w:val="bottom"/>
            <w:gridSpan w:val="2"/>
          </w:tcPr>
          <w:p>
            <w:pPr>
              <w:jc w:val="right"/>
              <w:spacing w:after="0"/>
              <w:rPr>
                <w:rFonts w:ascii="Arial" w:cs="Arial" w:eastAsia="Arial" w:hAnsi="Arial"/>
                <w:sz w:val="12"/>
                <w:szCs w:val="12"/>
                <w:color w:val="0000FF"/>
              </w:rPr>
            </w:pPr>
            <w:hyperlink w:anchor="page45">
              <w:r>
                <w:rPr>
                  <w:rFonts w:ascii="Arial" w:cs="Arial" w:eastAsia="Arial" w:hAnsi="Arial"/>
                  <w:sz w:val="12"/>
                  <w:szCs w:val="12"/>
                  <w:color w:val="0000FF"/>
                </w:rPr>
                <w:t>45</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Item 4.</w:t>
              </w:r>
            </w:hyperlink>
          </w:p>
        </w:tc>
        <w:tc>
          <w:tcPr>
            <w:tcW w:w="8100" w:type="dxa"/>
            <w:vAlign w:val="bottom"/>
            <w:gridSpan w:val="1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Mine Safety Disclosures</w:t>
              </w:r>
            </w:hyperlink>
          </w:p>
        </w:tc>
        <w:tc>
          <w:tcPr>
            <w:tcW w:w="2160" w:type="dxa"/>
            <w:vAlign w:val="bottom"/>
            <w:gridSpan w:val="2"/>
          </w:tcPr>
          <w:p>
            <w:pPr>
              <w:jc w:val="right"/>
              <w:spacing w:after="0"/>
              <w:rPr>
                <w:rFonts w:ascii="Arial" w:cs="Arial" w:eastAsia="Arial" w:hAnsi="Arial"/>
                <w:sz w:val="12"/>
                <w:szCs w:val="12"/>
                <w:color w:val="0000FF"/>
              </w:rPr>
            </w:pPr>
            <w:hyperlink w:anchor="page45">
              <w:r>
                <w:rPr>
                  <w:rFonts w:ascii="Arial" w:cs="Arial" w:eastAsia="Arial" w:hAnsi="Arial"/>
                  <w:sz w:val="12"/>
                  <w:szCs w:val="12"/>
                  <w:color w:val="0000FF"/>
                </w:rPr>
                <w:t>45</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Item 5.</w:t>
              </w:r>
            </w:hyperlink>
          </w:p>
        </w:tc>
        <w:tc>
          <w:tcPr>
            <w:tcW w:w="8100" w:type="dxa"/>
            <w:vAlign w:val="bottom"/>
            <w:gridSpan w:val="1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Other Information</w:t>
              </w:r>
            </w:hyperlink>
          </w:p>
        </w:tc>
        <w:tc>
          <w:tcPr>
            <w:tcW w:w="2160" w:type="dxa"/>
            <w:vAlign w:val="bottom"/>
            <w:gridSpan w:val="2"/>
          </w:tcPr>
          <w:p>
            <w:pPr>
              <w:jc w:val="right"/>
              <w:spacing w:after="0"/>
              <w:rPr>
                <w:rFonts w:ascii="Arial" w:cs="Arial" w:eastAsia="Arial" w:hAnsi="Arial"/>
                <w:sz w:val="12"/>
                <w:szCs w:val="12"/>
                <w:color w:val="0000FF"/>
              </w:rPr>
            </w:pPr>
            <w:hyperlink w:anchor="page45">
              <w:r>
                <w:rPr>
                  <w:rFonts w:ascii="Arial" w:cs="Arial" w:eastAsia="Arial" w:hAnsi="Arial"/>
                  <w:sz w:val="12"/>
                  <w:szCs w:val="12"/>
                  <w:color w:val="0000FF"/>
                </w:rPr>
                <w:t>45</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Item 6.</w:t>
              </w:r>
            </w:hyperlink>
          </w:p>
        </w:tc>
        <w:tc>
          <w:tcPr>
            <w:tcW w:w="8100" w:type="dxa"/>
            <w:vAlign w:val="bottom"/>
            <w:gridSpan w:val="14"/>
          </w:tcPr>
          <w:p>
            <w:pPr>
              <w:spacing w:after="0"/>
              <w:rPr>
                <w:rFonts w:ascii="Arial" w:cs="Arial" w:eastAsia="Arial" w:hAnsi="Arial"/>
                <w:sz w:val="12"/>
                <w:szCs w:val="12"/>
                <w:color w:val="0000FF"/>
              </w:rPr>
            </w:pPr>
            <w:hyperlink w:anchor="page45">
              <w:r>
                <w:rPr>
                  <w:rFonts w:ascii="Arial" w:cs="Arial" w:eastAsia="Arial" w:hAnsi="Arial"/>
                  <w:sz w:val="12"/>
                  <w:szCs w:val="12"/>
                  <w:color w:val="0000FF"/>
                </w:rPr>
                <w:t>Exhibits</w:t>
              </w:r>
            </w:hyperlink>
          </w:p>
        </w:tc>
        <w:tc>
          <w:tcPr>
            <w:tcW w:w="2160" w:type="dxa"/>
            <w:vAlign w:val="bottom"/>
            <w:gridSpan w:val="2"/>
          </w:tcPr>
          <w:p>
            <w:pPr>
              <w:jc w:val="right"/>
              <w:spacing w:after="0"/>
              <w:rPr>
                <w:rFonts w:ascii="Arial" w:cs="Arial" w:eastAsia="Arial" w:hAnsi="Arial"/>
                <w:sz w:val="12"/>
                <w:szCs w:val="12"/>
                <w:color w:val="0000FF"/>
              </w:rPr>
            </w:pPr>
            <w:hyperlink w:anchor="page45">
              <w:r>
                <w:rPr>
                  <w:rFonts w:ascii="Arial" w:cs="Arial" w:eastAsia="Arial" w:hAnsi="Arial"/>
                  <w:sz w:val="12"/>
                  <w:szCs w:val="12"/>
                  <w:color w:val="0000FF"/>
                </w:rPr>
                <w:t>46</w:t>
              </w:r>
            </w:hyperlink>
          </w:p>
        </w:tc>
        <w:tc>
          <w:tcPr>
            <w:tcW w:w="20" w:type="dxa"/>
            <w:vAlign w:val="bottom"/>
          </w:tcPr>
          <w:p>
            <w:pPr>
              <w:spacing w:after="0"/>
              <w:rPr>
                <w:sz w:val="14"/>
                <w:szCs w:val="14"/>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gridSpan w:val="4"/>
          </w:tcPr>
          <w:p>
            <w:pPr>
              <w:spacing w:after="0"/>
              <w:rPr>
                <w:rFonts w:ascii="Arial" w:cs="Arial" w:eastAsia="Arial" w:hAnsi="Arial"/>
                <w:sz w:val="12"/>
                <w:szCs w:val="12"/>
                <w:b w:val="1"/>
                <w:bCs w:val="1"/>
                <w:color w:val="0000FF"/>
              </w:rPr>
            </w:pPr>
            <w:hyperlink w:anchor="page47">
              <w:r>
                <w:rPr>
                  <w:rFonts w:ascii="Arial" w:cs="Arial" w:eastAsia="Arial" w:hAnsi="Arial"/>
                  <w:sz w:val="12"/>
                  <w:szCs w:val="12"/>
                  <w:b w:val="1"/>
                  <w:bCs w:val="1"/>
                  <w:color w:val="0000FF"/>
                </w:rPr>
                <w:t>Signature</w:t>
              </w:r>
            </w:hyperlink>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gridSpan w:val="2"/>
          </w:tcPr>
          <w:p>
            <w:pPr>
              <w:jc w:val="right"/>
              <w:spacing w:after="0"/>
              <w:rPr>
                <w:rFonts w:ascii="Arial" w:cs="Arial" w:eastAsia="Arial" w:hAnsi="Arial"/>
                <w:sz w:val="12"/>
                <w:szCs w:val="12"/>
                <w:color w:val="0000FF"/>
              </w:rPr>
            </w:pPr>
            <w:hyperlink w:anchor="page47">
              <w:r>
                <w:rPr>
                  <w:rFonts w:ascii="Arial" w:cs="Arial" w:eastAsia="Arial" w:hAnsi="Arial"/>
                  <w:sz w:val="12"/>
                  <w:szCs w:val="12"/>
                  <w:color w:val="0000FF"/>
                </w:rPr>
                <w:t>48</w:t>
              </w:r>
            </w:hyperlink>
          </w:p>
        </w:tc>
        <w:tc>
          <w:tcPr>
            <w:tcW w:w="20" w:type="dxa"/>
            <w:vAlign w:val="bottom"/>
          </w:tcPr>
          <w:p>
            <w:pPr>
              <w:spacing w:after="0"/>
              <w:rPr>
                <w:sz w:val="14"/>
                <w:szCs w:val="14"/>
                <w:color w:val="auto"/>
              </w:rPr>
            </w:pPr>
          </w:p>
        </w:tc>
      </w:tr>
      <w:tr>
        <w:trPr>
          <w:trHeight w:val="844"/>
        </w:trPr>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880" w:type="dxa"/>
            <w:vAlign w:val="bottom"/>
            <w:gridSpan w:val="11"/>
          </w:tcPr>
          <w:p>
            <w:pPr>
              <w:jc w:val="center"/>
              <w:ind w:left="4320"/>
              <w:spacing w:after="0"/>
              <w:rPr>
                <w:sz w:val="20"/>
                <w:szCs w:val="20"/>
                <w:color w:val="auto"/>
              </w:rPr>
            </w:pPr>
            <w:r>
              <w:rPr>
                <w:rFonts w:ascii="Arial" w:cs="Arial" w:eastAsia="Arial" w:hAnsi="Arial"/>
                <w:sz w:val="12"/>
                <w:szCs w:val="12"/>
                <w:color w:val="auto"/>
                <w:w w:val="89"/>
              </w:rPr>
              <w:t>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CONSOLIDATED BALANCE SHEETS</w:t>
      </w:r>
    </w:p>
    <w:p>
      <w:pPr>
        <w:spacing w:after="0" w:line="105"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(Dollars in thousands, except par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10"/>
                <w:szCs w:val="10"/>
                <w:color w:val="auto"/>
              </w:rPr>
            </w:pPr>
          </w:p>
        </w:tc>
        <w:tc>
          <w:tcPr>
            <w:tcW w:w="1180" w:type="dxa"/>
            <w:vAlign w:val="bottom"/>
          </w:tcPr>
          <w:p>
            <w:pPr>
              <w:jc w:val="right"/>
              <w:ind w:right="38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83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4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Property, net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6,330,391</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6,694,579</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117,596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465,297</w:t>
            </w: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55,514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17,362</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Tenant and other receivables, net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175,290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239,194</w:t>
            </w: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Right-of-use assets, net</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113,068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118,355</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charges and other assets, net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252,021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306,959</w:t>
            </w: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Due from affiliates</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2,977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 in unconsolidated joint ventures</w:t>
            </w: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1,365,369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1,340,647</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8,412,226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9,184,005</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 AND EQUITY:</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Mortgage notes payable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4,432,587</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4,560,810</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 and other notes payable</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114,252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1,477,540</w:t>
            </w: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58,461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68,825</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Lease liabilities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83,456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90,216</w:t>
            </w:r>
          </w:p>
        </w:tc>
        <w:tc>
          <w:tcPr>
            <w:tcW w:w="0" w:type="dxa"/>
            <w:vAlign w:val="bottom"/>
          </w:tcPr>
          <w:p>
            <w:pPr>
              <w:spacing w:after="0"/>
              <w:rPr>
                <w:sz w:val="1"/>
                <w:szCs w:val="1"/>
                <w:color w:val="auto"/>
              </w:rPr>
            </w:pPr>
          </w:p>
        </w:tc>
      </w:tr>
      <w:tr>
        <w:trPr>
          <w:trHeight w:val="153"/>
        </w:trPr>
        <w:tc>
          <w:tcPr>
            <w:tcW w:w="8320" w:type="dxa"/>
            <w:vAlign w:val="bottom"/>
          </w:tcPr>
          <w:p>
            <w:pPr>
              <w:ind w:left="20"/>
              <w:spacing w:after="0"/>
              <w:rPr>
                <w:sz w:val="20"/>
                <w:szCs w:val="20"/>
                <w:color w:val="auto"/>
              </w:rPr>
            </w:pPr>
            <w:r>
              <w:rPr>
                <w:rFonts w:ascii="Arial" w:cs="Arial" w:eastAsia="Arial" w:hAnsi="Arial"/>
                <w:sz w:val="12"/>
                <w:szCs w:val="12"/>
                <w:color w:val="auto"/>
              </w:rPr>
              <w:t>Other accrued liabilities</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237,392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298,594</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in excess of investments in unconsolidated joint ventures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129,517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108,381</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Financing arrangement obligation</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121,770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134,379</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5,177,435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6,738,745</w:t>
            </w:r>
          </w:p>
        </w:tc>
        <w:tc>
          <w:tcPr>
            <w:tcW w:w="0" w:type="dxa"/>
            <w:vAlign w:val="bottom"/>
          </w:tcPr>
          <w:p>
            <w:pPr>
              <w:spacing w:after="0"/>
              <w:rPr>
                <w:sz w:val="1"/>
                <w:szCs w:val="1"/>
                <w:color w:val="auto"/>
              </w:rPr>
            </w:pPr>
          </w:p>
        </w:tc>
      </w:tr>
      <w:tr>
        <w:trPr>
          <w:trHeight w:val="133"/>
        </w:trPr>
        <w:tc>
          <w:tcPr>
            <w:tcW w:w="8320" w:type="dxa"/>
            <w:vAlign w:val="bottom"/>
          </w:tcPr>
          <w:p>
            <w:pPr>
              <w:ind w:left="20"/>
              <w:spacing w:after="0" w:line="133" w:lineRule="exact"/>
              <w:rPr>
                <w:sz w:val="20"/>
                <w:szCs w:val="20"/>
                <w:color w:val="auto"/>
              </w:rPr>
            </w:pPr>
            <w:r>
              <w:rPr>
                <w:rFonts w:ascii="Arial" w:cs="Arial" w:eastAsia="Arial" w:hAnsi="Arial"/>
                <w:sz w:val="12"/>
                <w:szCs w:val="12"/>
                <w:color w:val="auto"/>
              </w:rPr>
              <w:t>Commitments and contingencies</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Stockholders' equity:</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32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1"/>
              </w:rPr>
              <w:t>Common stock, $0.01 par value, 500,000,000 and 250,000,000 shares authorized at September 30, 2021 and December 31, 2020, respectively, and 213,307,990 and</w:t>
            </w:r>
          </w:p>
        </w:tc>
        <w:tc>
          <w:tcPr>
            <w:tcW w:w="2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2,133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149,770,575 shares issued and outstanding at September 30, 2021 and December 31, 2020, respectively</w:t>
            </w:r>
          </w:p>
        </w:tc>
        <w:tc>
          <w:tcPr>
            <w:tcW w:w="2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22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5,467,235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4,603,378</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Accumulated deficit</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(2,394,634)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(2,339,619)</w:t>
            </w:r>
          </w:p>
        </w:tc>
        <w:tc>
          <w:tcPr>
            <w:tcW w:w="0" w:type="dxa"/>
            <w:vAlign w:val="bottom"/>
          </w:tcPr>
          <w:p>
            <w:pPr>
              <w:spacing w:after="0"/>
              <w:rPr>
                <w:sz w:val="1"/>
                <w:szCs w:val="1"/>
                <w:color w:val="auto"/>
              </w:rPr>
            </w:pPr>
          </w:p>
        </w:tc>
      </w:tr>
      <w:tr>
        <w:trPr>
          <w:trHeight w:val="153"/>
        </w:trPr>
        <w:tc>
          <w:tcPr>
            <w:tcW w:w="8320" w:type="dxa"/>
            <w:vAlign w:val="bottom"/>
          </w:tcPr>
          <w:p>
            <w:pPr>
              <w:ind w:left="220"/>
              <w:spacing w:after="0"/>
              <w:rPr>
                <w:sz w:val="20"/>
                <w:szCs w:val="20"/>
                <w:color w:val="auto"/>
              </w:rPr>
            </w:pPr>
            <w:r>
              <w:rPr>
                <w:rFonts w:ascii="Arial" w:cs="Arial" w:eastAsia="Arial" w:hAnsi="Arial"/>
                <w:sz w:val="12"/>
                <w:szCs w:val="12"/>
                <w:color w:val="auto"/>
              </w:rPr>
              <w:t>Accumulated other comprehensive loss</w:t>
            </w:r>
          </w:p>
        </w:tc>
        <w:tc>
          <w:tcPr>
            <w:tcW w:w="26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(8,208)</w:t>
            </w:r>
          </w:p>
        </w:tc>
        <w:tc>
          <w:tcPr>
            <w:tcW w:w="0" w:type="dxa"/>
            <w:vAlign w:val="bottom"/>
          </w:tcPr>
          <w:p>
            <w:pPr>
              <w:spacing w:after="0"/>
              <w:rPr>
                <w:sz w:val="1"/>
                <w:szCs w:val="1"/>
                <w:color w:val="auto"/>
              </w:rPr>
            </w:pPr>
          </w:p>
        </w:tc>
      </w:tr>
      <w:tr>
        <w:trPr>
          <w:trHeight w:val="142"/>
        </w:trPr>
        <w:tc>
          <w:tcPr>
            <w:tcW w:w="8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3,074,734</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2,257,049</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Noncontrolling interests</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160,057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188,211</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3,234,791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2,445,260</w:t>
            </w:r>
          </w:p>
        </w:tc>
        <w:tc>
          <w:tcPr>
            <w:tcW w:w="0" w:type="dxa"/>
            <w:vAlign w:val="bottom"/>
          </w:tcPr>
          <w:p>
            <w:pPr>
              <w:spacing w:after="0"/>
              <w:rPr>
                <w:sz w:val="1"/>
                <w:szCs w:val="1"/>
                <w:color w:val="auto"/>
              </w:rPr>
            </w:pPr>
          </w:p>
        </w:tc>
      </w:tr>
      <w:tr>
        <w:trPr>
          <w:trHeight w:val="142"/>
        </w:trPr>
        <w:tc>
          <w:tcPr>
            <w:tcW w:w="8320" w:type="dxa"/>
            <w:vAlign w:val="bottom"/>
          </w:tcPr>
          <w:p>
            <w:pPr>
              <w:ind w:left="360"/>
              <w:spacing w:after="0"/>
              <w:rPr>
                <w:sz w:val="20"/>
                <w:szCs w:val="20"/>
                <w:color w:val="auto"/>
              </w:rPr>
            </w:pPr>
            <w:r>
              <w:rPr>
                <w:rFonts w:ascii="Arial" w:cs="Arial" w:eastAsia="Arial" w:hAnsi="Arial"/>
                <w:sz w:val="12"/>
                <w:szCs w:val="12"/>
                <w:color w:val="auto"/>
              </w:rPr>
              <w:t>Total liabilities and equity</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8,412,226</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9,184,005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 w:name="page4"/>
    <w:bookmarkEnd w:id="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157" w:lineRule="exact"/>
        <w:rPr>
          <w:sz w:val="20"/>
          <w:szCs w:val="20"/>
          <w:color w:val="auto"/>
        </w:rPr>
      </w:pPr>
    </w:p>
    <w:tbl>
      <w:tblPr>
        <w:tblLayout w:type="fixed"/>
        <w:tblInd w:w="500" w:type="dxa"/>
        <w:tblCellMar>
          <w:top w:w="0" w:type="dxa"/>
          <w:left w:w="0" w:type="dxa"/>
          <w:bottom w:w="0" w:type="dxa"/>
          <w:right w:w="0" w:type="dxa"/>
        </w:tblCellMar>
      </w:tblPr>
      <w:tr>
        <w:trPr>
          <w:trHeight w:val="127"/>
        </w:trPr>
        <w:tc>
          <w:tcPr>
            <w:tcW w:w="5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5"/>
          </w:tcPr>
          <w:p>
            <w:pPr>
              <w:ind w:left="100"/>
              <w:spacing w:after="0"/>
              <w:rPr>
                <w:sz w:val="20"/>
                <w:szCs w:val="20"/>
                <w:color w:val="auto"/>
              </w:rPr>
            </w:pPr>
            <w:r>
              <w:rPr>
                <w:rFonts w:ascii="Arial" w:cs="Arial" w:eastAsia="Arial" w:hAnsi="Arial"/>
                <w:sz w:val="10"/>
                <w:szCs w:val="10"/>
                <w:b w:val="1"/>
                <w:bCs w:val="1"/>
                <w:color w:val="auto"/>
              </w:rPr>
              <w:t>For the Three Months Ended September 30,</w:t>
            </w:r>
          </w:p>
        </w:tc>
        <w:tc>
          <w:tcPr>
            <w:tcW w:w="100" w:type="dxa"/>
            <w:vAlign w:val="bottom"/>
          </w:tcPr>
          <w:p>
            <w:pPr>
              <w:spacing w:after="0"/>
              <w:rPr>
                <w:sz w:val="11"/>
                <w:szCs w:val="11"/>
                <w:color w:val="auto"/>
              </w:rPr>
            </w:pPr>
          </w:p>
        </w:tc>
        <w:tc>
          <w:tcPr>
            <w:tcW w:w="1960" w:type="dxa"/>
            <w:vAlign w:val="bottom"/>
            <w:gridSpan w:val="4"/>
          </w:tcPr>
          <w:p>
            <w:pPr>
              <w:jc w:val="right"/>
              <w:ind w:right="112"/>
              <w:spacing w:after="0"/>
              <w:rPr>
                <w:sz w:val="20"/>
                <w:szCs w:val="20"/>
                <w:color w:val="auto"/>
              </w:rPr>
            </w:pPr>
            <w:r>
              <w:rPr>
                <w:rFonts w:ascii="Arial" w:cs="Arial" w:eastAsia="Arial" w:hAnsi="Arial"/>
                <w:sz w:val="10"/>
                <w:szCs w:val="10"/>
                <w:b w:val="1"/>
                <w:bCs w:val="1"/>
                <w:color w:val="auto"/>
                <w:w w:val="88"/>
              </w:rPr>
              <w:t>For the Nine Months Ended September 30,</w:t>
            </w:r>
          </w:p>
        </w:tc>
      </w:tr>
      <w:tr>
        <w:trPr>
          <w:trHeight w:val="118"/>
        </w:trPr>
        <w:tc>
          <w:tcPr>
            <w:tcW w:w="584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2020</w:t>
            </w:r>
          </w:p>
        </w:tc>
      </w:tr>
      <w:tr>
        <w:trPr>
          <w:trHeight w:val="116"/>
        </w:trPr>
        <w:tc>
          <w:tcPr>
            <w:tcW w:w="58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Revenues:</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24"/>
        </w:trPr>
        <w:tc>
          <w:tcPr>
            <w:tcW w:w="5840" w:type="dxa"/>
            <w:vAlign w:val="bottom"/>
          </w:tcPr>
          <w:p>
            <w:pPr>
              <w:ind w:left="80"/>
              <w:spacing w:after="0"/>
              <w:rPr>
                <w:sz w:val="20"/>
                <w:szCs w:val="20"/>
                <w:color w:val="auto"/>
              </w:rPr>
            </w:pPr>
            <w:r>
              <w:rPr>
                <w:rFonts w:ascii="Arial" w:cs="Arial" w:eastAsia="Arial" w:hAnsi="Arial"/>
                <w:sz w:val="10"/>
                <w:szCs w:val="10"/>
                <w:color w:val="auto"/>
              </w:rPr>
              <w:t>Leasing revenue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197,135</w:t>
            </w:r>
          </w:p>
        </w:tc>
        <w:tc>
          <w:tcPr>
            <w:tcW w:w="100" w:type="dxa"/>
            <w:vAlign w:val="bottom"/>
          </w:tcPr>
          <w:p>
            <w:pPr>
              <w:spacing w:after="0"/>
              <w:rPr>
                <w:sz w:val="10"/>
                <w:szCs w:val="10"/>
                <w:color w:val="auto"/>
              </w:rPr>
            </w:pPr>
          </w:p>
        </w:tc>
        <w:tc>
          <w:tcPr>
            <w:tcW w:w="240" w:type="dxa"/>
            <w:vAlign w:val="bottom"/>
          </w:tcPr>
          <w:p>
            <w:pPr>
              <w:jc w:val="right"/>
              <w:ind w:right="176"/>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175,506</w:t>
            </w:r>
          </w:p>
        </w:tc>
        <w:tc>
          <w:tcPr>
            <w:tcW w:w="100" w:type="dxa"/>
            <w:vAlign w:val="bottom"/>
          </w:tcPr>
          <w:p>
            <w:pPr>
              <w:spacing w:after="0"/>
              <w:rPr>
                <w:sz w:val="10"/>
                <w:szCs w:val="10"/>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573,657</w:t>
            </w:r>
          </w:p>
        </w:tc>
        <w:tc>
          <w:tcPr>
            <w:tcW w:w="10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554,981</w:t>
            </w:r>
          </w:p>
        </w:tc>
      </w:tr>
      <w:tr>
        <w:trPr>
          <w:trHeight w:val="128"/>
        </w:trPr>
        <w:tc>
          <w:tcPr>
            <w:tcW w:w="5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25,391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16,595</w:t>
            </w:r>
          </w:p>
        </w:tc>
      </w:tr>
      <w:tr>
        <w:trPr>
          <w:trHeight w:val="124"/>
        </w:trPr>
        <w:tc>
          <w:tcPr>
            <w:tcW w:w="58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Management Companies</w:t>
            </w: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6,787</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6,004</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18,986</w:t>
            </w: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19,807</w:t>
            </w:r>
          </w:p>
        </w:tc>
      </w:tr>
      <w:tr>
        <w:trPr>
          <w:trHeight w:val="117"/>
        </w:trPr>
        <w:tc>
          <w:tcPr>
            <w:tcW w:w="5840" w:type="dxa"/>
            <w:vAlign w:val="bottom"/>
            <w:shd w:val="clear" w:color="auto" w:fill="CCEEFF"/>
          </w:tcPr>
          <w:p>
            <w:pPr>
              <w:ind w:left="220"/>
              <w:spacing w:after="0" w:line="110" w:lineRule="exact"/>
              <w:rPr>
                <w:sz w:val="20"/>
                <w:szCs w:val="20"/>
                <w:color w:val="auto"/>
              </w:rPr>
            </w:pPr>
            <w:r>
              <w:rPr>
                <w:rFonts w:ascii="Arial" w:cs="Arial" w:eastAsia="Arial" w:hAnsi="Arial"/>
                <w:sz w:val="10"/>
                <w:szCs w:val="10"/>
                <w:color w:val="auto"/>
              </w:rPr>
              <w:t>Total revenues</w:t>
            </w:r>
          </w:p>
        </w:tc>
        <w:tc>
          <w:tcPr>
            <w:tcW w:w="1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212,137</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185,844</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618,034</w:t>
            </w: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591,383</w:t>
            </w:r>
          </w:p>
        </w:tc>
      </w:tr>
      <w:tr>
        <w:trPr>
          <w:trHeight w:val="111"/>
        </w:trPr>
        <w:tc>
          <w:tcPr>
            <w:tcW w:w="5840" w:type="dxa"/>
            <w:vAlign w:val="bottom"/>
          </w:tcPr>
          <w:p>
            <w:pPr>
              <w:spacing w:after="0" w:line="107" w:lineRule="exact"/>
              <w:rPr>
                <w:sz w:val="20"/>
                <w:szCs w:val="20"/>
                <w:color w:val="auto"/>
              </w:rPr>
            </w:pPr>
            <w:r>
              <w:rPr>
                <w:rFonts w:ascii="Arial" w:cs="Arial" w:eastAsia="Arial" w:hAnsi="Arial"/>
                <w:sz w:val="10"/>
                <w:szCs w:val="10"/>
                <w:color w:val="auto"/>
              </w:rPr>
              <w:t>Expenses:</w:t>
            </w: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30"/>
        </w:trPr>
        <w:tc>
          <w:tcPr>
            <w:tcW w:w="5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Shopping center and operating expenses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70,696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64,680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214,506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192,538</w:t>
            </w:r>
          </w:p>
        </w:tc>
      </w:tr>
      <w:tr>
        <w:trPr>
          <w:trHeight w:val="124"/>
        </w:trPr>
        <w:tc>
          <w:tcPr>
            <w:tcW w:w="5840" w:type="dxa"/>
            <w:vAlign w:val="bottom"/>
          </w:tcPr>
          <w:p>
            <w:pPr>
              <w:ind w:left="80"/>
              <w:spacing w:after="0"/>
              <w:rPr>
                <w:sz w:val="20"/>
                <w:szCs w:val="20"/>
                <w:color w:val="auto"/>
              </w:rPr>
            </w:pPr>
            <w:r>
              <w:rPr>
                <w:rFonts w:ascii="Arial" w:cs="Arial" w:eastAsia="Arial" w:hAnsi="Arial"/>
                <w:sz w:val="10"/>
                <w:szCs w:val="10"/>
                <w:color w:val="auto"/>
              </w:rPr>
              <w:t>Leasing expenses</w:t>
            </w:r>
          </w:p>
        </w:tc>
        <w:tc>
          <w:tcPr>
            <w:tcW w:w="1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6,200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5,544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18,003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19,622</w:t>
            </w:r>
          </w:p>
        </w:tc>
      </w:tr>
      <w:tr>
        <w:trPr>
          <w:trHeight w:val="128"/>
        </w:trPr>
        <w:tc>
          <w:tcPr>
            <w:tcW w:w="5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Management Companies' operating expenses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14,601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44,465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45,697</w:t>
            </w:r>
          </w:p>
        </w:tc>
      </w:tr>
      <w:tr>
        <w:trPr>
          <w:trHeight w:val="124"/>
        </w:trPr>
        <w:tc>
          <w:tcPr>
            <w:tcW w:w="5840" w:type="dxa"/>
            <w:vAlign w:val="bottom"/>
          </w:tcPr>
          <w:p>
            <w:pPr>
              <w:ind w:left="80"/>
              <w:spacing w:after="0"/>
              <w:rPr>
                <w:sz w:val="20"/>
                <w:szCs w:val="20"/>
                <w:color w:val="auto"/>
              </w:rPr>
            </w:pPr>
            <w:r>
              <w:rPr>
                <w:rFonts w:ascii="Arial" w:cs="Arial" w:eastAsia="Arial" w:hAnsi="Arial"/>
                <w:sz w:val="10"/>
                <w:szCs w:val="10"/>
                <w:color w:val="auto"/>
              </w:rPr>
              <w:t>REIT general and administrative expenses</w:t>
            </w:r>
          </w:p>
        </w:tc>
        <w:tc>
          <w:tcPr>
            <w:tcW w:w="1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7,599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7,589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22,365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22,652</w:t>
            </w:r>
          </w:p>
        </w:tc>
      </w:tr>
      <w:tr>
        <w:trPr>
          <w:trHeight w:val="126"/>
        </w:trPr>
        <w:tc>
          <w:tcPr>
            <w:tcW w:w="5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Depreciation and amortization</w:t>
            </w:r>
          </w:p>
        </w:tc>
        <w:tc>
          <w:tcPr>
            <w:tcW w:w="1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75,465</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78,605</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231,491</w:t>
            </w: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241,112</w:t>
            </w:r>
          </w:p>
        </w:tc>
      </w:tr>
      <w:tr>
        <w:trPr>
          <w:trHeight w:val="115"/>
        </w:trPr>
        <w:tc>
          <w:tcPr>
            <w:tcW w:w="58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174,561</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169,449</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530,830</w:t>
            </w: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521,621</w:t>
            </w:r>
          </w:p>
        </w:tc>
      </w:tr>
      <w:tr>
        <w:trPr>
          <w:trHeight w:val="117"/>
        </w:trPr>
        <w:tc>
          <w:tcPr>
            <w:tcW w:w="5840" w:type="dxa"/>
            <w:vAlign w:val="bottom"/>
            <w:shd w:val="clear" w:color="auto" w:fill="CCEEFF"/>
          </w:tcPr>
          <w:p>
            <w:pPr>
              <w:ind w:left="80"/>
              <w:spacing w:after="0" w:line="110" w:lineRule="exact"/>
              <w:rPr>
                <w:sz w:val="20"/>
                <w:szCs w:val="20"/>
                <w:color w:val="auto"/>
              </w:rPr>
            </w:pPr>
            <w:r>
              <w:rPr>
                <w:rFonts w:ascii="Arial" w:cs="Arial" w:eastAsia="Arial" w:hAnsi="Arial"/>
                <w:sz w:val="10"/>
                <w:szCs w:val="10"/>
                <w:color w:val="auto"/>
              </w:rPr>
              <w:t>Interest expense (income):</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24"/>
        </w:trPr>
        <w:tc>
          <w:tcPr>
            <w:tcW w:w="5840" w:type="dxa"/>
            <w:vAlign w:val="bottom"/>
          </w:tcPr>
          <w:p>
            <w:pPr>
              <w:ind w:left="220"/>
              <w:spacing w:after="0"/>
              <w:rPr>
                <w:sz w:val="20"/>
                <w:szCs w:val="20"/>
                <w:color w:val="auto"/>
              </w:rPr>
            </w:pPr>
            <w:r>
              <w:rPr>
                <w:rFonts w:ascii="Arial" w:cs="Arial" w:eastAsia="Arial" w:hAnsi="Arial"/>
                <w:sz w:val="10"/>
                <w:szCs w:val="10"/>
                <w:color w:val="auto"/>
              </w:rPr>
              <w:t>Related parties</w:t>
            </w:r>
          </w:p>
        </w:tc>
        <w:tc>
          <w:tcPr>
            <w:tcW w:w="1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(7,708)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(15,502)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(3,435)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(92,552)</w:t>
            </w:r>
          </w:p>
        </w:tc>
      </w:tr>
      <w:tr>
        <w:trPr>
          <w:trHeight w:val="126"/>
        </w:trPr>
        <w:tc>
          <w:tcPr>
            <w:tcW w:w="58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Other</w:t>
            </w:r>
          </w:p>
        </w:tc>
        <w:tc>
          <w:tcPr>
            <w:tcW w:w="1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48,044</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52,686</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152,581</w:t>
            </w: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157,844</w:t>
            </w:r>
          </w:p>
        </w:tc>
      </w:tr>
      <w:tr>
        <w:trPr>
          <w:trHeight w:val="115"/>
        </w:trPr>
        <w:tc>
          <w:tcPr>
            <w:tcW w:w="5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40,336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37,184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149,146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65,292</w:t>
            </w:r>
          </w:p>
        </w:tc>
      </w:tr>
      <w:tr>
        <w:trPr>
          <w:trHeight w:val="128"/>
        </w:trPr>
        <w:tc>
          <w:tcPr>
            <w:tcW w:w="5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Loss on extinguishment of debt</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13"/>
        </w:trPr>
        <w:tc>
          <w:tcPr>
            <w:tcW w:w="5840" w:type="dxa"/>
            <w:vAlign w:val="bottom"/>
          </w:tcPr>
          <w:p>
            <w:pPr>
              <w:ind w:left="220"/>
              <w:spacing w:after="0" w:line="107" w:lineRule="exact"/>
              <w:rPr>
                <w:sz w:val="20"/>
                <w:szCs w:val="20"/>
                <w:color w:val="auto"/>
              </w:rPr>
            </w:pPr>
            <w:r>
              <w:rPr>
                <w:rFonts w:ascii="Arial" w:cs="Arial" w:eastAsia="Arial" w:hAnsi="Arial"/>
                <w:sz w:val="10"/>
                <w:szCs w:val="10"/>
                <w:color w:val="auto"/>
              </w:rPr>
              <w:t>Total expenses</w:t>
            </w: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215,904</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206,633</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680,983</w:t>
            </w: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586,913</w:t>
            </w:r>
          </w:p>
        </w:tc>
      </w:tr>
      <w:tr>
        <w:trPr>
          <w:trHeight w:val="128"/>
        </w:trPr>
        <w:tc>
          <w:tcPr>
            <w:tcW w:w="5840" w:type="dxa"/>
            <w:vAlign w:val="bottom"/>
            <w:shd w:val="clear" w:color="auto" w:fill="CCEEFF"/>
          </w:tcPr>
          <w:p>
            <w:pPr>
              <w:spacing w:after="0"/>
              <w:rPr>
                <w:sz w:val="20"/>
                <w:szCs w:val="20"/>
                <w:color w:val="auto"/>
              </w:rPr>
            </w:pPr>
            <w:r>
              <w:rPr>
                <w:rFonts w:ascii="Arial" w:cs="Arial" w:eastAsia="Arial" w:hAnsi="Arial"/>
                <w:sz w:val="10"/>
                <w:szCs w:val="10"/>
                <w:color w:val="auto"/>
              </w:rPr>
              <w:t>Equity in (loss) income of unconsolidated joint ventures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20,212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(16,988)</w:t>
            </w:r>
          </w:p>
        </w:tc>
      </w:tr>
      <w:tr>
        <w:trPr>
          <w:trHeight w:val="124"/>
        </w:trPr>
        <w:tc>
          <w:tcPr>
            <w:tcW w:w="5840" w:type="dxa"/>
            <w:vAlign w:val="bottom"/>
          </w:tcPr>
          <w:p>
            <w:pPr>
              <w:spacing w:after="0"/>
              <w:rPr>
                <w:sz w:val="20"/>
                <w:szCs w:val="20"/>
                <w:color w:val="auto"/>
              </w:rPr>
            </w:pPr>
            <w:r>
              <w:rPr>
                <w:rFonts w:ascii="Arial" w:cs="Arial" w:eastAsia="Arial" w:hAnsi="Arial"/>
                <w:sz w:val="10"/>
                <w:szCs w:val="10"/>
                <w:color w:val="auto"/>
              </w:rPr>
              <w:t>Income tax (expense) benefit</w:t>
            </w:r>
          </w:p>
        </w:tc>
        <w:tc>
          <w:tcPr>
            <w:tcW w:w="14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(1,106)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(9,452)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684</w:t>
            </w:r>
          </w:p>
        </w:tc>
      </w:tr>
      <w:tr>
        <w:trPr>
          <w:trHeight w:val="128"/>
        </w:trPr>
        <w:tc>
          <w:tcPr>
            <w:tcW w:w="5840" w:type="dxa"/>
            <w:vAlign w:val="bottom"/>
            <w:shd w:val="clear" w:color="auto" w:fill="CCEEFF"/>
          </w:tcPr>
          <w:p>
            <w:pPr>
              <w:spacing w:after="0"/>
              <w:rPr>
                <w:sz w:val="20"/>
                <w:szCs w:val="20"/>
                <w:color w:val="auto"/>
              </w:rPr>
            </w:pPr>
            <w:r>
              <w:rPr>
                <w:rFonts w:ascii="Arial" w:cs="Arial" w:eastAsia="Arial" w:hAnsi="Arial"/>
                <w:sz w:val="10"/>
                <w:szCs w:val="10"/>
                <w:color w:val="auto"/>
              </w:rPr>
              <w:t>Gain (loss) on sale or write down of assets, net</w:t>
            </w:r>
          </w:p>
        </w:tc>
        <w:tc>
          <w:tcPr>
            <w:tcW w:w="1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118,566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11,786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93,356</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(28,784)</w:t>
            </w:r>
          </w:p>
        </w:tc>
      </w:tr>
      <w:tr>
        <w:trPr>
          <w:trHeight w:val="113"/>
        </w:trPr>
        <w:tc>
          <w:tcPr>
            <w:tcW w:w="5840" w:type="dxa"/>
            <w:vAlign w:val="bottom"/>
          </w:tcPr>
          <w:p>
            <w:pPr>
              <w:spacing w:after="0" w:line="107" w:lineRule="exact"/>
              <w:rPr>
                <w:sz w:val="20"/>
                <w:szCs w:val="20"/>
                <w:color w:val="auto"/>
              </w:rPr>
            </w:pPr>
            <w:r>
              <w:rPr>
                <w:rFonts w:ascii="Arial" w:cs="Arial" w:eastAsia="Arial" w:hAnsi="Arial"/>
                <w:sz w:val="10"/>
                <w:szCs w:val="10"/>
                <w:color w:val="auto"/>
              </w:rPr>
              <w:t>Net income (loss)</w:t>
            </w:r>
          </w:p>
        </w:tc>
        <w:tc>
          <w:tcPr>
            <w:tcW w:w="14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Arial" w:cs="Arial" w:eastAsia="Arial" w:hAnsi="Arial"/>
                <w:sz w:val="10"/>
                <w:szCs w:val="10"/>
                <w:color w:val="auto"/>
              </w:rPr>
              <w:t>112,959</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(22,622)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41,167</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(40,618)</w:t>
            </w:r>
          </w:p>
        </w:tc>
      </w:tr>
      <w:tr>
        <w:trPr>
          <w:trHeight w:val="126"/>
        </w:trPr>
        <w:tc>
          <w:tcPr>
            <w:tcW w:w="5840" w:type="dxa"/>
            <w:vAlign w:val="bottom"/>
            <w:shd w:val="clear" w:color="auto" w:fill="CCEEFF"/>
          </w:tcPr>
          <w:p>
            <w:pPr>
              <w:spacing w:after="0"/>
              <w:rPr>
                <w:sz w:val="20"/>
                <w:szCs w:val="20"/>
                <w:color w:val="auto"/>
              </w:rPr>
            </w:pPr>
            <w:r>
              <w:rPr>
                <w:rFonts w:ascii="Arial" w:cs="Arial" w:eastAsia="Arial" w:hAnsi="Arial"/>
                <w:sz w:val="10"/>
                <w:szCs w:val="10"/>
                <w:color w:val="auto"/>
              </w:rPr>
              <w:t>Less net income (loss) attributable to noncontrolling interests</w:t>
            </w:r>
          </w:p>
        </w:tc>
        <w:tc>
          <w:tcPr>
            <w:tcW w:w="1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6,257</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(431)</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9,834</w:t>
            </w: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(833)</w:t>
            </w:r>
          </w:p>
        </w:tc>
      </w:tr>
      <w:tr>
        <w:trPr>
          <w:trHeight w:val="133"/>
        </w:trPr>
        <w:tc>
          <w:tcPr>
            <w:tcW w:w="58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Net income (loss) attributable to the Company</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106,702</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7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(22,191)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31,333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5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(39,785)</w:t>
            </w:r>
          </w:p>
        </w:tc>
      </w:tr>
      <w:tr>
        <w:trPr>
          <w:trHeight w:val="126"/>
        </w:trPr>
        <w:tc>
          <w:tcPr>
            <w:tcW w:w="58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Income (loss) per common share—attributable to common stockholders:</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2"/>
        </w:trPr>
        <w:tc>
          <w:tcPr>
            <w:tcW w:w="58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Basic</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7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5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(0.28)</w:t>
            </w:r>
          </w:p>
        </w:tc>
      </w:tr>
      <w:tr>
        <w:trPr>
          <w:trHeight w:val="146"/>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Diluted</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(0.28)</w:t>
            </w:r>
          </w:p>
        </w:tc>
      </w:tr>
      <w:tr>
        <w:trPr>
          <w:trHeight w:val="118"/>
        </w:trPr>
        <w:tc>
          <w:tcPr>
            <w:tcW w:w="5840" w:type="dxa"/>
            <w:vAlign w:val="bottom"/>
          </w:tcPr>
          <w:p>
            <w:pPr>
              <w:spacing w:after="0"/>
              <w:rPr>
                <w:sz w:val="20"/>
                <w:szCs w:val="20"/>
                <w:color w:val="auto"/>
              </w:rPr>
            </w:pPr>
            <w:r>
              <w:rPr>
                <w:rFonts w:ascii="Arial" w:cs="Arial" w:eastAsia="Arial" w:hAnsi="Arial"/>
                <w:sz w:val="10"/>
                <w:szCs w:val="10"/>
                <w:color w:val="auto"/>
              </w:rPr>
              <w:t>Weighted average number of common shares outstanding:</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6"/>
        </w:trPr>
        <w:tc>
          <w:tcPr>
            <w:tcW w:w="5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Basic</w:t>
            </w: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213,214,000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149,626,000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192,717,000</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145,071,000</w:t>
            </w:r>
          </w:p>
        </w:tc>
      </w:tr>
      <w:tr>
        <w:trPr>
          <w:trHeight w:val="126"/>
        </w:trPr>
        <w:tc>
          <w:tcPr>
            <w:tcW w:w="5840" w:type="dxa"/>
            <w:vAlign w:val="bottom"/>
          </w:tcPr>
          <w:p>
            <w:pPr>
              <w:ind w:left="80"/>
              <w:spacing w:after="0"/>
              <w:rPr>
                <w:sz w:val="20"/>
                <w:szCs w:val="20"/>
                <w:color w:val="auto"/>
              </w:rPr>
            </w:pPr>
            <w:r>
              <w:rPr>
                <w:rFonts w:ascii="Arial" w:cs="Arial" w:eastAsia="Arial" w:hAnsi="Arial"/>
                <w:sz w:val="10"/>
                <w:szCs w:val="10"/>
                <w:color w:val="auto"/>
              </w:rPr>
              <w:t>Diluted</w:t>
            </w: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213,214,000</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149,626,000</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192,717,000</w:t>
            </w: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145,071,000</w:t>
            </w: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70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300" w:top="128" w:right="799" w:bottom="1440" w:gutter="0" w:footer="0" w:header="0"/>
        </w:sectPr>
      </w:pPr>
    </w:p>
    <w:bookmarkStart w:id="4" w:name="page5"/>
    <w:bookmarkEnd w:id="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7"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96" w:lineRule="exact"/>
        <w:rPr>
          <w:sz w:val="20"/>
          <w:szCs w:val="20"/>
          <w:color w:val="auto"/>
        </w:rPr>
      </w:pPr>
    </w:p>
    <w:p>
      <w:pPr>
        <w:jc w:val="center"/>
        <w:ind w:right="-479"/>
        <w:spacing w:after="0"/>
        <w:rPr>
          <w:sz w:val="20"/>
          <w:szCs w:val="20"/>
          <w:color w:val="auto"/>
        </w:rPr>
      </w:pPr>
      <w:r>
        <w:rPr>
          <w:rFonts w:ascii="Arial" w:cs="Arial" w:eastAsia="Arial" w:hAnsi="Arial"/>
          <w:sz w:val="12"/>
          <w:szCs w:val="12"/>
          <w:b w:val="1"/>
          <w:bCs w:val="1"/>
          <w:color w:val="auto"/>
        </w:rPr>
        <w:t>(Dollars in thousands, except per share amounts)</w:t>
      </w:r>
    </w:p>
    <w:p>
      <w:pPr>
        <w:spacing w:after="0" w:line="157" w:lineRule="exact"/>
        <w:rPr>
          <w:sz w:val="20"/>
          <w:szCs w:val="20"/>
          <w:color w:val="auto"/>
        </w:rPr>
      </w:pPr>
    </w:p>
    <w:tbl>
      <w:tblPr>
        <w:tblLayout w:type="fixed"/>
        <w:tblInd w:w="480" w:type="dxa"/>
        <w:tblCellMar>
          <w:top w:w="0" w:type="dxa"/>
          <w:left w:w="0" w:type="dxa"/>
          <w:bottom w:w="0" w:type="dxa"/>
          <w:right w:w="0" w:type="dxa"/>
        </w:tblCellMar>
      </w:tblPr>
      <w:tr>
        <w:trPr>
          <w:trHeight w:val="127"/>
        </w:trPr>
        <w:tc>
          <w:tcPr>
            <w:tcW w:w="5840" w:type="dxa"/>
            <w:vAlign w:val="bottom"/>
          </w:tcPr>
          <w:p>
            <w:pPr>
              <w:spacing w:after="0"/>
              <w:rPr>
                <w:sz w:val="11"/>
                <w:szCs w:val="11"/>
                <w:color w:val="auto"/>
              </w:rPr>
            </w:pPr>
          </w:p>
        </w:tc>
        <w:tc>
          <w:tcPr>
            <w:tcW w:w="2400" w:type="dxa"/>
            <w:vAlign w:val="bottom"/>
            <w:gridSpan w:val="6"/>
          </w:tcPr>
          <w:p>
            <w:pPr>
              <w:ind w:left="260"/>
              <w:spacing w:after="0"/>
              <w:rPr>
                <w:sz w:val="20"/>
                <w:szCs w:val="20"/>
                <w:color w:val="auto"/>
              </w:rPr>
            </w:pPr>
            <w:r>
              <w:rPr>
                <w:rFonts w:ascii="Arial" w:cs="Arial" w:eastAsia="Arial" w:hAnsi="Arial"/>
                <w:sz w:val="10"/>
                <w:szCs w:val="10"/>
                <w:b w:val="1"/>
                <w:bCs w:val="1"/>
                <w:color w:val="auto"/>
              </w:rPr>
              <w:t>For the Three Months Ended September 30,</w:t>
            </w:r>
          </w:p>
        </w:tc>
        <w:tc>
          <w:tcPr>
            <w:tcW w:w="120" w:type="dxa"/>
            <w:vAlign w:val="bottom"/>
          </w:tcPr>
          <w:p>
            <w:pPr>
              <w:spacing w:after="0"/>
              <w:rPr>
                <w:sz w:val="11"/>
                <w:szCs w:val="11"/>
                <w:color w:val="auto"/>
              </w:rPr>
            </w:pPr>
          </w:p>
        </w:tc>
        <w:tc>
          <w:tcPr>
            <w:tcW w:w="1960" w:type="dxa"/>
            <w:vAlign w:val="bottom"/>
            <w:gridSpan w:val="4"/>
          </w:tcPr>
          <w:p>
            <w:pPr>
              <w:jc w:val="right"/>
              <w:ind w:right="112"/>
              <w:spacing w:after="0"/>
              <w:rPr>
                <w:sz w:val="20"/>
                <w:szCs w:val="20"/>
                <w:color w:val="auto"/>
              </w:rPr>
            </w:pPr>
            <w:r>
              <w:rPr>
                <w:rFonts w:ascii="Arial" w:cs="Arial" w:eastAsia="Arial" w:hAnsi="Arial"/>
                <w:sz w:val="10"/>
                <w:szCs w:val="10"/>
                <w:b w:val="1"/>
                <w:bCs w:val="1"/>
                <w:color w:val="auto"/>
                <w:w w:val="88"/>
              </w:rPr>
              <w:t>For the Nine Months Ended September 30,</w:t>
            </w:r>
          </w:p>
        </w:tc>
      </w:tr>
      <w:tr>
        <w:trPr>
          <w:trHeight w:val="118"/>
        </w:trPr>
        <w:tc>
          <w:tcPr>
            <w:tcW w:w="584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2020</w:t>
            </w:r>
          </w:p>
        </w:tc>
      </w:tr>
      <w:tr>
        <w:trPr>
          <w:trHeight w:val="116"/>
        </w:trPr>
        <w:tc>
          <w:tcPr>
            <w:tcW w:w="584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Net income (loss)</w:t>
            </w: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93"/>
              </w:rPr>
              <w:t>112,959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41,167</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(40,618)</w:t>
            </w:r>
          </w:p>
        </w:tc>
      </w:tr>
      <w:tr>
        <w:trPr>
          <w:trHeight w:val="124"/>
        </w:trPr>
        <w:tc>
          <w:tcPr>
            <w:tcW w:w="584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8"/>
        </w:trPr>
        <w:tc>
          <w:tcPr>
            <w:tcW w:w="5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rate cap/swap agreements</w:t>
            </w:r>
          </w:p>
        </w:tc>
        <w:tc>
          <w:tcPr>
            <w:tcW w:w="7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2,775</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2,812</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8,208</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(1,838)</w:t>
            </w:r>
          </w:p>
        </w:tc>
      </w:tr>
      <w:tr>
        <w:trPr>
          <w:trHeight w:val="113"/>
        </w:trPr>
        <w:tc>
          <w:tcPr>
            <w:tcW w:w="5840" w:type="dxa"/>
            <w:vAlign w:val="bottom"/>
          </w:tcPr>
          <w:p>
            <w:pPr>
              <w:ind w:left="20"/>
              <w:spacing w:after="0" w:line="107" w:lineRule="exact"/>
              <w:rPr>
                <w:sz w:val="20"/>
                <w:szCs w:val="20"/>
                <w:color w:val="auto"/>
              </w:rPr>
            </w:pPr>
            <w:r>
              <w:rPr>
                <w:rFonts w:ascii="Arial" w:cs="Arial" w:eastAsia="Arial" w:hAnsi="Arial"/>
                <w:sz w:val="10"/>
                <w:szCs w:val="10"/>
                <w:color w:val="auto"/>
              </w:rPr>
              <w:t>Comprehensive income (loss)</w:t>
            </w:r>
          </w:p>
        </w:tc>
        <w:tc>
          <w:tcPr>
            <w:tcW w:w="700" w:type="dxa"/>
            <w:vAlign w:val="bottom"/>
          </w:tcPr>
          <w:p>
            <w:pPr>
              <w:spacing w:after="0"/>
              <w:rPr>
                <w:sz w:val="9"/>
                <w:szCs w:val="9"/>
                <w:color w:val="auto"/>
              </w:rPr>
            </w:pPr>
          </w:p>
        </w:tc>
        <w:tc>
          <w:tcPr>
            <w:tcW w:w="420" w:type="dxa"/>
            <w:vAlign w:val="bottom"/>
          </w:tcPr>
          <w:p>
            <w:pPr>
              <w:jc w:val="right"/>
              <w:ind w:right="12"/>
              <w:spacing w:after="0" w:line="113" w:lineRule="exact"/>
              <w:rPr>
                <w:sz w:val="20"/>
                <w:szCs w:val="20"/>
                <w:color w:val="auto"/>
              </w:rPr>
            </w:pPr>
            <w:r>
              <w:rPr>
                <w:rFonts w:ascii="Arial" w:cs="Arial" w:eastAsia="Arial" w:hAnsi="Arial"/>
                <w:sz w:val="10"/>
                <w:szCs w:val="10"/>
                <w:color w:val="auto"/>
                <w:w w:val="93"/>
              </w:rPr>
              <w:t>115,734</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0"/>
                <w:szCs w:val="10"/>
                <w:color w:val="auto"/>
              </w:rPr>
              <w:t>(19,810)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0"/>
                <w:szCs w:val="10"/>
                <w:color w:val="auto"/>
              </w:rPr>
              <w:t>49,375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(42,456)</w:t>
            </w:r>
          </w:p>
        </w:tc>
      </w:tr>
      <w:tr>
        <w:trPr>
          <w:trHeight w:val="126"/>
        </w:trPr>
        <w:tc>
          <w:tcPr>
            <w:tcW w:w="584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net income (loss) attributable to noncontrolling interests</w:t>
            </w:r>
          </w:p>
        </w:tc>
        <w:tc>
          <w:tcPr>
            <w:tcW w:w="7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6,257</w:t>
            </w: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(431)</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9,834</w:t>
            </w: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(833)</w:t>
            </w:r>
          </w:p>
        </w:tc>
      </w:tr>
      <w:tr>
        <w:trPr>
          <w:trHeight w:val="117"/>
        </w:trPr>
        <w:tc>
          <w:tcPr>
            <w:tcW w:w="5840" w:type="dxa"/>
            <w:vAlign w:val="bottom"/>
          </w:tcPr>
          <w:p>
            <w:pPr>
              <w:ind w:left="20"/>
              <w:spacing w:after="0"/>
              <w:rPr>
                <w:sz w:val="20"/>
                <w:szCs w:val="20"/>
                <w:color w:val="auto"/>
              </w:rPr>
            </w:pPr>
            <w:r>
              <w:rPr>
                <w:rFonts w:ascii="Arial" w:cs="Arial" w:eastAsia="Arial" w:hAnsi="Arial"/>
                <w:sz w:val="10"/>
                <w:szCs w:val="10"/>
                <w:color w:val="auto"/>
              </w:rPr>
              <w:t>Comprehensive income (loss) attributable to the Company</w:t>
            </w:r>
          </w:p>
        </w:tc>
        <w:tc>
          <w:tcPr>
            <w:tcW w:w="7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93"/>
              </w:rPr>
              <w:t>109,477</w:t>
            </w:r>
          </w:p>
        </w:tc>
        <w:tc>
          <w:tcPr>
            <w:tcW w:w="80" w:type="dxa"/>
            <w:vAlign w:val="bottom"/>
          </w:tcPr>
          <w:p>
            <w:pPr>
              <w:spacing w:after="0"/>
              <w:rPr>
                <w:sz w:val="10"/>
                <w:szCs w:val="10"/>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(19,379)</w:t>
            </w:r>
          </w:p>
        </w:tc>
        <w:tc>
          <w:tcPr>
            <w:tcW w:w="80" w:type="dxa"/>
            <w:vAlign w:val="bottom"/>
          </w:tcPr>
          <w:p>
            <w:pPr>
              <w:spacing w:after="0"/>
              <w:rPr>
                <w:sz w:val="10"/>
                <w:szCs w:val="10"/>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39,541</w:t>
            </w:r>
          </w:p>
        </w:tc>
        <w:tc>
          <w:tcPr>
            <w:tcW w:w="100" w:type="dxa"/>
            <w:vAlign w:val="bottom"/>
          </w:tcPr>
          <w:p>
            <w:pPr>
              <w:spacing w:after="0"/>
              <w:rPr>
                <w:sz w:val="10"/>
                <w:szCs w:val="10"/>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(41,623)</w:t>
            </w:r>
          </w:p>
        </w:tc>
      </w:tr>
      <w:tr>
        <w:trPr>
          <w:trHeight w:val="20"/>
        </w:trPr>
        <w:tc>
          <w:tcPr>
            <w:tcW w:w="5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70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300" w:top="128" w:right="799" w:bottom="1440" w:gutter="0" w:footer="0" w:header="0"/>
        </w:sectPr>
      </w:pPr>
    </w:p>
    <w:bookmarkStart w:id="5" w:name="page6"/>
    <w:bookmarkEnd w:id="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CONSOLIDATED STATEMENTS OF EQUITY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(Dollars in thousands, except per share data)</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Three Months Ended September 30, 2021 and 2020</w:t>
      </w: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113"/>
        </w:trPr>
        <w:tc>
          <w:tcPr>
            <w:tcW w:w="19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60" w:type="dxa"/>
            <w:vAlign w:val="bottom"/>
          </w:tcPr>
          <w:p>
            <w:pPr>
              <w:spacing w:after="0"/>
              <w:rPr>
                <w:sz w:val="8"/>
                <w:szCs w:val="8"/>
                <w:color w:val="auto"/>
              </w:rPr>
            </w:pPr>
          </w:p>
        </w:tc>
        <w:tc>
          <w:tcPr>
            <w:tcW w:w="1300" w:type="dxa"/>
            <w:vAlign w:val="bottom"/>
            <w:gridSpan w:val="3"/>
          </w:tcPr>
          <w:p>
            <w:pPr>
              <w:jc w:val="right"/>
              <w:ind w:right="74"/>
              <w:spacing w:after="0"/>
              <w:rPr>
                <w:sz w:val="20"/>
                <w:szCs w:val="20"/>
                <w:color w:val="auto"/>
              </w:rPr>
            </w:pPr>
            <w:r>
              <w:rPr>
                <w:rFonts w:ascii="Arial" w:cs="Arial" w:eastAsia="Arial" w:hAnsi="Arial"/>
                <w:sz w:val="8"/>
                <w:szCs w:val="8"/>
                <w:b w:val="1"/>
                <w:bCs w:val="1"/>
                <w:color w:val="auto"/>
              </w:rPr>
              <w:t>Common Stock</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5"/>
              </w:rPr>
              <w:t>Accumulated</w:t>
            </w: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280"/>
              <w:spacing w:after="0" w:line="81" w:lineRule="exact"/>
              <w:rPr>
                <w:sz w:val="20"/>
                <w:szCs w:val="20"/>
                <w:color w:val="auto"/>
              </w:rPr>
            </w:pPr>
            <w:r>
              <w:rPr>
                <w:rFonts w:ascii="Arial" w:cs="Arial" w:eastAsia="Arial" w:hAnsi="Arial"/>
                <w:sz w:val="8"/>
                <w:szCs w:val="8"/>
                <w:b w:val="1"/>
                <w:bCs w:val="1"/>
                <w:color w:val="auto"/>
                <w:w w:val="97"/>
              </w:rPr>
              <w:t>Additional</w:t>
            </w: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jc w:val="center"/>
              <w:ind w:right="300"/>
              <w:spacing w:after="0" w:line="81" w:lineRule="exact"/>
              <w:rPr>
                <w:sz w:val="20"/>
                <w:szCs w:val="20"/>
                <w:color w:val="auto"/>
              </w:rPr>
            </w:pPr>
            <w:r>
              <w:rPr>
                <w:rFonts w:ascii="Arial" w:cs="Arial" w:eastAsia="Arial" w:hAnsi="Arial"/>
                <w:sz w:val="8"/>
                <w:szCs w:val="8"/>
                <w:b w:val="1"/>
                <w:bCs w:val="1"/>
                <w:color w:val="auto"/>
              </w:rPr>
              <w:t>Other</w:t>
            </w: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line="81" w:lineRule="exact"/>
              <w:rPr>
                <w:sz w:val="20"/>
                <w:szCs w:val="20"/>
                <w:color w:val="auto"/>
              </w:rPr>
            </w:pPr>
            <w:r>
              <w:rPr>
                <w:rFonts w:ascii="Arial" w:cs="Arial" w:eastAsia="Arial" w:hAnsi="Arial"/>
                <w:sz w:val="8"/>
                <w:szCs w:val="8"/>
                <w:b w:val="1"/>
                <w:bCs w:val="1"/>
                <w:color w:val="auto"/>
                <w:w w:val="93"/>
              </w:rPr>
              <w:t>Total</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8"/>
                <w:szCs w:val="8"/>
                <w:b w:val="1"/>
                <w:bCs w:val="1"/>
                <w:color w:val="auto"/>
              </w:rPr>
              <w:t>Par</w:t>
            </w: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1"/>
              </w:rPr>
              <w:t>Accumulated</w:t>
            </w: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4"/>
              </w:rPr>
              <w:t>Noncontrolling</w:t>
            </w:r>
          </w:p>
        </w:tc>
        <w:tc>
          <w:tcPr>
            <w:tcW w:w="200" w:type="dxa"/>
            <w:vAlign w:val="bottom"/>
          </w:tcPr>
          <w:p>
            <w:pPr>
              <w:spacing w:after="0"/>
              <w:rPr>
                <w:sz w:val="2"/>
                <w:szCs w:val="2"/>
                <w:color w:val="auto"/>
              </w:rPr>
            </w:pPr>
          </w:p>
        </w:tc>
        <w:tc>
          <w:tcPr>
            <w:tcW w:w="720" w:type="dxa"/>
            <w:vAlign w:val="bottom"/>
            <w:vMerge w:val="restart"/>
          </w:tcPr>
          <w:p>
            <w:pPr>
              <w:jc w:val="center"/>
              <w:ind w:right="178"/>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line="20" w:lineRule="exact"/>
              <w:rPr>
                <w:sz w:val="1"/>
                <w:szCs w:val="1"/>
                <w:color w:val="auto"/>
              </w:rPr>
            </w:pPr>
          </w:p>
        </w:tc>
      </w:tr>
      <w:tr>
        <w:trPr>
          <w:trHeight w:val="81"/>
        </w:trPr>
        <w:tc>
          <w:tcPr>
            <w:tcW w:w="1960" w:type="dxa"/>
            <w:vAlign w:val="bottom"/>
          </w:tcPr>
          <w:p>
            <w:pPr>
              <w:spacing w:after="0"/>
              <w:rPr>
                <w:sz w:val="7"/>
                <w:szCs w:val="7"/>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1" w:lineRule="exact"/>
              <w:rPr>
                <w:sz w:val="20"/>
                <w:szCs w:val="20"/>
                <w:color w:val="auto"/>
              </w:rPr>
            </w:pPr>
            <w:r>
              <w:rPr>
                <w:rFonts w:ascii="Arial" w:cs="Arial" w:eastAsia="Arial" w:hAnsi="Arial"/>
                <w:sz w:val="8"/>
                <w:szCs w:val="8"/>
                <w:b w:val="1"/>
                <w:bCs w:val="1"/>
                <w:color w:val="auto"/>
                <w:w w:val="97"/>
              </w:rPr>
              <w:t>Paid-in</w:t>
            </w: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tcPr>
          <w:p>
            <w:pPr>
              <w:jc w:val="center"/>
              <w:ind w:right="320"/>
              <w:spacing w:after="0" w:line="81" w:lineRule="exact"/>
              <w:rPr>
                <w:sz w:val="20"/>
                <w:szCs w:val="20"/>
                <w:color w:val="auto"/>
              </w:rPr>
            </w:pPr>
            <w:r>
              <w:rPr>
                <w:rFonts w:ascii="Arial" w:cs="Arial" w:eastAsia="Arial" w:hAnsi="Arial"/>
                <w:sz w:val="8"/>
                <w:szCs w:val="8"/>
                <w:b w:val="1"/>
                <w:bCs w:val="1"/>
                <w:color w:val="auto"/>
                <w:w w:val="93"/>
              </w:rPr>
              <w:t>Comprehensive</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Arial" w:cs="Arial" w:eastAsia="Arial" w:hAnsi="Arial"/>
                <w:sz w:val="8"/>
                <w:szCs w:val="8"/>
                <w:b w:val="1"/>
                <w:bCs w:val="1"/>
                <w:color w:val="auto"/>
                <w:w w:val="94"/>
              </w:rPr>
              <w:t>Stockholders'</w:t>
            </w: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Value</w:t>
            </w:r>
          </w:p>
        </w:tc>
        <w:tc>
          <w:tcPr>
            <w:tcW w:w="16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Capital</w:t>
            </w:r>
          </w:p>
        </w:tc>
        <w:tc>
          <w:tcPr>
            <w:tcW w:w="180" w:type="dxa"/>
            <w:vAlign w:val="bottom"/>
          </w:tcPr>
          <w:p>
            <w:pPr>
              <w:spacing w:after="0"/>
              <w:rPr>
                <w:sz w:val="9"/>
                <w:szCs w:val="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9"/>
                <w:szCs w:val="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2"/>
              </w:rPr>
              <w:t>(Loss) Income</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Equity</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Interests</w:t>
            </w:r>
          </w:p>
        </w:tc>
        <w:tc>
          <w:tcPr>
            <w:tcW w:w="200" w:type="dxa"/>
            <w:vAlign w:val="bottom"/>
          </w:tcPr>
          <w:p>
            <w:pPr>
              <w:spacing w:after="0"/>
              <w:rPr>
                <w:sz w:val="9"/>
                <w:szCs w:val="9"/>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July 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211,169,654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2,112</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5,438,493</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(2,469,336)</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(2,775)</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2,968,494</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158,452</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3,126,946</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Net income</w:t>
            </w:r>
          </w:p>
        </w:tc>
        <w:tc>
          <w:tcPr>
            <w:tcW w:w="1160" w:type="dxa"/>
            <w:vAlign w:val="bottom"/>
            <w:gridSpan w:val="2"/>
          </w:tcPr>
          <w:p>
            <w:pPr>
              <w:ind w:left="96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ind w:left="4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ind w:left="7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106,702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0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106,702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6,257</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112,959</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 rate cap/swap agreements</w:t>
            </w: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2,775</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Amortization of share and unit-based plans</w:t>
            </w:r>
          </w:p>
        </w:tc>
        <w:tc>
          <w:tcPr>
            <w:tcW w:w="1060" w:type="dxa"/>
            <w:vAlign w:val="bottom"/>
          </w:tcPr>
          <w:p>
            <w:pPr>
              <w:jc w:val="right"/>
              <w:spacing w:after="0"/>
              <w:rPr>
                <w:sz w:val="20"/>
                <w:szCs w:val="20"/>
                <w:color w:val="auto"/>
              </w:rPr>
            </w:pPr>
            <w:r>
              <w:rPr>
                <w:rFonts w:ascii="Arial" w:cs="Arial" w:eastAsia="Arial" w:hAnsi="Arial"/>
                <w:sz w:val="8"/>
                <w:szCs w:val="8"/>
                <w:color w:val="auto"/>
              </w:rPr>
              <w:t>16,320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4,318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ind w:left="8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ind w:left="10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4,318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ind w:left="90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4,318</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Stock offerings, net</w:t>
            </w:r>
          </w:p>
        </w:tc>
        <w:tc>
          <w:tcPr>
            <w:tcW w:w="1060" w:type="dxa"/>
            <w:vAlign w:val="bottom"/>
            <w:shd w:val="clear" w:color="auto" w:fill="CCEEFF"/>
          </w:tcPr>
          <w:p>
            <w:pPr>
              <w:jc w:val="right"/>
              <w:spacing w:after="0"/>
              <w:rPr>
                <w:sz w:val="20"/>
                <w:szCs w:val="20"/>
                <w:color w:val="auto"/>
              </w:rPr>
            </w:pPr>
            <w:r>
              <w:rPr>
                <w:rFonts w:ascii="Arial" w:cs="Arial" w:eastAsia="Arial" w:hAnsi="Arial"/>
                <w:sz w:val="8"/>
                <w:szCs w:val="8"/>
                <w:color w:val="auto"/>
              </w:rPr>
              <w:t>2,122,016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23,799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23,820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23,820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Distributions paid ($0.15 per share)</w:t>
            </w:r>
          </w:p>
        </w:tc>
        <w:tc>
          <w:tcPr>
            <w:tcW w:w="1160" w:type="dxa"/>
            <w:vAlign w:val="bottom"/>
            <w:gridSpan w:val="2"/>
          </w:tcPr>
          <w:p>
            <w:pPr>
              <w:ind w:left="96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ind w:left="4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ind w:left="7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(32,000)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0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(32,000)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ind w:left="90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(32,000)</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Distributions to noncontrolling interests</w:t>
            </w: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(3,972)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(3,972)</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Contributions from noncontrolling interests</w:t>
            </w:r>
          </w:p>
        </w:tc>
        <w:tc>
          <w:tcPr>
            <w:tcW w:w="1160" w:type="dxa"/>
            <w:vAlign w:val="bottom"/>
            <w:gridSpan w:val="2"/>
          </w:tcPr>
          <w:p>
            <w:pPr>
              <w:ind w:left="96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ind w:left="4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ind w:left="7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40" w:type="dxa"/>
            <w:vAlign w:val="bottom"/>
            <w:gridSpan w:val="2"/>
          </w:tcPr>
          <w:p>
            <w:pPr>
              <w:ind w:left="8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ind w:left="10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noncontrolling interests</w:t>
            </w:r>
          </w:p>
        </w:tc>
        <w:tc>
          <w:tcPr>
            <w:tcW w:w="1160" w:type="dxa"/>
            <w:vAlign w:val="bottom"/>
            <w:gridSpan w:val="2"/>
            <w:shd w:val="clear" w:color="auto" w:fill="CCEEFF"/>
          </w:tcPr>
          <w:p>
            <w:pPr>
              <w:ind w:left="9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(42)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w:t>
            </w:r>
          </w:p>
        </w:tc>
        <w:tc>
          <w:tcPr>
            <w:tcW w:w="0" w:type="dxa"/>
            <w:vAlign w:val="bottom"/>
          </w:tcPr>
          <w:p>
            <w:pPr>
              <w:spacing w:after="0"/>
              <w:rPr>
                <w:sz w:val="1"/>
                <w:szCs w:val="1"/>
                <w:color w:val="auto"/>
              </w:rPr>
            </w:pPr>
          </w:p>
        </w:tc>
      </w:tr>
      <w:tr>
        <w:trPr>
          <w:trHeight w:val="81"/>
        </w:trPr>
        <w:tc>
          <w:tcPr>
            <w:tcW w:w="1960" w:type="dxa"/>
            <w:vAlign w:val="bottom"/>
          </w:tcPr>
          <w:p>
            <w:pPr>
              <w:ind w:left="20"/>
              <w:spacing w:after="0" w:line="81" w:lineRule="exact"/>
              <w:rPr>
                <w:sz w:val="20"/>
                <w:szCs w:val="20"/>
                <w:color w:val="auto"/>
              </w:rPr>
            </w:pPr>
            <w:r>
              <w:rPr>
                <w:rFonts w:ascii="Arial" w:cs="Arial" w:eastAsia="Arial" w:hAnsi="Arial"/>
                <w:sz w:val="8"/>
                <w:szCs w:val="8"/>
                <w:color w:val="auto"/>
              </w:rPr>
              <w:t>Adjustment of noncontrolling interests in Operating</w:t>
            </w:r>
          </w:p>
        </w:tc>
        <w:tc>
          <w:tcPr>
            <w:tcW w:w="1060" w:type="dxa"/>
            <w:vAlign w:val="bottom"/>
            <w:vMerge w:val="restart"/>
          </w:tcPr>
          <w:p>
            <w:pPr>
              <w:ind w:left="960"/>
              <w:spacing w:after="0"/>
              <w:rPr>
                <w:sz w:val="20"/>
                <w:szCs w:val="20"/>
                <w:color w:val="auto"/>
              </w:rPr>
            </w:pPr>
            <w:r>
              <w:rPr>
                <w:rFonts w:ascii="Arial" w:cs="Arial" w:eastAsia="Arial" w:hAnsi="Arial"/>
                <w:sz w:val="8"/>
                <w:szCs w:val="8"/>
                <w:color w:val="auto"/>
                <w:w w:val="99"/>
              </w:rPr>
              <w:t>—</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460"/>
              <w:spacing w:after="0"/>
              <w:rPr>
                <w:sz w:val="20"/>
                <w:szCs w:val="20"/>
                <w:color w:val="auto"/>
              </w:rPr>
            </w:pPr>
            <w:r>
              <w:rPr>
                <w:rFonts w:ascii="Arial" w:cs="Arial" w:eastAsia="Arial" w:hAnsi="Arial"/>
                <w:sz w:val="8"/>
                <w:szCs w:val="8"/>
                <w:color w:val="auto"/>
                <w:w w:val="99"/>
              </w:rPr>
              <w:t>—</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8"/>
                <w:szCs w:val="8"/>
                <w:color w:val="auto"/>
              </w:rPr>
              <w:t>642</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ind w:left="840"/>
              <w:spacing w:after="0"/>
              <w:rPr>
                <w:sz w:val="20"/>
                <w:szCs w:val="20"/>
                <w:color w:val="auto"/>
              </w:rPr>
            </w:pPr>
            <w:r>
              <w:rPr>
                <w:rFonts w:ascii="Arial" w:cs="Arial" w:eastAsia="Arial" w:hAnsi="Arial"/>
                <w:sz w:val="8"/>
                <w:szCs w:val="8"/>
                <w:color w:val="auto"/>
                <w:w w:val="99"/>
              </w:rPr>
              <w:t>—</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restart"/>
          </w:tcPr>
          <w:p>
            <w:pPr>
              <w:ind w:left="1020"/>
              <w:spacing w:after="0"/>
              <w:rPr>
                <w:sz w:val="20"/>
                <w:szCs w:val="20"/>
                <w:color w:val="auto"/>
              </w:rPr>
            </w:pPr>
            <w:r>
              <w:rPr>
                <w:rFonts w:ascii="Arial" w:cs="Arial" w:eastAsia="Arial" w:hAnsi="Arial"/>
                <w:sz w:val="8"/>
                <w:szCs w:val="8"/>
                <w:color w:val="auto"/>
                <w:w w:val="99"/>
              </w:rPr>
              <w:t>—</w:t>
            </w:r>
          </w:p>
        </w:tc>
        <w:tc>
          <w:tcPr>
            <w:tcW w:w="8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642</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(642)</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Partnership</w:t>
            </w:r>
          </w:p>
        </w:tc>
        <w:tc>
          <w:tcPr>
            <w:tcW w:w="10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September 30,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213,307,990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2,133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5,467,235</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(2,394,634)</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3,074,734</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160,057</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3,234,791</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300" w:type="dxa"/>
            <w:vAlign w:val="bottom"/>
            <w:gridSpan w:val="3"/>
          </w:tcPr>
          <w:p>
            <w:pPr>
              <w:jc w:val="right"/>
              <w:ind w:right="74"/>
              <w:spacing w:after="0"/>
              <w:rPr>
                <w:sz w:val="20"/>
                <w:szCs w:val="20"/>
                <w:color w:val="auto"/>
              </w:rPr>
            </w:pPr>
            <w:r>
              <w:rPr>
                <w:rFonts w:ascii="Arial" w:cs="Arial" w:eastAsia="Arial" w:hAnsi="Arial"/>
                <w:sz w:val="8"/>
                <w:szCs w:val="8"/>
                <w:b w:val="1"/>
                <w:bCs w:val="1"/>
                <w:color w:val="auto"/>
              </w:rPr>
              <w:t>Common Stock</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5"/>
              </w:rPr>
              <w:t>Accumulated</w:t>
            </w: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jc w:val="center"/>
              <w:ind w:right="280"/>
              <w:spacing w:after="0" w:line="36" w:lineRule="exact"/>
              <w:rPr>
                <w:sz w:val="20"/>
                <w:szCs w:val="20"/>
                <w:color w:val="auto"/>
              </w:rPr>
            </w:pPr>
            <w:r>
              <w:rPr>
                <w:rFonts w:ascii="Arial" w:cs="Arial" w:eastAsia="Arial" w:hAnsi="Arial"/>
                <w:sz w:val="4"/>
                <w:szCs w:val="4"/>
                <w:b w:val="1"/>
                <w:bCs w:val="1"/>
                <w:color w:val="auto"/>
              </w:rPr>
              <w:t>Additional</w:t>
            </w: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tcPr>
          <w:p>
            <w:pPr>
              <w:jc w:val="center"/>
              <w:ind w:right="300"/>
              <w:spacing w:after="0" w:line="36" w:lineRule="exact"/>
              <w:rPr>
                <w:sz w:val="20"/>
                <w:szCs w:val="20"/>
                <w:color w:val="auto"/>
              </w:rPr>
            </w:pPr>
            <w:r>
              <w:rPr>
                <w:rFonts w:ascii="Arial" w:cs="Arial" w:eastAsia="Arial" w:hAnsi="Arial"/>
                <w:sz w:val="4"/>
                <w:szCs w:val="4"/>
                <w:b w:val="1"/>
                <w:bCs w:val="1"/>
                <w:color w:val="auto"/>
              </w:rPr>
              <w:t>Other</w:t>
            </w:r>
          </w:p>
        </w:tc>
        <w:tc>
          <w:tcPr>
            <w:tcW w:w="200" w:type="dxa"/>
            <w:vAlign w:val="bottom"/>
          </w:tcPr>
          <w:p>
            <w:pPr>
              <w:spacing w:after="0"/>
              <w:rPr>
                <w:sz w:val="3"/>
                <w:szCs w:val="3"/>
                <w:color w:val="auto"/>
              </w:rPr>
            </w:pPr>
          </w:p>
        </w:tc>
        <w:tc>
          <w:tcPr>
            <w:tcW w:w="1080" w:type="dxa"/>
            <w:vAlign w:val="bottom"/>
            <w:gridSpan w:val="2"/>
          </w:tcPr>
          <w:p>
            <w:pPr>
              <w:jc w:val="center"/>
              <w:ind w:right="300"/>
              <w:spacing w:after="0" w:line="36" w:lineRule="exact"/>
              <w:rPr>
                <w:sz w:val="20"/>
                <w:szCs w:val="20"/>
                <w:color w:val="auto"/>
              </w:rPr>
            </w:pPr>
            <w:r>
              <w:rPr>
                <w:rFonts w:ascii="Arial" w:cs="Arial" w:eastAsia="Arial" w:hAnsi="Arial"/>
                <w:sz w:val="4"/>
                <w:szCs w:val="4"/>
                <w:b w:val="1"/>
                <w:bCs w:val="1"/>
                <w:color w:val="auto"/>
              </w:rPr>
              <w:t>Total</w:t>
            </w: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60" w:type="dxa"/>
            <w:vAlign w:val="bottom"/>
            <w:gridSpan w:val="2"/>
          </w:tcPr>
          <w:p>
            <w:pPr>
              <w:jc w:val="center"/>
              <w:ind w:right="240"/>
              <w:spacing w:after="0" w:line="88" w:lineRule="exact"/>
              <w:rPr>
                <w:sz w:val="20"/>
                <w:szCs w:val="20"/>
                <w:color w:val="auto"/>
              </w:rPr>
            </w:pPr>
            <w:r>
              <w:rPr>
                <w:rFonts w:ascii="Arial" w:cs="Arial" w:eastAsia="Arial" w:hAnsi="Arial"/>
                <w:sz w:val="8"/>
                <w:szCs w:val="8"/>
                <w:b w:val="1"/>
                <w:bCs w:val="1"/>
                <w:color w:val="auto"/>
              </w:rPr>
              <w:t>Par</w:t>
            </w: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8" w:lineRule="exact"/>
              <w:rPr>
                <w:sz w:val="20"/>
                <w:szCs w:val="20"/>
                <w:color w:val="auto"/>
              </w:rPr>
            </w:pPr>
            <w:r>
              <w:rPr>
                <w:rFonts w:ascii="Arial" w:cs="Arial" w:eastAsia="Arial" w:hAnsi="Arial"/>
                <w:sz w:val="8"/>
                <w:szCs w:val="8"/>
                <w:b w:val="1"/>
                <w:bCs w:val="1"/>
                <w:color w:val="auto"/>
                <w:w w:val="97"/>
              </w:rPr>
              <w:t>Paid-in</w:t>
            </w:r>
          </w:p>
        </w:tc>
        <w:tc>
          <w:tcPr>
            <w:tcW w:w="180" w:type="dxa"/>
            <w:vAlign w:val="bottom"/>
          </w:tcPr>
          <w:p>
            <w:pPr>
              <w:spacing w:after="0"/>
              <w:rPr>
                <w:sz w:val="7"/>
                <w:szCs w:val="7"/>
                <w:color w:val="auto"/>
              </w:rPr>
            </w:pPr>
          </w:p>
        </w:tc>
        <w:tc>
          <w:tcPr>
            <w:tcW w:w="104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1"/>
              </w:rPr>
              <w:t>Accumulated</w:t>
            </w:r>
          </w:p>
        </w:tc>
        <w:tc>
          <w:tcPr>
            <w:tcW w:w="200" w:type="dxa"/>
            <w:vAlign w:val="bottom"/>
          </w:tcPr>
          <w:p>
            <w:pPr>
              <w:spacing w:after="0"/>
              <w:rPr>
                <w:sz w:val="7"/>
                <w:szCs w:val="7"/>
                <w:color w:val="auto"/>
              </w:rPr>
            </w:pPr>
          </w:p>
        </w:tc>
        <w:tc>
          <w:tcPr>
            <w:tcW w:w="1200" w:type="dxa"/>
            <w:vAlign w:val="bottom"/>
            <w:gridSpan w:val="2"/>
          </w:tcPr>
          <w:p>
            <w:pPr>
              <w:jc w:val="center"/>
              <w:ind w:right="320"/>
              <w:spacing w:after="0" w:line="88" w:lineRule="exact"/>
              <w:rPr>
                <w:sz w:val="20"/>
                <w:szCs w:val="20"/>
                <w:color w:val="auto"/>
              </w:rPr>
            </w:pPr>
            <w:r>
              <w:rPr>
                <w:rFonts w:ascii="Arial" w:cs="Arial" w:eastAsia="Arial" w:hAnsi="Arial"/>
                <w:sz w:val="8"/>
                <w:szCs w:val="8"/>
                <w:b w:val="1"/>
                <w:bCs w:val="1"/>
                <w:color w:val="auto"/>
                <w:w w:val="93"/>
              </w:rPr>
              <w:t>Comprehensive</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4"/>
              </w:rPr>
              <w:t>Stockholders'</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4"/>
              </w:rPr>
              <w:t>Noncontrolling</w:t>
            </w:r>
          </w:p>
        </w:tc>
        <w:tc>
          <w:tcPr>
            <w:tcW w:w="200" w:type="dxa"/>
            <w:vAlign w:val="bottom"/>
          </w:tcPr>
          <w:p>
            <w:pPr>
              <w:spacing w:after="0"/>
              <w:rPr>
                <w:sz w:val="7"/>
                <w:szCs w:val="7"/>
                <w:color w:val="auto"/>
              </w:rPr>
            </w:pPr>
          </w:p>
        </w:tc>
        <w:tc>
          <w:tcPr>
            <w:tcW w:w="720" w:type="dxa"/>
            <w:vAlign w:val="bottom"/>
          </w:tcPr>
          <w:p>
            <w:pPr>
              <w:jc w:val="center"/>
              <w:ind w:right="178"/>
              <w:spacing w:after="0" w:line="88" w:lineRule="exact"/>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Value</w:t>
            </w:r>
          </w:p>
        </w:tc>
        <w:tc>
          <w:tcPr>
            <w:tcW w:w="16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Capital</w:t>
            </w:r>
          </w:p>
        </w:tc>
        <w:tc>
          <w:tcPr>
            <w:tcW w:w="180" w:type="dxa"/>
            <w:vAlign w:val="bottom"/>
          </w:tcPr>
          <w:p>
            <w:pPr>
              <w:spacing w:after="0"/>
              <w:rPr>
                <w:sz w:val="9"/>
                <w:szCs w:val="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9"/>
                <w:szCs w:val="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5"/>
              </w:rPr>
              <w:t>Loss</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Equity</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Interests</w:t>
            </w:r>
          </w:p>
        </w:tc>
        <w:tc>
          <w:tcPr>
            <w:tcW w:w="200" w:type="dxa"/>
            <w:vAlign w:val="bottom"/>
          </w:tcPr>
          <w:p>
            <w:pPr>
              <w:spacing w:after="0"/>
              <w:rPr>
                <w:sz w:val="9"/>
                <w:szCs w:val="9"/>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July 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149,601,164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1,496</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4,596,684</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(2,082,082)</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(13,701)</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2,502,397</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186,162</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2,688,559</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(22,191)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(22,191)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(431)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(22,622)</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 rate cap/swap agreements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8"/>
                <w:szCs w:val="8"/>
                <w:color w:val="auto"/>
              </w:rPr>
              <w:t>2,812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2,812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2,812</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Amortization of share and unit-based plans</w:t>
            </w:r>
          </w:p>
        </w:tc>
        <w:tc>
          <w:tcPr>
            <w:tcW w:w="1060" w:type="dxa"/>
            <w:vAlign w:val="bottom"/>
          </w:tcPr>
          <w:p>
            <w:pPr>
              <w:jc w:val="right"/>
              <w:spacing w:after="0"/>
              <w:rPr>
                <w:sz w:val="20"/>
                <w:szCs w:val="20"/>
                <w:color w:val="auto"/>
              </w:rPr>
            </w:pPr>
            <w:r>
              <w:rPr>
                <w:rFonts w:ascii="Arial" w:cs="Arial" w:eastAsia="Arial" w:hAnsi="Arial"/>
                <w:sz w:val="8"/>
                <w:szCs w:val="8"/>
                <w:color w:val="auto"/>
              </w:rPr>
              <w:t>16,903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4,123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4,123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4,123</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Distributions paid ($0.15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(22,476)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(22,476)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(22,476)</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Distributions to noncontrolling interests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(2,174)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(2,174)</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Contributions from noncontrolling 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325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325</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Other</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w w:val="95"/>
              </w:rPr>
              <w:t>Conversion of noncontrolling interests to common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8"/>
                <w:szCs w:val="8"/>
                <w:color w:val="auto"/>
              </w:rPr>
              <w:t>20,213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409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409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(409)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Redemption of noncontrolling interests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(22)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w:t>
            </w:r>
          </w:p>
        </w:tc>
        <w:tc>
          <w:tcPr>
            <w:tcW w:w="0" w:type="dxa"/>
            <w:vAlign w:val="bottom"/>
          </w:tcPr>
          <w:p>
            <w:pPr>
              <w:spacing w:after="0"/>
              <w:rPr>
                <w:sz w:val="1"/>
                <w:szCs w:val="1"/>
                <w:color w:val="auto"/>
              </w:rPr>
            </w:pPr>
          </w:p>
        </w:tc>
      </w:tr>
      <w:tr>
        <w:trPr>
          <w:trHeight w:val="87"/>
        </w:trPr>
        <w:tc>
          <w:tcPr>
            <w:tcW w:w="1960" w:type="dxa"/>
            <w:vAlign w:val="bottom"/>
            <w:shd w:val="clear" w:color="auto" w:fill="CCEEFF"/>
          </w:tcPr>
          <w:p>
            <w:pPr>
              <w:ind w:left="20"/>
              <w:spacing w:after="0" w:line="88" w:lineRule="exact"/>
              <w:rPr>
                <w:sz w:val="20"/>
                <w:szCs w:val="20"/>
                <w:color w:val="auto"/>
              </w:rPr>
            </w:pPr>
            <w:r>
              <w:rPr>
                <w:rFonts w:ascii="Arial" w:cs="Arial" w:eastAsia="Arial" w:hAnsi="Arial"/>
                <w:sz w:val="8"/>
                <w:szCs w:val="8"/>
                <w:color w:val="auto"/>
              </w:rPr>
              <w:t>Adjustment of noncontrolling interests in Operating</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(758)</w:t>
            </w: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(758)</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758</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Partnership</w:t>
            </w:r>
          </w:p>
        </w:tc>
        <w:tc>
          <w:tcPr>
            <w:tcW w:w="116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Pr>
          <w:p>
            <w:pPr>
              <w:ind w:left="20"/>
              <w:spacing w:after="0"/>
              <w:rPr>
                <w:sz w:val="20"/>
                <w:szCs w:val="20"/>
                <w:color w:val="auto"/>
              </w:rPr>
            </w:pPr>
            <w:r>
              <w:rPr>
                <w:rFonts w:ascii="Arial" w:cs="Arial" w:eastAsia="Arial" w:hAnsi="Arial"/>
                <w:sz w:val="8"/>
                <w:szCs w:val="8"/>
                <w:color w:val="auto"/>
              </w:rPr>
              <w:t>Balance at September 30,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149,638,280</w:t>
            </w:r>
          </w:p>
        </w:tc>
        <w:tc>
          <w:tcPr>
            <w:tcW w:w="10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1,496</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4,600,470</w:t>
            </w:r>
          </w:p>
        </w:tc>
        <w:tc>
          <w:tcPr>
            <w:tcW w:w="10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(2,126,749)</w:t>
            </w:r>
          </w:p>
        </w:tc>
        <w:tc>
          <w:tcPr>
            <w:tcW w:w="10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(10,889)</w:t>
            </w:r>
          </w:p>
        </w:tc>
        <w:tc>
          <w:tcPr>
            <w:tcW w:w="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2,464,328</w:t>
            </w:r>
          </w:p>
        </w:tc>
        <w:tc>
          <w:tcPr>
            <w:tcW w:w="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184,209</w:t>
            </w:r>
          </w:p>
        </w:tc>
        <w:tc>
          <w:tcPr>
            <w:tcW w:w="8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color w:val="auto"/>
              </w:rPr>
              <w:t>2,648,537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6" w:name="page7"/>
    <w:bookmarkEnd w:id="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CONSOLIDATED STATEMENTS OF EQUITY</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(Dollars in thousands, except per share data)</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(Unaudited)</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Nine Months Ended September 30, 2021 and 2020</w:t>
      </w: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113"/>
        </w:trPr>
        <w:tc>
          <w:tcPr>
            <w:tcW w:w="196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60" w:type="dxa"/>
            <w:vAlign w:val="bottom"/>
          </w:tcPr>
          <w:p>
            <w:pPr>
              <w:spacing w:after="0"/>
              <w:rPr>
                <w:sz w:val="8"/>
                <w:szCs w:val="8"/>
                <w:color w:val="auto"/>
              </w:rPr>
            </w:pPr>
          </w:p>
        </w:tc>
        <w:tc>
          <w:tcPr>
            <w:tcW w:w="1300" w:type="dxa"/>
            <w:vAlign w:val="bottom"/>
            <w:gridSpan w:val="3"/>
          </w:tcPr>
          <w:p>
            <w:pPr>
              <w:jc w:val="right"/>
              <w:ind w:right="74"/>
              <w:spacing w:after="0"/>
              <w:rPr>
                <w:sz w:val="20"/>
                <w:szCs w:val="20"/>
                <w:color w:val="auto"/>
              </w:rPr>
            </w:pPr>
            <w:r>
              <w:rPr>
                <w:rFonts w:ascii="Arial" w:cs="Arial" w:eastAsia="Arial" w:hAnsi="Arial"/>
                <w:sz w:val="8"/>
                <w:szCs w:val="8"/>
                <w:b w:val="1"/>
                <w:bCs w:val="1"/>
                <w:color w:val="auto"/>
              </w:rPr>
              <w:t>Common Stock</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5"/>
              </w:rPr>
              <w:t>Accumulated</w:t>
            </w: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280"/>
              <w:spacing w:after="0" w:line="81" w:lineRule="exact"/>
              <w:rPr>
                <w:sz w:val="20"/>
                <w:szCs w:val="20"/>
                <w:color w:val="auto"/>
              </w:rPr>
            </w:pPr>
            <w:r>
              <w:rPr>
                <w:rFonts w:ascii="Arial" w:cs="Arial" w:eastAsia="Arial" w:hAnsi="Arial"/>
                <w:sz w:val="8"/>
                <w:szCs w:val="8"/>
                <w:b w:val="1"/>
                <w:bCs w:val="1"/>
                <w:color w:val="auto"/>
                <w:w w:val="97"/>
              </w:rPr>
              <w:t>Additional</w:t>
            </w: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jc w:val="center"/>
              <w:ind w:right="300"/>
              <w:spacing w:after="0" w:line="81" w:lineRule="exact"/>
              <w:rPr>
                <w:sz w:val="20"/>
                <w:szCs w:val="20"/>
                <w:color w:val="auto"/>
              </w:rPr>
            </w:pPr>
            <w:r>
              <w:rPr>
                <w:rFonts w:ascii="Arial" w:cs="Arial" w:eastAsia="Arial" w:hAnsi="Arial"/>
                <w:sz w:val="8"/>
                <w:szCs w:val="8"/>
                <w:b w:val="1"/>
                <w:bCs w:val="1"/>
                <w:color w:val="auto"/>
              </w:rPr>
              <w:t>Other</w:t>
            </w: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line="81" w:lineRule="exact"/>
              <w:rPr>
                <w:sz w:val="20"/>
                <w:szCs w:val="20"/>
                <w:color w:val="auto"/>
              </w:rPr>
            </w:pPr>
            <w:r>
              <w:rPr>
                <w:rFonts w:ascii="Arial" w:cs="Arial" w:eastAsia="Arial" w:hAnsi="Arial"/>
                <w:sz w:val="8"/>
                <w:szCs w:val="8"/>
                <w:b w:val="1"/>
                <w:bCs w:val="1"/>
                <w:color w:val="auto"/>
                <w:w w:val="93"/>
              </w:rPr>
              <w:t>Total</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8"/>
                <w:szCs w:val="8"/>
                <w:b w:val="1"/>
                <w:bCs w:val="1"/>
                <w:color w:val="auto"/>
              </w:rPr>
              <w:t>Par</w:t>
            </w: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1"/>
              </w:rPr>
              <w:t>Accumulated</w:t>
            </w: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w w:val="94"/>
              </w:rPr>
              <w:t>Noncontrolling</w:t>
            </w:r>
          </w:p>
        </w:tc>
        <w:tc>
          <w:tcPr>
            <w:tcW w:w="200" w:type="dxa"/>
            <w:vAlign w:val="bottom"/>
          </w:tcPr>
          <w:p>
            <w:pPr>
              <w:spacing w:after="0"/>
              <w:rPr>
                <w:sz w:val="2"/>
                <w:szCs w:val="2"/>
                <w:color w:val="auto"/>
              </w:rPr>
            </w:pPr>
          </w:p>
        </w:tc>
        <w:tc>
          <w:tcPr>
            <w:tcW w:w="720" w:type="dxa"/>
            <w:vAlign w:val="bottom"/>
            <w:vMerge w:val="restart"/>
          </w:tcPr>
          <w:p>
            <w:pPr>
              <w:jc w:val="center"/>
              <w:ind w:right="178"/>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line="20" w:lineRule="exact"/>
              <w:rPr>
                <w:sz w:val="1"/>
                <w:szCs w:val="1"/>
                <w:color w:val="auto"/>
              </w:rPr>
            </w:pPr>
          </w:p>
        </w:tc>
      </w:tr>
      <w:tr>
        <w:trPr>
          <w:trHeight w:val="81"/>
        </w:trPr>
        <w:tc>
          <w:tcPr>
            <w:tcW w:w="1960" w:type="dxa"/>
            <w:vAlign w:val="bottom"/>
          </w:tcPr>
          <w:p>
            <w:pPr>
              <w:spacing w:after="0"/>
              <w:rPr>
                <w:sz w:val="7"/>
                <w:szCs w:val="7"/>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1" w:lineRule="exact"/>
              <w:rPr>
                <w:sz w:val="20"/>
                <w:szCs w:val="20"/>
                <w:color w:val="auto"/>
              </w:rPr>
            </w:pPr>
            <w:r>
              <w:rPr>
                <w:rFonts w:ascii="Arial" w:cs="Arial" w:eastAsia="Arial" w:hAnsi="Arial"/>
                <w:sz w:val="8"/>
                <w:szCs w:val="8"/>
                <w:b w:val="1"/>
                <w:bCs w:val="1"/>
                <w:color w:val="auto"/>
                <w:w w:val="97"/>
              </w:rPr>
              <w:t>Paid-in</w:t>
            </w: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tcPr>
          <w:p>
            <w:pPr>
              <w:jc w:val="center"/>
              <w:ind w:right="320"/>
              <w:spacing w:after="0" w:line="81" w:lineRule="exact"/>
              <w:rPr>
                <w:sz w:val="20"/>
                <w:szCs w:val="20"/>
                <w:color w:val="auto"/>
              </w:rPr>
            </w:pPr>
            <w:r>
              <w:rPr>
                <w:rFonts w:ascii="Arial" w:cs="Arial" w:eastAsia="Arial" w:hAnsi="Arial"/>
                <w:sz w:val="8"/>
                <w:szCs w:val="8"/>
                <w:b w:val="1"/>
                <w:bCs w:val="1"/>
                <w:color w:val="auto"/>
                <w:w w:val="93"/>
              </w:rPr>
              <w:t>Comprehensive</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Arial" w:cs="Arial" w:eastAsia="Arial" w:hAnsi="Arial"/>
                <w:sz w:val="8"/>
                <w:szCs w:val="8"/>
                <w:b w:val="1"/>
                <w:bCs w:val="1"/>
                <w:color w:val="auto"/>
                <w:w w:val="94"/>
              </w:rPr>
              <w:t>Stockholders'</w:t>
            </w: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Value</w:t>
            </w:r>
          </w:p>
        </w:tc>
        <w:tc>
          <w:tcPr>
            <w:tcW w:w="16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Capital</w:t>
            </w:r>
          </w:p>
        </w:tc>
        <w:tc>
          <w:tcPr>
            <w:tcW w:w="180" w:type="dxa"/>
            <w:vAlign w:val="bottom"/>
          </w:tcPr>
          <w:p>
            <w:pPr>
              <w:spacing w:after="0"/>
              <w:rPr>
                <w:sz w:val="9"/>
                <w:szCs w:val="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9"/>
                <w:szCs w:val="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5"/>
              </w:rPr>
              <w:t>Loss</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Equity</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Interests</w:t>
            </w:r>
          </w:p>
        </w:tc>
        <w:tc>
          <w:tcPr>
            <w:tcW w:w="200" w:type="dxa"/>
            <w:vAlign w:val="bottom"/>
          </w:tcPr>
          <w:p>
            <w:pPr>
              <w:spacing w:after="0"/>
              <w:rPr>
                <w:sz w:val="9"/>
                <w:szCs w:val="9"/>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January 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149,770,575</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1,498</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4,603,378</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(2,339,619)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(8,208)</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2,257,049</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188,211</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2,445,260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31,333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31,333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9,834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41,167</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 rate cap/swap agreements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8"/>
                <w:szCs w:val="8"/>
                <w:color w:val="auto"/>
              </w:rPr>
              <w:t>8,208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8,208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8,208</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Amortization of share and unit-based plans</w:t>
            </w:r>
          </w:p>
        </w:tc>
        <w:tc>
          <w:tcPr>
            <w:tcW w:w="1060" w:type="dxa"/>
            <w:vAlign w:val="bottom"/>
          </w:tcPr>
          <w:p>
            <w:pPr>
              <w:jc w:val="right"/>
              <w:spacing w:after="0"/>
              <w:rPr>
                <w:sz w:val="20"/>
                <w:szCs w:val="20"/>
                <w:color w:val="auto"/>
              </w:rPr>
            </w:pPr>
            <w:r>
              <w:rPr>
                <w:rFonts w:ascii="Arial" w:cs="Arial" w:eastAsia="Arial" w:hAnsi="Arial"/>
                <w:sz w:val="8"/>
                <w:szCs w:val="8"/>
                <w:color w:val="auto"/>
              </w:rPr>
              <w:t>241,001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13,679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13,681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13,681</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Employee stock purchases</w:t>
            </w:r>
          </w:p>
        </w:tc>
        <w:tc>
          <w:tcPr>
            <w:tcW w:w="1060" w:type="dxa"/>
            <w:vAlign w:val="bottom"/>
            <w:shd w:val="clear" w:color="auto" w:fill="CCEEFF"/>
          </w:tcPr>
          <w:p>
            <w:pPr>
              <w:jc w:val="right"/>
              <w:spacing w:after="0"/>
              <w:rPr>
                <w:sz w:val="20"/>
                <w:szCs w:val="20"/>
                <w:color w:val="auto"/>
              </w:rPr>
            </w:pPr>
            <w:r>
              <w:rPr>
                <w:rFonts w:ascii="Arial" w:cs="Arial" w:eastAsia="Arial" w:hAnsi="Arial"/>
                <w:sz w:val="8"/>
                <w:szCs w:val="8"/>
                <w:color w:val="auto"/>
              </w:rPr>
              <w:t>88,107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594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595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595</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Stock offerings, net</w:t>
            </w:r>
          </w:p>
        </w:tc>
        <w:tc>
          <w:tcPr>
            <w:tcW w:w="1060" w:type="dxa"/>
            <w:vAlign w:val="bottom"/>
          </w:tcPr>
          <w:p>
            <w:pPr>
              <w:jc w:val="right"/>
              <w:spacing w:after="0"/>
              <w:rPr>
                <w:sz w:val="20"/>
                <w:szCs w:val="20"/>
                <w:color w:val="auto"/>
              </w:rPr>
            </w:pPr>
            <w:r>
              <w:rPr>
                <w:rFonts w:ascii="Arial" w:cs="Arial" w:eastAsia="Arial" w:hAnsi="Arial"/>
                <w:sz w:val="8"/>
                <w:szCs w:val="8"/>
                <w:color w:val="auto"/>
              </w:rPr>
              <w:t>62,029,777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620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829,254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829,874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829,874</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Distributions paid ($0.45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8"/>
                <w:szCs w:val="8"/>
                <w:color w:val="auto"/>
              </w:rPr>
              <w:t>(86,348)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(86,348)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(86,348)</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Distributions to noncontrolling interests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(18,166)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(18,166)</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Contributions from noncontrolling 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580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580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w w:val="95"/>
              </w:rPr>
              <w:t>Conversion of noncontrolling interests to common shares</w:t>
            </w:r>
          </w:p>
        </w:tc>
        <w:tc>
          <w:tcPr>
            <w:tcW w:w="1060" w:type="dxa"/>
            <w:vAlign w:val="bottom"/>
          </w:tcPr>
          <w:p>
            <w:pPr>
              <w:jc w:val="right"/>
              <w:spacing w:after="0"/>
              <w:rPr>
                <w:sz w:val="20"/>
                <w:szCs w:val="20"/>
                <w:color w:val="auto"/>
              </w:rPr>
            </w:pPr>
            <w:r>
              <w:rPr>
                <w:rFonts w:ascii="Arial" w:cs="Arial" w:eastAsia="Arial" w:hAnsi="Arial"/>
                <w:sz w:val="8"/>
                <w:szCs w:val="8"/>
                <w:color w:val="auto"/>
              </w:rPr>
              <w:t>1,178,530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22,206</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22,218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(22,218)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noncontrolling 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81"/>
        </w:trPr>
        <w:tc>
          <w:tcPr>
            <w:tcW w:w="1960" w:type="dxa"/>
            <w:vAlign w:val="bottom"/>
          </w:tcPr>
          <w:p>
            <w:pPr>
              <w:ind w:left="20"/>
              <w:spacing w:after="0" w:line="81" w:lineRule="exact"/>
              <w:rPr>
                <w:sz w:val="20"/>
                <w:szCs w:val="20"/>
                <w:color w:val="auto"/>
              </w:rPr>
            </w:pPr>
            <w:r>
              <w:rPr>
                <w:rFonts w:ascii="Arial" w:cs="Arial" w:eastAsia="Arial" w:hAnsi="Arial"/>
                <w:sz w:val="8"/>
                <w:szCs w:val="8"/>
                <w:color w:val="auto"/>
              </w:rPr>
              <w:t>Adjustment of noncontrolling interests in Operating</w:t>
            </w:r>
          </w:p>
        </w:tc>
        <w:tc>
          <w:tcPr>
            <w:tcW w:w="106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8"/>
                <w:szCs w:val="8"/>
                <w:color w:val="auto"/>
              </w:rPr>
              <w:t>(1,859)</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10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80" w:type="dxa"/>
            <w:vAlign w:val="bottom"/>
            <w:vMerge w:val="restart"/>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(1,859)</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1,859</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Partnership</w:t>
            </w:r>
          </w:p>
        </w:tc>
        <w:tc>
          <w:tcPr>
            <w:tcW w:w="10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September 30,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213,307,990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2,133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5,467,235</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(2,394,634)</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3,074,734</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160,057</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3,234,791</w:t>
            </w:r>
          </w:p>
        </w:tc>
        <w:tc>
          <w:tcPr>
            <w:tcW w:w="0" w:type="dxa"/>
            <w:vAlign w:val="bottom"/>
          </w:tcPr>
          <w:p>
            <w:pPr>
              <w:spacing w:after="0"/>
              <w:rPr>
                <w:sz w:val="1"/>
                <w:szCs w:val="1"/>
                <w:color w:val="auto"/>
              </w:rPr>
            </w:pPr>
          </w:p>
        </w:tc>
      </w:tr>
      <w:tr>
        <w:trPr>
          <w:trHeight w:val="291"/>
        </w:trPr>
        <w:tc>
          <w:tcPr>
            <w:tcW w:w="19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8"/>
                <w:szCs w:val="8"/>
                <w:b w:val="1"/>
                <w:bCs w:val="1"/>
                <w:color w:val="auto"/>
              </w:rPr>
              <w:t>Stockholders' Equity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1300" w:type="dxa"/>
            <w:vAlign w:val="bottom"/>
            <w:gridSpan w:val="3"/>
          </w:tcPr>
          <w:p>
            <w:pPr>
              <w:jc w:val="right"/>
              <w:ind w:right="74"/>
              <w:spacing w:after="0"/>
              <w:rPr>
                <w:sz w:val="20"/>
                <w:szCs w:val="20"/>
                <w:color w:val="auto"/>
              </w:rPr>
            </w:pPr>
            <w:r>
              <w:rPr>
                <w:rFonts w:ascii="Arial" w:cs="Arial" w:eastAsia="Arial" w:hAnsi="Arial"/>
                <w:sz w:val="8"/>
                <w:szCs w:val="8"/>
                <w:b w:val="1"/>
                <w:bCs w:val="1"/>
                <w:color w:val="auto"/>
              </w:rPr>
              <w:t>Common Stock</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5"/>
              </w:rPr>
              <w:t>Accumulated</w:t>
            </w: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jc w:val="center"/>
              <w:ind w:right="280"/>
              <w:spacing w:after="0" w:line="36" w:lineRule="exact"/>
              <w:rPr>
                <w:sz w:val="20"/>
                <w:szCs w:val="20"/>
                <w:color w:val="auto"/>
              </w:rPr>
            </w:pPr>
            <w:r>
              <w:rPr>
                <w:rFonts w:ascii="Arial" w:cs="Arial" w:eastAsia="Arial" w:hAnsi="Arial"/>
                <w:sz w:val="4"/>
                <w:szCs w:val="4"/>
                <w:b w:val="1"/>
                <w:bCs w:val="1"/>
                <w:color w:val="auto"/>
              </w:rPr>
              <w:t>Additional</w:t>
            </w: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tcPr>
          <w:p>
            <w:pPr>
              <w:jc w:val="center"/>
              <w:ind w:right="300"/>
              <w:spacing w:after="0" w:line="36" w:lineRule="exact"/>
              <w:rPr>
                <w:sz w:val="20"/>
                <w:szCs w:val="20"/>
                <w:color w:val="auto"/>
              </w:rPr>
            </w:pPr>
            <w:r>
              <w:rPr>
                <w:rFonts w:ascii="Arial" w:cs="Arial" w:eastAsia="Arial" w:hAnsi="Arial"/>
                <w:sz w:val="4"/>
                <w:szCs w:val="4"/>
                <w:b w:val="1"/>
                <w:bCs w:val="1"/>
                <w:color w:val="auto"/>
              </w:rPr>
              <w:t>Other</w:t>
            </w:r>
          </w:p>
        </w:tc>
        <w:tc>
          <w:tcPr>
            <w:tcW w:w="200" w:type="dxa"/>
            <w:vAlign w:val="bottom"/>
          </w:tcPr>
          <w:p>
            <w:pPr>
              <w:spacing w:after="0"/>
              <w:rPr>
                <w:sz w:val="3"/>
                <w:szCs w:val="3"/>
                <w:color w:val="auto"/>
              </w:rPr>
            </w:pPr>
          </w:p>
        </w:tc>
        <w:tc>
          <w:tcPr>
            <w:tcW w:w="1080" w:type="dxa"/>
            <w:vAlign w:val="bottom"/>
            <w:gridSpan w:val="2"/>
          </w:tcPr>
          <w:p>
            <w:pPr>
              <w:jc w:val="center"/>
              <w:ind w:right="300"/>
              <w:spacing w:after="0" w:line="36" w:lineRule="exact"/>
              <w:rPr>
                <w:sz w:val="20"/>
                <w:szCs w:val="20"/>
                <w:color w:val="auto"/>
              </w:rPr>
            </w:pPr>
            <w:r>
              <w:rPr>
                <w:rFonts w:ascii="Arial" w:cs="Arial" w:eastAsia="Arial" w:hAnsi="Arial"/>
                <w:sz w:val="4"/>
                <w:szCs w:val="4"/>
                <w:b w:val="1"/>
                <w:bCs w:val="1"/>
                <w:color w:val="auto"/>
              </w:rPr>
              <w:t>Total</w:t>
            </w: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60" w:type="dxa"/>
            <w:vAlign w:val="bottom"/>
            <w:gridSpan w:val="2"/>
          </w:tcPr>
          <w:p>
            <w:pPr>
              <w:jc w:val="center"/>
              <w:ind w:right="240"/>
              <w:spacing w:after="0" w:line="88" w:lineRule="exact"/>
              <w:rPr>
                <w:sz w:val="20"/>
                <w:szCs w:val="20"/>
                <w:color w:val="auto"/>
              </w:rPr>
            </w:pPr>
            <w:r>
              <w:rPr>
                <w:rFonts w:ascii="Arial" w:cs="Arial" w:eastAsia="Arial" w:hAnsi="Arial"/>
                <w:sz w:val="8"/>
                <w:szCs w:val="8"/>
                <w:b w:val="1"/>
                <w:bCs w:val="1"/>
                <w:color w:val="auto"/>
              </w:rPr>
              <w:t>Par</w:t>
            </w:r>
          </w:p>
        </w:tc>
        <w:tc>
          <w:tcPr>
            <w:tcW w:w="160" w:type="dxa"/>
            <w:vAlign w:val="bottom"/>
          </w:tcPr>
          <w:p>
            <w:pPr>
              <w:spacing w:after="0"/>
              <w:rPr>
                <w:sz w:val="7"/>
                <w:szCs w:val="7"/>
                <w:color w:val="auto"/>
              </w:rPr>
            </w:pPr>
          </w:p>
        </w:tc>
        <w:tc>
          <w:tcPr>
            <w:tcW w:w="900" w:type="dxa"/>
            <w:vAlign w:val="bottom"/>
            <w:gridSpan w:val="2"/>
          </w:tcPr>
          <w:p>
            <w:pPr>
              <w:jc w:val="center"/>
              <w:ind w:right="280"/>
              <w:spacing w:after="0" w:line="88" w:lineRule="exact"/>
              <w:rPr>
                <w:sz w:val="20"/>
                <w:szCs w:val="20"/>
                <w:color w:val="auto"/>
              </w:rPr>
            </w:pPr>
            <w:r>
              <w:rPr>
                <w:rFonts w:ascii="Arial" w:cs="Arial" w:eastAsia="Arial" w:hAnsi="Arial"/>
                <w:sz w:val="8"/>
                <w:szCs w:val="8"/>
                <w:b w:val="1"/>
                <w:bCs w:val="1"/>
                <w:color w:val="auto"/>
                <w:w w:val="97"/>
              </w:rPr>
              <w:t>Paid-in</w:t>
            </w:r>
          </w:p>
        </w:tc>
        <w:tc>
          <w:tcPr>
            <w:tcW w:w="180" w:type="dxa"/>
            <w:vAlign w:val="bottom"/>
          </w:tcPr>
          <w:p>
            <w:pPr>
              <w:spacing w:after="0"/>
              <w:rPr>
                <w:sz w:val="7"/>
                <w:szCs w:val="7"/>
                <w:color w:val="auto"/>
              </w:rPr>
            </w:pPr>
          </w:p>
        </w:tc>
        <w:tc>
          <w:tcPr>
            <w:tcW w:w="104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1"/>
              </w:rPr>
              <w:t>Accumulated</w:t>
            </w:r>
          </w:p>
        </w:tc>
        <w:tc>
          <w:tcPr>
            <w:tcW w:w="200" w:type="dxa"/>
            <w:vAlign w:val="bottom"/>
          </w:tcPr>
          <w:p>
            <w:pPr>
              <w:spacing w:after="0"/>
              <w:rPr>
                <w:sz w:val="7"/>
                <w:szCs w:val="7"/>
                <w:color w:val="auto"/>
              </w:rPr>
            </w:pPr>
          </w:p>
        </w:tc>
        <w:tc>
          <w:tcPr>
            <w:tcW w:w="1200" w:type="dxa"/>
            <w:vAlign w:val="bottom"/>
            <w:gridSpan w:val="2"/>
          </w:tcPr>
          <w:p>
            <w:pPr>
              <w:jc w:val="center"/>
              <w:ind w:right="320"/>
              <w:spacing w:after="0" w:line="88" w:lineRule="exact"/>
              <w:rPr>
                <w:sz w:val="20"/>
                <w:szCs w:val="20"/>
                <w:color w:val="auto"/>
              </w:rPr>
            </w:pPr>
            <w:r>
              <w:rPr>
                <w:rFonts w:ascii="Arial" w:cs="Arial" w:eastAsia="Arial" w:hAnsi="Arial"/>
                <w:sz w:val="8"/>
                <w:szCs w:val="8"/>
                <w:b w:val="1"/>
                <w:bCs w:val="1"/>
                <w:color w:val="auto"/>
                <w:w w:val="93"/>
              </w:rPr>
              <w:t>Comprehensive</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4"/>
              </w:rPr>
              <w:t>Stockholders'</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94"/>
              </w:rPr>
              <w:t>Noncontrolling</w:t>
            </w:r>
          </w:p>
        </w:tc>
        <w:tc>
          <w:tcPr>
            <w:tcW w:w="200" w:type="dxa"/>
            <w:vAlign w:val="bottom"/>
          </w:tcPr>
          <w:p>
            <w:pPr>
              <w:spacing w:after="0"/>
              <w:rPr>
                <w:sz w:val="7"/>
                <w:szCs w:val="7"/>
                <w:color w:val="auto"/>
              </w:rPr>
            </w:pPr>
          </w:p>
        </w:tc>
        <w:tc>
          <w:tcPr>
            <w:tcW w:w="720" w:type="dxa"/>
            <w:vAlign w:val="bottom"/>
          </w:tcPr>
          <w:p>
            <w:pPr>
              <w:jc w:val="center"/>
              <w:ind w:right="178"/>
              <w:spacing w:after="0" w:line="88" w:lineRule="exact"/>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Value</w:t>
            </w:r>
          </w:p>
        </w:tc>
        <w:tc>
          <w:tcPr>
            <w:tcW w:w="160" w:type="dxa"/>
            <w:vAlign w:val="bottom"/>
          </w:tcPr>
          <w:p>
            <w:pPr>
              <w:spacing w:after="0"/>
              <w:rPr>
                <w:sz w:val="9"/>
                <w:szCs w:val="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Capital</w:t>
            </w:r>
          </w:p>
        </w:tc>
        <w:tc>
          <w:tcPr>
            <w:tcW w:w="180" w:type="dxa"/>
            <w:vAlign w:val="bottom"/>
          </w:tcPr>
          <w:p>
            <w:pPr>
              <w:spacing w:after="0"/>
              <w:rPr>
                <w:sz w:val="9"/>
                <w:szCs w:val="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Deficit</w:t>
            </w:r>
          </w:p>
        </w:tc>
        <w:tc>
          <w:tcPr>
            <w:tcW w:w="200" w:type="dxa"/>
            <w:vAlign w:val="bottom"/>
          </w:tcPr>
          <w:p>
            <w:pPr>
              <w:spacing w:after="0"/>
              <w:rPr>
                <w:sz w:val="9"/>
                <w:szCs w:val="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85"/>
              </w:rPr>
              <w:t>Loss</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Equity</w:t>
            </w:r>
          </w:p>
        </w:tc>
        <w:tc>
          <w:tcPr>
            <w:tcW w:w="200" w:type="dxa"/>
            <w:vAlign w:val="bottom"/>
          </w:tcPr>
          <w:p>
            <w:pPr>
              <w:spacing w:after="0"/>
              <w:rPr>
                <w:sz w:val="9"/>
                <w:szCs w:val="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Interests</w:t>
            </w:r>
          </w:p>
        </w:tc>
        <w:tc>
          <w:tcPr>
            <w:tcW w:w="200" w:type="dxa"/>
            <w:vAlign w:val="bottom"/>
          </w:tcPr>
          <w:p>
            <w:pPr>
              <w:spacing w:after="0"/>
              <w:rPr>
                <w:sz w:val="9"/>
                <w:szCs w:val="9"/>
                <w:color w:val="auto"/>
              </w:rPr>
            </w:pPr>
          </w:p>
        </w:tc>
        <w:tc>
          <w:tcPr>
            <w:tcW w:w="720" w:type="dxa"/>
            <w:vAlign w:val="bottom"/>
          </w:tcPr>
          <w:p>
            <w:pPr>
              <w:jc w:val="center"/>
              <w:ind w:right="158"/>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11"/>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January 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141,407,650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1,414</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4,583,911</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(1,944,012)</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(9,051)</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2,632,262</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198,708</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2,830,970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(39,785)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(39,785)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(833)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(40,618)</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Interest rate cap/swap agreements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(1,838)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(1,838)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(1,838)</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Amortization of share and unit-based plans</w:t>
            </w:r>
          </w:p>
        </w:tc>
        <w:tc>
          <w:tcPr>
            <w:tcW w:w="1060" w:type="dxa"/>
            <w:vAlign w:val="bottom"/>
          </w:tcPr>
          <w:p>
            <w:pPr>
              <w:jc w:val="right"/>
              <w:spacing w:after="0"/>
              <w:rPr>
                <w:sz w:val="20"/>
                <w:szCs w:val="20"/>
                <w:color w:val="auto"/>
              </w:rPr>
            </w:pPr>
            <w:r>
              <w:rPr>
                <w:rFonts w:ascii="Arial" w:cs="Arial" w:eastAsia="Arial" w:hAnsi="Arial"/>
                <w:sz w:val="8"/>
                <w:szCs w:val="8"/>
                <w:color w:val="auto"/>
              </w:rPr>
              <w:t>142,991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13,935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13,936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13,936</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Employee stock purchases</w:t>
            </w:r>
          </w:p>
        </w:tc>
        <w:tc>
          <w:tcPr>
            <w:tcW w:w="10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141,568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851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852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852</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Distributions paid ($1.00 per share)</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8"/>
                <w:szCs w:val="8"/>
                <w:color w:val="auto"/>
              </w:rPr>
              <w:t>(142,952)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(142,952)</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(142,952)</w:t>
            </w:r>
          </w:p>
        </w:tc>
        <w:tc>
          <w:tcPr>
            <w:tcW w:w="0" w:type="dxa"/>
            <w:vAlign w:val="bottom"/>
          </w:tcPr>
          <w:p>
            <w:pPr>
              <w:spacing w:after="0"/>
              <w:rPr>
                <w:sz w:val="1"/>
                <w:szCs w:val="1"/>
                <w:color w:val="auto"/>
              </w:rPr>
            </w:pPr>
          </w:p>
        </w:tc>
      </w:tr>
      <w:tr>
        <w:trPr>
          <w:trHeight w:val="132"/>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Stock dividend</w:t>
            </w:r>
          </w:p>
        </w:tc>
        <w:tc>
          <w:tcPr>
            <w:tcW w:w="1060" w:type="dxa"/>
            <w:vAlign w:val="bottom"/>
            <w:shd w:val="clear" w:color="auto" w:fill="CCEEFF"/>
          </w:tcPr>
          <w:p>
            <w:pPr>
              <w:jc w:val="right"/>
              <w:spacing w:after="0"/>
              <w:rPr>
                <w:sz w:val="20"/>
                <w:szCs w:val="20"/>
                <w:color w:val="auto"/>
              </w:rPr>
            </w:pPr>
            <w:r>
              <w:rPr>
                <w:rFonts w:ascii="Arial" w:cs="Arial" w:eastAsia="Arial" w:hAnsi="Arial"/>
                <w:sz w:val="8"/>
                <w:szCs w:val="8"/>
                <w:color w:val="auto"/>
              </w:rPr>
              <w:t>7,759,280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78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(78)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Distributions to noncontrolling interests</w:t>
            </w:r>
          </w:p>
        </w:tc>
        <w:tc>
          <w:tcPr>
            <w:tcW w:w="11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9"/>
                <w:szCs w:val="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(12,235)</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(12,235)</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Contributions from noncontrolling 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450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450</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w w:val="95"/>
              </w:rPr>
              <w:t>Conversion of noncontrolling interests to common shares</w:t>
            </w:r>
          </w:p>
        </w:tc>
        <w:tc>
          <w:tcPr>
            <w:tcW w:w="1060" w:type="dxa"/>
            <w:vAlign w:val="bottom"/>
          </w:tcPr>
          <w:p>
            <w:pPr>
              <w:jc w:val="right"/>
              <w:spacing w:after="0"/>
              <w:rPr>
                <w:sz w:val="20"/>
                <w:szCs w:val="20"/>
                <w:color w:val="auto"/>
              </w:rPr>
            </w:pPr>
            <w:r>
              <w:rPr>
                <w:rFonts w:ascii="Arial" w:cs="Arial" w:eastAsia="Arial" w:hAnsi="Arial"/>
                <w:sz w:val="8"/>
                <w:szCs w:val="8"/>
                <w:color w:val="auto"/>
              </w:rPr>
              <w:t>186,791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12,084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12,086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jc w:val="right"/>
              <w:spacing w:after="0"/>
              <w:rPr>
                <w:sz w:val="20"/>
                <w:szCs w:val="20"/>
                <w:color w:val="auto"/>
              </w:rPr>
            </w:pPr>
            <w:r>
              <w:rPr>
                <w:rFonts w:ascii="Arial" w:cs="Arial" w:eastAsia="Arial" w:hAnsi="Arial"/>
                <w:sz w:val="8"/>
                <w:szCs w:val="8"/>
                <w:color w:val="auto"/>
              </w:rPr>
              <w:t>(12,086)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3"/>
        </w:trPr>
        <w:tc>
          <w:tcPr>
            <w:tcW w:w="19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Redemption of noncontrolling 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(53)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81"/>
        </w:trPr>
        <w:tc>
          <w:tcPr>
            <w:tcW w:w="1960" w:type="dxa"/>
            <w:vAlign w:val="bottom"/>
          </w:tcPr>
          <w:p>
            <w:pPr>
              <w:ind w:left="20"/>
              <w:spacing w:after="0" w:line="81" w:lineRule="exact"/>
              <w:rPr>
                <w:sz w:val="20"/>
                <w:szCs w:val="20"/>
                <w:color w:val="auto"/>
              </w:rPr>
            </w:pPr>
            <w:r>
              <w:rPr>
                <w:rFonts w:ascii="Arial" w:cs="Arial" w:eastAsia="Arial" w:hAnsi="Arial"/>
                <w:sz w:val="8"/>
                <w:szCs w:val="8"/>
                <w:color w:val="auto"/>
              </w:rPr>
              <w:t>Adjustment of noncontrolling interests in Operating</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8"/>
                <w:szCs w:val="8"/>
                <w:color w:val="auto"/>
              </w:rPr>
              <w:t>(10,258)</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(10,258)</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8"/>
                <w:szCs w:val="8"/>
                <w:color w:val="auto"/>
              </w:rPr>
              <w:t>10,258</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1"/>
        </w:trPr>
        <w:tc>
          <w:tcPr>
            <w:tcW w:w="1960" w:type="dxa"/>
            <w:vAlign w:val="bottom"/>
          </w:tcPr>
          <w:p>
            <w:pPr>
              <w:ind w:left="20"/>
              <w:spacing w:after="0"/>
              <w:rPr>
                <w:sz w:val="20"/>
                <w:szCs w:val="20"/>
                <w:color w:val="auto"/>
              </w:rPr>
            </w:pPr>
            <w:r>
              <w:rPr>
                <w:rFonts w:ascii="Arial" w:cs="Arial" w:eastAsia="Arial" w:hAnsi="Arial"/>
                <w:sz w:val="8"/>
                <w:szCs w:val="8"/>
                <w:color w:val="auto"/>
              </w:rPr>
              <w:t>Partnership</w:t>
            </w: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8"/>
                <w:szCs w:val="8"/>
                <w:color w:val="auto"/>
              </w:rPr>
              <w:t>Balance at September 30,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149,638,280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1,496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4,600,470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(2,126,749)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(10,889)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2,464,328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184,209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2,648,537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8" w:right="419" w:bottom="1440" w:gutter="0" w:footer="0" w:header="0"/>
        </w:sectPr>
      </w:pPr>
    </w:p>
    <w:bookmarkStart w:id="7" w:name="page8"/>
    <w:bookmarkEnd w:id="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380" w:type="dxa"/>
            <w:vAlign w:val="bottom"/>
            <w:gridSpan w:val="2"/>
          </w:tcPr>
          <w:p>
            <w:pPr>
              <w:jc w:val="center"/>
              <w:ind w:right="2860"/>
              <w:spacing w:after="0"/>
              <w:rPr>
                <w:sz w:val="20"/>
                <w:szCs w:val="20"/>
                <w:color w:val="auto"/>
              </w:rPr>
            </w:pPr>
            <w:r>
              <w:rPr>
                <w:rFonts w:ascii="Arial" w:cs="Arial" w:eastAsia="Arial" w:hAnsi="Arial"/>
                <w:sz w:val="12"/>
                <w:szCs w:val="12"/>
                <w:b w:val="1"/>
                <w:bCs w:val="1"/>
                <w:color w:val="auto"/>
                <w:w w:val="92"/>
              </w:rPr>
              <w:t>(Unaudited)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2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40" w:type="dxa"/>
            <w:vAlign w:val="bottom"/>
            <w:gridSpan w:val="6"/>
          </w:tcPr>
          <w:p>
            <w:pPr>
              <w:ind w:left="140"/>
              <w:spacing w:after="0"/>
              <w:rPr>
                <w:sz w:val="20"/>
                <w:szCs w:val="20"/>
                <w:color w:val="auto"/>
              </w:rPr>
            </w:pPr>
            <w:r>
              <w:rPr>
                <w:rFonts w:ascii="Arial" w:cs="Arial" w:eastAsia="Arial" w:hAnsi="Arial"/>
                <w:sz w:val="12"/>
                <w:szCs w:val="12"/>
                <w:b w:val="1"/>
                <w:bCs w:val="1"/>
                <w:color w:val="auto"/>
              </w:rPr>
              <w:t>For the Nine Months Ended September 30,</w:t>
            </w:r>
          </w:p>
        </w:tc>
      </w:tr>
      <w:tr>
        <w:trPr>
          <w:trHeight w:val="142"/>
        </w:trPr>
        <w:tc>
          <w:tcPr>
            <w:tcW w:w="24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2"/>
                <w:szCs w:val="12"/>
                <w:color w:val="auto"/>
              </w:rPr>
            </w:pPr>
          </w:p>
        </w:tc>
      </w:tr>
      <w:tr>
        <w:trPr>
          <w:trHeight w:val="142"/>
        </w:trPr>
        <w:tc>
          <w:tcPr>
            <w:tcW w:w="240" w:type="dxa"/>
            <w:vAlign w:val="bottom"/>
          </w:tcPr>
          <w:p>
            <w:pPr>
              <w:spacing w:after="0"/>
              <w:rPr>
                <w:sz w:val="12"/>
                <w:szCs w:val="1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operating activities:</w:t>
            </w:r>
          </w:p>
        </w:tc>
        <w:tc>
          <w:tcPr>
            <w:tcW w:w="3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00"/>
              <w:spacing w:after="0"/>
              <w:rPr>
                <w:sz w:val="20"/>
                <w:szCs w:val="20"/>
                <w:color w:val="auto"/>
              </w:rPr>
            </w:pPr>
            <w:r>
              <w:rPr>
                <w:rFonts w:ascii="Arial" w:cs="Arial" w:eastAsia="Arial" w:hAnsi="Arial"/>
                <w:sz w:val="12"/>
                <w:szCs w:val="12"/>
                <w:color w:val="auto"/>
              </w:rPr>
              <w:t>Net income (loss)</w:t>
            </w:r>
          </w:p>
        </w:tc>
        <w:tc>
          <w:tcPr>
            <w:tcW w:w="438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41,167</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(40,618)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Adjustments to reconcile net income (loss) to net cash provided by operating activities: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Loss on extinguishment of debt</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(Gain) loss on sale or write down of assets, net</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(93,356)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28,784</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241,450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246,500</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 of premium on mortgage notes payable</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Amortization of share and unit-based plans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10,868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10,990</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Straight-line rent and amortization of above and below market leases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(3,917)</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(Recovery of) provision for doubtful accounts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(4,269)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39,248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 expense (benefit)</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Equity in (income) loss of unconsolidated joint ventures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(20,212)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16,988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Distributions of income from unconsolidated joint ventures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Change in fair value of financing arrangement obligation</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(12,608)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(96,793)</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Changes in assets and liabilities, net of dispositions: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320"/>
              <w:spacing w:after="0"/>
              <w:rPr>
                <w:sz w:val="20"/>
                <w:szCs w:val="20"/>
                <w:color w:val="auto"/>
              </w:rPr>
            </w:pPr>
            <w:r>
              <w:rPr>
                <w:rFonts w:ascii="Arial" w:cs="Arial" w:eastAsia="Arial" w:hAnsi="Arial"/>
                <w:sz w:val="12"/>
                <w:szCs w:val="12"/>
                <w:color w:val="auto"/>
              </w:rPr>
              <w:t>Tenant and other receivables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77,748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(124,004)</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assets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22,133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5,470</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320"/>
              <w:spacing w:after="0"/>
              <w:rPr>
                <w:sz w:val="20"/>
                <w:szCs w:val="20"/>
                <w:color w:val="auto"/>
              </w:rPr>
            </w:pPr>
            <w:r>
              <w:rPr>
                <w:rFonts w:ascii="Arial" w:cs="Arial" w:eastAsia="Arial" w:hAnsi="Arial"/>
                <w:sz w:val="12"/>
                <w:szCs w:val="12"/>
                <w:color w:val="auto"/>
              </w:rPr>
              <w:t>Due from affiliates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(11,628)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Accounts payable and accrued expenses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27,173</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accrued liabilities</w:t>
            </w:r>
          </w:p>
        </w:tc>
        <w:tc>
          <w:tcPr>
            <w:tcW w:w="36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(44,009)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(31,687)</w:t>
            </w:r>
          </w:p>
        </w:tc>
        <w:tc>
          <w:tcPr>
            <w:tcW w:w="260" w:type="dxa"/>
            <w:vAlign w:val="bottom"/>
          </w:tcPr>
          <w:p>
            <w:pPr>
              <w:spacing w:after="0"/>
              <w:rPr>
                <w:sz w:val="13"/>
                <w:szCs w:val="13"/>
                <w:color w:val="auto"/>
              </w:rPr>
            </w:pPr>
          </w:p>
        </w:tc>
      </w:tr>
      <w:tr>
        <w:trPr>
          <w:trHeight w:val="142"/>
        </w:trPr>
        <w:tc>
          <w:tcPr>
            <w:tcW w:w="240" w:type="dxa"/>
            <w:vAlign w:val="bottom"/>
          </w:tcPr>
          <w:p>
            <w:pPr>
              <w:spacing w:after="0"/>
              <w:rPr>
                <w:sz w:val="12"/>
                <w:szCs w:val="12"/>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cash provided by operating activities</w:t>
            </w:r>
          </w:p>
        </w:tc>
        <w:tc>
          <w:tcPr>
            <w:tcW w:w="36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211,633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65,127</w:t>
            </w:r>
          </w:p>
        </w:tc>
        <w:tc>
          <w:tcPr>
            <w:tcW w:w="260" w:type="dxa"/>
            <w:vAlign w:val="bottom"/>
          </w:tcPr>
          <w:p>
            <w:pPr>
              <w:spacing w:after="0"/>
              <w:rPr>
                <w:sz w:val="12"/>
                <w:szCs w:val="12"/>
                <w:color w:val="auto"/>
              </w:rPr>
            </w:pPr>
          </w:p>
        </w:tc>
      </w:tr>
      <w:tr>
        <w:trPr>
          <w:trHeight w:val="142"/>
        </w:trPr>
        <w:tc>
          <w:tcPr>
            <w:tcW w:w="240" w:type="dxa"/>
            <w:vAlign w:val="bottom"/>
          </w:tcPr>
          <w:p>
            <w:pPr>
              <w:spacing w:after="0"/>
              <w:rPr>
                <w:sz w:val="12"/>
                <w:szCs w:val="12"/>
                <w:color w:val="auto"/>
              </w:rPr>
            </w:pPr>
          </w:p>
        </w:tc>
        <w:tc>
          <w:tcPr>
            <w:tcW w:w="4680" w:type="dxa"/>
            <w:vAlign w:val="bottom"/>
          </w:tcPr>
          <w:p>
            <w:pPr>
              <w:ind w:left="20"/>
              <w:spacing w:after="0"/>
              <w:rPr>
                <w:sz w:val="20"/>
                <w:szCs w:val="20"/>
                <w:color w:val="auto"/>
              </w:rPr>
            </w:pPr>
            <w:r>
              <w:rPr>
                <w:rFonts w:ascii="Arial" w:cs="Arial" w:eastAsia="Arial" w:hAnsi="Arial"/>
                <w:sz w:val="12"/>
                <w:szCs w:val="12"/>
                <w:color w:val="auto"/>
              </w:rPr>
              <w:t>Cash flows from investing activities:</w:t>
            </w:r>
          </w:p>
        </w:tc>
        <w:tc>
          <w:tcPr>
            <w:tcW w:w="3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Development, redevelopment, expansion and renovation of properties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(52,788)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(46,421)</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00"/>
              <w:spacing w:after="0"/>
              <w:rPr>
                <w:sz w:val="20"/>
                <w:szCs w:val="20"/>
                <w:color w:val="auto"/>
              </w:rPr>
            </w:pPr>
            <w:r>
              <w:rPr>
                <w:rFonts w:ascii="Arial" w:cs="Arial" w:eastAsia="Arial" w:hAnsi="Arial"/>
                <w:sz w:val="12"/>
                <w:szCs w:val="12"/>
                <w:color w:val="auto"/>
              </w:rPr>
              <w:t>Property improvements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(27,906)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(18,005)</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repayment of notes receivable</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00"/>
              <w:spacing w:after="0"/>
              <w:rPr>
                <w:sz w:val="20"/>
                <w:szCs w:val="20"/>
                <w:color w:val="auto"/>
              </w:rPr>
            </w:pPr>
            <w:r>
              <w:rPr>
                <w:rFonts w:ascii="Arial" w:cs="Arial" w:eastAsia="Arial" w:hAnsi="Arial"/>
                <w:sz w:val="12"/>
                <w:szCs w:val="12"/>
                <w:color w:val="auto"/>
              </w:rPr>
              <w:t>Deferred leasing costs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(2,247)</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Distributions from unconsolidated joint ventures</w:t>
            </w:r>
          </w:p>
        </w:tc>
        <w:tc>
          <w:tcPr>
            <w:tcW w:w="3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70,955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tcPr>
          <w:p>
            <w:pPr>
              <w:ind w:left="100"/>
              <w:spacing w:after="0"/>
              <w:rPr>
                <w:sz w:val="20"/>
                <w:szCs w:val="20"/>
                <w:color w:val="auto"/>
              </w:rPr>
            </w:pPr>
            <w:r>
              <w:rPr>
                <w:rFonts w:ascii="Arial" w:cs="Arial" w:eastAsia="Arial" w:hAnsi="Arial"/>
                <w:sz w:val="12"/>
                <w:szCs w:val="12"/>
                <w:color w:val="auto"/>
              </w:rPr>
              <w:t>Contributions to unconsolidated joint ventures</w:t>
            </w:r>
          </w:p>
        </w:tc>
        <w:tc>
          <w:tcPr>
            <w:tcW w:w="3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3"/>
              </w:rPr>
              <w:t>(56,577)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(100,618)</w:t>
            </w:r>
          </w:p>
        </w:tc>
        <w:tc>
          <w:tcPr>
            <w:tcW w:w="260" w:type="dxa"/>
            <w:vAlign w:val="bottom"/>
          </w:tcPr>
          <w:p>
            <w:pPr>
              <w:spacing w:after="0"/>
              <w:rPr>
                <w:sz w:val="13"/>
                <w:szCs w:val="13"/>
                <w:color w:val="auto"/>
              </w:rPr>
            </w:pPr>
          </w:p>
        </w:tc>
      </w:tr>
      <w:tr>
        <w:trPr>
          <w:trHeight w:val="153"/>
        </w:trPr>
        <w:tc>
          <w:tcPr>
            <w:tcW w:w="240" w:type="dxa"/>
            <w:vAlign w:val="bottom"/>
          </w:tcPr>
          <w:p>
            <w:pPr>
              <w:spacing w:after="0"/>
              <w:rPr>
                <w:sz w:val="13"/>
                <w:szCs w:val="13"/>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assets</w:t>
            </w:r>
          </w:p>
        </w:tc>
        <w:tc>
          <w:tcPr>
            <w:tcW w:w="36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323,018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16,315</w:t>
            </w:r>
          </w:p>
        </w:tc>
        <w:tc>
          <w:tcPr>
            <w:tcW w:w="260" w:type="dxa"/>
            <w:vAlign w:val="bottom"/>
          </w:tcPr>
          <w:p>
            <w:pPr>
              <w:spacing w:after="0"/>
              <w:rPr>
                <w:sz w:val="13"/>
                <w:szCs w:val="13"/>
                <w:color w:val="auto"/>
              </w:rPr>
            </w:pPr>
          </w:p>
        </w:tc>
      </w:tr>
      <w:tr>
        <w:trPr>
          <w:trHeight w:val="142"/>
        </w:trPr>
        <w:tc>
          <w:tcPr>
            <w:tcW w:w="240" w:type="dxa"/>
            <w:vAlign w:val="bottom"/>
          </w:tcPr>
          <w:p>
            <w:pPr>
              <w:spacing w:after="0"/>
              <w:rPr>
                <w:sz w:val="12"/>
                <w:szCs w:val="12"/>
                <w:color w:val="auto"/>
              </w:rPr>
            </w:pPr>
          </w:p>
        </w:tc>
        <w:tc>
          <w:tcPr>
            <w:tcW w:w="4680" w:type="dxa"/>
            <w:vAlign w:val="bottom"/>
          </w:tcPr>
          <w:p>
            <w:pPr>
              <w:ind w:left="100"/>
              <w:spacing w:after="0"/>
              <w:rPr>
                <w:sz w:val="20"/>
                <w:szCs w:val="20"/>
                <w:color w:val="auto"/>
              </w:rPr>
            </w:pPr>
            <w:r>
              <w:rPr>
                <w:rFonts w:ascii="Arial" w:cs="Arial" w:eastAsia="Arial" w:hAnsi="Arial"/>
                <w:sz w:val="12"/>
                <w:szCs w:val="12"/>
                <w:color w:val="auto"/>
              </w:rPr>
              <w:t>Net cash provided by (used in) investing activities</w:t>
            </w:r>
          </w:p>
        </w:tc>
        <w:tc>
          <w:tcPr>
            <w:tcW w:w="36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256,124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(122,798)</w:t>
            </w:r>
          </w:p>
        </w:tc>
        <w:tc>
          <w:tcPr>
            <w:tcW w:w="260" w:type="dxa"/>
            <w:vAlign w:val="bottom"/>
          </w:tcPr>
          <w:p>
            <w:pPr>
              <w:spacing w:after="0"/>
              <w:rPr>
                <w:sz w:val="12"/>
                <w:szCs w:val="12"/>
                <w:color w:val="auto"/>
              </w:rPr>
            </w:pPr>
          </w:p>
        </w:tc>
      </w:tr>
      <w:tr>
        <w:trPr>
          <w:trHeight w:val="592"/>
        </w:trPr>
        <w:tc>
          <w:tcPr>
            <w:tcW w:w="2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640" w:type="dxa"/>
            <w:vAlign w:val="bottom"/>
          </w:tcPr>
          <w:p>
            <w:pPr>
              <w:jc w:val="right"/>
              <w:ind w:right="2820"/>
              <w:spacing w:after="0"/>
              <w:rPr>
                <w:sz w:val="20"/>
                <w:szCs w:val="20"/>
                <w:color w:val="auto"/>
              </w:rPr>
            </w:pPr>
            <w:r>
              <w:rPr>
                <w:rFonts w:ascii="Arial" w:cs="Arial" w:eastAsia="Arial" w:hAnsi="Arial"/>
                <w:sz w:val="12"/>
                <w:szCs w:val="12"/>
                <w:color w:val="auto"/>
              </w:rPr>
              <w:t>8</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240" w:type="dxa"/>
            <w:vAlign w:val="bottom"/>
            <w:tcBorders>
              <w:bottom w:val="single" w:sz="8" w:color="9A9A9A"/>
            </w:tcBorders>
          </w:tcPr>
          <w:p>
            <w:pPr>
              <w:spacing w:after="0"/>
              <w:rPr>
                <w:sz w:val="6"/>
                <w:szCs w:val="6"/>
                <w:color w:val="auto"/>
              </w:rPr>
            </w:pPr>
          </w:p>
        </w:tc>
        <w:tc>
          <w:tcPr>
            <w:tcW w:w="4680" w:type="dxa"/>
            <w:vAlign w:val="bottom"/>
            <w:tcBorders>
              <w:bottom w:val="single" w:sz="8" w:color="9A9A9A"/>
            </w:tcBorders>
          </w:tcPr>
          <w:p>
            <w:pPr>
              <w:spacing w:after="0"/>
              <w:rPr>
                <w:sz w:val="6"/>
                <w:szCs w:val="6"/>
                <w:color w:val="auto"/>
              </w:rPr>
            </w:pPr>
          </w:p>
        </w:tc>
        <w:tc>
          <w:tcPr>
            <w:tcW w:w="3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 w:name="page9"/>
    <w:bookmarkEnd w:id="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THE MACERICH COMPANY</w:t>
      </w:r>
    </w:p>
    <w:p>
      <w:pPr>
        <w:spacing w:after="0" w:line="19"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(Dollars in thousands)</w:t>
      </w:r>
    </w:p>
    <w:p>
      <w:pPr>
        <w:spacing w:after="0" w:line="56" w:lineRule="exact"/>
        <w:rPr>
          <w:sz w:val="20"/>
          <w:szCs w:val="20"/>
          <w:color w:val="auto"/>
        </w:rPr>
      </w:pPr>
    </w:p>
    <w:tbl>
      <w:tblPr>
        <w:tblLayout w:type="fixed"/>
        <w:tblInd w:w="240" w:type="dxa"/>
        <w:tblCellMar>
          <w:top w:w="0" w:type="dxa"/>
          <w:left w:w="0" w:type="dxa"/>
          <w:bottom w:w="0" w:type="dxa"/>
          <w:right w:w="0" w:type="dxa"/>
        </w:tblCellMar>
      </w:tblPr>
      <w:tr>
        <w:trPr>
          <w:trHeight w:val="157"/>
        </w:trPr>
        <w:tc>
          <w:tcPr>
            <w:tcW w:w="8320" w:type="dxa"/>
            <w:vAlign w:val="bottom"/>
          </w:tcPr>
          <w:p>
            <w:pPr>
              <w:ind w:left="5100"/>
              <w:spacing w:after="0"/>
              <w:rPr>
                <w:sz w:val="20"/>
                <w:szCs w:val="20"/>
                <w:color w:val="auto"/>
              </w:rPr>
            </w:pPr>
            <w:r>
              <w:rPr>
                <w:rFonts w:ascii="Arial" w:cs="Arial" w:eastAsia="Arial" w:hAnsi="Arial"/>
                <w:sz w:val="12"/>
                <w:szCs w:val="12"/>
                <w:b w:val="1"/>
                <w:bCs w:val="1"/>
                <w:color w:val="auto"/>
              </w:rPr>
              <w:t>(Unaudited)</w:t>
            </w:r>
          </w:p>
        </w:tc>
        <w:tc>
          <w:tcPr>
            <w:tcW w:w="100" w:type="dxa"/>
            <w:vAlign w:val="bottom"/>
          </w:tcPr>
          <w:p>
            <w:pPr>
              <w:spacing w:after="0"/>
              <w:rPr>
                <w:sz w:val="13"/>
                <w:szCs w:val="13"/>
                <w:color w:val="auto"/>
              </w:rPr>
            </w:pPr>
          </w:p>
        </w:tc>
        <w:tc>
          <w:tcPr>
            <w:tcW w:w="2380" w:type="dxa"/>
            <w:vAlign w:val="bottom"/>
            <w:gridSpan w:val="4"/>
            <w:vMerge w:val="restart"/>
          </w:tcPr>
          <w:p>
            <w:pPr>
              <w:jc w:val="right"/>
              <w:ind w:right="80"/>
              <w:spacing w:after="0"/>
              <w:rPr>
                <w:sz w:val="20"/>
                <w:szCs w:val="20"/>
                <w:color w:val="auto"/>
              </w:rPr>
            </w:pPr>
            <w:r>
              <w:rPr>
                <w:rFonts w:ascii="Arial" w:cs="Arial" w:eastAsia="Arial" w:hAnsi="Arial"/>
                <w:sz w:val="12"/>
                <w:szCs w:val="12"/>
                <w:b w:val="1"/>
                <w:bCs w:val="1"/>
                <w:color w:val="auto"/>
                <w:w w:val="91"/>
              </w:rPr>
              <w:t>For the Nine Months Ended September 30,</w:t>
            </w:r>
          </w:p>
        </w:tc>
        <w:tc>
          <w:tcPr>
            <w:tcW w:w="0" w:type="dxa"/>
            <w:vAlign w:val="bottom"/>
          </w:tcPr>
          <w:p>
            <w:pPr>
              <w:spacing w:after="0"/>
              <w:rPr>
                <w:sz w:val="1"/>
                <w:szCs w:val="1"/>
                <w:color w:val="auto"/>
              </w:rPr>
            </w:pPr>
          </w:p>
        </w:tc>
      </w:tr>
      <w:tr>
        <w:trPr>
          <w:trHeight w:val="153"/>
        </w:trPr>
        <w:tc>
          <w:tcPr>
            <w:tcW w:w="8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Proceeds from mortgages, bank and other notes payable</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495,000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660,000</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Payments on mortgages, bank and other notes payable</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(1,973,668)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(20,830)</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Deferred financing costs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(22,813)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(2,582)</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finance lease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4,115</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Payments on finance leases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(1,848)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(1,534)</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proceeds from stock offerings</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829,874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Proceeds from share and unit-based plans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852</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Redemption of noncontrolling interests</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Contribution from noncontrolling interests</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450</w:t>
            </w: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Dividends and distributions</w:t>
            </w: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(104,514)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(155,187)</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Net cash (used in) provided by financing activities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(777,306)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485,256</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(decrease) increase in cash, cash equivalents and restricted cash</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(309,549)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427,585</w:t>
            </w: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cash equivalents and restricted cash, beginning of period</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482,659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114,216</w:t>
            </w:r>
          </w:p>
        </w:tc>
        <w:tc>
          <w:tcPr>
            <w:tcW w:w="0" w:type="dxa"/>
            <w:vAlign w:val="bottom"/>
          </w:tcPr>
          <w:p>
            <w:pPr>
              <w:spacing w:after="0"/>
              <w:rPr>
                <w:sz w:val="1"/>
                <w:szCs w:val="1"/>
                <w:color w:val="auto"/>
              </w:rPr>
            </w:pPr>
          </w:p>
        </w:tc>
      </w:tr>
      <w:tr>
        <w:trPr>
          <w:trHeight w:val="162"/>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173,110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541,801</w:t>
            </w:r>
          </w:p>
        </w:tc>
        <w:tc>
          <w:tcPr>
            <w:tcW w:w="0" w:type="dxa"/>
            <w:vAlign w:val="bottom"/>
          </w:tcPr>
          <w:p>
            <w:pPr>
              <w:spacing w:after="0"/>
              <w:rPr>
                <w:sz w:val="1"/>
                <w:szCs w:val="1"/>
                <w:color w:val="auto"/>
              </w:rPr>
            </w:pPr>
          </w:p>
        </w:tc>
      </w:tr>
      <w:tr>
        <w:trPr>
          <w:trHeight w:val="149"/>
        </w:trPr>
        <w:tc>
          <w:tcPr>
            <w:tcW w:w="8320" w:type="dxa"/>
            <w:vAlign w:val="bottom"/>
          </w:tcPr>
          <w:p>
            <w:pPr>
              <w:ind w:left="20"/>
              <w:spacing w:after="0"/>
              <w:rPr>
                <w:sz w:val="20"/>
                <w:szCs w:val="20"/>
                <w:color w:val="auto"/>
              </w:rPr>
            </w:pPr>
            <w:r>
              <w:rPr>
                <w:rFonts w:ascii="Arial" w:cs="Arial" w:eastAsia="Arial" w:hAnsi="Arial"/>
                <w:sz w:val="12"/>
                <w:szCs w:val="12"/>
                <w:color w:val="auto"/>
              </w:rPr>
              <w:t>Supplemental cash flow information: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Cash payments for interest, net of amounts capitalized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161,474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137,992</w:t>
            </w:r>
          </w:p>
        </w:tc>
        <w:tc>
          <w:tcPr>
            <w:tcW w:w="0" w:type="dxa"/>
            <w:vAlign w:val="bottom"/>
          </w:tcPr>
          <w:p>
            <w:pPr>
              <w:spacing w:after="0"/>
              <w:rPr>
                <w:sz w:val="1"/>
                <w:szCs w:val="1"/>
                <w:color w:val="auto"/>
              </w:rPr>
            </w:pPr>
          </w:p>
        </w:tc>
      </w:tr>
      <w:tr>
        <w:trPr>
          <w:trHeight w:val="149"/>
        </w:trPr>
        <w:tc>
          <w:tcPr>
            <w:tcW w:w="8320" w:type="dxa"/>
            <w:vAlign w:val="bottom"/>
          </w:tcPr>
          <w:p>
            <w:pPr>
              <w:ind w:left="20"/>
              <w:spacing w:after="0"/>
              <w:rPr>
                <w:sz w:val="20"/>
                <w:szCs w:val="20"/>
                <w:color w:val="auto"/>
              </w:rPr>
            </w:pPr>
            <w:r>
              <w:rPr>
                <w:rFonts w:ascii="Arial" w:cs="Arial" w:eastAsia="Arial" w:hAnsi="Arial"/>
                <w:sz w:val="12"/>
                <w:szCs w:val="12"/>
                <w:color w:val="auto"/>
              </w:rPr>
              <w:t>Non-cash investing and financing transactions: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32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2"/>
                <w:szCs w:val="12"/>
                <w:color w:val="auto"/>
              </w:rPr>
              <w:t>Accrued development costs included in accounts payable and accrued expenses and other accrued liabilities</w:t>
            </w:r>
          </w:p>
        </w:tc>
        <w:tc>
          <w:tcPr>
            <w:tcW w:w="1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18,281</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18,549</w:t>
            </w:r>
          </w:p>
        </w:tc>
        <w:tc>
          <w:tcPr>
            <w:tcW w:w="0" w:type="dxa"/>
            <w:vAlign w:val="bottom"/>
          </w:tcPr>
          <w:p>
            <w:pPr>
              <w:spacing w:after="0"/>
              <w:rPr>
                <w:sz w:val="1"/>
                <w:szCs w:val="1"/>
                <w:color w:val="auto"/>
              </w:rPr>
            </w:pPr>
          </w:p>
        </w:tc>
      </w:tr>
      <w:tr>
        <w:trPr>
          <w:trHeight w:val="153"/>
        </w:trPr>
        <w:tc>
          <w:tcPr>
            <w:tcW w:w="8320" w:type="dxa"/>
            <w:vAlign w:val="bottom"/>
          </w:tcPr>
          <w:p>
            <w:pPr>
              <w:ind w:left="100"/>
              <w:spacing w:after="0"/>
              <w:rPr>
                <w:sz w:val="20"/>
                <w:szCs w:val="20"/>
                <w:color w:val="auto"/>
              </w:rPr>
            </w:pPr>
            <w:r>
              <w:rPr>
                <w:rFonts w:ascii="Arial" w:cs="Arial" w:eastAsia="Arial" w:hAnsi="Arial"/>
                <w:sz w:val="12"/>
                <w:szCs w:val="12"/>
                <w:color w:val="auto"/>
              </w:rPr>
              <w:t>Conversion of Operating Partnership Units to common stock</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22,218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40"/>
          </w:cols>
          <w:pgMar w:left="300" w:top="128" w:right="559" w:bottom="1440" w:gutter="0" w:footer="0" w:header="0"/>
        </w:sectPr>
      </w:pPr>
    </w:p>
    <w:bookmarkStart w:id="9" w:name="page10"/>
    <w:bookmarkEnd w:id="9"/>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Organization:</w:t>
      </w:r>
    </w:p>
    <w:p>
      <w:pPr>
        <w:spacing w:after="0" w:line="109" w:lineRule="exact"/>
        <w:rPr>
          <w:sz w:val="20"/>
          <w:szCs w:val="20"/>
          <w:color w:val="auto"/>
        </w:rPr>
      </w:pPr>
    </w:p>
    <w:p>
      <w:pPr>
        <w:ind w:left="8" w:right="20" w:firstLine="297"/>
        <w:spacing w:after="0" w:line="276" w:lineRule="auto"/>
        <w:rPr>
          <w:sz w:val="20"/>
          <w:szCs w:val="20"/>
          <w:color w:val="auto"/>
        </w:rPr>
      </w:pPr>
      <w:r>
        <w:rPr>
          <w:rFonts w:ascii="Arial" w:cs="Arial" w:eastAsia="Arial" w:hAnsi="Arial"/>
          <w:sz w:val="12"/>
          <w:szCs w:val="12"/>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61" w:lineRule="exact"/>
        <w:rPr>
          <w:sz w:val="20"/>
          <w:szCs w:val="20"/>
          <w:color w:val="auto"/>
        </w:rPr>
      </w:pPr>
    </w:p>
    <w:p>
      <w:pPr>
        <w:ind w:left="8" w:right="140" w:firstLine="297"/>
        <w:spacing w:after="0" w:line="323" w:lineRule="auto"/>
        <w:rPr>
          <w:sz w:val="20"/>
          <w:szCs w:val="20"/>
          <w:color w:val="auto"/>
        </w:rPr>
      </w:pPr>
      <w:r>
        <w:rPr>
          <w:rFonts w:ascii="Arial" w:cs="Arial" w:eastAsia="Arial" w:hAnsi="Arial"/>
          <w:sz w:val="11"/>
          <w:szCs w:val="11"/>
          <w:color w:val="auto"/>
        </w:rPr>
        <w:t>The Company commenced operations effective with the completion of its initial public offering on March 16, 1994. As of September 30, 2021,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47" w:lineRule="exact"/>
        <w:rPr>
          <w:sz w:val="20"/>
          <w:szCs w:val="20"/>
          <w:color w:val="auto"/>
        </w:rPr>
      </w:pPr>
    </w:p>
    <w:p>
      <w:pPr>
        <w:ind w:left="8" w:right="20" w:firstLine="297"/>
        <w:spacing w:after="0" w:line="259" w:lineRule="auto"/>
        <w:rPr>
          <w:sz w:val="20"/>
          <w:szCs w:val="20"/>
          <w:color w:val="auto"/>
        </w:rPr>
      </w:pPr>
      <w:r>
        <w:rPr>
          <w:rFonts w:ascii="Arial" w:cs="Arial" w:eastAsia="Arial" w:hAnsi="Arial"/>
          <w:sz w:val="12"/>
          <w:szCs w:val="12"/>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79" w:lineRule="exact"/>
        <w:rPr>
          <w:sz w:val="20"/>
          <w:szCs w:val="20"/>
          <w:color w:val="auto"/>
        </w:rPr>
      </w:pPr>
    </w:p>
    <w:p>
      <w:pPr>
        <w:ind w:left="288"/>
        <w:spacing w:after="0"/>
        <w:rPr>
          <w:sz w:val="20"/>
          <w:szCs w:val="20"/>
          <w:color w:val="auto"/>
        </w:rPr>
      </w:pPr>
      <w:r>
        <w:rPr>
          <w:rFonts w:ascii="Arial" w:cs="Arial" w:eastAsia="Arial" w:hAnsi="Arial"/>
          <w:sz w:val="11"/>
          <w:szCs w:val="11"/>
          <w:color w:val="auto"/>
        </w:rPr>
        <w:t>All references to the Company in this Quarterly Report on Form 10-Q include the Company, those entities owned or controlled by the Company and predecessors of the Company, unless the context indicates otherwise.</w:t>
      </w:r>
    </w:p>
    <w:p>
      <w:pPr>
        <w:spacing w:after="0" w:line="104" w:lineRule="exact"/>
        <w:rPr>
          <w:sz w:val="20"/>
          <w:szCs w:val="20"/>
          <w:color w:val="auto"/>
        </w:rPr>
      </w:pPr>
    </w:p>
    <w:p>
      <w:pPr>
        <w:ind w:left="268" w:right="8880" w:hanging="268"/>
        <w:spacing w:after="0" w:line="426" w:lineRule="auto"/>
        <w:tabs>
          <w:tab w:leader="none" w:pos="11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w:t>
      </w:r>
      <w:r>
        <w:rPr>
          <w:rFonts w:ascii="Arial" w:cs="Arial" w:eastAsia="Arial" w:hAnsi="Arial"/>
          <w:sz w:val="12"/>
          <w:szCs w:val="12"/>
          <w:i w:val="1"/>
          <w:iCs w:val="1"/>
          <w:color w:val="auto"/>
        </w:rPr>
        <w:t>Basis of Presentation:</w:t>
      </w:r>
    </w:p>
    <w:p>
      <w:pPr>
        <w:jc w:val="both"/>
        <w:ind w:left="8" w:right="40" w:firstLine="297"/>
        <w:spacing w:after="0" w:line="263" w:lineRule="auto"/>
        <w:rPr>
          <w:sz w:val="20"/>
          <w:szCs w:val="20"/>
          <w:color w:val="auto"/>
        </w:rPr>
      </w:pPr>
      <w:r>
        <w:rPr>
          <w:rFonts w:ascii="Arial" w:cs="Arial" w:eastAsia="Arial" w:hAnsi="Arial"/>
          <w:sz w:val="12"/>
          <w:szCs w:val="12"/>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68" w:lineRule="exact"/>
        <w:rPr>
          <w:sz w:val="20"/>
          <w:szCs w:val="20"/>
          <w:color w:val="auto"/>
        </w:rPr>
      </w:pPr>
    </w:p>
    <w:p>
      <w:pPr>
        <w:ind w:left="8" w:firstLine="297"/>
        <w:spacing w:after="0" w:line="276" w:lineRule="auto"/>
        <w:rPr>
          <w:sz w:val="20"/>
          <w:szCs w:val="20"/>
          <w:color w:val="auto"/>
        </w:rPr>
      </w:pPr>
      <w:r>
        <w:rPr>
          <w:rFonts w:ascii="Arial" w:cs="Arial" w:eastAsia="Arial" w:hAnsi="Arial"/>
          <w:sz w:val="12"/>
          <w:szCs w:val="12"/>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7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Operating Partnership's consolidated VIEs included the following assets and liabilities: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520" w:type="dxa"/>
            <w:vAlign w:val="bottom"/>
          </w:tcPr>
          <w:p>
            <w:pPr>
              <w:spacing w:after="0"/>
              <w:rPr>
                <w:sz w:val="10"/>
                <w:szCs w:val="10"/>
                <w:color w:val="auto"/>
              </w:rPr>
            </w:pPr>
          </w:p>
        </w:tc>
        <w:tc>
          <w:tcPr>
            <w:tcW w:w="1100" w:type="dxa"/>
            <w:vAlign w:val="bottom"/>
          </w:tcPr>
          <w:p>
            <w:pPr>
              <w:jc w:val="right"/>
              <w:ind w:right="323"/>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8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r>
      <w:tr>
        <w:trPr>
          <w:trHeight w:val="143"/>
        </w:trPr>
        <w:tc>
          <w:tcPr>
            <w:tcW w:w="7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5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53"/>
        </w:trPr>
        <w:tc>
          <w:tcPr>
            <w:tcW w:w="7840" w:type="dxa"/>
            <w:vAlign w:val="bottom"/>
          </w:tcPr>
          <w:p>
            <w:pPr>
              <w:ind w:left="380"/>
              <w:spacing w:after="0"/>
              <w:rPr>
                <w:sz w:val="20"/>
                <w:szCs w:val="20"/>
                <w:color w:val="auto"/>
              </w:rPr>
            </w:pPr>
            <w:r>
              <w:rPr>
                <w:rFonts w:ascii="Arial" w:cs="Arial" w:eastAsia="Arial" w:hAnsi="Arial"/>
                <w:sz w:val="12"/>
                <w:szCs w:val="12"/>
                <w:color w:val="auto"/>
              </w:rPr>
              <w:t>Property, net</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463,949</w:t>
            </w:r>
          </w:p>
        </w:tc>
        <w:tc>
          <w:tcPr>
            <w:tcW w:w="8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551,062</w:t>
            </w:r>
          </w:p>
        </w:tc>
      </w:tr>
      <w:tr>
        <w:trPr>
          <w:trHeight w:val="153"/>
        </w:trPr>
        <w:tc>
          <w:tcPr>
            <w:tcW w:w="7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assets</w:t>
            </w:r>
          </w:p>
        </w:tc>
        <w:tc>
          <w:tcPr>
            <w:tcW w:w="5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84,510</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97,713</w:t>
            </w:r>
          </w:p>
        </w:tc>
      </w:tr>
      <w:tr>
        <w:trPr>
          <w:trHeight w:val="158"/>
        </w:trPr>
        <w:tc>
          <w:tcPr>
            <w:tcW w:w="78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assets</w:t>
            </w: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548,459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648,775</w:t>
            </w:r>
          </w:p>
        </w:tc>
      </w:tr>
      <w:tr>
        <w:trPr>
          <w:trHeight w:val="153"/>
        </w:trPr>
        <w:tc>
          <w:tcPr>
            <w:tcW w:w="78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Liabilities:</w:t>
            </w:r>
          </w:p>
        </w:tc>
        <w:tc>
          <w:tcPr>
            <w:tcW w:w="5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7840" w:type="dxa"/>
            <w:vAlign w:val="bottom"/>
          </w:tcPr>
          <w:p>
            <w:pPr>
              <w:ind w:left="380"/>
              <w:spacing w:after="0"/>
              <w:rPr>
                <w:sz w:val="20"/>
                <w:szCs w:val="20"/>
                <w:color w:val="auto"/>
              </w:rPr>
            </w:pPr>
            <w:r>
              <w:rPr>
                <w:rFonts w:ascii="Arial" w:cs="Arial" w:eastAsia="Arial" w:hAnsi="Arial"/>
                <w:sz w:val="12"/>
                <w:szCs w:val="12"/>
                <w:color w:val="auto"/>
              </w:rPr>
              <w:t>Mortgage notes payable</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413,902</w:t>
            </w:r>
          </w:p>
        </w:tc>
        <w:tc>
          <w:tcPr>
            <w:tcW w:w="8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420,233</w:t>
            </w:r>
          </w:p>
        </w:tc>
      </w:tr>
      <w:tr>
        <w:trPr>
          <w:trHeight w:val="153"/>
        </w:trPr>
        <w:tc>
          <w:tcPr>
            <w:tcW w:w="7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Other liabilities</w:t>
            </w:r>
          </w:p>
        </w:tc>
        <w:tc>
          <w:tcPr>
            <w:tcW w:w="5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59,240</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81,266</w:t>
            </w:r>
          </w:p>
        </w:tc>
      </w:tr>
      <w:tr>
        <w:trPr>
          <w:trHeight w:val="142"/>
        </w:trPr>
        <w:tc>
          <w:tcPr>
            <w:tcW w:w="7840" w:type="dxa"/>
            <w:vAlign w:val="bottom"/>
          </w:tcPr>
          <w:p>
            <w:pPr>
              <w:ind w:left="380"/>
              <w:spacing w:after="0"/>
              <w:rPr>
                <w:sz w:val="20"/>
                <w:szCs w:val="20"/>
                <w:color w:val="auto"/>
              </w:rPr>
            </w:pPr>
            <w:r>
              <w:rPr>
                <w:rFonts w:ascii="Arial" w:cs="Arial" w:eastAsia="Arial" w:hAnsi="Arial"/>
                <w:sz w:val="12"/>
                <w:szCs w:val="12"/>
                <w:color w:val="auto"/>
              </w:rPr>
              <w:t>Total liabilities</w:t>
            </w: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473,142</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501,499</w:t>
            </w:r>
          </w:p>
        </w:tc>
      </w:tr>
      <w:tr>
        <w:trPr>
          <w:trHeight w:val="20"/>
        </w:trPr>
        <w:tc>
          <w:tcPr>
            <w:tcW w:w="7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78" w:right="319" w:bottom="1440" w:gutter="0" w:footer="0" w:header="0"/>
        </w:sectPr>
      </w:pPr>
    </w:p>
    <w:bookmarkStart w:id="10" w:name="page11"/>
    <w:bookmarkEnd w:id="1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72" w:lineRule="exact"/>
        <w:rPr>
          <w:sz w:val="20"/>
          <w:szCs w:val="20"/>
          <w:color w:val="auto"/>
        </w:rPr>
      </w:pPr>
    </w:p>
    <w:p>
      <w:pPr>
        <w:ind w:firstLine="297"/>
        <w:spacing w:after="0" w:line="283" w:lineRule="auto"/>
        <w:rPr>
          <w:sz w:val="20"/>
          <w:szCs w:val="20"/>
          <w:color w:val="auto"/>
        </w:rPr>
      </w:pPr>
      <w:r>
        <w:rPr>
          <w:rFonts w:ascii="Arial" w:cs="Arial" w:eastAsia="Arial" w:hAnsi="Arial"/>
          <w:sz w:val="11"/>
          <w:szCs w:val="11"/>
          <w:color w:val="auto"/>
        </w:rPr>
        <w:t>The unaudited interim consolidated financial statements should be read in conjunction with the Company's audited consolidated financial statements and notes thereto included in the Company's Annual Report on Form 10-K for the year ended December 31, 2020.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2020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600" w:type="dxa"/>
            <w:vAlign w:val="bottom"/>
          </w:tcPr>
          <w:p>
            <w:pPr>
              <w:spacing w:after="0"/>
              <w:rPr>
                <w:sz w:val="11"/>
                <w:szCs w:val="11"/>
                <w:color w:val="auto"/>
              </w:rPr>
            </w:pPr>
          </w:p>
        </w:tc>
        <w:tc>
          <w:tcPr>
            <w:tcW w:w="2480" w:type="dxa"/>
            <w:vAlign w:val="bottom"/>
            <w:tcBorders>
              <w:bottom w:val="single" w:sz="8" w:color="auto"/>
            </w:tcBorders>
            <w:gridSpan w:val="5"/>
          </w:tcPr>
          <w:p>
            <w:pPr>
              <w:jc w:val="right"/>
              <w:ind w:right="302"/>
              <w:spacing w:after="0"/>
              <w:rPr>
                <w:sz w:val="20"/>
                <w:szCs w:val="20"/>
                <w:color w:val="auto"/>
              </w:rPr>
            </w:pPr>
            <w:r>
              <w:rPr>
                <w:rFonts w:ascii="Arial" w:cs="Arial" w:eastAsia="Arial" w:hAnsi="Arial"/>
                <w:sz w:val="10"/>
                <w:szCs w:val="10"/>
                <w:b w:val="1"/>
                <w:bCs w:val="1"/>
                <w:color w:val="auto"/>
              </w:rPr>
              <w:t>For the Nine Months Ended September 30,</w:t>
            </w:r>
          </w:p>
        </w:tc>
      </w:tr>
      <w:tr>
        <w:trPr>
          <w:trHeight w:val="118"/>
        </w:trPr>
        <w:tc>
          <w:tcPr>
            <w:tcW w:w="86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2020</w:t>
            </w:r>
          </w:p>
        </w:tc>
      </w:tr>
      <w:tr>
        <w:trPr>
          <w:trHeight w:val="134"/>
        </w:trPr>
        <w:tc>
          <w:tcPr>
            <w:tcW w:w="86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Beginning of period</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3"/>
        </w:trPr>
        <w:tc>
          <w:tcPr>
            <w:tcW w:w="86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2"/>
              </w:rPr>
              <w:t>465,297</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100,005</w:t>
            </w:r>
          </w:p>
        </w:tc>
      </w:tr>
      <w:tr>
        <w:trPr>
          <w:trHeight w:val="153"/>
        </w:trPr>
        <w:tc>
          <w:tcPr>
            <w:tcW w:w="86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17,362</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14,211</w:t>
            </w:r>
          </w:p>
        </w:tc>
      </w:tr>
      <w:tr>
        <w:trPr>
          <w:trHeight w:val="158"/>
        </w:trPr>
        <w:tc>
          <w:tcPr>
            <w:tcW w:w="86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Cash, cash equivalents and restricted cash</w:t>
            </w: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482,659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114,216</w:t>
            </w:r>
          </w:p>
        </w:tc>
      </w:tr>
      <w:tr>
        <w:trPr>
          <w:trHeight w:val="135"/>
        </w:trPr>
        <w:tc>
          <w:tcPr>
            <w:tcW w:w="86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End of period</w:t>
            </w: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3"/>
        </w:trPr>
        <w:tc>
          <w:tcPr>
            <w:tcW w:w="86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20" w:type="dxa"/>
            <w:vAlign w:val="bottom"/>
          </w:tcPr>
          <w:p>
            <w:pPr>
              <w:jc w:val="right"/>
              <w:ind w:right="6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2"/>
              </w:rPr>
              <w:t>117,596</w:t>
            </w:r>
          </w:p>
        </w:tc>
        <w:tc>
          <w:tcPr>
            <w:tcW w:w="10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528,431</w:t>
            </w:r>
          </w:p>
        </w:tc>
      </w:tr>
      <w:tr>
        <w:trPr>
          <w:trHeight w:val="153"/>
        </w:trPr>
        <w:tc>
          <w:tcPr>
            <w:tcW w:w="86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55,514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13,370</w:t>
            </w:r>
          </w:p>
        </w:tc>
      </w:tr>
      <w:tr>
        <w:trPr>
          <w:trHeight w:val="142"/>
        </w:trPr>
        <w:tc>
          <w:tcPr>
            <w:tcW w:w="8600" w:type="dxa"/>
            <w:vAlign w:val="bottom"/>
          </w:tcPr>
          <w:p>
            <w:pPr>
              <w:ind w:left="80"/>
              <w:spacing w:after="0"/>
              <w:rPr>
                <w:sz w:val="20"/>
                <w:szCs w:val="20"/>
                <w:color w:val="auto"/>
              </w:rPr>
            </w:pPr>
            <w:r>
              <w:rPr>
                <w:rFonts w:ascii="Arial" w:cs="Arial" w:eastAsia="Arial" w:hAnsi="Arial"/>
                <w:sz w:val="12"/>
                <w:szCs w:val="12"/>
                <w:color w:val="auto"/>
              </w:rPr>
              <w:t>Cash, cash equivalents and restricted cash</w:t>
            </w: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173,110</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541,801</w:t>
            </w:r>
          </w:p>
        </w:tc>
      </w:tr>
      <w:tr>
        <w:trPr>
          <w:trHeight w:val="20"/>
        </w:trPr>
        <w:tc>
          <w:tcPr>
            <w:tcW w:w="8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COVID-19 Pandemic:</w:t>
      </w:r>
    </w:p>
    <w:p>
      <w:pPr>
        <w:spacing w:after="0" w:line="105" w:lineRule="exact"/>
        <w:rPr>
          <w:sz w:val="20"/>
          <w:szCs w:val="20"/>
          <w:color w:val="auto"/>
        </w:rPr>
      </w:pPr>
    </w:p>
    <w:p>
      <w:pPr>
        <w:ind w:right="240" w:firstLine="297"/>
        <w:spacing w:after="0" w:line="263" w:lineRule="auto"/>
        <w:rPr>
          <w:sz w:val="20"/>
          <w:szCs w:val="20"/>
          <w:color w:val="auto"/>
        </w:rPr>
      </w:pPr>
      <w:r>
        <w:rPr>
          <w:rFonts w:ascii="Arial" w:cs="Arial" w:eastAsia="Arial" w:hAnsi="Arial"/>
          <w:sz w:val="12"/>
          <w:szCs w:val="12"/>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essentially eliminated across the Company’s markets.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COVID-19 Lease Accounting:</w:t>
      </w:r>
    </w:p>
    <w:p>
      <w:pPr>
        <w:spacing w:after="0" w:line="96" w:lineRule="exact"/>
        <w:rPr>
          <w:sz w:val="20"/>
          <w:szCs w:val="20"/>
          <w:color w:val="auto"/>
        </w:rPr>
      </w:pPr>
    </w:p>
    <w:p>
      <w:pPr>
        <w:ind w:right="40" w:firstLine="297"/>
        <w:spacing w:after="0" w:line="285" w:lineRule="auto"/>
        <w:rPr>
          <w:sz w:val="20"/>
          <w:szCs w:val="20"/>
          <w:color w:val="auto"/>
        </w:rPr>
      </w:pPr>
      <w:r>
        <w:rPr>
          <w:rFonts w:ascii="Arial" w:cs="Arial" w:eastAsia="Arial" w:hAnsi="Arial"/>
          <w:sz w:val="11"/>
          <w:szCs w:val="11"/>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26" w:right="339" w:bottom="1440" w:gutter="0" w:footer="0" w:header="0"/>
        </w:sectPr>
      </w:pPr>
    </w:p>
    <w:bookmarkStart w:id="11" w:name="page12"/>
    <w:bookmarkEnd w:id="11"/>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4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3. Earnings Per Share ("EPS"):</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table reconciles the numerator and denominator used in the computation of EPS for the three and nine months ended September 30, 2021 and 2020 (shares in thousands):</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0" w:type="dxa"/>
            <w:vAlign w:val="bottom"/>
            <w:gridSpan w:val="5"/>
          </w:tcPr>
          <w:p>
            <w:pPr>
              <w:ind w:left="140"/>
              <w:spacing w:after="0"/>
              <w:rPr>
                <w:sz w:val="20"/>
                <w:szCs w:val="20"/>
                <w:color w:val="auto"/>
              </w:rPr>
            </w:pPr>
            <w:r>
              <w:rPr>
                <w:rFonts w:ascii="Arial" w:cs="Arial" w:eastAsia="Arial" w:hAnsi="Arial"/>
                <w:sz w:val="10"/>
                <w:szCs w:val="10"/>
                <w:b w:val="1"/>
                <w:bCs w:val="1"/>
                <w:color w:val="auto"/>
              </w:rPr>
              <w:t>For the Three Months Ended September 30,</w:t>
            </w:r>
          </w:p>
        </w:tc>
        <w:tc>
          <w:tcPr>
            <w:tcW w:w="500" w:type="dxa"/>
            <w:vAlign w:val="bottom"/>
          </w:tcPr>
          <w:p>
            <w:pPr>
              <w:spacing w:after="0"/>
              <w:rPr>
                <w:sz w:val="11"/>
                <w:szCs w:val="11"/>
                <w:color w:val="auto"/>
              </w:rPr>
            </w:pPr>
          </w:p>
        </w:tc>
        <w:tc>
          <w:tcPr>
            <w:tcW w:w="2220" w:type="dxa"/>
            <w:vAlign w:val="bottom"/>
            <w:gridSpan w:val="4"/>
          </w:tcPr>
          <w:p>
            <w:pPr>
              <w:jc w:val="right"/>
              <w:ind w:right="282"/>
              <w:spacing w:after="0"/>
              <w:rPr>
                <w:sz w:val="20"/>
                <w:szCs w:val="20"/>
                <w:color w:val="auto"/>
              </w:rPr>
            </w:pPr>
            <w:r>
              <w:rPr>
                <w:rFonts w:ascii="Arial" w:cs="Arial" w:eastAsia="Arial" w:hAnsi="Arial"/>
                <w:sz w:val="10"/>
                <w:szCs w:val="10"/>
                <w:b w:val="1"/>
                <w:bCs w:val="1"/>
                <w:color w:val="auto"/>
                <w:w w:val="92"/>
              </w:rPr>
              <w:t>For the Nine Months Ended September 30,</w:t>
            </w:r>
          </w:p>
        </w:tc>
      </w:tr>
      <w:tr>
        <w:trPr>
          <w:trHeight w:val="118"/>
        </w:trPr>
        <w:tc>
          <w:tcPr>
            <w:tcW w:w="548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2020</w:t>
            </w:r>
          </w:p>
        </w:tc>
      </w:tr>
      <w:tr>
        <w:trPr>
          <w:trHeight w:val="143"/>
        </w:trPr>
        <w:tc>
          <w:tcPr>
            <w:tcW w:w="54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Numerator</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53"/>
        </w:trPr>
        <w:tc>
          <w:tcPr>
            <w:tcW w:w="5480" w:type="dxa"/>
            <w:vAlign w:val="bottom"/>
          </w:tcPr>
          <w:p>
            <w:pPr>
              <w:ind w:left="300"/>
              <w:spacing w:after="0"/>
              <w:rPr>
                <w:sz w:val="20"/>
                <w:szCs w:val="20"/>
                <w:color w:val="auto"/>
              </w:rPr>
            </w:pPr>
            <w:r>
              <w:rPr>
                <w:rFonts w:ascii="Arial" w:cs="Arial" w:eastAsia="Arial" w:hAnsi="Arial"/>
                <w:sz w:val="12"/>
                <w:szCs w:val="12"/>
                <w:color w:val="auto"/>
              </w:rPr>
              <w:t>Net income (loss)</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112,959</w:t>
            </w:r>
          </w:p>
        </w:tc>
        <w:tc>
          <w:tcPr>
            <w:tcW w:w="160" w:type="dxa"/>
            <w:vAlign w:val="bottom"/>
          </w:tcPr>
          <w:p>
            <w:pPr>
              <w:spacing w:after="0"/>
              <w:rPr>
                <w:sz w:val="13"/>
                <w:szCs w:val="13"/>
                <w:color w:val="auto"/>
              </w:rPr>
            </w:pPr>
          </w:p>
        </w:tc>
        <w:tc>
          <w:tcPr>
            <w:tcW w:w="5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(22,622)</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41,167</w:t>
            </w:r>
          </w:p>
        </w:tc>
        <w:tc>
          <w:tcPr>
            <w:tcW w:w="140" w:type="dxa"/>
            <w:vAlign w:val="bottom"/>
          </w:tcPr>
          <w:p>
            <w:pPr>
              <w:spacing w:after="0"/>
              <w:rPr>
                <w:sz w:val="13"/>
                <w:szCs w:val="13"/>
                <w:color w:val="auto"/>
              </w:rPr>
            </w:pPr>
          </w:p>
        </w:tc>
        <w:tc>
          <w:tcPr>
            <w:tcW w:w="5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(40,618)</w:t>
            </w:r>
          </w:p>
        </w:tc>
      </w:tr>
      <w:tr>
        <w:trPr>
          <w:trHeight w:val="153"/>
        </w:trPr>
        <w:tc>
          <w:tcPr>
            <w:tcW w:w="54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Less net income (loss) attributable to noncontrolling interests</w:t>
            </w: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6,257</w:t>
            </w:r>
          </w:p>
        </w:tc>
        <w:tc>
          <w:tcPr>
            <w:tcW w:w="1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9,834</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(833)</w:t>
            </w:r>
          </w:p>
        </w:tc>
      </w:tr>
      <w:tr>
        <w:trPr>
          <w:trHeight w:val="142"/>
        </w:trPr>
        <w:tc>
          <w:tcPr>
            <w:tcW w:w="5480" w:type="dxa"/>
            <w:vAlign w:val="bottom"/>
          </w:tcPr>
          <w:p>
            <w:pPr>
              <w:ind w:left="300"/>
              <w:spacing w:after="0"/>
              <w:rPr>
                <w:sz w:val="20"/>
                <w:szCs w:val="20"/>
                <w:color w:val="auto"/>
              </w:rPr>
            </w:pPr>
            <w:r>
              <w:rPr>
                <w:rFonts w:ascii="Arial" w:cs="Arial" w:eastAsia="Arial" w:hAnsi="Arial"/>
                <w:sz w:val="12"/>
                <w:szCs w:val="12"/>
                <w:color w:val="auto"/>
              </w:rPr>
              <w:t>Net income (loss) attributable to the Company</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106,702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31,333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(39,785)</w:t>
            </w:r>
          </w:p>
        </w:tc>
      </w:tr>
      <w:tr>
        <w:trPr>
          <w:trHeight w:val="153"/>
        </w:trPr>
        <w:tc>
          <w:tcPr>
            <w:tcW w:w="54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Allocation of earnings to participating securities</w:t>
            </w: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1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14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w:t>
            </w:r>
          </w:p>
        </w:tc>
      </w:tr>
      <w:tr>
        <w:trPr>
          <w:trHeight w:val="158"/>
        </w:trPr>
        <w:tc>
          <w:tcPr>
            <w:tcW w:w="54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Numerator for basic and diluted EPS—net income (loss) attributable to common stockholders</w:t>
            </w: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106,412</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(22,406)</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30,692</w:t>
            </w:r>
          </w:p>
        </w:tc>
        <w:tc>
          <w:tcPr>
            <w:tcW w:w="1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(40,619)</w:t>
            </w:r>
          </w:p>
        </w:tc>
      </w:tr>
      <w:tr>
        <w:trPr>
          <w:trHeight w:val="153"/>
        </w:trPr>
        <w:tc>
          <w:tcPr>
            <w:tcW w:w="54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Denominator</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9"/>
        </w:trPr>
        <w:tc>
          <w:tcPr>
            <w:tcW w:w="54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w w:val="95"/>
              </w:rPr>
              <w:t>Denominator for basic and diluted EPS—weighted average number of common shares outstanding(1)</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213,214</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149,626</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192,717</w:t>
            </w: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145,071</w:t>
            </w:r>
          </w:p>
        </w:tc>
      </w:tr>
      <w:tr>
        <w:trPr>
          <w:trHeight w:val="153"/>
        </w:trPr>
        <w:tc>
          <w:tcPr>
            <w:tcW w:w="548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EPS—net income (loss) attributable to common stockholders</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5480" w:type="dxa"/>
            <w:vAlign w:val="bottom"/>
          </w:tcPr>
          <w:p>
            <w:pPr>
              <w:ind w:left="380"/>
              <w:spacing w:after="0"/>
              <w:rPr>
                <w:sz w:val="20"/>
                <w:szCs w:val="20"/>
                <w:color w:val="auto"/>
              </w:rPr>
            </w:pPr>
            <w:r>
              <w:rPr>
                <w:rFonts w:ascii="Arial" w:cs="Arial" w:eastAsia="Arial" w:hAnsi="Arial"/>
                <w:sz w:val="12"/>
                <w:szCs w:val="12"/>
                <w:color w:val="auto"/>
              </w:rPr>
              <w:t>Basic and diluted</w:t>
            </w: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0.50</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(0.28)</w:t>
            </w:r>
          </w:p>
        </w:tc>
      </w:tr>
      <w:tr>
        <w:trPr>
          <w:trHeight w:val="20"/>
        </w:trPr>
        <w:tc>
          <w:tcPr>
            <w:tcW w:w="5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left="428" w:hanging="212"/>
        <w:spacing w:after="0" w:line="234" w:lineRule="auto"/>
        <w:tabs>
          <w:tab w:leader="none" w:pos="444" w:val="left"/>
        </w:tabs>
        <w:numPr>
          <w:ilvl w:val="1"/>
          <w:numId w:val="4"/>
        </w:numPr>
        <w:rPr>
          <w:rFonts w:ascii="Arial" w:cs="Arial" w:eastAsia="Arial" w:hAnsi="Arial"/>
          <w:sz w:val="10"/>
          <w:szCs w:val="10"/>
          <w:color w:val="auto"/>
        </w:rPr>
      </w:pPr>
      <w:r>
        <w:rPr>
          <w:rFonts w:ascii="Arial" w:cs="Arial" w:eastAsia="Arial" w:hAnsi="Arial"/>
          <w:sz w:val="10"/>
          <w:szCs w:val="10"/>
          <w:color w:val="auto"/>
        </w:rPr>
        <w:t>Diluted EPS excludes 101,799 and 103,235 for the three months ended September 30, 2021 and 2020, respectively, and 102,751 and 96,144 convertible preferred partnership units for the nine months ended September 30, 2021 and 2020, respectively, as their impact was antidilutive. Diluted EPS also excludes 9,818,917 and 10,883,761 Operating Partnership units ("OP Units") for the three months ended September 30, 2021 and 2020, respectively, and 10,160,575 and 10,622,971 OP Units for the nine months ended September 30, 2021 and 2020, respectively, as their impact was antidilutive.</w:t>
      </w:r>
    </w:p>
    <w:p>
      <w:pPr>
        <w:spacing w:after="0" w:line="221" w:lineRule="exact"/>
        <w:rPr>
          <w:rFonts w:ascii="Arial" w:cs="Arial" w:eastAsia="Arial" w:hAnsi="Arial"/>
          <w:sz w:val="10"/>
          <w:szCs w:val="10"/>
          <w:color w:val="auto"/>
        </w:rPr>
      </w:pPr>
    </w:p>
    <w:p>
      <w:pPr>
        <w:ind w:left="128" w:hanging="128"/>
        <w:spacing w:after="0"/>
        <w:tabs>
          <w:tab w:leader="none" w:pos="12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Unconsolidated Joint Ventures:</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Company has made the following recent financings of its unconsolidated joint ventures:</w:t>
      </w:r>
    </w:p>
    <w:p>
      <w:pPr>
        <w:spacing w:after="0" w:line="105" w:lineRule="exact"/>
        <w:rPr>
          <w:sz w:val="20"/>
          <w:szCs w:val="20"/>
          <w:color w:val="auto"/>
        </w:rPr>
      </w:pPr>
    </w:p>
    <w:p>
      <w:pPr>
        <w:ind w:left="8" w:right="280" w:firstLine="297"/>
        <w:spacing w:after="0" w:line="379" w:lineRule="auto"/>
        <w:rPr>
          <w:sz w:val="20"/>
          <w:szCs w:val="20"/>
          <w:color w:val="auto"/>
        </w:rPr>
      </w:pPr>
      <w:r>
        <w:rPr>
          <w:rFonts w:ascii="Arial" w:cs="Arial" w:eastAsia="Arial" w:hAnsi="Arial"/>
          <w:sz w:val="10"/>
          <w:szCs w:val="10"/>
          <w:color w:val="auto"/>
        </w:rPr>
        <w:t>On November 17, 2020, the Company’s joint venture in Tysons VITA, the residential tower at Tysons Corner Center, placed a new $95,000 loan on the property that bears interest at an effective rate of 3.43% and matures on December 1, 2030. Initial loan funding for the Company’s joint venture was $90,000 with future advance potential of up to $5,000. The Company used its share of the initial proceeds of $45,000 for general corporate purposes.</w:t>
      </w:r>
    </w:p>
    <w:p>
      <w:pPr>
        <w:spacing w:after="0" w:line="15" w:lineRule="exact"/>
        <w:rPr>
          <w:sz w:val="20"/>
          <w:szCs w:val="20"/>
          <w:color w:val="auto"/>
        </w:rPr>
      </w:pPr>
    </w:p>
    <w:p>
      <w:pPr>
        <w:ind w:left="8" w:right="180" w:firstLine="297"/>
        <w:spacing w:after="0" w:line="320" w:lineRule="auto"/>
        <w:rPr>
          <w:sz w:val="20"/>
          <w:szCs w:val="20"/>
          <w:color w:val="auto"/>
        </w:rPr>
      </w:pPr>
      <w:r>
        <w:rPr>
          <w:rFonts w:ascii="Arial" w:cs="Arial" w:eastAsia="Arial" w:hAnsi="Arial"/>
          <w:sz w:val="10"/>
          <w:szCs w:val="10"/>
          <w:color w:val="auto"/>
        </w:rPr>
        <w:t>On December 10, 2020, the Company made a loan (the “Partnership Loan”) to the Company’s joint venture in Fashion District Philadelphia to fund the entirety of a $100,000 repayment to reduce the mortgage loan on Fashion District Philadelphia from $301,000 to $201,000. This mortgage loan now matures on January 22, 2024, including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As a result of the substantive participation rights of the Company’s joint venture partner being terminated in the amended agreement, the Company determined that the joint venture is a VIE and the Company is the primary beneficiary. Effective December 10, 2020, the Company has consolidated the results of the joint venture into the consolidated financial statements of the Company.</w:t>
      </w:r>
    </w:p>
    <w:p>
      <w:pPr>
        <w:spacing w:after="0" w:line="52" w:lineRule="exact"/>
        <w:rPr>
          <w:sz w:val="20"/>
          <w:szCs w:val="20"/>
          <w:color w:val="auto"/>
        </w:rPr>
      </w:pPr>
    </w:p>
    <w:p>
      <w:pPr>
        <w:ind w:left="8" w:firstLine="297"/>
        <w:spacing w:after="0" w:line="323" w:lineRule="auto"/>
        <w:rPr>
          <w:sz w:val="20"/>
          <w:szCs w:val="20"/>
          <w:color w:val="auto"/>
        </w:rPr>
      </w:pPr>
      <w:r>
        <w:rPr>
          <w:rFonts w:ascii="Arial" w:cs="Arial" w:eastAsia="Arial" w:hAnsi="Arial"/>
          <w:sz w:val="11"/>
          <w:szCs w:val="11"/>
          <w:color w:val="auto"/>
        </w:rPr>
        <w:t>On December 29, 2020, the Company’s joint venture in FlatIron Crossing closed on a one-year maturity date extension for the existing loan to January 5, 2022. The interest rate increased from 3.85% to 4.10%, and the Company’s joint venture repaid $15,000, $7,650 at the Company's pro rata share, of the outstanding loan balance at closing. The Company's joint venture is planning to refinance this loan prior to maturity.</w:t>
      </w:r>
    </w:p>
    <w:p>
      <w:pPr>
        <w:spacing w:after="0" w:line="47" w:lineRule="exact"/>
        <w:rPr>
          <w:sz w:val="20"/>
          <w:szCs w:val="20"/>
          <w:color w:val="auto"/>
        </w:rPr>
      </w:pPr>
    </w:p>
    <w:p>
      <w:pPr>
        <w:ind w:left="8" w:right="100" w:firstLine="297"/>
        <w:spacing w:after="0" w:line="276" w:lineRule="auto"/>
        <w:rPr>
          <w:sz w:val="20"/>
          <w:szCs w:val="20"/>
          <w:color w:val="auto"/>
        </w:rPr>
      </w:pPr>
      <w:r>
        <w:rPr>
          <w:rFonts w:ascii="Arial" w:cs="Arial" w:eastAsia="Arial" w:hAnsi="Arial"/>
          <w:sz w:val="12"/>
          <w:szCs w:val="12"/>
          <w:color w:val="auto"/>
        </w:rPr>
        <w:t>On December 31, 2020, the Company and its joint venture partner in MS Portfolio LLC entered into a distribution agreement. The joint venture owned nine properties, including the former Sears parcels at the South Plains Mall and the</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6" w:right="319" w:bottom="1440" w:gutter="0" w:footer="0" w:header="0"/>
        </w:sectPr>
      </w:pPr>
    </w:p>
    <w:bookmarkStart w:id="12" w:name="page13"/>
    <w:bookmarkEnd w:id="12"/>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361"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consolidated its 100% interest in the Sears parcel at South Plains Mall in its consolidated financial statements.</w:t>
      </w:r>
    </w:p>
    <w:p>
      <w:pPr>
        <w:spacing w:after="0" w:line="77" w:lineRule="exact"/>
        <w:rPr>
          <w:sz w:val="20"/>
          <w:szCs w:val="20"/>
          <w:color w:val="auto"/>
        </w:rPr>
      </w:pPr>
    </w:p>
    <w:p>
      <w:pPr>
        <w:ind w:left="8" w:right="440" w:firstLine="297"/>
        <w:spacing w:after="0" w:line="276" w:lineRule="auto"/>
        <w:rPr>
          <w:sz w:val="20"/>
          <w:szCs w:val="20"/>
          <w:color w:val="auto"/>
        </w:rPr>
      </w:pPr>
      <w:r>
        <w:rPr>
          <w:rFonts w:ascii="Arial" w:cs="Arial" w:eastAsia="Arial" w:hAnsi="Arial"/>
          <w:sz w:val="12"/>
          <w:szCs w:val="12"/>
          <w:color w:val="auto"/>
        </w:rPr>
        <w:t>On March 29, 2021, concurrent with the sale of Paradise Valley Mall (see Note 15 – Dispositions), the Company elected to reinvest into the newly formed joint venture at a 5% ownership interest for $3,819 in cash that is accounted for under the equity method of accounting.</w:t>
      </w:r>
    </w:p>
    <w:p>
      <w:pPr>
        <w:spacing w:after="0" w:line="70" w:lineRule="exact"/>
        <w:rPr>
          <w:sz w:val="20"/>
          <w:szCs w:val="20"/>
          <w:color w:val="auto"/>
        </w:rPr>
      </w:pPr>
    </w:p>
    <w:p>
      <w:pPr>
        <w:ind w:left="8" w:right="480" w:firstLine="297"/>
        <w:spacing w:after="0" w:line="276" w:lineRule="auto"/>
        <w:rPr>
          <w:sz w:val="20"/>
          <w:szCs w:val="20"/>
          <w:color w:val="auto"/>
        </w:rPr>
      </w:pPr>
      <w:r>
        <w:rPr>
          <w:rFonts w:ascii="Arial" w:cs="Arial" w:eastAsia="Arial" w:hAnsi="Arial"/>
          <w:sz w:val="12"/>
          <w:szCs w:val="12"/>
          <w:color w:val="auto"/>
        </w:rPr>
        <w:t>On October 26, 2021, the Company's joint venture in The Shops at Atlas Park replaced the existing loan on the property with a new $65,000 loan that bears interest at a floating rate of LIBOR plus 4.15% and matures on November 9, 2026, including extension options.</w:t>
      </w:r>
    </w:p>
    <w:p>
      <w:pPr>
        <w:spacing w:after="0" w:line="61"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Combined and condensed balance sheets and statements of operations are presented below for all unconsolidated joint ventures.</w:t>
      </w:r>
    </w:p>
    <w:p>
      <w:pPr>
        <w:spacing w:after="0" w:line="101" w:lineRule="exact"/>
        <w:rPr>
          <w:sz w:val="20"/>
          <w:szCs w:val="20"/>
          <w:color w:val="auto"/>
        </w:rPr>
      </w:pPr>
    </w:p>
    <w:p>
      <w:pPr>
        <w:ind w:left="288"/>
        <w:spacing w:after="0"/>
        <w:rPr>
          <w:sz w:val="20"/>
          <w:szCs w:val="20"/>
          <w:color w:val="auto"/>
        </w:rPr>
      </w:pPr>
      <w:r>
        <w:rPr>
          <w:rFonts w:ascii="Arial" w:cs="Arial" w:eastAsia="Arial" w:hAnsi="Arial"/>
          <w:sz w:val="12"/>
          <w:szCs w:val="12"/>
          <w:b w:val="1"/>
          <w:bCs w:val="1"/>
          <w:color w:val="auto"/>
        </w:rPr>
        <w:t>Combined and Condensed Balance Sheets of Unconsolidated Joint Ventures:</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w:t>
            </w:r>
          </w:p>
        </w:tc>
        <w:tc>
          <w:tcPr>
            <w:tcW w:w="520" w:type="dxa"/>
            <w:vAlign w:val="bottom"/>
          </w:tcPr>
          <w:p>
            <w:pPr>
              <w:spacing w:after="0"/>
              <w:rPr>
                <w:sz w:val="10"/>
                <w:szCs w:val="10"/>
                <w:color w:val="auto"/>
              </w:rPr>
            </w:pPr>
          </w:p>
        </w:tc>
        <w:tc>
          <w:tcPr>
            <w:tcW w:w="1140" w:type="dxa"/>
            <w:vAlign w:val="bottom"/>
          </w:tcPr>
          <w:p>
            <w:pPr>
              <w:jc w:val="right"/>
              <w:ind w:right="34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660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2020</w:t>
            </w:r>
          </w:p>
        </w:tc>
      </w:tr>
      <w:tr>
        <w:trPr>
          <w:trHeight w:val="143"/>
        </w:trPr>
        <w:tc>
          <w:tcPr>
            <w:tcW w:w="7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Assets(1):</w:t>
            </w: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53"/>
        </w:trPr>
        <w:tc>
          <w:tcPr>
            <w:tcW w:w="7860" w:type="dxa"/>
            <w:vAlign w:val="bottom"/>
            <w:gridSpan w:val="2"/>
          </w:tcPr>
          <w:p>
            <w:pPr>
              <w:ind w:left="380"/>
              <w:spacing w:after="0"/>
              <w:rPr>
                <w:sz w:val="20"/>
                <w:szCs w:val="20"/>
                <w:color w:val="auto"/>
              </w:rPr>
            </w:pPr>
            <w:r>
              <w:rPr>
                <w:rFonts w:ascii="Arial" w:cs="Arial" w:eastAsia="Arial" w:hAnsi="Arial"/>
                <w:sz w:val="12"/>
                <w:szCs w:val="12"/>
                <w:color w:val="auto"/>
              </w:rPr>
              <w:t>Property, net</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8,782,003</w:t>
            </w:r>
          </w:p>
        </w:tc>
        <w:tc>
          <w:tcPr>
            <w:tcW w:w="100" w:type="dxa"/>
            <w:vAlign w:val="bottom"/>
          </w:tcPr>
          <w:p>
            <w:pPr>
              <w:spacing w:after="0"/>
              <w:rPr>
                <w:sz w:val="13"/>
                <w:szCs w:val="13"/>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8,721,551</w:t>
            </w:r>
          </w:p>
        </w:tc>
      </w:tr>
      <w:tr>
        <w:trPr>
          <w:trHeight w:val="153"/>
        </w:trPr>
        <w:tc>
          <w:tcPr>
            <w:tcW w:w="78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Other assets</w:t>
            </w: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806,699</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774,583</w:t>
            </w:r>
          </w:p>
        </w:tc>
      </w:tr>
      <w:tr>
        <w:trPr>
          <w:trHeight w:val="158"/>
        </w:trPr>
        <w:tc>
          <w:tcPr>
            <w:tcW w:w="7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2"/>
                <w:szCs w:val="12"/>
                <w:color w:val="auto"/>
              </w:rPr>
              <w:t>Total assets</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9,588,702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9,496,134</w:t>
            </w:r>
          </w:p>
        </w:tc>
      </w:tr>
      <w:tr>
        <w:trPr>
          <w:trHeight w:val="153"/>
        </w:trPr>
        <w:tc>
          <w:tcPr>
            <w:tcW w:w="7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Liabilities and partners' capital(1):</w:t>
            </w: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60" w:type="dxa"/>
            <w:vAlign w:val="bottom"/>
            <w:gridSpan w:val="2"/>
          </w:tcPr>
          <w:p>
            <w:pPr>
              <w:ind w:left="380"/>
              <w:spacing w:after="0"/>
              <w:rPr>
                <w:sz w:val="20"/>
                <w:szCs w:val="20"/>
                <w:color w:val="auto"/>
              </w:rPr>
            </w:pPr>
            <w:r>
              <w:rPr>
                <w:rFonts w:ascii="Arial" w:cs="Arial" w:eastAsia="Arial" w:hAnsi="Arial"/>
                <w:sz w:val="12"/>
                <w:szCs w:val="12"/>
                <w:color w:val="auto"/>
              </w:rPr>
              <w:t>Mortgage and other notes payable</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6,056,358</w:t>
            </w:r>
          </w:p>
        </w:tc>
        <w:tc>
          <w:tcPr>
            <w:tcW w:w="100" w:type="dxa"/>
            <w:vAlign w:val="bottom"/>
          </w:tcPr>
          <w:p>
            <w:pPr>
              <w:spacing w:after="0"/>
              <w:rPr>
                <w:sz w:val="13"/>
                <w:szCs w:val="13"/>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5,942,478</w:t>
            </w:r>
          </w:p>
        </w:tc>
      </w:tr>
      <w:tr>
        <w:trPr>
          <w:trHeight w:val="153"/>
        </w:trPr>
        <w:tc>
          <w:tcPr>
            <w:tcW w:w="78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Other liabilities</w:t>
            </w: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399,011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397,483</w:t>
            </w:r>
          </w:p>
        </w:tc>
      </w:tr>
      <w:tr>
        <w:trPr>
          <w:trHeight w:val="153"/>
        </w:trPr>
        <w:tc>
          <w:tcPr>
            <w:tcW w:w="7860" w:type="dxa"/>
            <w:vAlign w:val="bottom"/>
            <w:gridSpan w:val="2"/>
          </w:tcPr>
          <w:p>
            <w:pPr>
              <w:ind w:left="380"/>
              <w:spacing w:after="0"/>
              <w:rPr>
                <w:sz w:val="20"/>
                <w:szCs w:val="20"/>
                <w:color w:val="auto"/>
              </w:rPr>
            </w:pPr>
            <w:r>
              <w:rPr>
                <w:rFonts w:ascii="Arial" w:cs="Arial" w:eastAsia="Arial" w:hAnsi="Arial"/>
                <w:sz w:val="12"/>
                <w:szCs w:val="12"/>
                <w:color w:val="auto"/>
              </w:rPr>
              <w:t>Company's capital</w:t>
            </w: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1,693,844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1,711,944</w:t>
            </w:r>
          </w:p>
        </w:tc>
      </w:tr>
      <w:tr>
        <w:trPr>
          <w:trHeight w:val="153"/>
        </w:trPr>
        <w:tc>
          <w:tcPr>
            <w:tcW w:w="78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Outside partners' capital</w:t>
            </w: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1,439,489</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1,444,229</w:t>
            </w:r>
          </w:p>
        </w:tc>
      </w:tr>
      <w:tr>
        <w:trPr>
          <w:trHeight w:val="158"/>
        </w:trPr>
        <w:tc>
          <w:tcPr>
            <w:tcW w:w="7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2"/>
                <w:szCs w:val="12"/>
                <w:color w:val="auto"/>
              </w:rPr>
              <w:t>Total liabilities and partners' capital</w:t>
            </w: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9,588,702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9,496,134</w:t>
            </w:r>
          </w:p>
        </w:tc>
      </w:tr>
      <w:tr>
        <w:trPr>
          <w:trHeight w:val="153"/>
        </w:trPr>
        <w:tc>
          <w:tcPr>
            <w:tcW w:w="7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Investments in unconsolidated joint ventures:</w:t>
            </w: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860" w:type="dxa"/>
            <w:vAlign w:val="bottom"/>
            <w:gridSpan w:val="2"/>
          </w:tcPr>
          <w:p>
            <w:pPr>
              <w:ind w:left="380"/>
              <w:spacing w:after="0"/>
              <w:rPr>
                <w:sz w:val="20"/>
                <w:szCs w:val="20"/>
                <w:color w:val="auto"/>
              </w:rPr>
            </w:pPr>
            <w:r>
              <w:rPr>
                <w:rFonts w:ascii="Arial" w:cs="Arial" w:eastAsia="Arial" w:hAnsi="Arial"/>
                <w:sz w:val="12"/>
                <w:szCs w:val="12"/>
                <w:color w:val="auto"/>
              </w:rPr>
              <w:t>Company's capital</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1,693,844</w:t>
            </w:r>
          </w:p>
        </w:tc>
        <w:tc>
          <w:tcPr>
            <w:tcW w:w="100" w:type="dxa"/>
            <w:vAlign w:val="bottom"/>
          </w:tcPr>
          <w:p>
            <w:pPr>
              <w:spacing w:after="0"/>
              <w:rPr>
                <w:sz w:val="13"/>
                <w:szCs w:val="13"/>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1,711,944</w:t>
            </w:r>
          </w:p>
        </w:tc>
      </w:tr>
      <w:tr>
        <w:trPr>
          <w:trHeight w:val="153"/>
        </w:trPr>
        <w:tc>
          <w:tcPr>
            <w:tcW w:w="78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Basis adjustment(2)</w:t>
            </w: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(457,992)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(479,678)</w:t>
            </w:r>
          </w:p>
        </w:tc>
      </w:tr>
      <w:tr>
        <w:trPr>
          <w:trHeight w:val="158"/>
        </w:trPr>
        <w:tc>
          <w:tcPr>
            <w:tcW w:w="66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1,235,852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1,232,266</w:t>
            </w:r>
          </w:p>
        </w:tc>
      </w:tr>
      <w:tr>
        <w:trPr>
          <w:trHeight w:val="162"/>
        </w:trPr>
        <w:tc>
          <w:tcPr>
            <w:tcW w:w="66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3"/>
        </w:trPr>
        <w:tc>
          <w:tcPr>
            <w:tcW w:w="7860" w:type="dxa"/>
            <w:vAlign w:val="bottom"/>
            <w:gridSpan w:val="2"/>
          </w:tcPr>
          <w:p>
            <w:pPr>
              <w:ind w:left="300"/>
              <w:spacing w:after="0"/>
              <w:rPr>
                <w:sz w:val="20"/>
                <w:szCs w:val="20"/>
                <w:color w:val="auto"/>
              </w:rPr>
            </w:pPr>
            <w:r>
              <w:rPr>
                <w:rFonts w:ascii="Arial" w:cs="Arial" w:eastAsia="Arial" w:hAnsi="Arial"/>
                <w:sz w:val="12"/>
                <w:szCs w:val="12"/>
                <w:color w:val="auto"/>
              </w:rPr>
              <w:t>Assets—Investments in unconsolidated joint ventures</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1,365,369</w:t>
            </w:r>
          </w:p>
        </w:tc>
        <w:tc>
          <w:tcPr>
            <w:tcW w:w="100" w:type="dxa"/>
            <w:vAlign w:val="bottom"/>
          </w:tcPr>
          <w:p>
            <w:pPr>
              <w:spacing w:after="0"/>
              <w:rPr>
                <w:sz w:val="13"/>
                <w:szCs w:val="13"/>
                <w:color w:val="auto"/>
              </w:rPr>
            </w:pP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1,340,647</w:t>
            </w:r>
          </w:p>
        </w:tc>
      </w:tr>
      <w:tr>
        <w:trPr>
          <w:trHeight w:val="153"/>
        </w:trPr>
        <w:tc>
          <w:tcPr>
            <w:tcW w:w="78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Liabilities—Distributions in excess of investments in unconsolidated joint ventures</w:t>
            </w: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(129,517)</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(108,381)</w:t>
            </w:r>
          </w:p>
        </w:tc>
      </w:tr>
      <w:tr>
        <w:trPr>
          <w:trHeight w:val="142"/>
        </w:trPr>
        <w:tc>
          <w:tcPr>
            <w:tcW w:w="6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1,235,852</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1,232,266</w:t>
            </w: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7"/>
        </w:trPr>
        <w:tc>
          <w:tcPr>
            <w:tcW w:w="6600" w:type="dxa"/>
            <w:vAlign w:val="bottom"/>
            <w:tcBorders>
              <w:bottom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77" w:lineRule="exact"/>
        <w:rPr>
          <w:sz w:val="20"/>
          <w:szCs w:val="20"/>
          <w:color w:val="auto"/>
        </w:rPr>
      </w:pPr>
    </w:p>
    <w:p>
      <w:pPr>
        <w:ind w:left="268" w:hanging="268"/>
        <w:spacing w:after="0" w:line="239" w:lineRule="auto"/>
        <w:tabs>
          <w:tab w:leader="none" w:pos="230"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These amounts include assets of $2,804,711 and $2,857,757 of Pacific Premier Retail LLC (the "PPR Portfolio") as of September 30, 2021 and December 31, 2020, respectively, and liabilities of $1,671,469 and $1,687,042 of the PPR Portfolio as of September 30, 2021 and December 31, 2020, respectively.</w:t>
      </w:r>
    </w:p>
    <w:p>
      <w:pPr>
        <w:spacing w:after="0" w:line="76" w:lineRule="exact"/>
        <w:rPr>
          <w:rFonts w:ascii="Arial" w:cs="Arial" w:eastAsia="Arial" w:hAnsi="Arial"/>
          <w:sz w:val="10"/>
          <w:szCs w:val="10"/>
          <w:color w:val="auto"/>
        </w:rPr>
      </w:pPr>
    </w:p>
    <w:p>
      <w:pPr>
        <w:ind w:left="268" w:hanging="268"/>
        <w:spacing w:after="0" w:line="295" w:lineRule="auto"/>
        <w:tabs>
          <w:tab w:leader="none" w:pos="228"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$2,768 and $3,361 for the three months ended September 30, 2021 and 2020, respectively, and $7,431 and $11,089 for the nine months ended September 30, 2021 and 2020, respectively.</w:t>
      </w:r>
    </w:p>
    <w:p>
      <w:pPr>
        <w:spacing w:after="0" w:line="200" w:lineRule="exact"/>
        <w:rPr>
          <w:sz w:val="20"/>
          <w:szCs w:val="20"/>
          <w:color w:val="auto"/>
        </w:rPr>
      </w:pP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6"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Arial" w:cs="Arial" w:eastAsia="Arial" w:hAnsi="Arial"/>
          <w:sz w:val="12"/>
          <w:szCs w:val="12"/>
          <w:b w:val="1"/>
          <w:bCs w:val="1"/>
          <w:color w:val="auto"/>
        </w:rPr>
        <w:t>Combined and Condensed Statements of Operations of Unconsolidated Joint Ventures: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2"/>
          </w:tcPr>
          <w:p>
            <w:pPr>
              <w:ind w:left="340"/>
              <w:spacing w:after="0"/>
              <w:rPr>
                <w:sz w:val="20"/>
                <w:szCs w:val="20"/>
                <w:color w:val="auto"/>
              </w:rPr>
            </w:pPr>
            <w:r>
              <w:rPr>
                <w:rFonts w:ascii="Arial" w:cs="Arial" w:eastAsia="Arial" w:hAnsi="Arial"/>
                <w:sz w:val="10"/>
                <w:szCs w:val="10"/>
                <w:b w:val="1"/>
                <w:bCs w:val="1"/>
                <w:color w:val="auto"/>
              </w:rPr>
              <w:t>Other</w:t>
            </w: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4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PPR Portfolio</w:t>
            </w:r>
          </w:p>
        </w:tc>
        <w:tc>
          <w:tcPr>
            <w:tcW w:w="500" w:type="dxa"/>
            <w:vAlign w:val="bottom"/>
          </w:tcPr>
          <w:p>
            <w:pPr>
              <w:spacing w:after="0"/>
              <w:rPr>
                <w:sz w:val="7"/>
                <w:szCs w:val="7"/>
                <w:color w:val="auto"/>
              </w:rPr>
            </w:pPr>
          </w:p>
        </w:tc>
        <w:tc>
          <w:tcPr>
            <w:tcW w:w="122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91"/>
              </w:rPr>
              <w:t>Joint</w:t>
            </w:r>
          </w:p>
        </w:tc>
        <w:tc>
          <w:tcPr>
            <w:tcW w:w="620" w:type="dxa"/>
            <w:vAlign w:val="bottom"/>
          </w:tcPr>
          <w:p>
            <w:pPr>
              <w:spacing w:after="0"/>
              <w:rPr>
                <w:sz w:val="7"/>
                <w:szCs w:val="7"/>
                <w:color w:val="auto"/>
              </w:rPr>
            </w:pPr>
          </w:p>
        </w:tc>
        <w:tc>
          <w:tcPr>
            <w:tcW w:w="226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4"/>
              </w:rPr>
              <w:t>Ventures</w:t>
            </w:r>
          </w:p>
        </w:tc>
        <w:tc>
          <w:tcPr>
            <w:tcW w:w="62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4680" w:type="dxa"/>
            <w:vAlign w:val="bottom"/>
          </w:tcPr>
          <w:p>
            <w:pPr>
              <w:ind w:left="320"/>
              <w:spacing w:after="0"/>
              <w:rPr>
                <w:sz w:val="20"/>
                <w:szCs w:val="20"/>
                <w:color w:val="auto"/>
              </w:rPr>
            </w:pPr>
            <w:r>
              <w:rPr>
                <w:rFonts w:ascii="Arial" w:cs="Arial" w:eastAsia="Arial" w:hAnsi="Arial"/>
                <w:sz w:val="12"/>
                <w:szCs w:val="12"/>
                <w:i w:val="1"/>
                <w:iCs w:val="1"/>
                <w:color w:val="auto"/>
              </w:rPr>
              <w:t>Three Months Ended September 30, 2021</w:t>
            </w: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Revenues:</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Leasing revenue</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44,304</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160,044</w:t>
            </w:r>
          </w:p>
        </w:tc>
        <w:tc>
          <w:tcPr>
            <w:tcW w:w="10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204,348</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Other</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6,658</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6,672</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revenues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44,318</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166,702</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211,020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Expenses:</w:t>
            </w:r>
          </w:p>
        </w:tc>
        <w:tc>
          <w:tcPr>
            <w:tcW w:w="5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Shopping center and operating expenses</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10,078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67,627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77,705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Leasing expenses</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Interest expense</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15,801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36,483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52,284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24,154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61,734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85,888</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expenses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50,365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166,807</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217,172</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Gain on sale or write down of assets, net</w:t>
            </w: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762</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Net (loss) income</w:t>
            </w:r>
          </w:p>
        </w:tc>
        <w:tc>
          <w:tcPr>
            <w:tcW w:w="5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(6,047)</w:t>
            </w:r>
          </w:p>
        </w:tc>
        <w:tc>
          <w:tcPr>
            <w:tcW w:w="10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657</w:t>
            </w:r>
          </w:p>
        </w:tc>
        <w:tc>
          <w:tcPr>
            <w:tcW w:w="1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(5,390)</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Company's equity in net loss</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(1,390)</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4680" w:type="dxa"/>
            <w:vAlign w:val="bottom"/>
          </w:tcPr>
          <w:p>
            <w:pPr>
              <w:ind w:left="320"/>
              <w:spacing w:after="0"/>
              <w:rPr>
                <w:sz w:val="20"/>
                <w:szCs w:val="20"/>
                <w:color w:val="auto"/>
              </w:rPr>
            </w:pPr>
            <w:r>
              <w:rPr>
                <w:rFonts w:ascii="Arial" w:cs="Arial" w:eastAsia="Arial" w:hAnsi="Arial"/>
                <w:sz w:val="12"/>
                <w:szCs w:val="12"/>
                <w:i w:val="1"/>
                <w:iCs w:val="1"/>
                <w:color w:val="auto"/>
              </w:rPr>
              <w:t>Three Months Ended September 30, 2020</w:t>
            </w: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Revenues:</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Leasing revenue</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36,043</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155,133</w:t>
            </w:r>
          </w:p>
        </w:tc>
        <w:tc>
          <w:tcPr>
            <w:tcW w:w="10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191,176</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Other</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5,671</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5,928</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revenues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36,300</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160,804</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197,104</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Expenses:</w:t>
            </w:r>
          </w:p>
        </w:tc>
        <w:tc>
          <w:tcPr>
            <w:tcW w:w="5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Shopping center and operating expenses</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9,678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61,457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71,135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Leasing expenses</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1,143</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tcPr>
          <w:p>
            <w:pPr>
              <w:ind w:left="400"/>
              <w:spacing w:after="0"/>
              <w:rPr>
                <w:sz w:val="20"/>
                <w:szCs w:val="20"/>
                <w:color w:val="auto"/>
              </w:rPr>
            </w:pPr>
            <w:r>
              <w:rPr>
                <w:rFonts w:ascii="Arial" w:cs="Arial" w:eastAsia="Arial" w:hAnsi="Arial"/>
                <w:sz w:val="12"/>
                <w:szCs w:val="12"/>
                <w:color w:val="auto"/>
              </w:rPr>
              <w:t>Interest expense</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16,267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37,805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54,072</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24,819</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73,884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98,703</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expenses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51,030</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174,023</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225,053</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(Loss) gain on sale or write down of assets, net</w:t>
            </w:r>
          </w:p>
        </w:tc>
        <w:tc>
          <w:tcPr>
            <w:tcW w:w="5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Net loss</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(14,850)</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(13,215)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Company's equity in net loss</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(6,511)</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(12,513)</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8"/>
        </w:trPr>
        <w:tc>
          <w:tcPr>
            <w:tcW w:w="2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84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80" w:type="dxa"/>
            <w:vAlign w:val="bottom"/>
            <w:tcBorders>
              <w:bottom w:val="single" w:sz="8" w:color="9A9A9A"/>
            </w:tcBorders>
          </w:tcPr>
          <w:p>
            <w:pPr>
              <w:spacing w:after="0"/>
              <w:rPr>
                <w:sz w:val="6"/>
                <w:szCs w:val="6"/>
                <w:color w:val="auto"/>
              </w:rPr>
            </w:pPr>
          </w:p>
        </w:tc>
        <w:tc>
          <w:tcPr>
            <w:tcW w:w="46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6" w:right="299" w:bottom="1440" w:gutter="0" w:footer="0" w:header="0"/>
        </w:sectPr>
      </w:pPr>
    </w:p>
    <w:bookmarkStart w:id="14" w:name="page15"/>
    <w:bookmarkEnd w:id="1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59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Investments in Unconsolidated Joint Ventures: (Continued)</w:t>
      </w:r>
    </w:p>
    <w:p>
      <w:pPr>
        <w:spacing w:after="0" w:line="273"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2"/>
          </w:tcPr>
          <w:p>
            <w:pPr>
              <w:ind w:left="340"/>
              <w:spacing w:after="0"/>
              <w:rPr>
                <w:sz w:val="20"/>
                <w:szCs w:val="20"/>
                <w:color w:val="auto"/>
              </w:rPr>
            </w:pPr>
            <w:r>
              <w:rPr>
                <w:rFonts w:ascii="Arial" w:cs="Arial" w:eastAsia="Arial" w:hAnsi="Arial"/>
                <w:sz w:val="10"/>
                <w:szCs w:val="10"/>
                <w:b w:val="1"/>
                <w:bCs w:val="1"/>
                <w:color w:val="auto"/>
              </w:rPr>
              <w:t>Other</w:t>
            </w:r>
          </w:p>
        </w:tc>
        <w:tc>
          <w:tcPr>
            <w:tcW w:w="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PPR Portfolio</w:t>
            </w:r>
          </w:p>
        </w:tc>
        <w:tc>
          <w:tcPr>
            <w:tcW w:w="500" w:type="dxa"/>
            <w:vAlign w:val="bottom"/>
          </w:tcPr>
          <w:p>
            <w:pPr>
              <w:spacing w:after="0"/>
              <w:rPr>
                <w:sz w:val="7"/>
                <w:szCs w:val="7"/>
                <w:color w:val="auto"/>
              </w:rPr>
            </w:pPr>
          </w:p>
        </w:tc>
        <w:tc>
          <w:tcPr>
            <w:tcW w:w="122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91"/>
              </w:rPr>
              <w:t>Joint</w:t>
            </w:r>
          </w:p>
        </w:tc>
        <w:tc>
          <w:tcPr>
            <w:tcW w:w="620" w:type="dxa"/>
            <w:vAlign w:val="bottom"/>
          </w:tcPr>
          <w:p>
            <w:pPr>
              <w:spacing w:after="0"/>
              <w:rPr>
                <w:sz w:val="7"/>
                <w:szCs w:val="7"/>
                <w:color w:val="auto"/>
              </w:rPr>
            </w:pPr>
          </w:p>
        </w:tc>
        <w:tc>
          <w:tcPr>
            <w:tcW w:w="1020" w:type="dxa"/>
            <w:vAlign w:val="bottom"/>
            <w:vMerge w:val="restart"/>
          </w:tcPr>
          <w:p>
            <w:pPr>
              <w:jc w:val="right"/>
              <w:ind w:right="50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4"/>
              </w:rPr>
              <w:t>Ventures</w:t>
            </w:r>
          </w:p>
        </w:tc>
        <w:tc>
          <w:tcPr>
            <w:tcW w:w="6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80" w:type="dxa"/>
            <w:vAlign w:val="bottom"/>
          </w:tcPr>
          <w:p>
            <w:pPr>
              <w:ind w:left="320"/>
              <w:spacing w:after="0"/>
              <w:rPr>
                <w:sz w:val="20"/>
                <w:szCs w:val="20"/>
                <w:color w:val="auto"/>
              </w:rPr>
            </w:pPr>
            <w:r>
              <w:rPr>
                <w:rFonts w:ascii="Arial" w:cs="Arial" w:eastAsia="Arial" w:hAnsi="Arial"/>
                <w:sz w:val="12"/>
                <w:szCs w:val="12"/>
                <w:i w:val="1"/>
                <w:iCs w:val="1"/>
                <w:color w:val="auto"/>
              </w:rPr>
              <w:t>Nine Months Ended September 30, 2021</w:t>
            </w:r>
          </w:p>
        </w:tc>
        <w:tc>
          <w:tcPr>
            <w:tcW w:w="5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Revenues:</w:t>
            </w: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Leasing revenue</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122,311</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459,826</w:t>
            </w:r>
          </w:p>
        </w:tc>
        <w:tc>
          <w:tcPr>
            <w:tcW w:w="10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582,137</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Other</w:t>
            </w:r>
          </w:p>
        </w:tc>
        <w:tc>
          <w:tcPr>
            <w:tcW w:w="5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56,508</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56,652</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revenues</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122,455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516,334</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638,789</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Expenses:</w:t>
            </w: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Shopping center and operating expenses</w:t>
            </w: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29,339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183,013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212,352</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Leasing expenses</w:t>
            </w: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4,529</w:t>
            </w: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Interest expense</w:t>
            </w: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47,438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110,586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158,024</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5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73,042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192,149</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265,191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expenses</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150,925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489,171</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640,096</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Gain on sale or write down of assets, net</w:t>
            </w:r>
          </w:p>
        </w:tc>
        <w:tc>
          <w:tcPr>
            <w:tcW w:w="5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58"/>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Net (loss) income</w:t>
            </w:r>
          </w:p>
        </w:tc>
        <w:tc>
          <w:tcPr>
            <w:tcW w:w="5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(28,470)</w:t>
            </w:r>
          </w:p>
        </w:tc>
        <w:tc>
          <w:tcPr>
            <w:tcW w:w="10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27,744</w:t>
            </w:r>
          </w:p>
        </w:tc>
        <w:tc>
          <w:tcPr>
            <w:tcW w:w="1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(726)</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Company's equity in net (loss) income</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(10,269)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30,481</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20,212</w:t>
            </w:r>
          </w:p>
        </w:tc>
        <w:tc>
          <w:tcPr>
            <w:tcW w:w="0" w:type="dxa"/>
            <w:vAlign w:val="bottom"/>
          </w:tcPr>
          <w:p>
            <w:pPr>
              <w:spacing w:after="0"/>
              <w:rPr>
                <w:sz w:val="1"/>
                <w:szCs w:val="1"/>
                <w:color w:val="auto"/>
              </w:rPr>
            </w:pPr>
          </w:p>
        </w:tc>
      </w:tr>
      <w:tr>
        <w:trPr>
          <w:trHeight w:val="149"/>
        </w:trPr>
        <w:tc>
          <w:tcPr>
            <w:tcW w:w="4680" w:type="dxa"/>
            <w:vAlign w:val="bottom"/>
          </w:tcPr>
          <w:p>
            <w:pPr>
              <w:ind w:left="320"/>
              <w:spacing w:after="0"/>
              <w:rPr>
                <w:sz w:val="20"/>
                <w:szCs w:val="20"/>
                <w:color w:val="auto"/>
              </w:rPr>
            </w:pPr>
            <w:r>
              <w:rPr>
                <w:rFonts w:ascii="Arial" w:cs="Arial" w:eastAsia="Arial" w:hAnsi="Arial"/>
                <w:sz w:val="12"/>
                <w:szCs w:val="12"/>
                <w:i w:val="1"/>
                <w:iCs w:val="1"/>
                <w:color w:val="auto"/>
              </w:rPr>
              <w:t>Nine Months Ended September 30, 2020</w:t>
            </w: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Revenues:</w:t>
            </w: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Leasing revenue</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133,226</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466,830</w:t>
            </w:r>
          </w:p>
        </w:tc>
        <w:tc>
          <w:tcPr>
            <w:tcW w:w="100" w:type="dxa"/>
            <w:vAlign w:val="bottom"/>
          </w:tcPr>
          <w:p>
            <w:pPr>
              <w:spacing w:after="0"/>
              <w:rPr>
                <w:sz w:val="13"/>
                <w:szCs w:val="13"/>
                <w:color w:val="auto"/>
              </w:rPr>
            </w:pPr>
          </w:p>
        </w:tc>
        <w:tc>
          <w:tcPr>
            <w:tcW w:w="6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600,056</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Other</w:t>
            </w:r>
          </w:p>
        </w:tc>
        <w:tc>
          <w:tcPr>
            <w:tcW w:w="5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12,162</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12,721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revenues</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133,785</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478,992</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612,777</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Expenses:</w:t>
            </w:r>
          </w:p>
        </w:tc>
        <w:tc>
          <w:tcPr>
            <w:tcW w:w="5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Shopping center and operating expenses</w:t>
            </w: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27,562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176,119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203,681</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Leasing expenses</w:t>
            </w: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3,002</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4,033</w:t>
            </w:r>
          </w:p>
        </w:tc>
        <w:tc>
          <w:tcPr>
            <w:tcW w:w="0" w:type="dxa"/>
            <w:vAlign w:val="bottom"/>
          </w:tcPr>
          <w:p>
            <w:pPr>
              <w:spacing w:after="0"/>
              <w:rPr>
                <w:sz w:val="1"/>
                <w:szCs w:val="1"/>
                <w:color w:val="auto"/>
              </w:rPr>
            </w:pPr>
          </w:p>
        </w:tc>
      </w:tr>
      <w:tr>
        <w:trPr>
          <w:trHeight w:val="153"/>
        </w:trPr>
        <w:tc>
          <w:tcPr>
            <w:tcW w:w="4680" w:type="dxa"/>
            <w:vAlign w:val="bottom"/>
          </w:tcPr>
          <w:p>
            <w:pPr>
              <w:ind w:left="400"/>
              <w:spacing w:after="0"/>
              <w:rPr>
                <w:sz w:val="20"/>
                <w:szCs w:val="20"/>
                <w:color w:val="auto"/>
              </w:rPr>
            </w:pPr>
            <w:r>
              <w:rPr>
                <w:rFonts w:ascii="Arial" w:cs="Arial" w:eastAsia="Arial" w:hAnsi="Arial"/>
                <w:sz w:val="12"/>
                <w:szCs w:val="12"/>
                <w:color w:val="auto"/>
              </w:rPr>
              <w:t>Interest expense</w:t>
            </w: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48,724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112,736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161,460</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5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78,000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208,341</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286,341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ind w:left="540"/>
              <w:spacing w:after="0"/>
              <w:rPr>
                <w:sz w:val="20"/>
                <w:szCs w:val="20"/>
                <w:color w:val="auto"/>
              </w:rPr>
            </w:pPr>
            <w:r>
              <w:rPr>
                <w:rFonts w:ascii="Arial" w:cs="Arial" w:eastAsia="Arial" w:hAnsi="Arial"/>
                <w:sz w:val="12"/>
                <w:szCs w:val="12"/>
                <w:color w:val="auto"/>
              </w:rPr>
              <w:t>Total expenses</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155,317</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500,198</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655,515</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Loss on sale or write down of assets, net</w:t>
            </w:r>
          </w:p>
        </w:tc>
        <w:tc>
          <w:tcPr>
            <w:tcW w:w="5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Net loss</w:t>
            </w: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(21,652)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(21,215)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(42,867)</w:t>
            </w:r>
          </w:p>
        </w:tc>
        <w:tc>
          <w:tcPr>
            <w:tcW w:w="0" w:type="dxa"/>
            <w:vAlign w:val="bottom"/>
          </w:tcPr>
          <w:p>
            <w:pPr>
              <w:spacing w:after="0"/>
              <w:rPr>
                <w:sz w:val="1"/>
                <w:szCs w:val="1"/>
                <w:color w:val="auto"/>
              </w:rPr>
            </w:pPr>
          </w:p>
        </w:tc>
      </w:tr>
      <w:tr>
        <w:trPr>
          <w:trHeight w:val="169"/>
        </w:trPr>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Company's equity in net loss</w:t>
            </w: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(5,510)</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(11,478)</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80"/>
          </w:cols>
          <w:pgMar w:left="300" w:top="226" w:right="919" w:bottom="1440" w:gutter="0" w:footer="0" w:header="0"/>
        </w:sectPr>
      </w:pPr>
    </w:p>
    <w:bookmarkStart w:id="15" w:name="page16"/>
    <w:bookmarkEnd w:id="15"/>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4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5. Derivative Instruments and Hedging Activities:</w:t>
      </w:r>
    </w:p>
    <w:p>
      <w:pPr>
        <w:spacing w:after="0" w:line="109" w:lineRule="exact"/>
        <w:rPr>
          <w:sz w:val="20"/>
          <w:szCs w:val="20"/>
          <w:color w:val="auto"/>
        </w:rPr>
      </w:pPr>
    </w:p>
    <w:p>
      <w:pPr>
        <w:ind w:left="8" w:firstLine="297"/>
        <w:spacing w:after="0" w:line="323" w:lineRule="auto"/>
        <w:rPr>
          <w:sz w:val="20"/>
          <w:szCs w:val="20"/>
          <w:color w:val="auto"/>
        </w:rPr>
      </w:pPr>
      <w:r>
        <w:rPr>
          <w:rFonts w:ascii="Arial" w:cs="Arial" w:eastAsia="Arial" w:hAnsi="Arial"/>
          <w:sz w:val="11"/>
          <w:szCs w:val="11"/>
          <w:color w:val="auto"/>
        </w:rPr>
        <w:t>The Company uses an interest rate cap and four interest rate swap agreements to manage the interest rate risk of its floating rate debt. The Company recorded other comprehensive income (loss) related to the marking-to-market of derivative instruments of $2,775 and $2,812 for the three months ended September 30, 2021 and 2020, respectively, and $8,208 and $(1,838) for the nine months ended September 30, 2021 and 2020, respectively.</w:t>
      </w:r>
    </w:p>
    <w:p>
      <w:pPr>
        <w:spacing w:after="0" w:line="4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derivatives were outstanding at September 30, 2021: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91"/>
              </w:rPr>
              <w:t>Fair Value</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2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Property</w:t>
            </w:r>
          </w:p>
        </w:tc>
        <w:tc>
          <w:tcPr>
            <w:tcW w:w="10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w w:val="94"/>
              </w:rPr>
              <w:t>Notional Amount</w:t>
            </w:r>
          </w:p>
        </w:tc>
        <w:tc>
          <w:tcPr>
            <w:tcW w:w="80" w:type="dxa"/>
            <w:vAlign w:val="bottom"/>
            <w:vMerge w:val="restart"/>
          </w:tcPr>
          <w:p>
            <w:pPr>
              <w:spacing w:after="0"/>
              <w:rPr>
                <w:sz w:val="7"/>
                <w:szCs w:val="7"/>
                <w:color w:val="auto"/>
              </w:rPr>
            </w:pPr>
          </w:p>
        </w:tc>
        <w:tc>
          <w:tcPr>
            <w:tcW w:w="7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Product</w:t>
            </w:r>
          </w:p>
        </w:tc>
        <w:tc>
          <w:tcPr>
            <w:tcW w:w="100" w:type="dxa"/>
            <w:vAlign w:val="bottom"/>
            <w:vMerge w:val="restart"/>
          </w:tcPr>
          <w:p>
            <w:pPr>
              <w:spacing w:after="0"/>
              <w:rPr>
                <w:sz w:val="7"/>
                <w:szCs w:val="7"/>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LIBOR Rate</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rPr>
              <w:t>Maturity</w:t>
            </w:r>
          </w:p>
        </w:tc>
        <w:tc>
          <w:tcPr>
            <w:tcW w:w="10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ind w:left="80"/>
              <w:spacing w:after="0" w:line="83" w:lineRule="exact"/>
              <w:rPr>
                <w:sz w:val="20"/>
                <w:szCs w:val="20"/>
                <w:color w:val="auto"/>
              </w:rPr>
            </w:pPr>
            <w:r>
              <w:rPr>
                <w:rFonts w:ascii="Arial" w:cs="Arial" w:eastAsia="Arial" w:hAnsi="Arial"/>
                <w:sz w:val="8"/>
                <w:szCs w:val="8"/>
                <w:b w:val="1"/>
                <w:bCs w:val="1"/>
                <w:color w:val="auto"/>
              </w:rPr>
              <w:t>September 30,</w:t>
            </w:r>
          </w:p>
        </w:tc>
        <w:tc>
          <w:tcPr>
            <w:tcW w:w="580" w:type="dxa"/>
            <w:vAlign w:val="bottom"/>
          </w:tcPr>
          <w:p>
            <w:pPr>
              <w:spacing w:after="0"/>
              <w:rPr>
                <w:sz w:val="7"/>
                <w:szCs w:val="7"/>
                <w:color w:val="auto"/>
              </w:rPr>
            </w:pPr>
          </w:p>
        </w:tc>
        <w:tc>
          <w:tcPr>
            <w:tcW w:w="920" w:type="dxa"/>
            <w:vAlign w:val="bottom"/>
          </w:tcPr>
          <w:p>
            <w:pPr>
              <w:jc w:val="right"/>
              <w:ind w:right="211"/>
              <w:spacing w:after="0" w:line="83" w:lineRule="exact"/>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125"/>
        </w:trPr>
        <w:tc>
          <w:tcPr>
            <w:tcW w:w="20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212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Santa Monica Place(1)</w:t>
            </w:r>
          </w:p>
        </w:tc>
        <w:tc>
          <w:tcPr>
            <w:tcW w:w="4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Cap</w:t>
            </w:r>
          </w:p>
        </w:tc>
        <w:tc>
          <w:tcPr>
            <w:tcW w:w="108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12/9/2021</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ind w:left="740"/>
              <w:spacing w:after="0"/>
              <w:rPr>
                <w:sz w:val="20"/>
                <w:szCs w:val="20"/>
                <w:color w:val="auto"/>
              </w:rPr>
            </w:pPr>
            <w:r>
              <w:rPr>
                <w:rFonts w:ascii="Arial" w:cs="Arial" w:eastAsia="Arial" w:hAnsi="Arial"/>
                <w:sz w:val="11"/>
                <w:szCs w:val="11"/>
                <w:color w:val="auto"/>
                <w:w w:val="90"/>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120" w:type="dxa"/>
            <w:vAlign w:val="bottom"/>
            <w:gridSpan w:val="2"/>
          </w:tcPr>
          <w:p>
            <w:pPr>
              <w:ind w:left="300"/>
              <w:spacing w:after="0"/>
              <w:rPr>
                <w:sz w:val="20"/>
                <w:szCs w:val="20"/>
                <w:color w:val="auto"/>
              </w:rPr>
            </w:pPr>
            <w:r>
              <w:rPr>
                <w:rFonts w:ascii="Arial" w:cs="Arial" w:eastAsia="Arial" w:hAnsi="Arial"/>
                <w:sz w:val="11"/>
                <w:szCs w:val="11"/>
                <w:color w:val="auto"/>
              </w:rPr>
              <w:t>The Macerich Partnership, L.P.(1)</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400,000</w:t>
            </w:r>
          </w:p>
        </w:tc>
        <w:tc>
          <w:tcPr>
            <w:tcW w:w="80" w:type="dxa"/>
            <w:vAlign w:val="bottom"/>
          </w:tcPr>
          <w:p>
            <w:pPr>
              <w:spacing w:after="0"/>
              <w:rPr>
                <w:sz w:val="12"/>
                <w:szCs w:val="12"/>
                <w:color w:val="auto"/>
              </w:rPr>
            </w:pPr>
          </w:p>
        </w:tc>
        <w:tc>
          <w:tcPr>
            <w:tcW w:w="880" w:type="dxa"/>
            <w:vAlign w:val="bottom"/>
            <w:gridSpan w:val="2"/>
          </w:tcPr>
          <w:p>
            <w:pPr>
              <w:ind w:left="320"/>
              <w:spacing w:after="0"/>
              <w:rPr>
                <w:sz w:val="20"/>
                <w:szCs w:val="20"/>
                <w:color w:val="auto"/>
              </w:rPr>
            </w:pPr>
            <w:r>
              <w:rPr>
                <w:rFonts w:ascii="Arial" w:cs="Arial" w:eastAsia="Arial" w:hAnsi="Arial"/>
                <w:sz w:val="11"/>
                <w:szCs w:val="11"/>
                <w:color w:val="auto"/>
              </w:rPr>
              <w:t>Swaps</w:t>
            </w:r>
          </w:p>
        </w:tc>
        <w:tc>
          <w:tcPr>
            <w:tcW w:w="1080" w:type="dxa"/>
            <w:vAlign w:val="bottom"/>
          </w:tcPr>
          <w:p>
            <w:pPr>
              <w:jc w:val="right"/>
              <w:ind w:right="228"/>
              <w:spacing w:after="0"/>
              <w:rPr>
                <w:sz w:val="20"/>
                <w:szCs w:val="20"/>
                <w:color w:val="auto"/>
              </w:rPr>
            </w:pPr>
            <w:r>
              <w:rPr>
                <w:rFonts w:ascii="Arial" w:cs="Arial" w:eastAsia="Arial" w:hAnsi="Arial"/>
                <w:sz w:val="11"/>
                <w:szCs w:val="11"/>
                <w:color w:val="auto"/>
              </w:rPr>
              <w:t>2.85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9/30/2021</w:t>
            </w:r>
          </w:p>
        </w:tc>
        <w:tc>
          <w:tcPr>
            <w:tcW w:w="1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60" w:type="dxa"/>
            <w:vAlign w:val="bottom"/>
          </w:tcPr>
          <w:p>
            <w:pPr>
              <w:ind w:left="74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(8,208)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68" w:right="40" w:hanging="268"/>
        <w:spacing w:after="0" w:line="232" w:lineRule="auto"/>
        <w:tabs>
          <w:tab w:leader="none" w:pos="230" w:val="left"/>
        </w:tabs>
        <w:numPr>
          <w:ilvl w:val="0"/>
          <w:numId w:val="7"/>
        </w:numPr>
        <w:rPr>
          <w:rFonts w:ascii="Arial" w:cs="Arial" w:eastAsia="Arial" w:hAnsi="Arial"/>
          <w:sz w:val="10"/>
          <w:szCs w:val="10"/>
          <w:color w:val="auto"/>
        </w:rPr>
      </w:pPr>
      <w:r>
        <w:rPr>
          <w:rFonts w:ascii="Arial" w:cs="Arial" w:eastAsia="Arial" w:hAnsi="Arial"/>
          <w:sz w:val="10"/>
          <w:szCs w:val="10"/>
          <w:color w:val="auto"/>
        </w:rPr>
        <w:t>On April 14, 2021, the Company entered into a new credit facility to replace the existing credit facility (See Note 11 - Bank and Other Notes Payable). Concurrent with entering into the new credit facility, the Company de-designated the Santa Monica Place $300,000 interest rate cap. As a result of the new credit facility and the Santa Monica Place cap de-designation, the notional amounts of the swaps that were previously hedged against the Company’s prior revolving line of credit are now hedged against the Santa Monica Place floating rate debt and a portion of the Green Acres Commons floating rate debt effectively converting the Santa Monica Place loan and a majority of the Green Acres Commons loan to fixed rate debt through September 30, 2021. The Company did not renew the swaps that expired on September 30, 2021 and, as a result, on October 1, 2021, these loans reverted back to floating interest rate loans (See Note 10 – Mortgage Payable).</w:t>
      </w:r>
    </w:p>
    <w:p>
      <w:pPr>
        <w:spacing w:after="0" w:line="90" w:lineRule="exact"/>
        <w:rPr>
          <w:sz w:val="20"/>
          <w:szCs w:val="20"/>
          <w:color w:val="auto"/>
        </w:rPr>
      </w:pPr>
    </w:p>
    <w:p>
      <w:pPr>
        <w:ind w:left="8" w:firstLine="297"/>
        <w:spacing w:after="0" w:line="298" w:lineRule="auto"/>
        <w:rPr>
          <w:sz w:val="20"/>
          <w:szCs w:val="20"/>
          <w:color w:val="auto"/>
        </w:rPr>
      </w:pPr>
      <w:r>
        <w:rPr>
          <w:rFonts w:ascii="Arial" w:cs="Arial" w:eastAsia="Arial" w:hAnsi="Arial"/>
          <w:sz w:val="11"/>
          <w:szCs w:val="11"/>
          <w:color w:val="auto"/>
        </w:rPr>
        <w:t>The above derivatives were valued with an aggregate fair value (Level 2 measurement) and were included in other accrued liabilities.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51" w:lineRule="exact"/>
        <w:rPr>
          <w:sz w:val="20"/>
          <w:szCs w:val="20"/>
          <w:color w:val="auto"/>
        </w:rPr>
      </w:pPr>
    </w:p>
    <w:p>
      <w:pPr>
        <w:ind w:left="8" w:right="80" w:firstLine="297"/>
        <w:spacing w:after="0" w:line="259" w:lineRule="auto"/>
        <w:rPr>
          <w:sz w:val="20"/>
          <w:szCs w:val="20"/>
          <w:color w:val="auto"/>
        </w:rPr>
      </w:pPr>
      <w:r>
        <w:rPr>
          <w:rFonts w:ascii="Arial" w:cs="Arial" w:eastAsia="Arial" w:hAnsi="Arial"/>
          <w:sz w:val="12"/>
          <w:szCs w:val="12"/>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6" w:right="319" w:bottom="1440" w:gutter="0" w:footer="0" w:header="0"/>
        </w:sectPr>
      </w:pPr>
    </w:p>
    <w:bookmarkStart w:id="16" w:name="page17"/>
    <w:bookmarkEnd w:id="1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Property, net:</w:t>
      </w:r>
    </w:p>
    <w:p>
      <w:pPr>
        <w:spacing w:after="0" w:line="3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Property, net consists of the following:</w:t>
      </w:r>
    </w:p>
    <w:p>
      <w:pPr>
        <w:spacing w:after="0" w:line="107" w:lineRule="exact"/>
        <w:rPr>
          <w:sz w:val="20"/>
          <w:szCs w:val="20"/>
          <w:color w:val="auto"/>
        </w:rPr>
      </w:pPr>
    </w:p>
    <w:tbl>
      <w:tblPr>
        <w:tblLayout w:type="fixed"/>
        <w:tblInd w:w="2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w:t>
            </w:r>
          </w:p>
        </w:tc>
        <w:tc>
          <w:tcPr>
            <w:tcW w:w="540" w:type="dxa"/>
            <w:vAlign w:val="bottom"/>
          </w:tcPr>
          <w:p>
            <w:pPr>
              <w:spacing w:after="0"/>
              <w:rPr>
                <w:sz w:val="10"/>
                <w:szCs w:val="10"/>
                <w:color w:val="auto"/>
              </w:rPr>
            </w:pPr>
          </w:p>
        </w:tc>
        <w:tc>
          <w:tcPr>
            <w:tcW w:w="1140" w:type="dxa"/>
            <w:vAlign w:val="bottom"/>
          </w:tcPr>
          <w:p>
            <w:pPr>
              <w:jc w:val="right"/>
              <w:ind w:right="36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63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2020</w:t>
            </w:r>
          </w:p>
        </w:tc>
      </w:tr>
      <w:tr>
        <w:trPr>
          <w:trHeight w:val="143"/>
        </w:trPr>
        <w:tc>
          <w:tcPr>
            <w:tcW w:w="63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Land</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1,440,383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1,538,270</w:t>
            </w:r>
          </w:p>
        </w:tc>
      </w:tr>
      <w:tr>
        <w:trPr>
          <w:trHeight w:val="153"/>
        </w:trPr>
        <w:tc>
          <w:tcPr>
            <w:tcW w:w="6300" w:type="dxa"/>
            <w:vAlign w:val="bottom"/>
          </w:tcPr>
          <w:p>
            <w:pPr>
              <w:ind w:left="320"/>
              <w:spacing w:after="0"/>
              <w:rPr>
                <w:sz w:val="20"/>
                <w:szCs w:val="20"/>
                <w:color w:val="auto"/>
              </w:rPr>
            </w:pPr>
            <w:r>
              <w:rPr>
                <w:rFonts w:ascii="Arial" w:cs="Arial" w:eastAsia="Arial" w:hAnsi="Arial"/>
                <w:sz w:val="12"/>
                <w:szCs w:val="12"/>
                <w:color w:val="auto"/>
              </w:rPr>
              <w:t>Buildings and improvements</w:t>
            </w:r>
          </w:p>
        </w:tc>
        <w:tc>
          <w:tcPr>
            <w:tcW w:w="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6,312,458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6,620,708</w:t>
            </w:r>
          </w:p>
        </w:tc>
      </w:tr>
      <w:tr>
        <w:trPr>
          <w:trHeight w:val="153"/>
        </w:trPr>
        <w:tc>
          <w:tcPr>
            <w:tcW w:w="63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Tenant improvements</w:t>
            </w: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680,047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750,250</w:t>
            </w:r>
          </w:p>
        </w:tc>
      </w:tr>
      <w:tr>
        <w:trPr>
          <w:trHeight w:val="153"/>
        </w:trPr>
        <w:tc>
          <w:tcPr>
            <w:tcW w:w="6300" w:type="dxa"/>
            <w:vAlign w:val="bottom"/>
          </w:tcPr>
          <w:p>
            <w:pPr>
              <w:ind w:left="320"/>
              <w:spacing w:after="0"/>
              <w:rPr>
                <w:sz w:val="20"/>
                <w:szCs w:val="20"/>
                <w:color w:val="auto"/>
              </w:rPr>
            </w:pPr>
            <w:r>
              <w:rPr>
                <w:rFonts w:ascii="Arial" w:cs="Arial" w:eastAsia="Arial" w:hAnsi="Arial"/>
                <w:sz w:val="12"/>
                <w:szCs w:val="12"/>
                <w:color w:val="auto"/>
              </w:rPr>
              <w:t>Equipment and furnishings(1)</w:t>
            </w:r>
          </w:p>
        </w:tc>
        <w:tc>
          <w:tcPr>
            <w:tcW w:w="5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188,960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194,231</w:t>
            </w:r>
          </w:p>
        </w:tc>
      </w:tr>
      <w:tr>
        <w:trPr>
          <w:trHeight w:val="153"/>
        </w:trPr>
        <w:tc>
          <w:tcPr>
            <w:tcW w:w="63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Construction in progress</w:t>
            </w:r>
          </w:p>
        </w:tc>
        <w:tc>
          <w:tcPr>
            <w:tcW w:w="5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226,246</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153,253</w:t>
            </w:r>
          </w:p>
        </w:tc>
      </w:tr>
      <w:tr>
        <w:trPr>
          <w:trHeight w:val="142"/>
        </w:trPr>
        <w:tc>
          <w:tcPr>
            <w:tcW w:w="6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8,848,094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9,256,712</w:t>
            </w:r>
          </w:p>
        </w:tc>
      </w:tr>
      <w:tr>
        <w:trPr>
          <w:trHeight w:val="153"/>
        </w:trPr>
        <w:tc>
          <w:tcPr>
            <w:tcW w:w="63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Less accumulated depreciation(1)</w:t>
            </w:r>
          </w:p>
        </w:tc>
        <w:tc>
          <w:tcPr>
            <w:tcW w:w="5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(2,517,703)</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(2,562,133)</w:t>
            </w:r>
          </w:p>
        </w:tc>
      </w:tr>
      <w:tr>
        <w:trPr>
          <w:trHeight w:val="142"/>
        </w:trPr>
        <w:tc>
          <w:tcPr>
            <w:tcW w:w="6300" w:type="dxa"/>
            <w:vAlign w:val="bottom"/>
          </w:tcPr>
          <w:p>
            <w:pPr>
              <w:spacing w:after="0"/>
              <w:rPr>
                <w:sz w:val="12"/>
                <w:szCs w:val="12"/>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6,330,391</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6,694,579</w:t>
            </w:r>
          </w:p>
        </w:tc>
      </w:tr>
      <w:tr>
        <w:trPr>
          <w:trHeight w:val="20"/>
        </w:trPr>
        <w:tc>
          <w:tcPr>
            <w:tcW w:w="6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left="680" w:hanging="256"/>
        <w:spacing w:after="0"/>
        <w:tabs>
          <w:tab w:leader="none" w:pos="680" w:val="left"/>
        </w:tabs>
        <w:numPr>
          <w:ilvl w:val="0"/>
          <w:numId w:val="8"/>
        </w:numPr>
        <w:rPr>
          <w:rFonts w:ascii="Arial" w:cs="Arial" w:eastAsia="Arial" w:hAnsi="Arial"/>
          <w:sz w:val="10"/>
          <w:szCs w:val="10"/>
          <w:color w:val="auto"/>
        </w:rPr>
      </w:pPr>
      <w:r>
        <w:rPr>
          <w:rFonts w:ascii="Arial" w:cs="Arial" w:eastAsia="Arial" w:hAnsi="Arial"/>
          <w:sz w:val="10"/>
          <w:szCs w:val="10"/>
          <w:color w:val="auto"/>
        </w:rPr>
        <w:t>Equipment and furnishings and accumulated depreciation include the cost and accumulated amortization of ROU assets in connection with finance leases at September 30, 2021 and December 31, 2020 (See Note 8—Leases).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1"/>
          <w:szCs w:val="11"/>
          <w:color w:val="auto"/>
        </w:rPr>
        <w:t>Depreciation expense was $68,715 and $71,250 for the three months ended September 30, 2021 and 2020, respectively, and $211,139 and $216,455 for the nine months ended September 30, 2021 and 2020, respectively.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Gain (loss) on sale or write-down of assets, net for the three and nine months ended September 30, 2021 and 2020 consist of the following:</w:t>
      </w:r>
    </w:p>
    <w:p>
      <w:pPr>
        <w:spacing w:after="0" w:line="117"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41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For the Three Months Ended September 30,</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0"/>
                <w:szCs w:val="10"/>
                <w:b w:val="1"/>
                <w:bCs w:val="1"/>
                <w:color w:val="auto"/>
                <w:w w:val="95"/>
              </w:rPr>
              <w:t>For the Nine Months Ended September 30,</w:t>
            </w:r>
          </w:p>
        </w:tc>
      </w:tr>
      <w:tr>
        <w:trPr>
          <w:trHeight w:val="118"/>
        </w:trPr>
        <w:tc>
          <w:tcPr>
            <w:tcW w:w="4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r>
      <w:tr>
        <w:trPr>
          <w:trHeight w:val="143"/>
        </w:trPr>
        <w:tc>
          <w:tcPr>
            <w:tcW w:w="4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Gain on property sales, net(1)</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118,471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4"/>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111,805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w:t>
            </w:r>
          </w:p>
        </w:tc>
      </w:tr>
      <w:tr>
        <w:trPr>
          <w:trHeight w:val="153"/>
        </w:trPr>
        <w:tc>
          <w:tcPr>
            <w:tcW w:w="4100" w:type="dxa"/>
            <w:vAlign w:val="bottom"/>
          </w:tcPr>
          <w:p>
            <w:pPr>
              <w:ind w:left="440"/>
              <w:spacing w:after="0"/>
              <w:rPr>
                <w:sz w:val="20"/>
                <w:szCs w:val="20"/>
                <w:color w:val="auto"/>
              </w:rPr>
            </w:pPr>
            <w:r>
              <w:rPr>
                <w:rFonts w:ascii="Arial" w:cs="Arial" w:eastAsia="Arial" w:hAnsi="Arial"/>
                <w:sz w:val="12"/>
                <w:szCs w:val="12"/>
                <w:color w:val="auto"/>
              </w:rPr>
              <w:t>Loss on write-down of assets(2)</w:t>
            </w:r>
          </w:p>
        </w:tc>
        <w:tc>
          <w:tcPr>
            <w:tcW w:w="6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89"/>
              </w:rPr>
              <w:t>(2,361)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(38,362)</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(42,971)</w:t>
            </w:r>
          </w:p>
        </w:tc>
      </w:tr>
      <w:tr>
        <w:trPr>
          <w:trHeight w:val="153"/>
        </w:trPr>
        <w:tc>
          <w:tcPr>
            <w:tcW w:w="41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Gain on land sales, net(3)</w:t>
            </w:r>
          </w:p>
        </w:tc>
        <w:tc>
          <w:tcPr>
            <w:tcW w:w="6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13,291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19,913</w:t>
            </w: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13,331</w:t>
            </w:r>
          </w:p>
        </w:tc>
      </w:tr>
      <w:tr>
        <w:trPr>
          <w:trHeight w:val="142"/>
        </w:trPr>
        <w:tc>
          <w:tcPr>
            <w:tcW w:w="4100" w:type="dxa"/>
            <w:vAlign w:val="bottom"/>
          </w:tcPr>
          <w:p>
            <w:pPr>
              <w:spacing w:after="0"/>
              <w:rPr>
                <w:sz w:val="12"/>
                <w:szCs w:val="12"/>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118,566</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11,786</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93,356</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(28,784)</w:t>
            </w:r>
          </w:p>
        </w:tc>
      </w:tr>
      <w:tr>
        <w:trPr>
          <w:trHeight w:val="20"/>
        </w:trPr>
        <w:tc>
          <w:tcPr>
            <w:tcW w:w="4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40" w:hanging="216"/>
        <w:spacing w:after="0"/>
        <w:tabs>
          <w:tab w:leader="none" w:pos="64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$117,242 and $4,229 of gain related to the sale of La Encantada and Paradise Valley Mall, respectively (See Note 15-Dispositions).</w:t>
      </w:r>
    </w:p>
    <w:p>
      <w:pPr>
        <w:spacing w:after="0" w:line="1" w:lineRule="exact"/>
        <w:rPr>
          <w:rFonts w:ascii="Arial" w:cs="Arial" w:eastAsia="Arial" w:hAnsi="Arial"/>
          <w:sz w:val="10"/>
          <w:szCs w:val="10"/>
          <w:color w:val="auto"/>
        </w:rPr>
      </w:pPr>
    </w:p>
    <w:p>
      <w:pPr>
        <w:ind w:left="700" w:hanging="276"/>
        <w:spacing w:after="0" w:line="225" w:lineRule="auto"/>
        <w:tabs>
          <w:tab w:leader="none" w:pos="638"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impairment loss of $27,281 on Estrella Falls during the nine months ended September 30, 2021 and impairment losses of $30,063 on Wilton Mall and $6,640 on Paradise Valley Mall during the nine months ended September 30, 2020. The impairment losses were due to the reduction of the estimated holding periods of the properties. The remaining amounts for the nine months ended September 30, 2021 mainly pertain to the write off of development costs.</w:t>
      </w:r>
    </w:p>
    <w:p>
      <w:pPr>
        <w:ind w:left="640" w:hanging="216"/>
        <w:spacing w:after="0" w:line="236" w:lineRule="auto"/>
        <w:tabs>
          <w:tab w:leader="none" w:pos="64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$1,334 related to the sale of Paradise Valley Mall (See Note 15-Dispositions).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table summarizes certain of the Company's assets that were measured on a nonrecurring basis as a result of the impairment losses recorded for the nine months ended September 30, 2021 and 2020, as described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Quoted Prices in Active</w:t>
            </w:r>
          </w:p>
        </w:tc>
        <w:tc>
          <w:tcPr>
            <w:tcW w:w="620" w:type="dxa"/>
            <w:vAlign w:val="bottom"/>
          </w:tcPr>
          <w:p>
            <w:pPr>
              <w:spacing w:after="0"/>
              <w:rPr>
                <w:sz w:val="12"/>
                <w:szCs w:val="12"/>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color w:val="auto"/>
              </w:rPr>
              <w:t>Significant Other</w:t>
            </w:r>
          </w:p>
        </w:tc>
        <w:tc>
          <w:tcPr>
            <w:tcW w:w="520" w:type="dxa"/>
            <w:vAlign w:val="bottom"/>
          </w:tcPr>
          <w:p>
            <w:pPr>
              <w:spacing w:after="0"/>
              <w:rPr>
                <w:sz w:val="12"/>
                <w:szCs w:val="12"/>
                <w:color w:val="auto"/>
              </w:rPr>
            </w:pPr>
          </w:p>
        </w:tc>
        <w:tc>
          <w:tcPr>
            <w:tcW w:w="1360" w:type="dxa"/>
            <w:vAlign w:val="bottom"/>
          </w:tcPr>
          <w:p>
            <w:pPr>
              <w:jc w:val="center"/>
              <w:ind w:right="40"/>
              <w:spacing w:after="0"/>
              <w:rPr>
                <w:sz w:val="20"/>
                <w:szCs w:val="20"/>
                <w:color w:val="auto"/>
              </w:rPr>
            </w:pPr>
            <w:r>
              <w:rPr>
                <w:rFonts w:ascii="Arial" w:cs="Arial" w:eastAsia="Arial" w:hAnsi="Arial"/>
                <w:sz w:val="12"/>
                <w:szCs w:val="12"/>
                <w:color w:val="auto"/>
                <w:w w:val="91"/>
              </w:rPr>
              <w:t>Significant Unobservable</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3"/>
          </w:tcPr>
          <w:p>
            <w:pPr>
              <w:ind w:left="260"/>
              <w:spacing w:after="0"/>
              <w:rPr>
                <w:sz w:val="20"/>
                <w:szCs w:val="20"/>
                <w:color w:val="auto"/>
              </w:rPr>
            </w:pPr>
            <w:r>
              <w:rPr>
                <w:rFonts w:ascii="Arial" w:cs="Arial" w:eastAsia="Arial" w:hAnsi="Arial"/>
                <w:sz w:val="12"/>
                <w:szCs w:val="12"/>
                <w:color w:val="auto"/>
              </w:rPr>
              <w:t>Markets for Identical Assets</w:t>
            </w:r>
          </w:p>
        </w:tc>
        <w:tc>
          <w:tcPr>
            <w:tcW w:w="2060" w:type="dxa"/>
            <w:vAlign w:val="bottom"/>
            <w:gridSpan w:val="3"/>
          </w:tcPr>
          <w:p>
            <w:pPr>
              <w:ind w:left="460"/>
              <w:spacing w:after="0"/>
              <w:rPr>
                <w:sz w:val="20"/>
                <w:szCs w:val="20"/>
                <w:color w:val="auto"/>
              </w:rPr>
            </w:pPr>
            <w:r>
              <w:rPr>
                <w:rFonts w:ascii="Arial" w:cs="Arial" w:eastAsia="Arial" w:hAnsi="Arial"/>
                <w:sz w:val="12"/>
                <w:szCs w:val="12"/>
                <w:color w:val="auto"/>
              </w:rPr>
              <w:t>Unobservable Inputs</w:t>
            </w:r>
          </w:p>
        </w:tc>
        <w:tc>
          <w:tcPr>
            <w:tcW w:w="520" w:type="dxa"/>
            <w:vAlign w:val="bottom"/>
          </w:tcPr>
          <w:p>
            <w:pPr>
              <w:spacing w:after="0"/>
              <w:rPr>
                <w:sz w:val="13"/>
                <w:szCs w:val="13"/>
                <w:color w:val="auto"/>
              </w:rPr>
            </w:pPr>
          </w:p>
        </w:tc>
        <w:tc>
          <w:tcPr>
            <w:tcW w:w="1360" w:type="dxa"/>
            <w:vAlign w:val="bottom"/>
          </w:tcPr>
          <w:p>
            <w:pPr>
              <w:ind w:left="260"/>
              <w:spacing w:after="0"/>
              <w:rPr>
                <w:sz w:val="20"/>
                <w:szCs w:val="20"/>
                <w:color w:val="auto"/>
              </w:rPr>
            </w:pPr>
            <w:r>
              <w:rPr>
                <w:rFonts w:ascii="Arial" w:cs="Arial" w:eastAsia="Arial" w:hAnsi="Arial"/>
                <w:sz w:val="12"/>
                <w:szCs w:val="12"/>
                <w:color w:val="auto"/>
              </w:rPr>
              <w:t>Inputs</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color w:val="auto"/>
                <w:w w:val="90"/>
              </w:rPr>
              <w:t>Total Fair Value Measurement</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4"/>
              </w:rPr>
              <w:t>(Level 1)</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(Level 2)</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4"/>
              </w:rPr>
              <w:t>(Level 3)</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September 30, 2020</w:t>
            </w:r>
          </w:p>
        </w:tc>
        <w:tc>
          <w:tcPr>
            <w:tcW w:w="1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ind w:left="116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 w:type="dxa"/>
            <w:vAlign w:val="bottom"/>
            <w:vMerge w:val="restart"/>
          </w:tcPr>
          <w:p>
            <w:pPr>
              <w:spacing w:after="0"/>
              <w:rPr>
                <w:sz w:val="20"/>
                <w:szCs w:val="20"/>
                <w:color w:val="auto"/>
              </w:rPr>
            </w:pPr>
            <w:r>
              <w:rPr>
                <w:rFonts w:ascii="Arial" w:cs="Arial" w:eastAsia="Arial" w:hAnsi="Arial"/>
                <w:sz w:val="12"/>
                <w:szCs w:val="12"/>
                <w:color w:val="auto"/>
                <w:w w:val="83"/>
              </w:rPr>
              <w:t>above:</w:t>
            </w:r>
          </w:p>
        </w:tc>
        <w:tc>
          <w:tcPr>
            <w:tcW w:w="2740" w:type="dxa"/>
            <w:vAlign w:val="bottom"/>
          </w:tcPr>
          <w:p>
            <w:pPr>
              <w:ind w:left="440"/>
              <w:spacing w:after="0"/>
              <w:rPr>
                <w:sz w:val="20"/>
                <w:szCs w:val="20"/>
                <w:color w:val="auto"/>
              </w:rPr>
            </w:pPr>
            <w:r>
              <w:rPr>
                <w:rFonts w:ascii="Arial" w:cs="Arial" w:eastAsia="Arial" w:hAnsi="Arial"/>
                <w:sz w:val="12"/>
                <w:szCs w:val="12"/>
                <w:color w:val="auto"/>
              </w:rPr>
              <w:t>September 30, 2021</w:t>
            </w:r>
          </w:p>
        </w:tc>
        <w:tc>
          <w:tcPr>
            <w:tcW w:w="1000" w:type="dxa"/>
            <w:vAlign w:val="bottom"/>
          </w:tcPr>
          <w:p>
            <w:pPr>
              <w:ind w:left="4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4,720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tcPr>
          <w:p>
            <w:pPr>
              <w:ind w:left="11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4,720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tcPr>
          <w:p>
            <w:pPr>
              <w:ind w:left="1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320" w:type="dxa"/>
            <w:vAlign w:val="bottom"/>
            <w:vMerge w:val="continue"/>
          </w:tcPr>
          <w:p>
            <w:pPr>
              <w:spacing w:after="0"/>
              <w:rPr>
                <w:sz w:val="6"/>
                <w:szCs w:val="6"/>
                <w:color w:val="auto"/>
              </w:rPr>
            </w:pPr>
          </w:p>
        </w:tc>
        <w:tc>
          <w:tcPr>
            <w:tcW w:w="2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fair values relating to the 2020 impairments and a portion of the 2021 impairments were based on sales contracts and are classified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26" w:right="379" w:bottom="1440" w:gutter="0" w:footer="0" w:header="0"/>
        </w:sectPr>
      </w:pPr>
    </w:p>
    <w:bookmarkStart w:id="17" w:name="page18"/>
    <w:bookmarkEnd w:id="1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Tenant and Other Receivables, net:</w:t>
      </w:r>
    </w:p>
    <w:p>
      <w:pPr>
        <w:spacing w:after="0" w:line="109" w:lineRule="exact"/>
        <w:rPr>
          <w:sz w:val="20"/>
          <w:szCs w:val="20"/>
          <w:color w:val="auto"/>
        </w:rPr>
      </w:pPr>
    </w:p>
    <w:p>
      <w:pPr>
        <w:jc w:val="both"/>
        <w:ind w:right="240" w:firstLine="297"/>
        <w:spacing w:after="0" w:line="263" w:lineRule="auto"/>
        <w:rPr>
          <w:sz w:val="20"/>
          <w:szCs w:val="20"/>
          <w:color w:val="auto"/>
        </w:rPr>
      </w:pPr>
      <w:r>
        <w:rPr>
          <w:rFonts w:ascii="Arial" w:cs="Arial" w:eastAsia="Arial" w:hAnsi="Arial"/>
          <w:sz w:val="12"/>
          <w:szCs w:val="12"/>
          <w:color w:val="auto"/>
        </w:rPr>
        <w:t>Included in tenant and other receivables, net is an allowance for doubtful accounts of $20,477 and $37,545 at September 30, 2021 and December 31, 2020, respectively. Also included in tenant and other receivables, net are accrued percentage rents of $6,287 and $4,673 at September 30, 2021 and December 31, 2020, respectively, and a deferred rent receivable due to straight-line rent adjustments of $113,346 and $107,003 at September 30, 2021 and December 31,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Leases: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Lessor Leases:</w:t>
      </w:r>
    </w:p>
    <w:p>
      <w:pPr>
        <w:spacing w:after="0" w:line="105"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components of leasing revenue for the three and nine months ended September 30, 2021 and 2020:</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5"/>
          </w:tcPr>
          <w:p>
            <w:pPr>
              <w:ind w:left="100"/>
              <w:spacing w:after="0"/>
              <w:rPr>
                <w:sz w:val="20"/>
                <w:szCs w:val="20"/>
                <w:color w:val="auto"/>
              </w:rPr>
            </w:pPr>
            <w:r>
              <w:rPr>
                <w:rFonts w:ascii="Arial" w:cs="Arial" w:eastAsia="Arial" w:hAnsi="Arial"/>
                <w:sz w:val="10"/>
                <w:szCs w:val="10"/>
                <w:b w:val="1"/>
                <w:bCs w:val="1"/>
                <w:color w:val="auto"/>
              </w:rPr>
              <w:t>For the Three Months Ended September 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0"/>
                <w:szCs w:val="10"/>
                <w:b w:val="1"/>
                <w:bCs w:val="1"/>
                <w:color w:val="auto"/>
                <w:w w:val="99"/>
              </w:rPr>
              <w:t>For the Nine Months Ended September 30,</w:t>
            </w:r>
          </w:p>
        </w:tc>
      </w:tr>
      <w:tr>
        <w:trPr>
          <w:trHeight w:val="118"/>
        </w:trPr>
        <w:tc>
          <w:tcPr>
            <w:tcW w:w="366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r>
      <w:tr>
        <w:trPr>
          <w:trHeight w:val="143"/>
        </w:trPr>
        <w:tc>
          <w:tcPr>
            <w:tcW w:w="38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Leasing revenue—fixed payments</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132,789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138,843</w:t>
            </w: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395,796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96"/>
              </w:rPr>
              <w:t>455,925</w:t>
            </w:r>
          </w:p>
        </w:tc>
      </w:tr>
      <w:tr>
        <w:trPr>
          <w:trHeight w:val="153"/>
        </w:trPr>
        <w:tc>
          <w:tcPr>
            <w:tcW w:w="3820" w:type="dxa"/>
            <w:vAlign w:val="bottom"/>
            <w:gridSpan w:val="2"/>
          </w:tcPr>
          <w:p>
            <w:pPr>
              <w:ind w:left="320"/>
              <w:spacing w:after="0"/>
              <w:rPr>
                <w:sz w:val="20"/>
                <w:szCs w:val="20"/>
                <w:color w:val="auto"/>
              </w:rPr>
            </w:pPr>
            <w:r>
              <w:rPr>
                <w:rFonts w:ascii="Arial" w:cs="Arial" w:eastAsia="Arial" w:hAnsi="Arial"/>
                <w:sz w:val="12"/>
                <w:szCs w:val="12"/>
                <w:color w:val="auto"/>
              </w:rPr>
              <w:t>Leasing revenue—variable payments</w:t>
            </w: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65,984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47,220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173,592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2"/>
          </w:tcPr>
          <w:p>
            <w:pPr>
              <w:ind w:left="340"/>
              <w:spacing w:after="0"/>
              <w:rPr>
                <w:sz w:val="20"/>
                <w:szCs w:val="20"/>
                <w:color w:val="auto"/>
              </w:rPr>
            </w:pPr>
            <w:r>
              <w:rPr>
                <w:rFonts w:ascii="Arial" w:cs="Arial" w:eastAsia="Arial" w:hAnsi="Arial"/>
                <w:sz w:val="12"/>
                <w:szCs w:val="12"/>
                <w:color w:val="auto"/>
                <w:w w:val="96"/>
              </w:rPr>
              <w:t>138,304</w:t>
            </w:r>
          </w:p>
        </w:tc>
      </w:tr>
      <w:tr>
        <w:trPr>
          <w:trHeight w:val="153"/>
        </w:trPr>
        <w:tc>
          <w:tcPr>
            <w:tcW w:w="38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(Provision for) recovery of doubtful accounts, net</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4,269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w w:val="89"/>
              </w:rPr>
              <w:t>(39,248)</w:t>
            </w:r>
          </w:p>
        </w:tc>
      </w:tr>
      <w:tr>
        <w:trPr>
          <w:trHeight w:val="142"/>
        </w:trPr>
        <w:tc>
          <w:tcPr>
            <w:tcW w:w="3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197,135</w:t>
            </w:r>
          </w:p>
        </w:tc>
        <w:tc>
          <w:tcPr>
            <w:tcW w:w="1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175,506</w:t>
            </w: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573,657</w:t>
            </w: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2"/>
                <w:szCs w:val="12"/>
                <w:color w:val="auto"/>
                <w:w w:val="96"/>
              </w:rPr>
              <w:t>554,981</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82"/>
        </w:trPr>
        <w:tc>
          <w:tcPr>
            <w:tcW w:w="3820" w:type="dxa"/>
            <w:vAlign w:val="bottom"/>
            <w:gridSpan w:val="2"/>
          </w:tcPr>
          <w:p>
            <w:pPr>
              <w:spacing w:after="0"/>
              <w:rPr>
                <w:sz w:val="20"/>
                <w:szCs w:val="20"/>
                <w:color w:val="auto"/>
              </w:rPr>
            </w:pPr>
            <w:r>
              <w:rPr>
                <w:rFonts w:ascii="Arial" w:cs="Arial" w:eastAsia="Arial" w:hAnsi="Arial"/>
                <w:sz w:val="12"/>
                <w:szCs w:val="12"/>
                <w:color w:val="auto"/>
                <w:w w:val="94"/>
              </w:rPr>
              <w:t>The following table summarizes the future rental payments to the Company:</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1"/>
        </w:trPr>
        <w:tc>
          <w:tcPr>
            <w:tcW w:w="38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Twelve months ending September 30,</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60" w:type="dxa"/>
            <w:vAlign w:val="bottom"/>
          </w:tcPr>
          <w:p>
            <w:pPr>
              <w:spacing w:after="0"/>
              <w:rPr>
                <w:sz w:val="22"/>
                <w:szCs w:val="22"/>
                <w:color w:val="auto"/>
              </w:rPr>
            </w:pPr>
          </w:p>
        </w:tc>
      </w:tr>
      <w:tr>
        <w:trPr>
          <w:trHeight w:val="142"/>
        </w:trPr>
        <w:tc>
          <w:tcPr>
            <w:tcW w:w="3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2022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376,459</w:t>
            </w:r>
          </w:p>
        </w:tc>
        <w:tc>
          <w:tcPr>
            <w:tcW w:w="160" w:type="dxa"/>
            <w:vAlign w:val="bottom"/>
          </w:tcPr>
          <w:p>
            <w:pPr>
              <w:spacing w:after="0"/>
              <w:rPr>
                <w:sz w:val="12"/>
                <w:szCs w:val="12"/>
                <w:color w:val="auto"/>
              </w:rPr>
            </w:pPr>
          </w:p>
        </w:tc>
      </w:tr>
      <w:tr>
        <w:trPr>
          <w:trHeight w:val="153"/>
        </w:trPr>
        <w:tc>
          <w:tcPr>
            <w:tcW w:w="3660" w:type="dxa"/>
            <w:vAlign w:val="bottom"/>
          </w:tcPr>
          <w:p>
            <w:pPr>
              <w:ind w:left="320"/>
              <w:spacing w:after="0"/>
              <w:rPr>
                <w:sz w:val="20"/>
                <w:szCs w:val="20"/>
                <w:color w:val="auto"/>
              </w:rPr>
            </w:pPr>
            <w:r>
              <w:rPr>
                <w:rFonts w:ascii="Arial" w:cs="Arial" w:eastAsia="Arial" w:hAnsi="Arial"/>
                <w:sz w:val="12"/>
                <w:szCs w:val="12"/>
                <w:color w:val="auto"/>
              </w:rPr>
              <w:t>2023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334,825</w:t>
            </w:r>
          </w:p>
        </w:tc>
        <w:tc>
          <w:tcPr>
            <w:tcW w:w="160" w:type="dxa"/>
            <w:vAlign w:val="bottom"/>
          </w:tcPr>
          <w:p>
            <w:pPr>
              <w:spacing w:after="0"/>
              <w:rPr>
                <w:sz w:val="13"/>
                <w:szCs w:val="13"/>
                <w:color w:val="auto"/>
              </w:rPr>
            </w:pPr>
          </w:p>
        </w:tc>
      </w:tr>
      <w:tr>
        <w:trPr>
          <w:trHeight w:val="153"/>
        </w:trPr>
        <w:tc>
          <w:tcPr>
            <w:tcW w:w="3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2024</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281,610</w:t>
            </w:r>
          </w:p>
        </w:tc>
        <w:tc>
          <w:tcPr>
            <w:tcW w:w="160" w:type="dxa"/>
            <w:vAlign w:val="bottom"/>
          </w:tcPr>
          <w:p>
            <w:pPr>
              <w:spacing w:after="0"/>
              <w:rPr>
                <w:sz w:val="13"/>
                <w:szCs w:val="13"/>
                <w:color w:val="auto"/>
              </w:rPr>
            </w:pPr>
          </w:p>
        </w:tc>
      </w:tr>
      <w:tr>
        <w:trPr>
          <w:trHeight w:val="153"/>
        </w:trPr>
        <w:tc>
          <w:tcPr>
            <w:tcW w:w="3660" w:type="dxa"/>
            <w:vAlign w:val="bottom"/>
          </w:tcPr>
          <w:p>
            <w:pPr>
              <w:ind w:left="320"/>
              <w:spacing w:after="0"/>
              <w:rPr>
                <w:sz w:val="20"/>
                <w:szCs w:val="20"/>
                <w:color w:val="auto"/>
              </w:rPr>
            </w:pPr>
            <w:r>
              <w:rPr>
                <w:rFonts w:ascii="Arial" w:cs="Arial" w:eastAsia="Arial" w:hAnsi="Arial"/>
                <w:sz w:val="12"/>
                <w:szCs w:val="12"/>
                <w:color w:val="auto"/>
              </w:rPr>
              <w:t>2025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230,173</w:t>
            </w:r>
          </w:p>
        </w:tc>
        <w:tc>
          <w:tcPr>
            <w:tcW w:w="160" w:type="dxa"/>
            <w:vAlign w:val="bottom"/>
          </w:tcPr>
          <w:p>
            <w:pPr>
              <w:spacing w:after="0"/>
              <w:rPr>
                <w:sz w:val="13"/>
                <w:szCs w:val="13"/>
                <w:color w:val="auto"/>
              </w:rPr>
            </w:pPr>
          </w:p>
        </w:tc>
      </w:tr>
      <w:tr>
        <w:trPr>
          <w:trHeight w:val="153"/>
        </w:trPr>
        <w:tc>
          <w:tcPr>
            <w:tcW w:w="3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2026</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184,369</w:t>
            </w:r>
          </w:p>
        </w:tc>
        <w:tc>
          <w:tcPr>
            <w:tcW w:w="160" w:type="dxa"/>
            <w:vAlign w:val="bottom"/>
          </w:tcPr>
          <w:p>
            <w:pPr>
              <w:spacing w:after="0"/>
              <w:rPr>
                <w:sz w:val="13"/>
                <w:szCs w:val="13"/>
                <w:color w:val="auto"/>
              </w:rPr>
            </w:pPr>
          </w:p>
        </w:tc>
      </w:tr>
      <w:tr>
        <w:trPr>
          <w:trHeight w:val="153"/>
        </w:trPr>
        <w:tc>
          <w:tcPr>
            <w:tcW w:w="382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Thereafter</w:t>
            </w:r>
          </w:p>
        </w:tc>
        <w:tc>
          <w:tcPr>
            <w:tcW w:w="2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529,860</w:t>
            </w:r>
          </w:p>
        </w:tc>
        <w:tc>
          <w:tcPr>
            <w:tcW w:w="160" w:type="dxa"/>
            <w:vAlign w:val="bottom"/>
          </w:tcPr>
          <w:p>
            <w:pPr>
              <w:spacing w:after="0"/>
              <w:rPr>
                <w:sz w:val="13"/>
                <w:szCs w:val="13"/>
                <w:color w:val="auto"/>
              </w:rPr>
            </w:pPr>
          </w:p>
        </w:tc>
      </w:tr>
      <w:tr>
        <w:trPr>
          <w:trHeight w:val="158"/>
        </w:trPr>
        <w:tc>
          <w:tcPr>
            <w:tcW w:w="36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1,937,296</w:t>
            </w:r>
          </w:p>
        </w:tc>
        <w:tc>
          <w:tcPr>
            <w:tcW w:w="1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26" w:right="379" w:bottom="1440" w:gutter="0" w:footer="0" w:header="0"/>
        </w:sectPr>
      </w:pPr>
    </w:p>
    <w:bookmarkStart w:id="18" w:name="page19"/>
    <w:bookmarkEnd w:id="1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Leases: (Continued)</w:t>
      </w:r>
    </w:p>
    <w:p>
      <w:pPr>
        <w:spacing w:after="0" w:line="36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Lessee Leases:</w:t>
      </w:r>
    </w:p>
    <w:p>
      <w:pPr>
        <w:spacing w:after="0" w:line="105" w:lineRule="exact"/>
        <w:rPr>
          <w:sz w:val="20"/>
          <w:szCs w:val="20"/>
          <w:color w:val="auto"/>
        </w:rPr>
      </w:pPr>
    </w:p>
    <w:p>
      <w:pPr>
        <w:ind w:firstLine="297"/>
        <w:spacing w:after="0" w:line="323" w:lineRule="auto"/>
        <w:rPr>
          <w:sz w:val="20"/>
          <w:szCs w:val="20"/>
          <w:color w:val="auto"/>
        </w:rPr>
      </w:pPr>
      <w:r>
        <w:rPr>
          <w:rFonts w:ascii="Arial" w:cs="Arial" w:eastAsia="Arial" w:hAnsi="Arial"/>
          <w:sz w:val="11"/>
          <w:szCs w:val="11"/>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lease costs for the three and nine months ended September 30, 2021 and 2020:</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3720" w:type="dxa"/>
            <w:vAlign w:val="bottom"/>
          </w:tcPr>
          <w:p>
            <w:pPr>
              <w:spacing w:after="0"/>
              <w:rPr>
                <w:sz w:val="11"/>
                <w:szCs w:val="11"/>
                <w:color w:val="auto"/>
              </w:rPr>
            </w:pPr>
          </w:p>
        </w:tc>
        <w:tc>
          <w:tcPr>
            <w:tcW w:w="2600" w:type="dxa"/>
            <w:vAlign w:val="bottom"/>
            <w:gridSpan w:val="6"/>
          </w:tcPr>
          <w:p>
            <w:pPr>
              <w:ind w:left="500"/>
              <w:spacing w:after="0"/>
              <w:rPr>
                <w:sz w:val="20"/>
                <w:szCs w:val="20"/>
                <w:color w:val="auto"/>
              </w:rPr>
            </w:pPr>
            <w:r>
              <w:rPr>
                <w:rFonts w:ascii="Arial" w:cs="Arial" w:eastAsia="Arial" w:hAnsi="Arial"/>
                <w:sz w:val="10"/>
                <w:szCs w:val="10"/>
                <w:b w:val="1"/>
                <w:bCs w:val="1"/>
                <w:color w:val="auto"/>
              </w:rPr>
              <w:t>For the Three Months Ended September 30,</w:t>
            </w:r>
          </w:p>
        </w:tc>
        <w:tc>
          <w:tcPr>
            <w:tcW w:w="460" w:type="dxa"/>
            <w:vAlign w:val="bottom"/>
          </w:tcPr>
          <w:p>
            <w:pPr>
              <w:spacing w:after="0"/>
              <w:rPr>
                <w:sz w:val="11"/>
                <w:szCs w:val="11"/>
                <w:color w:val="auto"/>
              </w:rPr>
            </w:pPr>
          </w:p>
        </w:tc>
        <w:tc>
          <w:tcPr>
            <w:tcW w:w="2100" w:type="dxa"/>
            <w:vAlign w:val="bottom"/>
            <w:gridSpan w:val="4"/>
          </w:tcPr>
          <w:p>
            <w:pPr>
              <w:jc w:val="right"/>
              <w:ind w:right="202"/>
              <w:spacing w:after="0"/>
              <w:rPr>
                <w:sz w:val="20"/>
                <w:szCs w:val="20"/>
                <w:color w:val="auto"/>
              </w:rPr>
            </w:pPr>
            <w:r>
              <w:rPr>
                <w:rFonts w:ascii="Arial" w:cs="Arial" w:eastAsia="Arial" w:hAnsi="Arial"/>
                <w:sz w:val="10"/>
                <w:szCs w:val="10"/>
                <w:b w:val="1"/>
                <w:bCs w:val="1"/>
                <w:color w:val="auto"/>
                <w:w w:val="90"/>
              </w:rPr>
              <w:t>For the Nine Months Ended September 30,</w:t>
            </w:r>
          </w:p>
        </w:tc>
      </w:tr>
      <w:tr>
        <w:trPr>
          <w:trHeight w:val="118"/>
        </w:trPr>
        <w:tc>
          <w:tcPr>
            <w:tcW w:w="372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2020</w:t>
            </w:r>
          </w:p>
        </w:tc>
      </w:tr>
      <w:tr>
        <w:trPr>
          <w:trHeight w:val="143"/>
        </w:trPr>
        <w:tc>
          <w:tcPr>
            <w:tcW w:w="3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Operating lease costs</w:t>
            </w:r>
          </w:p>
        </w:tc>
        <w:tc>
          <w:tcPr>
            <w:tcW w:w="860" w:type="dxa"/>
            <w:vAlign w:val="bottom"/>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3,398</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3,788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11,027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11,427</w:t>
            </w:r>
          </w:p>
        </w:tc>
      </w:tr>
      <w:tr>
        <w:trPr>
          <w:trHeight w:val="153"/>
        </w:trPr>
        <w:tc>
          <w:tcPr>
            <w:tcW w:w="3720" w:type="dxa"/>
            <w:vAlign w:val="bottom"/>
          </w:tcPr>
          <w:p>
            <w:pPr>
              <w:ind w:left="320"/>
              <w:spacing w:after="0"/>
              <w:rPr>
                <w:sz w:val="20"/>
                <w:szCs w:val="20"/>
                <w:color w:val="auto"/>
              </w:rPr>
            </w:pPr>
            <w:r>
              <w:rPr>
                <w:rFonts w:ascii="Arial" w:cs="Arial" w:eastAsia="Arial" w:hAnsi="Arial"/>
                <w:sz w:val="12"/>
                <w:szCs w:val="12"/>
                <w:color w:val="auto"/>
              </w:rPr>
              <w:t>Finance lease costs:</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37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Amortization of ROU assets</w:t>
            </w: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1,436</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w:t>
            </w:r>
          </w:p>
        </w:tc>
      </w:tr>
      <w:tr>
        <w:trPr>
          <w:trHeight w:val="153"/>
        </w:trPr>
        <w:tc>
          <w:tcPr>
            <w:tcW w:w="372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Interest on lease liabilities</w:t>
            </w: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460</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w:t>
            </w:r>
          </w:p>
        </w:tc>
      </w:tr>
      <w:tr>
        <w:trPr>
          <w:trHeight w:val="158"/>
        </w:trPr>
        <w:tc>
          <w:tcPr>
            <w:tcW w:w="37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3,995</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4,396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12,923</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13,270</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future rental payments required under the leases: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September 30, 2021</w:t>
            </w: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December 31, 2020</w:t>
            </w: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90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Year ending December 31,</w:t>
            </w:r>
          </w:p>
        </w:tc>
        <w:tc>
          <w:tcPr>
            <w:tcW w:w="8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jc w:val="right"/>
              <w:ind w:right="3"/>
              <w:spacing w:after="0" w:line="83" w:lineRule="exact"/>
              <w:rPr>
                <w:sz w:val="20"/>
                <w:szCs w:val="20"/>
                <w:color w:val="auto"/>
              </w:rPr>
            </w:pPr>
            <w:r>
              <w:rPr>
                <w:rFonts w:ascii="Arial" w:cs="Arial" w:eastAsia="Arial" w:hAnsi="Arial"/>
                <w:sz w:val="8"/>
                <w:szCs w:val="8"/>
                <w:b w:val="1"/>
                <w:bCs w:val="1"/>
                <w:color w:val="auto"/>
              </w:rPr>
              <w:t>Operating</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Finance Leases</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80" w:type="dxa"/>
            <w:vAlign w:val="bottom"/>
            <w:gridSpan w:val="2"/>
            <w:vMerge w:val="restart"/>
          </w:tcPr>
          <w:p>
            <w:pPr>
              <w:jc w:val="right"/>
              <w:ind w:right="343"/>
              <w:spacing w:after="0"/>
              <w:rPr>
                <w:sz w:val="20"/>
                <w:szCs w:val="20"/>
                <w:color w:val="auto"/>
              </w:rPr>
            </w:pPr>
            <w:r>
              <w:rPr>
                <w:rFonts w:ascii="Arial" w:cs="Arial" w:eastAsia="Arial" w:hAnsi="Arial"/>
                <w:sz w:val="10"/>
                <w:szCs w:val="10"/>
                <w:b w:val="1"/>
                <w:bCs w:val="1"/>
                <w:color w:val="auto"/>
              </w:rPr>
              <w:t>Operating Leases</w:t>
            </w:r>
          </w:p>
        </w:tc>
        <w:tc>
          <w:tcPr>
            <w:tcW w:w="80" w:type="dxa"/>
            <w:vAlign w:val="bottom"/>
            <w:vMerge w:val="restart"/>
          </w:tcPr>
          <w:p>
            <w:pPr>
              <w:spacing w:after="0"/>
              <w:rPr>
                <w:sz w:val="7"/>
                <w:szCs w:val="7"/>
                <w:color w:val="auto"/>
              </w:rPr>
            </w:pPr>
          </w:p>
        </w:tc>
        <w:tc>
          <w:tcPr>
            <w:tcW w:w="740" w:type="dxa"/>
            <w:vAlign w:val="bottom"/>
            <w:vMerge w:val="restart"/>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Finance Leases</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9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Leases</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440"/>
              <w:spacing w:after="0"/>
              <w:rPr>
                <w:sz w:val="20"/>
                <w:szCs w:val="20"/>
                <w:color w:val="auto"/>
              </w:rPr>
            </w:pPr>
            <w:r>
              <w:rPr>
                <w:rFonts w:ascii="Arial" w:cs="Arial" w:eastAsia="Arial" w:hAnsi="Arial"/>
                <w:sz w:val="12"/>
                <w:szCs w:val="12"/>
                <w:color w:val="auto"/>
              </w:rPr>
              <w:t>2021</w:t>
            </w:r>
          </w:p>
        </w:tc>
        <w:tc>
          <w:tcPr>
            <w:tcW w:w="80" w:type="dxa"/>
            <w:vAlign w:val="bottom"/>
          </w:tcPr>
          <w:p>
            <w:pPr>
              <w:spacing w:after="0"/>
              <w:rPr>
                <w:sz w:val="12"/>
                <w:szCs w:val="12"/>
                <w:color w:val="auto"/>
              </w:rPr>
            </w:pPr>
          </w:p>
        </w:tc>
        <w:tc>
          <w:tcPr>
            <w:tcW w:w="6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3,937</w:t>
            </w:r>
          </w:p>
        </w:tc>
        <w:tc>
          <w:tcPr>
            <w:tcW w:w="13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2,450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14,695</w:t>
            </w:r>
          </w:p>
        </w:tc>
        <w:tc>
          <w:tcPr>
            <w:tcW w:w="13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10,785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14,302</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4,461</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14,558</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2,762</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440"/>
              <w:spacing w:after="0"/>
              <w:rPr>
                <w:sz w:val="20"/>
                <w:szCs w:val="20"/>
                <w:color w:val="auto"/>
              </w:rPr>
            </w:pPr>
            <w:r>
              <w:rPr>
                <w:rFonts w:ascii="Arial" w:cs="Arial" w:eastAsia="Arial" w:hAnsi="Arial"/>
                <w:sz w:val="12"/>
                <w:szCs w:val="12"/>
                <w:color w:val="auto"/>
              </w:rPr>
              <w:t>2023</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8,452</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2,043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8,746</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344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2024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6,471</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9,072</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6,759</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3,085</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ind w:left="440"/>
              <w:spacing w:after="0"/>
              <w:rPr>
                <w:sz w:val="20"/>
                <w:szCs w:val="20"/>
                <w:color w:val="auto"/>
              </w:rPr>
            </w:pPr>
            <w:r>
              <w:rPr>
                <w:rFonts w:ascii="Arial" w:cs="Arial" w:eastAsia="Arial" w:hAnsi="Arial"/>
                <w:sz w:val="12"/>
                <w:szCs w:val="12"/>
                <w:color w:val="auto"/>
              </w:rPr>
              <w:t>2025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6,513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6,796</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Thereafter</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115,828</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116,660</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ind w:left="440"/>
              <w:spacing w:after="0" w:line="97" w:lineRule="exact"/>
              <w:rPr>
                <w:sz w:val="20"/>
                <w:szCs w:val="20"/>
                <w:color w:val="auto"/>
              </w:rPr>
            </w:pPr>
            <w:r>
              <w:rPr>
                <w:rFonts w:ascii="Arial" w:cs="Arial" w:eastAsia="Arial" w:hAnsi="Arial"/>
                <w:sz w:val="11"/>
                <w:szCs w:val="11"/>
                <w:color w:val="auto"/>
              </w:rPr>
              <w:t>Total undiscounted rental</w:t>
            </w:r>
          </w:p>
        </w:tc>
        <w:tc>
          <w:tcPr>
            <w:tcW w:w="6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155,503</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restart"/>
          </w:tcPr>
          <w:p>
            <w:pPr>
              <w:jc w:val="right"/>
              <w:ind w:right="81"/>
              <w:spacing w:after="0"/>
              <w:rPr>
                <w:sz w:val="20"/>
                <w:szCs w:val="20"/>
                <w:color w:val="auto"/>
              </w:rPr>
            </w:pPr>
            <w:r>
              <w:rPr>
                <w:rFonts w:ascii="Arial" w:cs="Arial" w:eastAsia="Arial" w:hAnsi="Arial"/>
                <w:sz w:val="12"/>
                <w:szCs w:val="12"/>
                <w:color w:val="auto"/>
              </w:rPr>
              <w:t>18,026</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168,214</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16,976</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spacing w:after="0"/>
              <w:rPr>
                <w:sz w:val="20"/>
                <w:szCs w:val="20"/>
                <w:color w:val="auto"/>
              </w:rPr>
            </w:pPr>
            <w:r>
              <w:rPr>
                <w:rFonts w:ascii="Arial" w:cs="Arial" w:eastAsia="Arial" w:hAnsi="Arial"/>
                <w:sz w:val="12"/>
                <w:szCs w:val="12"/>
                <w:color w:val="auto"/>
              </w:rPr>
              <w:t>payments</w:t>
            </w:r>
          </w:p>
        </w:tc>
        <w:tc>
          <w:tcPr>
            <w:tcW w:w="6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Less imputed interest</w:t>
            </w:r>
          </w:p>
        </w:tc>
        <w:tc>
          <w:tcPr>
            <w:tcW w:w="6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(86,576)</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(3,497)</w:t>
            </w: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(94,375)</w:t>
            </w: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(599)</w:t>
            </w:r>
          </w:p>
        </w:tc>
        <w:tc>
          <w:tcPr>
            <w:tcW w:w="4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80" w:type="dxa"/>
            <w:vAlign w:val="bottom"/>
            <w:tcBorders>
              <w:bottom w:val="single" w:sz="8" w:color="CCEEFF"/>
            </w:tcBorders>
            <w:gridSpan w:val="2"/>
          </w:tcPr>
          <w:p>
            <w:pPr>
              <w:ind w:left="440"/>
              <w:spacing w:after="0"/>
              <w:rPr>
                <w:sz w:val="20"/>
                <w:szCs w:val="20"/>
                <w:color w:val="auto"/>
              </w:rPr>
            </w:pPr>
            <w:r>
              <w:rPr>
                <w:rFonts w:ascii="Arial" w:cs="Arial" w:eastAsia="Arial" w:hAnsi="Arial"/>
                <w:sz w:val="12"/>
                <w:szCs w:val="12"/>
                <w:color w:val="auto"/>
              </w:rPr>
              <w:t>Total lease liabilities</w:t>
            </w: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68,927</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14,529</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73,839</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16,377</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ind w:left="440"/>
              <w:spacing w:after="0" w:line="100" w:lineRule="exact"/>
              <w:rPr>
                <w:sz w:val="20"/>
                <w:szCs w:val="20"/>
                <w:color w:val="auto"/>
              </w:rPr>
            </w:pPr>
            <w:r>
              <w:rPr>
                <w:rFonts w:ascii="Arial" w:cs="Arial" w:eastAsia="Arial" w:hAnsi="Arial"/>
                <w:sz w:val="11"/>
                <w:szCs w:val="11"/>
                <w:color w:val="auto"/>
              </w:rPr>
              <w:t>Weighted average remaining</w:t>
            </w:r>
          </w:p>
        </w:tc>
        <w:tc>
          <w:tcPr>
            <w:tcW w:w="6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320" w:type="dxa"/>
            <w:vAlign w:val="bottom"/>
            <w:gridSpan w:val="3"/>
            <w:vMerge w:val="restart"/>
            <w:shd w:val="clear" w:color="auto" w:fill="CCEEFF"/>
          </w:tcPr>
          <w:p>
            <w:pPr>
              <w:jc w:val="right"/>
              <w:ind w:right="740"/>
              <w:spacing w:after="0"/>
              <w:rPr>
                <w:sz w:val="20"/>
                <w:szCs w:val="20"/>
                <w:color w:val="auto"/>
              </w:rPr>
            </w:pPr>
            <w:r>
              <w:rPr>
                <w:rFonts w:ascii="Arial" w:cs="Arial" w:eastAsia="Arial" w:hAnsi="Arial"/>
                <w:sz w:val="12"/>
                <w:szCs w:val="12"/>
                <w:color w:val="auto"/>
                <w:w w:val="89"/>
              </w:rPr>
              <w:t>35.9 years</w:t>
            </w:r>
          </w:p>
        </w:tc>
        <w:tc>
          <w:tcPr>
            <w:tcW w:w="80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w w:val="84"/>
              </w:rPr>
              <w:t>2.4 years</w:t>
            </w:r>
          </w:p>
        </w:tc>
        <w:tc>
          <w:tcPr>
            <w:tcW w:w="6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340" w:type="dxa"/>
            <w:vAlign w:val="bottom"/>
            <w:gridSpan w:val="3"/>
            <w:vMerge w:val="restart"/>
            <w:shd w:val="clear" w:color="auto" w:fill="CCEEFF"/>
          </w:tcPr>
          <w:p>
            <w:pPr>
              <w:jc w:val="right"/>
              <w:ind w:right="760"/>
              <w:spacing w:after="0"/>
              <w:rPr>
                <w:sz w:val="20"/>
                <w:szCs w:val="20"/>
                <w:color w:val="auto"/>
              </w:rPr>
            </w:pPr>
            <w:r>
              <w:rPr>
                <w:rFonts w:ascii="Arial" w:cs="Arial" w:eastAsia="Arial" w:hAnsi="Arial"/>
                <w:sz w:val="12"/>
                <w:szCs w:val="12"/>
                <w:color w:val="auto"/>
                <w:w w:val="89"/>
              </w:rPr>
              <w:t>34.5 years</w:t>
            </w:r>
          </w:p>
        </w:tc>
        <w:tc>
          <w:tcPr>
            <w:tcW w:w="7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4"/>
              </w:rPr>
              <w:t>1.1 years</w:t>
            </w:r>
          </w:p>
        </w:tc>
        <w:tc>
          <w:tcPr>
            <w:tcW w:w="0" w:type="dxa"/>
            <w:vAlign w:val="bottom"/>
          </w:tcPr>
          <w:p>
            <w:pPr>
              <w:spacing w:after="0"/>
              <w:rPr>
                <w:sz w:val="1"/>
                <w:szCs w:val="1"/>
                <w:color w:val="auto"/>
              </w:rPr>
            </w:pPr>
          </w:p>
        </w:tc>
      </w:tr>
      <w:tr>
        <w:trPr>
          <w:trHeight w:val="155"/>
        </w:trPr>
        <w:tc>
          <w:tcPr>
            <w:tcW w:w="19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term</w:t>
            </w: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20" w:type="dxa"/>
            <w:vAlign w:val="bottom"/>
            <w:gridSpan w:val="3"/>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40" w:type="dxa"/>
            <w:vAlign w:val="bottom"/>
            <w:gridSpan w:val="3"/>
            <w:vMerge w:val="continue"/>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80" w:type="dxa"/>
            <w:vAlign w:val="bottom"/>
            <w:tcBorders>
              <w:top w:val="single" w:sz="8" w:color="CCEEFF"/>
            </w:tcBorders>
            <w:gridSpan w:val="2"/>
          </w:tcPr>
          <w:p>
            <w:pPr>
              <w:ind w:left="440"/>
              <w:spacing w:after="0" w:line="95" w:lineRule="exact"/>
              <w:rPr>
                <w:sz w:val="20"/>
                <w:szCs w:val="20"/>
                <w:color w:val="auto"/>
              </w:rPr>
            </w:pPr>
            <w:r>
              <w:rPr>
                <w:rFonts w:ascii="Arial" w:cs="Arial" w:eastAsia="Arial" w:hAnsi="Arial"/>
                <w:sz w:val="11"/>
                <w:szCs w:val="11"/>
                <w:color w:val="auto"/>
              </w:rPr>
              <w:t>Weighted average</w:t>
            </w:r>
          </w:p>
        </w:tc>
        <w:tc>
          <w:tcPr>
            <w:tcW w:w="6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7.7</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2"/>
                <w:szCs w:val="12"/>
                <w:color w:val="auto"/>
              </w:rPr>
              <w:t>3.7</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7.7</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color w:val="auto"/>
              </w:rPr>
              <w:t>3.7</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980" w:type="dxa"/>
            <w:vAlign w:val="bottom"/>
            <w:gridSpan w:val="2"/>
          </w:tcPr>
          <w:p>
            <w:pPr>
              <w:spacing w:after="0" w:line="135" w:lineRule="exact"/>
              <w:rPr>
                <w:sz w:val="20"/>
                <w:szCs w:val="20"/>
                <w:color w:val="auto"/>
              </w:rPr>
            </w:pPr>
            <w:r>
              <w:rPr>
                <w:rFonts w:ascii="Arial" w:cs="Arial" w:eastAsia="Arial" w:hAnsi="Arial"/>
                <w:sz w:val="12"/>
                <w:szCs w:val="12"/>
                <w:color w:val="auto"/>
              </w:rPr>
              <w:t>incremental borrowing rate</w:t>
            </w: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26" w:right="359" w:bottom="1440" w:gutter="0" w:footer="0" w:header="0"/>
        </w:sectPr>
      </w:pPr>
    </w:p>
    <w:bookmarkStart w:id="19" w:name="page20"/>
    <w:bookmarkEnd w:id="1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Deferred Charges and Other Assets, net: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Deferred charges and other assets, net consist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w:t>
            </w:r>
          </w:p>
        </w:tc>
        <w:tc>
          <w:tcPr>
            <w:tcW w:w="520" w:type="dxa"/>
            <w:vAlign w:val="bottom"/>
          </w:tcPr>
          <w:p>
            <w:pPr>
              <w:spacing w:after="0"/>
              <w:rPr>
                <w:sz w:val="10"/>
                <w:szCs w:val="10"/>
                <w:color w:val="auto"/>
              </w:rPr>
            </w:pPr>
          </w:p>
        </w:tc>
        <w:tc>
          <w:tcPr>
            <w:tcW w:w="1140" w:type="dxa"/>
            <w:vAlign w:val="bottom"/>
          </w:tcPr>
          <w:p>
            <w:pPr>
              <w:jc w:val="right"/>
              <w:ind w:right="34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220" w:type="dxa"/>
            <w:vAlign w:val="bottom"/>
            <w:tcBorders>
              <w:bottom w:val="single" w:sz="8" w:color="CCEEFF"/>
            </w:tcBorders>
          </w:tcPr>
          <w:p>
            <w:pPr>
              <w:spacing w:after="0"/>
              <w:rPr>
                <w:sz w:val="10"/>
                <w:szCs w:val="10"/>
                <w:color w:val="auto"/>
              </w:rPr>
            </w:pPr>
          </w:p>
        </w:tc>
        <w:tc>
          <w:tcPr>
            <w:tcW w:w="6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b w:val="1"/>
                <w:bCs w:val="1"/>
                <w:color w:val="auto"/>
              </w:rPr>
              <w:t>2020</w:t>
            </w:r>
          </w:p>
        </w:tc>
      </w:tr>
      <w:tr>
        <w:trPr>
          <w:trHeight w:val="143"/>
        </w:trPr>
        <w:tc>
          <w:tcPr>
            <w:tcW w:w="220" w:type="dxa"/>
            <w:vAlign w:val="bottom"/>
            <w:shd w:val="clear" w:color="auto" w:fill="CCEEFF"/>
          </w:tcPr>
          <w:p>
            <w:pPr>
              <w:spacing w:after="0"/>
              <w:rPr>
                <w:sz w:val="12"/>
                <w:szCs w:val="12"/>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Leasing</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140,245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162,652</w:t>
            </w:r>
          </w:p>
        </w:tc>
      </w:tr>
      <w:tr>
        <w:trPr>
          <w:trHeight w:val="153"/>
        </w:trPr>
        <w:tc>
          <w:tcPr>
            <w:tcW w:w="220" w:type="dxa"/>
            <w:vAlign w:val="bottom"/>
          </w:tcPr>
          <w:p>
            <w:pPr>
              <w:spacing w:after="0"/>
              <w:rPr>
                <w:sz w:val="13"/>
                <w:szCs w:val="13"/>
                <w:color w:val="auto"/>
              </w:rPr>
            </w:pPr>
          </w:p>
        </w:tc>
        <w:tc>
          <w:tcPr>
            <w:tcW w:w="6100" w:type="dxa"/>
            <w:vAlign w:val="bottom"/>
          </w:tcPr>
          <w:p>
            <w:pPr>
              <w:ind w:left="80"/>
              <w:spacing w:after="0"/>
              <w:rPr>
                <w:sz w:val="20"/>
                <w:szCs w:val="20"/>
                <w:color w:val="auto"/>
              </w:rPr>
            </w:pPr>
            <w:r>
              <w:rPr>
                <w:rFonts w:ascii="Arial" w:cs="Arial" w:eastAsia="Arial" w:hAnsi="Arial"/>
                <w:sz w:val="12"/>
                <w:szCs w:val="12"/>
                <w:color w:val="auto"/>
              </w:rPr>
              <w:t>Intangible assets: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220" w:type="dxa"/>
            <w:vAlign w:val="bottom"/>
            <w:shd w:val="clear" w:color="auto" w:fill="CCEEFF"/>
          </w:tcPr>
          <w:p>
            <w:pPr>
              <w:spacing w:after="0"/>
              <w:rPr>
                <w:sz w:val="13"/>
                <w:szCs w:val="13"/>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In-place lease values</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66,472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74,298</w:t>
            </w:r>
          </w:p>
        </w:tc>
      </w:tr>
      <w:tr>
        <w:trPr>
          <w:trHeight w:val="153"/>
        </w:trPr>
        <w:tc>
          <w:tcPr>
            <w:tcW w:w="220" w:type="dxa"/>
            <w:vAlign w:val="bottom"/>
          </w:tcPr>
          <w:p>
            <w:pPr>
              <w:spacing w:after="0"/>
              <w:rPr>
                <w:sz w:val="13"/>
                <w:szCs w:val="13"/>
                <w:color w:val="auto"/>
              </w:rPr>
            </w:pPr>
          </w:p>
        </w:tc>
        <w:tc>
          <w:tcPr>
            <w:tcW w:w="6100" w:type="dxa"/>
            <w:vAlign w:val="bottom"/>
          </w:tcPr>
          <w:p>
            <w:pPr>
              <w:ind w:left="160"/>
              <w:spacing w:after="0"/>
              <w:rPr>
                <w:sz w:val="20"/>
                <w:szCs w:val="20"/>
                <w:color w:val="auto"/>
              </w:rPr>
            </w:pPr>
            <w:r>
              <w:rPr>
                <w:rFonts w:ascii="Arial" w:cs="Arial" w:eastAsia="Arial" w:hAnsi="Arial"/>
                <w:sz w:val="12"/>
                <w:szCs w:val="12"/>
                <w:color w:val="auto"/>
              </w:rPr>
              <w:t>Leasing commissions and legal costs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17,810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21,096</w:t>
            </w:r>
          </w:p>
        </w:tc>
      </w:tr>
      <w:tr>
        <w:trPr>
          <w:trHeight w:val="153"/>
        </w:trPr>
        <w:tc>
          <w:tcPr>
            <w:tcW w:w="220" w:type="dxa"/>
            <w:vAlign w:val="bottom"/>
            <w:shd w:val="clear" w:color="auto" w:fill="CCEEFF"/>
          </w:tcPr>
          <w:p>
            <w:pPr>
              <w:spacing w:after="0"/>
              <w:rPr>
                <w:sz w:val="13"/>
                <w:szCs w:val="13"/>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Above-market leases</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75,183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80,120</w:t>
            </w:r>
          </w:p>
        </w:tc>
      </w:tr>
      <w:tr>
        <w:trPr>
          <w:trHeight w:val="153"/>
        </w:trPr>
        <w:tc>
          <w:tcPr>
            <w:tcW w:w="220" w:type="dxa"/>
            <w:vAlign w:val="bottom"/>
          </w:tcPr>
          <w:p>
            <w:pPr>
              <w:spacing w:after="0"/>
              <w:rPr>
                <w:sz w:val="13"/>
                <w:szCs w:val="13"/>
                <w:color w:val="auto"/>
              </w:rPr>
            </w:pPr>
          </w:p>
        </w:tc>
        <w:tc>
          <w:tcPr>
            <w:tcW w:w="6100" w:type="dxa"/>
            <w:vAlign w:val="bottom"/>
          </w:tcPr>
          <w:p>
            <w:pPr>
              <w:ind w:left="80"/>
              <w:spacing w:after="0"/>
              <w:rPr>
                <w:sz w:val="20"/>
                <w:szCs w:val="20"/>
                <w:color w:val="auto"/>
              </w:rPr>
            </w:pPr>
            <w:r>
              <w:rPr>
                <w:rFonts w:ascii="Arial" w:cs="Arial" w:eastAsia="Arial" w:hAnsi="Arial"/>
                <w:sz w:val="12"/>
                <w:szCs w:val="12"/>
                <w:color w:val="auto"/>
              </w:rPr>
              <w:t>Deferred tax assets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21,315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30,767</w:t>
            </w:r>
          </w:p>
        </w:tc>
      </w:tr>
      <w:tr>
        <w:trPr>
          <w:trHeight w:val="153"/>
        </w:trPr>
        <w:tc>
          <w:tcPr>
            <w:tcW w:w="220" w:type="dxa"/>
            <w:vAlign w:val="bottom"/>
            <w:shd w:val="clear" w:color="auto" w:fill="CCEEFF"/>
          </w:tcPr>
          <w:p>
            <w:pPr>
              <w:spacing w:after="0"/>
              <w:rPr>
                <w:sz w:val="13"/>
                <w:szCs w:val="13"/>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compensation plan assets</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62,658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62,874</w:t>
            </w:r>
          </w:p>
        </w:tc>
      </w:tr>
      <w:tr>
        <w:trPr>
          <w:trHeight w:val="153"/>
        </w:trPr>
        <w:tc>
          <w:tcPr>
            <w:tcW w:w="220" w:type="dxa"/>
            <w:vAlign w:val="bottom"/>
            <w:tcBorders>
              <w:bottom w:val="single" w:sz="8" w:color="CCEEFF"/>
            </w:tcBorders>
          </w:tcPr>
          <w:p>
            <w:pPr>
              <w:spacing w:after="0"/>
              <w:rPr>
                <w:sz w:val="13"/>
                <w:szCs w:val="13"/>
                <w:color w:val="auto"/>
              </w:rPr>
            </w:pPr>
          </w:p>
        </w:tc>
        <w:tc>
          <w:tcPr>
            <w:tcW w:w="61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41,946</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61,553</w:t>
            </w:r>
          </w:p>
        </w:tc>
      </w:tr>
      <w:tr>
        <w:trPr>
          <w:trHeight w:val="142"/>
        </w:trPr>
        <w:tc>
          <w:tcPr>
            <w:tcW w:w="220" w:type="dxa"/>
            <w:vAlign w:val="bottom"/>
            <w:shd w:val="clear" w:color="auto" w:fill="CCEEFF"/>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425,629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493,360</w:t>
            </w:r>
          </w:p>
        </w:tc>
      </w:tr>
      <w:tr>
        <w:trPr>
          <w:trHeight w:val="153"/>
        </w:trPr>
        <w:tc>
          <w:tcPr>
            <w:tcW w:w="220" w:type="dxa"/>
            <w:vAlign w:val="bottom"/>
            <w:tcBorders>
              <w:bottom w:val="single" w:sz="8" w:color="CCEEFF"/>
            </w:tcBorders>
          </w:tcPr>
          <w:p>
            <w:pPr>
              <w:spacing w:after="0"/>
              <w:rPr>
                <w:sz w:val="13"/>
                <w:szCs w:val="13"/>
                <w:color w:val="auto"/>
              </w:rPr>
            </w:pPr>
          </w:p>
        </w:tc>
        <w:tc>
          <w:tcPr>
            <w:tcW w:w="61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Less accumulated amortization(1)</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(173,608)</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(186,401)</w:t>
            </w:r>
          </w:p>
        </w:tc>
      </w:tr>
      <w:tr>
        <w:trPr>
          <w:trHeight w:val="158"/>
        </w:trPr>
        <w:tc>
          <w:tcPr>
            <w:tcW w:w="220" w:type="dxa"/>
            <w:vAlign w:val="bottom"/>
            <w:tcBorders>
              <w:bottom w:val="single" w:sz="8" w:color="CCEEFF"/>
            </w:tcBorders>
            <w:shd w:val="clear" w:color="auto" w:fill="CCEEFF"/>
          </w:tcPr>
          <w:p>
            <w:pPr>
              <w:spacing w:after="0"/>
              <w:rPr>
                <w:sz w:val="13"/>
                <w:szCs w:val="13"/>
                <w:color w:val="auto"/>
              </w:rPr>
            </w:pPr>
          </w:p>
        </w:tc>
        <w:tc>
          <w:tcPr>
            <w:tcW w:w="6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252,021</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306,959</w:t>
            </w:r>
          </w:p>
        </w:tc>
      </w:tr>
      <w:tr>
        <w:trPr>
          <w:trHeight w:val="171"/>
        </w:trPr>
        <w:tc>
          <w:tcPr>
            <w:tcW w:w="220" w:type="dxa"/>
            <w:vAlign w:val="bottom"/>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14" w:lineRule="exact"/>
        <w:rPr>
          <w:sz w:val="20"/>
          <w:szCs w:val="20"/>
          <w:color w:val="auto"/>
        </w:rPr>
      </w:pPr>
    </w:p>
    <w:p>
      <w:pPr>
        <w:ind w:left="640" w:hanging="216"/>
        <w:spacing w:after="0" w:line="239" w:lineRule="auto"/>
        <w:tabs>
          <w:tab w:leader="none" w:pos="602" w:val="left"/>
        </w:tabs>
        <w:numPr>
          <w:ilvl w:val="0"/>
          <w:numId w:val="10"/>
        </w:numPr>
        <w:rPr>
          <w:rFonts w:ascii="Arial" w:cs="Arial" w:eastAsia="Arial" w:hAnsi="Arial"/>
          <w:sz w:val="10"/>
          <w:szCs w:val="10"/>
          <w:color w:val="auto"/>
        </w:rPr>
      </w:pPr>
      <w:r>
        <w:rPr>
          <w:rFonts w:ascii="Arial" w:cs="Arial" w:eastAsia="Arial" w:hAnsi="Arial"/>
          <w:sz w:val="10"/>
          <w:szCs w:val="10"/>
          <w:color w:val="auto"/>
        </w:rPr>
        <w:t>Accumulated amortization includes $44,358 and $47,249 relating to in-place lease values, leasing commissions and legal costs at September 30, 2021 and December 31, 2020, respectively. Amortization expense of in-place lease values, leasing commissions and legal costs was $2,262 and $1,930 for the three months ended September 30, 2021 and 2020, respectively, and $6,868 and $7,645 for the nine months ended September 30, 2021 and 2020,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allocated values of above-market leases and below-market leases consist of the following:</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right"/>
              <w:ind w:right="443"/>
              <w:spacing w:after="0"/>
              <w:rPr>
                <w:sz w:val="20"/>
                <w:szCs w:val="20"/>
                <w:color w:val="auto"/>
              </w:rPr>
            </w:pPr>
            <w:r>
              <w:rPr>
                <w:rFonts w:ascii="Arial" w:cs="Arial" w:eastAsia="Arial" w:hAnsi="Arial"/>
                <w:sz w:val="10"/>
                <w:szCs w:val="10"/>
                <w:b w:val="1"/>
                <w:bCs w:val="1"/>
                <w:color w:val="auto"/>
              </w:rPr>
              <w:t>December 31,</w:t>
            </w:r>
          </w:p>
        </w:tc>
      </w:tr>
      <w:tr>
        <w:trPr>
          <w:trHeight w:val="123"/>
        </w:trPr>
        <w:tc>
          <w:tcPr>
            <w:tcW w:w="4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36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right"/>
              <w:ind w:right="523"/>
              <w:spacing w:after="0"/>
              <w:rPr>
                <w:sz w:val="20"/>
                <w:szCs w:val="20"/>
                <w:color w:val="auto"/>
              </w:rPr>
            </w:pPr>
            <w:r>
              <w:rPr>
                <w:rFonts w:ascii="Arial" w:cs="Arial" w:eastAsia="Arial" w:hAnsi="Arial"/>
                <w:sz w:val="10"/>
                <w:szCs w:val="10"/>
                <w:b w:val="1"/>
                <w:bCs w:val="1"/>
                <w:color w:val="auto"/>
              </w:rPr>
              <w:t>2020</w:t>
            </w:r>
          </w:p>
        </w:tc>
      </w:tr>
      <w:tr>
        <w:trPr>
          <w:trHeight w:val="145"/>
        </w:trPr>
        <w:tc>
          <w:tcPr>
            <w:tcW w:w="6360" w:type="dxa"/>
            <w:vAlign w:val="bottom"/>
            <w:gridSpan w:val="2"/>
          </w:tcPr>
          <w:p>
            <w:pPr>
              <w:ind w:left="220"/>
              <w:spacing w:after="0"/>
              <w:rPr>
                <w:sz w:val="20"/>
                <w:szCs w:val="20"/>
                <w:color w:val="auto"/>
              </w:rPr>
            </w:pPr>
            <w:r>
              <w:rPr>
                <w:rFonts w:ascii="Arial" w:cs="Arial" w:eastAsia="Arial" w:hAnsi="Arial"/>
                <w:sz w:val="12"/>
                <w:szCs w:val="12"/>
                <w:i w:val="1"/>
                <w:iCs w:val="1"/>
                <w:color w:val="auto"/>
              </w:rPr>
              <w:t>Above-Market Leases</w:t>
            </w:r>
          </w:p>
        </w:tc>
        <w:tc>
          <w:tcPr>
            <w:tcW w:w="4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r>
      <w:tr>
        <w:trPr>
          <w:trHeight w:val="153"/>
        </w:trPr>
        <w:tc>
          <w:tcPr>
            <w:tcW w:w="6360" w:type="dxa"/>
            <w:vAlign w:val="bottom"/>
            <w:gridSpan w:val="2"/>
          </w:tcPr>
          <w:p>
            <w:pPr>
              <w:ind w:left="220"/>
              <w:spacing w:after="0"/>
              <w:rPr>
                <w:sz w:val="20"/>
                <w:szCs w:val="20"/>
                <w:color w:val="auto"/>
              </w:rPr>
            </w:pPr>
            <w:r>
              <w:rPr>
                <w:rFonts w:ascii="Arial" w:cs="Arial" w:eastAsia="Arial" w:hAnsi="Arial"/>
                <w:sz w:val="12"/>
                <w:szCs w:val="12"/>
                <w:color w:val="auto"/>
              </w:rPr>
              <w:t>Original allocated value</w:t>
            </w: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75,183$</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80,120</w:t>
            </w:r>
          </w:p>
        </w:tc>
      </w:tr>
      <w:tr>
        <w:trPr>
          <w:trHeight w:val="153"/>
        </w:trPr>
        <w:tc>
          <w:tcPr>
            <w:tcW w:w="420" w:type="dxa"/>
            <w:vAlign w:val="bottom"/>
          </w:tcPr>
          <w:p>
            <w:pPr>
              <w:ind w:left="220"/>
              <w:spacing w:after="0"/>
              <w:rPr>
                <w:sz w:val="20"/>
                <w:szCs w:val="20"/>
                <w:color w:val="auto"/>
              </w:rPr>
            </w:pPr>
            <w:r>
              <w:rPr>
                <w:rFonts w:ascii="Arial" w:cs="Arial" w:eastAsia="Arial" w:hAnsi="Arial"/>
                <w:sz w:val="12"/>
                <w:szCs w:val="12"/>
                <w:color w:val="auto"/>
                <w:w w:val="70"/>
              </w:rPr>
              <w:t>Less</w:t>
            </w:r>
          </w:p>
        </w:tc>
        <w:tc>
          <w:tcPr>
            <w:tcW w:w="594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accumulated amortization</w:t>
            </w:r>
          </w:p>
        </w:tc>
        <w:tc>
          <w:tcPr>
            <w:tcW w:w="46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(33,426)</w:t>
            </w: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(33,271)</w:t>
            </w:r>
          </w:p>
        </w:tc>
      </w:tr>
      <w:tr>
        <w:trPr>
          <w:trHeight w:val="158"/>
        </w:trPr>
        <w:tc>
          <w:tcPr>
            <w:tcW w:w="4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41,757$</w:t>
            </w:r>
          </w:p>
        </w:tc>
        <w:tc>
          <w:tcPr>
            <w:tcW w:w="8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46,849</w:t>
            </w:r>
          </w:p>
        </w:tc>
      </w:tr>
      <w:tr>
        <w:trPr>
          <w:trHeight w:val="153"/>
        </w:trPr>
        <w:tc>
          <w:tcPr>
            <w:tcW w:w="6360" w:type="dxa"/>
            <w:vAlign w:val="bottom"/>
            <w:gridSpan w:val="2"/>
          </w:tcPr>
          <w:p>
            <w:pPr>
              <w:ind w:left="220"/>
              <w:spacing w:after="0"/>
              <w:rPr>
                <w:sz w:val="20"/>
                <w:szCs w:val="20"/>
                <w:color w:val="auto"/>
              </w:rPr>
            </w:pPr>
            <w:r>
              <w:rPr>
                <w:rFonts w:ascii="Arial" w:cs="Arial" w:eastAsia="Arial" w:hAnsi="Arial"/>
                <w:sz w:val="12"/>
                <w:szCs w:val="12"/>
                <w:i w:val="1"/>
                <w:iCs w:val="1"/>
                <w:color w:val="auto"/>
              </w:rPr>
              <w:t>Below-Market Leases(1)</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3"/>
        </w:trPr>
        <w:tc>
          <w:tcPr>
            <w:tcW w:w="6360" w:type="dxa"/>
            <w:vAlign w:val="bottom"/>
            <w:gridSpan w:val="2"/>
          </w:tcPr>
          <w:p>
            <w:pPr>
              <w:ind w:left="220"/>
              <w:spacing w:after="0"/>
              <w:rPr>
                <w:sz w:val="20"/>
                <w:szCs w:val="20"/>
                <w:color w:val="auto"/>
              </w:rPr>
            </w:pPr>
            <w:r>
              <w:rPr>
                <w:rFonts w:ascii="Arial" w:cs="Arial" w:eastAsia="Arial" w:hAnsi="Arial"/>
                <w:sz w:val="12"/>
                <w:szCs w:val="12"/>
                <w:color w:val="auto"/>
              </w:rPr>
              <w:t>Original allocated value</w:t>
            </w: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79"/>
              </w:rPr>
              <w:t>101,152$</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114,790</w:t>
            </w:r>
          </w:p>
        </w:tc>
      </w:tr>
      <w:tr>
        <w:trPr>
          <w:trHeight w:val="153"/>
        </w:trPr>
        <w:tc>
          <w:tcPr>
            <w:tcW w:w="420" w:type="dxa"/>
            <w:vAlign w:val="bottom"/>
          </w:tcPr>
          <w:p>
            <w:pPr>
              <w:ind w:left="220"/>
              <w:spacing w:after="0"/>
              <w:rPr>
                <w:sz w:val="20"/>
                <w:szCs w:val="20"/>
                <w:color w:val="auto"/>
              </w:rPr>
            </w:pPr>
            <w:r>
              <w:rPr>
                <w:rFonts w:ascii="Arial" w:cs="Arial" w:eastAsia="Arial" w:hAnsi="Arial"/>
                <w:sz w:val="12"/>
                <w:szCs w:val="12"/>
                <w:color w:val="auto"/>
                <w:w w:val="70"/>
              </w:rPr>
              <w:t>Less</w:t>
            </w:r>
          </w:p>
        </w:tc>
        <w:tc>
          <w:tcPr>
            <w:tcW w:w="594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accumulated amortization</w:t>
            </w:r>
          </w:p>
        </w:tc>
        <w:tc>
          <w:tcPr>
            <w:tcW w:w="46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(36,665)</w:t>
            </w:r>
          </w:p>
        </w:tc>
        <w:tc>
          <w:tcPr>
            <w:tcW w:w="8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(43,656)</w:t>
            </w:r>
          </w:p>
        </w:tc>
      </w:tr>
      <w:tr>
        <w:trPr>
          <w:trHeight w:val="142"/>
        </w:trPr>
        <w:tc>
          <w:tcPr>
            <w:tcW w:w="4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64,487$</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71,134</w:t>
            </w:r>
          </w:p>
        </w:tc>
      </w:tr>
      <w:tr>
        <w:trPr>
          <w:trHeight w:val="20"/>
        </w:trPr>
        <w:tc>
          <w:tcPr>
            <w:tcW w:w="4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93"/>
        </w:trPr>
        <w:tc>
          <w:tcPr>
            <w:tcW w:w="4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-919480</wp:posOffset>
            </wp:positionV>
            <wp:extent cx="584644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6445" cy="10287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-508000</wp:posOffset>
            </wp:positionV>
            <wp:extent cx="5846445" cy="108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6445" cy="108585"/>
                    </a:xfrm>
                    <a:prstGeom prst="rect">
                      <a:avLst/>
                    </a:prstGeom>
                    <a:noFill/>
                  </pic:spPr>
                </pic:pic>
              </a:graphicData>
            </a:graphic>
          </wp:anchor>
        </w:drawing>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(1)  Below-market leases are included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26" w:right="379" w:bottom="1440" w:gutter="0" w:footer="0" w:header="0"/>
        </w:sectPr>
      </w:pPr>
    </w:p>
    <w:bookmarkStart w:id="20" w:name="page21"/>
    <w:bookmarkEnd w:id="2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Mortgage Notes Payable:</w:t>
      </w:r>
    </w:p>
    <w:p>
      <w:pPr>
        <w:spacing w:after="0" w:line="3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Mortgage notes payable at September 30, 2021 and December 31, 2020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0"/>
                <w:szCs w:val="10"/>
                <w:b w:val="1"/>
                <w:bCs w:val="1"/>
                <w:color w:val="auto"/>
              </w:rPr>
              <w:t>Carrying Amount of Mortgage Notes(1)</w:t>
            </w: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Effective Interest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gridSpan w:val="2"/>
          </w:tcPr>
          <w:p>
            <w:pPr>
              <w:ind w:left="200"/>
              <w:spacing w:after="0" w:line="78" w:lineRule="exact"/>
              <w:rPr>
                <w:sz w:val="20"/>
                <w:szCs w:val="20"/>
                <w:color w:val="auto"/>
              </w:rPr>
            </w:pPr>
            <w:r>
              <w:rPr>
                <w:rFonts w:ascii="Arial" w:cs="Arial" w:eastAsia="Arial" w:hAnsi="Arial"/>
                <w:sz w:val="8"/>
                <w:szCs w:val="8"/>
                <w:b w:val="1"/>
                <w:bCs w:val="1"/>
                <w:color w:val="auto"/>
              </w:rPr>
              <w:t>Monthly</w:t>
            </w:r>
          </w:p>
        </w:tc>
        <w:tc>
          <w:tcPr>
            <w:tcW w:w="940" w:type="dxa"/>
            <w:vAlign w:val="bottom"/>
            <w:vMerge w:val="restart"/>
          </w:tcPr>
          <w:p>
            <w:pPr>
              <w:jc w:val="right"/>
              <w:ind w:right="81"/>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90"/>
        </w:trPr>
        <w:tc>
          <w:tcPr>
            <w:tcW w:w="31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Property Pledged as Collateral</w:t>
            </w:r>
          </w:p>
        </w:tc>
        <w:tc>
          <w:tcPr>
            <w:tcW w:w="80" w:type="dxa"/>
            <w:vAlign w:val="bottom"/>
            <w:vMerge w:val="restart"/>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w w:val="89"/>
              </w:rPr>
              <w:t>September 30, 2021</w:t>
            </w:r>
          </w:p>
        </w:tc>
        <w:tc>
          <w:tcPr>
            <w:tcW w:w="8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jc w:val="right"/>
              <w:ind w:right="161"/>
              <w:spacing w:after="0"/>
              <w:rPr>
                <w:sz w:val="20"/>
                <w:szCs w:val="20"/>
                <w:color w:val="auto"/>
              </w:rPr>
            </w:pPr>
            <w:r>
              <w:rPr>
                <w:rFonts w:ascii="Arial" w:cs="Arial" w:eastAsia="Arial" w:hAnsi="Arial"/>
                <w:sz w:val="10"/>
                <w:szCs w:val="10"/>
                <w:b w:val="1"/>
                <w:bCs w:val="1"/>
                <w:color w:val="auto"/>
                <w:w w:val="93"/>
              </w:rPr>
              <w:t>December 31, 2020</w:t>
            </w:r>
          </w:p>
        </w:tc>
        <w:tc>
          <w:tcPr>
            <w:tcW w:w="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2"/>
          </w:tcPr>
          <w:p>
            <w:pPr>
              <w:ind w:left="120"/>
              <w:spacing w:after="0" w:line="90" w:lineRule="exact"/>
              <w:rPr>
                <w:sz w:val="20"/>
                <w:szCs w:val="20"/>
                <w:color w:val="auto"/>
              </w:rPr>
            </w:pPr>
            <w:r>
              <w:rPr>
                <w:rFonts w:ascii="Arial" w:cs="Arial" w:eastAsia="Arial" w:hAnsi="Arial"/>
                <w:sz w:val="10"/>
                <w:szCs w:val="10"/>
                <w:b w:val="1"/>
                <w:bCs w:val="1"/>
                <w:color w:val="auto"/>
              </w:rPr>
              <w:t>Debt</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1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Rate(2)</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w w:val="83"/>
              </w:rPr>
              <w:t>Service(3)</w:t>
            </w:r>
          </w:p>
        </w:tc>
        <w:tc>
          <w:tcPr>
            <w:tcW w:w="80" w:type="dxa"/>
            <w:vAlign w:val="bottom"/>
          </w:tcPr>
          <w:p>
            <w:pPr>
              <w:spacing w:after="0"/>
              <w:rPr>
                <w:sz w:val="10"/>
                <w:szCs w:val="10"/>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Date(4)</w:t>
            </w:r>
          </w:p>
        </w:tc>
        <w:tc>
          <w:tcPr>
            <w:tcW w:w="0" w:type="dxa"/>
            <w:vAlign w:val="bottom"/>
          </w:tcPr>
          <w:p>
            <w:pPr>
              <w:spacing w:after="0"/>
              <w:rPr>
                <w:sz w:val="1"/>
                <w:szCs w:val="1"/>
                <w:color w:val="auto"/>
              </w:rPr>
            </w:pPr>
          </w:p>
        </w:tc>
      </w:tr>
      <w:tr>
        <w:trPr>
          <w:trHeight w:val="14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Chandler Fashion Center(5)</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255,502</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255,361</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4.18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875</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Danbury Fair Mall(6)</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170,171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186,741</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5.71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Fashion District Philadelphia</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194,602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201,000</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4.00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649</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Fashion Outlets of Chicago</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299,253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299,193</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4.61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1,145</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2031</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Fashion Outlets of Niagara Falls USA</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97,420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101,463</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6.45</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727</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Freehold Raceway Mall(5)</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398,671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398,545</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3.94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Fresno Fashion Fair</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324,006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323,857</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3.67</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971</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2026</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Green Acres Commons(7)</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29,780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129,847</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3.10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Green Acres Commons - Swapped(8)</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95,000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5.60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444</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Green Acres Mall(9)</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247,537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270,570</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3.94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1,447</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Kings Plaza Shopping Center</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535,799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535,413</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3.71</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1,629</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2030</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Oaks, The</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178,071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183,108</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4.14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Pacific View</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112,351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114,909</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4.08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668</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Queens Center</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600,000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600,000</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1,744</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Santa Monica Place - Swapped(10)</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299,127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298,566</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4.58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1,082</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SanTan Village Regional Center</w:t>
            </w: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219,233</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4.34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Towne Mall</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19,447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19,815</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4.48</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Tucson La Encantada(11)</w:t>
            </w:r>
          </w:p>
        </w:tc>
        <w:tc>
          <w:tcPr>
            <w:tcW w:w="4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62,018</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4.23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153"/>
        </w:trPr>
        <w:tc>
          <w:tcPr>
            <w:tcW w:w="3240" w:type="dxa"/>
            <w:vAlign w:val="bottom"/>
            <w:gridSpan w:val="2"/>
          </w:tcPr>
          <w:p>
            <w:pPr>
              <w:ind w:left="300"/>
              <w:spacing w:after="0"/>
              <w:rPr>
                <w:sz w:val="20"/>
                <w:szCs w:val="20"/>
                <w:color w:val="auto"/>
              </w:rPr>
            </w:pPr>
            <w:r>
              <w:rPr>
                <w:rFonts w:ascii="Arial" w:cs="Arial" w:eastAsia="Arial" w:hAnsi="Arial"/>
                <w:sz w:val="12"/>
                <w:szCs w:val="12"/>
                <w:color w:val="auto"/>
              </w:rPr>
              <w:t>Victor Valley, Mall of</w:t>
            </w:r>
          </w:p>
        </w:tc>
        <w:tc>
          <w:tcPr>
            <w:tcW w:w="4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114,835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114,791</w:t>
            </w:r>
          </w:p>
        </w:tc>
        <w:tc>
          <w:tcPr>
            <w:tcW w:w="1260" w:type="dxa"/>
            <w:vAlign w:val="bottom"/>
            <w:gridSpan w:val="2"/>
          </w:tcPr>
          <w:p>
            <w:pPr>
              <w:jc w:val="right"/>
              <w:ind w:right="272"/>
              <w:spacing w:after="0"/>
              <w:rPr>
                <w:sz w:val="20"/>
                <w:szCs w:val="20"/>
                <w:color w:val="auto"/>
              </w:rPr>
            </w:pPr>
            <w:r>
              <w:rPr>
                <w:rFonts w:ascii="Arial" w:cs="Arial" w:eastAsia="Arial" w:hAnsi="Arial"/>
                <w:sz w:val="12"/>
                <w:szCs w:val="12"/>
                <w:color w:val="auto"/>
              </w:rPr>
              <w:t>4.00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380</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32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Vintage Faire Mall</w:t>
            </w:r>
          </w:p>
        </w:tc>
        <w:tc>
          <w:tcPr>
            <w:tcW w:w="4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241,715</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246,380</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2"/>
                <w:szCs w:val="12"/>
                <w:color w:val="auto"/>
              </w:rPr>
              <w:t>3.55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1,256</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4,432,587</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4,560,810</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540" w:right="80" w:hanging="278"/>
        <w:spacing w:after="0" w:line="239" w:lineRule="auto"/>
        <w:tabs>
          <w:tab w:leader="none" w:pos="535" w:val="left"/>
        </w:tabs>
        <w:numPr>
          <w:ilvl w:val="0"/>
          <w:numId w:val="11"/>
        </w:numPr>
        <w:rPr>
          <w:rFonts w:ascii="Arial" w:cs="Arial" w:eastAsia="Arial" w:hAnsi="Arial"/>
          <w:sz w:val="10"/>
          <w:szCs w:val="10"/>
          <w:color w:val="auto"/>
        </w:rPr>
      </w:pPr>
      <w:r>
        <w:rPr>
          <w:rFonts w:ascii="Arial" w:cs="Arial" w:eastAsia="Arial" w:hAnsi="Arial"/>
          <w:sz w:val="10"/>
          <w:szCs w:val="10"/>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$13,640 and $14,085 at September 30, 2021 and December 31, 2020, respectively.</w:t>
      </w:r>
    </w:p>
    <w:p>
      <w:pPr>
        <w:spacing w:after="0" w:line="76" w:lineRule="exact"/>
        <w:rPr>
          <w:rFonts w:ascii="Arial" w:cs="Arial" w:eastAsia="Arial" w:hAnsi="Arial"/>
          <w:sz w:val="10"/>
          <w:szCs w:val="10"/>
          <w:color w:val="auto"/>
        </w:rPr>
      </w:pPr>
    </w:p>
    <w:p>
      <w:pPr>
        <w:ind w:left="520" w:hanging="258"/>
        <w:spacing w:after="0"/>
        <w:tabs>
          <w:tab w:leader="none" w:pos="5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The interest rate disclosed represents the effective interest rate, including the impact of debt premium and deferred finance costs.</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The monthly debt service represents the payment of principal and interest.</w:t>
      </w:r>
    </w:p>
    <w:p>
      <w:pPr>
        <w:spacing w:after="0" w:line="92" w:lineRule="exact"/>
        <w:rPr>
          <w:rFonts w:ascii="Arial" w:cs="Arial" w:eastAsia="Arial" w:hAnsi="Arial"/>
          <w:sz w:val="10"/>
          <w:szCs w:val="10"/>
          <w:color w:val="auto"/>
        </w:rPr>
      </w:pPr>
    </w:p>
    <w:p>
      <w:pPr>
        <w:ind w:left="520" w:hanging="258"/>
        <w:spacing w:after="0"/>
        <w:tabs>
          <w:tab w:leader="none" w:pos="520" w:val="left"/>
        </w:tabs>
        <w:numPr>
          <w:ilvl w:val="0"/>
          <w:numId w:val="11"/>
        </w:numPr>
        <w:rPr>
          <w:rFonts w:ascii="Arial" w:cs="Arial" w:eastAsia="Arial" w:hAnsi="Arial"/>
          <w:sz w:val="8"/>
          <w:szCs w:val="8"/>
          <w:color w:val="auto"/>
        </w:rPr>
      </w:pPr>
      <w:r>
        <w:rPr>
          <w:rFonts w:ascii="Arial" w:cs="Arial" w:eastAsia="Arial" w:hAnsi="Arial"/>
          <w:sz w:val="8"/>
          <w:szCs w:val="8"/>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6" w:lineRule="exact"/>
        <w:rPr>
          <w:rFonts w:ascii="Arial" w:cs="Arial" w:eastAsia="Arial" w:hAnsi="Arial"/>
          <w:sz w:val="8"/>
          <w:szCs w:val="8"/>
          <w:color w:val="auto"/>
        </w:rPr>
      </w:pPr>
    </w:p>
    <w:p>
      <w:pPr>
        <w:ind w:left="520" w:hanging="258"/>
        <w:spacing w:after="0"/>
        <w:tabs>
          <w:tab w:leader="none" w:pos="5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A 49.9% interest in the loan has been assumed by a third party in connection with the Company's joint venture in Chandler Freehold (See Note 12—Financing Arrangement).</w:t>
      </w:r>
    </w:p>
    <w:p>
      <w:pPr>
        <w:spacing w:after="0" w:line="92" w:lineRule="exact"/>
        <w:rPr>
          <w:rFonts w:ascii="Arial" w:cs="Arial" w:eastAsia="Arial" w:hAnsi="Arial"/>
          <w:sz w:val="10"/>
          <w:szCs w:val="10"/>
          <w:color w:val="auto"/>
        </w:rPr>
      </w:pPr>
    </w:p>
    <w:p>
      <w:pPr>
        <w:ind w:left="540" w:right="140" w:hanging="278"/>
        <w:spacing w:after="0" w:line="358" w:lineRule="auto"/>
        <w:tabs>
          <w:tab w:leader="none" w:pos="535" w:val="left"/>
        </w:tabs>
        <w:numPr>
          <w:ilvl w:val="0"/>
          <w:numId w:val="11"/>
        </w:numPr>
        <w:rPr>
          <w:rFonts w:ascii="Arial" w:cs="Arial" w:eastAsia="Arial" w:hAnsi="Arial"/>
          <w:sz w:val="8"/>
          <w:szCs w:val="8"/>
          <w:color w:val="auto"/>
        </w:rPr>
      </w:pPr>
      <w:r>
        <w:rPr>
          <w:rFonts w:ascii="Arial" w:cs="Arial" w:eastAsia="Arial" w:hAnsi="Arial"/>
          <w:sz w:val="8"/>
          <w:szCs w:val="8"/>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w:t>
      </w:r>
    </w:p>
    <w:p>
      <w:pPr>
        <w:spacing w:after="0" w:line="40" w:lineRule="exact"/>
        <w:rPr>
          <w:rFonts w:ascii="Arial" w:cs="Arial" w:eastAsia="Arial" w:hAnsi="Arial"/>
          <w:sz w:val="8"/>
          <w:szCs w:val="8"/>
          <w:color w:val="auto"/>
        </w:rPr>
      </w:pPr>
    </w:p>
    <w:p>
      <w:pPr>
        <w:ind w:left="520" w:hanging="258"/>
        <w:spacing w:after="0"/>
        <w:tabs>
          <w:tab w:leader="none" w:pos="5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On March 25, 2021, the Company closed on a two-year extension of the loan to March 29, 2023. The interest rate is LIBOR plus 2.75% and the Company repaid $4,680 of the outstanding loan balance at closing.</w:t>
      </w:r>
    </w:p>
    <w:p>
      <w:pPr>
        <w:spacing w:after="0" w:line="83" w:lineRule="exact"/>
        <w:rPr>
          <w:rFonts w:ascii="Arial" w:cs="Arial" w:eastAsia="Arial" w:hAnsi="Arial"/>
          <w:sz w:val="10"/>
          <w:szCs w:val="10"/>
          <w:color w:val="auto"/>
        </w:rPr>
      </w:pPr>
    </w:p>
    <w:p>
      <w:pPr>
        <w:ind w:left="540" w:hanging="278"/>
        <w:spacing w:after="0" w:line="222" w:lineRule="auto"/>
        <w:tabs>
          <w:tab w:leader="none" w:pos="535" w:val="left"/>
        </w:tabs>
        <w:numPr>
          <w:ilvl w:val="0"/>
          <w:numId w:val="11"/>
        </w:numPr>
        <w:rPr>
          <w:rFonts w:ascii="Arial" w:cs="Arial" w:eastAsia="Arial" w:hAnsi="Arial"/>
          <w:sz w:val="10"/>
          <w:szCs w:val="10"/>
          <w:color w:val="auto"/>
        </w:rPr>
      </w:pPr>
      <w:r>
        <w:rPr>
          <w:rFonts w:ascii="Arial" w:cs="Arial" w:eastAsia="Arial" w:hAnsi="Arial"/>
          <w:sz w:val="10"/>
          <w:szCs w:val="10"/>
          <w:color w:val="auto"/>
        </w:rPr>
        <w:t>The loan includes an interest rate swap that effectively converts $95,000 of the outstanding balance to fixed rate debt through September 30, 2021, the expiration of the interest rate swap. This swap was previously hedged against the Company's prior revolving line of credit that was terminated in April 2021. The Company did not renew the swaps that expired on September 30, 2021 and, as a result, on October 1, 2021, this loan reverted back to a floating rate loan with an effective interest rate of 3.10% as of such date (See Note 5—Derivative Instruments and Hedging Activities).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226" w:right="439" w:bottom="1440" w:gutter="0" w:footer="0" w:header="0"/>
        </w:sectPr>
      </w:pPr>
    </w:p>
    <w:bookmarkStart w:id="21" w:name="page22"/>
    <w:bookmarkEnd w:id="21"/>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ind w:left="188" w:hanging="188"/>
        <w:spacing w:after="0"/>
        <w:tabs>
          <w:tab w:leader="none" w:pos="18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Mortgage Notes Payable: (Continued)</w:t>
      </w:r>
    </w:p>
    <w:p>
      <w:pPr>
        <w:spacing w:after="0" w:line="357" w:lineRule="exact"/>
        <w:rPr>
          <w:rFonts w:ascii="Arial" w:cs="Arial" w:eastAsia="Arial" w:hAnsi="Arial"/>
          <w:sz w:val="12"/>
          <w:szCs w:val="12"/>
          <w:b w:val="1"/>
          <w:bCs w:val="1"/>
          <w:color w:val="auto"/>
        </w:rPr>
      </w:pPr>
    </w:p>
    <w:p>
      <w:pPr>
        <w:ind w:left="548" w:right="200" w:hanging="278"/>
        <w:spacing w:after="0" w:line="239" w:lineRule="auto"/>
        <w:tabs>
          <w:tab w:leader="none" w:pos="543" w:val="left"/>
        </w:tabs>
        <w:numPr>
          <w:ilvl w:val="1"/>
          <w:numId w:val="12"/>
        </w:numPr>
        <w:rPr>
          <w:rFonts w:ascii="Arial" w:cs="Arial" w:eastAsia="Arial" w:hAnsi="Arial"/>
          <w:sz w:val="10"/>
          <w:szCs w:val="10"/>
          <w:color w:val="auto"/>
        </w:rPr>
      </w:pPr>
      <w:r>
        <w:rPr>
          <w:rFonts w:ascii="Arial" w:cs="Arial" w:eastAsia="Arial" w:hAnsi="Arial"/>
          <w:sz w:val="10"/>
          <w:szCs w:val="10"/>
          <w:color w:val="auto"/>
        </w:rPr>
        <w:t>On January 22, 2021, the Company closed on a one-year extension of the loan to February 3, 2022, which also includes a one-year extension option to February 3, 2023. The interest rate remained unchanged, and the Company repaid $9,000 of the outstanding loan balance at closing.</w:t>
      </w:r>
    </w:p>
    <w:p>
      <w:pPr>
        <w:spacing w:after="0" w:line="85" w:lineRule="exact"/>
        <w:rPr>
          <w:rFonts w:ascii="Arial" w:cs="Arial" w:eastAsia="Arial" w:hAnsi="Arial"/>
          <w:sz w:val="10"/>
          <w:szCs w:val="10"/>
          <w:color w:val="auto"/>
        </w:rPr>
      </w:pPr>
    </w:p>
    <w:p>
      <w:pPr>
        <w:ind w:left="548" w:right="40" w:hanging="278"/>
        <w:spacing w:after="0" w:line="222" w:lineRule="auto"/>
        <w:tabs>
          <w:tab w:leader="none" w:pos="546" w:val="left"/>
        </w:tabs>
        <w:numPr>
          <w:ilvl w:val="1"/>
          <w:numId w:val="12"/>
        </w:numPr>
        <w:rPr>
          <w:rFonts w:ascii="Arial" w:cs="Arial" w:eastAsia="Arial" w:hAnsi="Arial"/>
          <w:sz w:val="10"/>
          <w:szCs w:val="10"/>
          <w:color w:val="auto"/>
        </w:rPr>
      </w:pPr>
      <w:r>
        <w:rPr>
          <w:rFonts w:ascii="Arial" w:cs="Arial" w:eastAsia="Arial" w:hAnsi="Arial"/>
          <w:sz w:val="10"/>
          <w:szCs w:val="10"/>
          <w:color w:val="auto"/>
        </w:rPr>
        <w:t>The loan includes an interest rate swap that effectively converts $300,000 of the outstanding balance to fixed rate debt through September 30, 2021, the expiration of the interest rate swap. This swap was previously hedged against the Company's prior revolving line of credit that was terminated in April 2021. The Company did not renew the swaps that expired on September 30, 2021 and, as a result, on October 1, 2021, this loan reverted back to a floating rate loan with an effective interest rate of 1.81% as of such date (See Note 5—Derivative Instruments and Hedging Activities).</w:t>
      </w:r>
    </w:p>
    <w:p>
      <w:pPr>
        <w:spacing w:after="0" w:line="139" w:lineRule="exact"/>
        <w:rPr>
          <w:rFonts w:ascii="Arial" w:cs="Arial" w:eastAsia="Arial" w:hAnsi="Arial"/>
          <w:sz w:val="10"/>
          <w:szCs w:val="10"/>
          <w:color w:val="auto"/>
        </w:rPr>
      </w:pPr>
    </w:p>
    <w:p>
      <w:pPr>
        <w:ind w:left="528" w:hanging="258"/>
        <w:spacing w:after="0"/>
        <w:tabs>
          <w:tab w:leader="none" w:pos="528" w:val="left"/>
        </w:tabs>
        <w:numPr>
          <w:ilvl w:val="1"/>
          <w:numId w:val="12"/>
        </w:numPr>
        <w:rPr>
          <w:rFonts w:ascii="Arial" w:cs="Arial" w:eastAsia="Arial" w:hAnsi="Arial"/>
          <w:sz w:val="10"/>
          <w:szCs w:val="10"/>
          <w:color w:val="auto"/>
        </w:rPr>
      </w:pPr>
      <w:r>
        <w:rPr>
          <w:rFonts w:ascii="Arial" w:cs="Arial" w:eastAsia="Arial" w:hAnsi="Arial"/>
          <w:sz w:val="10"/>
          <w:szCs w:val="10"/>
          <w:color w:val="auto"/>
        </w:rPr>
        <w:t>On September 17, 2021, the Company sold Tucson La Encantada and the mortgage payable was paid off in full (See Note 15—Dispositions).</w:t>
      </w:r>
    </w:p>
    <w:p>
      <w:pPr>
        <w:spacing w:after="0" w:line="87" w:lineRule="exact"/>
        <w:rPr>
          <w:sz w:val="20"/>
          <w:szCs w:val="20"/>
          <w:color w:val="auto"/>
        </w:rPr>
      </w:pPr>
    </w:p>
    <w:p>
      <w:pPr>
        <w:ind w:left="288"/>
        <w:spacing w:after="0"/>
        <w:rPr>
          <w:sz w:val="20"/>
          <w:szCs w:val="20"/>
          <w:color w:val="auto"/>
        </w:rPr>
      </w:pPr>
      <w:r>
        <w:rPr>
          <w:rFonts w:ascii="Arial" w:cs="Arial" w:eastAsia="Arial" w:hAnsi="Arial"/>
          <w:sz w:val="12"/>
          <w:szCs w:val="12"/>
          <w:color w:val="auto"/>
        </w:rPr>
        <w:t>Most of the mortgage loan agreements contain a prepayment penalty provision for the early extinguishment of the debt.</w:t>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Company's mortgage notes payable are secured by the properties on which they are placed and are non-recourse to the Company.</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Company expects that all loan maturities during the next twelve months will be refinanced, restructured, extended and/or paid off from the Company's line of credit or with cash on hand.</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0"/>
          <w:szCs w:val="10"/>
          <w:color w:val="auto"/>
        </w:rPr>
        <w:t>Total interest expense capitalized was $3,102 and $1,313 for the three months ended September 30, 2021 and 2020, respectively, and $6,812 and $3,969 for the nine months ended September 30, 2021 and 2020, respectively.</w:t>
      </w:r>
    </w:p>
    <w:p>
      <w:pPr>
        <w:spacing w:after="0" w:line="119" w:lineRule="exact"/>
        <w:rPr>
          <w:sz w:val="20"/>
          <w:szCs w:val="20"/>
          <w:color w:val="auto"/>
        </w:rPr>
      </w:pPr>
    </w:p>
    <w:p>
      <w:pPr>
        <w:ind w:left="8" w:right="100" w:firstLine="297"/>
        <w:spacing w:after="0" w:line="323" w:lineRule="auto"/>
        <w:rPr>
          <w:sz w:val="20"/>
          <w:szCs w:val="20"/>
          <w:color w:val="auto"/>
        </w:rPr>
      </w:pPr>
      <w:r>
        <w:rPr>
          <w:rFonts w:ascii="Arial" w:cs="Arial" w:eastAsia="Arial" w:hAnsi="Arial"/>
          <w:sz w:val="11"/>
          <w:szCs w:val="11"/>
          <w:color w:val="auto"/>
        </w:rPr>
        <w:t>The estimated fair value (Level 2 measurement) of mortgage notes payable at September 30, 2021 and December 31, 2020 was $4,349,238 and $4,459,797,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Bank and Other Notes Payable:</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Bank and other notes payable consist of the following:</w:t>
      </w:r>
    </w:p>
    <w:p>
      <w:pPr>
        <w:spacing w:after="0" w:line="96"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Credit Facility:</w:t>
      </w:r>
    </w:p>
    <w:p>
      <w:pPr>
        <w:spacing w:after="0" w:line="105" w:lineRule="exact"/>
        <w:rPr>
          <w:sz w:val="20"/>
          <w:szCs w:val="20"/>
          <w:color w:val="auto"/>
        </w:rPr>
      </w:pPr>
    </w:p>
    <w:p>
      <w:pPr>
        <w:ind w:left="288"/>
        <w:spacing w:after="0"/>
        <w:rPr>
          <w:sz w:val="20"/>
          <w:szCs w:val="20"/>
          <w:color w:val="auto"/>
        </w:rPr>
      </w:pPr>
      <w:r>
        <w:rPr>
          <w:rFonts w:ascii="Arial" w:cs="Arial" w:eastAsia="Arial" w:hAnsi="Arial"/>
          <w:sz w:val="11"/>
          <w:szCs w:val="11"/>
          <w:color w:val="auto"/>
        </w:rPr>
        <w:t>On April 14, 2021, the Company terminated its existing credit facility and entered into a new credit agreement, which provides for an aggregate $700,000 facility, including a $525,000 revolving loan facility that matures on April</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14, 2023, with a one-year extension option, and a $175,000 term loan facility that matures on April 14, 2024. The revolving loan facility can be expanded up to $800,000, subject to receipt of lender commitments and other conditions.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Concurrently with entering into the new credit agreement, the Company drew the $175,000 term loan facility in its entirety and drew $320,000 of the amount available under the revolving loan facility. Simultaneously with entering into</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new credit agreement, the Company repaid $985,000 of debt, which included terminating and repaying all amounts outstanding under its prior revolving line of credit facility. All obligations under the facility are guaranteed</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unconditionally by the Company and are secured in the form of mortgages on certain wholly-owned assets and pledges of equity interests held by certain of the Company’s subsidiaries. The new credit facility bears interest at LIBOR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plus a spread of 2.25% to 3.25% depending on the Company’s overall leverage level. As of September 30, 2021, the borrowing rate was LIBOR plus 2.25%. As of September 30, 2021, borrowings under the facility were $130,000, less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unamortized deferred finance costs of $15,748, for the revolving loan facility at a total interest rate of 3.69%. As of September 30, 2021, the Company's availability under the revolving loan facility for additional borrowings was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$394,719. On September 20, 2021, the Company paid off the remaining balance outstanding on the term loan facility with proceeds from the sale of Tucson La Encantada (See Note 15—Dispositions). The estimated fair value (Level 2</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measurement) of borrowings under the credit facility at September 30, 2021 was $129,937 for the revolving loan facility based on a present value model using a credit interest rate spread offered to the Company for comparable debt.</w:t>
      </w:r>
    </w:p>
    <w:p>
      <w:pPr>
        <w:spacing w:after="0" w:line="119" w:lineRule="exact"/>
        <w:rPr>
          <w:sz w:val="20"/>
          <w:szCs w:val="20"/>
          <w:color w:val="auto"/>
        </w:rPr>
      </w:pPr>
    </w:p>
    <w:p>
      <w:pPr>
        <w:ind w:left="8" w:right="20" w:firstLine="297"/>
        <w:spacing w:after="0" w:line="259" w:lineRule="auto"/>
        <w:rPr>
          <w:sz w:val="20"/>
          <w:szCs w:val="20"/>
          <w:color w:val="auto"/>
        </w:rPr>
      </w:pPr>
      <w:r>
        <w:rPr>
          <w:rFonts w:ascii="Arial" w:cs="Arial" w:eastAsia="Arial" w:hAnsi="Arial"/>
          <w:sz w:val="12"/>
          <w:szCs w:val="12"/>
          <w:color w:val="auto"/>
        </w:rPr>
        <w:t>The Company had a $1,500,000 revolving line of credit that bore interest at LIBOR plus a spread of 1.30% to 1.90%, depending on the Company's overall leverage level, and was to mature on July 6, 2020. On April 8, 2020, the Company exercised its option to extend the maturity of the facility to July 6, 2021. The line of credit could have been expanded, depending on certain conditions, up to a total facility of $2,000,000. Based on the Company's leverage level as of December 31, 2020, the borrowing rate on the facility was LIBOR plus 1.65%. On April 14, 2021, the Company repaid the $985,000 of outstanding debt and terminated this credit facility. The Company had four interest rate swap agreements that effectively</w:t>
      </w:r>
    </w:p>
    <w:p>
      <w:pPr>
        <w:spacing w:after="0" w:line="200" w:lineRule="exact"/>
        <w:rPr>
          <w:sz w:val="20"/>
          <w:szCs w:val="20"/>
          <w:color w:val="auto"/>
        </w:rPr>
      </w:pPr>
    </w:p>
    <w:p>
      <w:pPr>
        <w:spacing w:after="0" w:line="26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226" w:right="339" w:bottom="1440" w:gutter="0" w:footer="0" w:header="0"/>
        </w:sectPr>
      </w:pPr>
    </w:p>
    <w:bookmarkStart w:id="22" w:name="page23"/>
    <w:bookmarkEnd w:id="2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Bank and Other Notes Payable: (Continued)</w:t>
      </w:r>
    </w:p>
    <w:p>
      <w:pPr>
        <w:spacing w:after="0" w:line="361"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converted a total of $400,000 of the outstanding balance from floating rate debt of LIBOR plus 1.65% to fixed rate debt of 4.50% until September 30, 2021. These swaps are now hedged against the Santa Monica Place floating rate loan and a portion of the Green Acres Commons floating rate loan effectively converting these loans to fixed rate debt through September 30, 2021. The Company did not renew the swaps that expired on September 30, 2021 and, as a result, on October 1, 2021, these loans reverted back to floating interest rate loans (See Note 5 – Derivative Instruments and Hedging Activities and Note 10 – Mortgage Notes Payable). As of December 31, 2020, borrowings under the prior line of credit was $1,480,000 less unamortized deferred finance costs of $2,460 at a total interest rate of 2.73%. As of December 31, 2020, the Company's availability under the prior line of credit for additional borrowings was $19,719. The estimated fair value (Level 2 measurement) of borrowings under the line of credit at December 31, 2020 was $1,485,598 based on a present value model using a credit interest rate spread offered to the Company for comparable debt.</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September 30, 2021 and December 31, 2020, the Company was in compliance with all applicable financial loan covenants.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Financing Arrangement:</w:t>
      </w:r>
    </w:p>
    <w:p>
      <w:pPr>
        <w:spacing w:after="0" w:line="100" w:lineRule="exact"/>
        <w:rPr>
          <w:sz w:val="20"/>
          <w:szCs w:val="20"/>
          <w:color w:val="auto"/>
        </w:rPr>
      </w:pPr>
    </w:p>
    <w:p>
      <w:pPr>
        <w:ind w:right="60" w:firstLine="297"/>
        <w:spacing w:after="0" w:line="281" w:lineRule="auto"/>
        <w:rPr>
          <w:sz w:val="20"/>
          <w:szCs w:val="20"/>
          <w:color w:val="auto"/>
        </w:rPr>
      </w:pPr>
      <w:r>
        <w:rPr>
          <w:rFonts w:ascii="Arial" w:cs="Arial" w:eastAsia="Arial" w:hAnsi="Arial"/>
          <w:sz w:val="11"/>
          <w:szCs w:val="11"/>
          <w:color w:val="auto"/>
        </w:rPr>
        <w:t>On September 30, 2009, the Company formed a joint venture whereby a third party acquired a 49.9% interest in Chandler Fashion Center, a 1,318,000 square foot regional shopping center in Chandler, Arizona, and Freehold Raceway Mall, a 1,552,000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September 30, 2021 and December 31, 2020 was based upon a terminal capitalization rate of approximately 5.75% and 5.5%, respectively, a discount rate of approximately 7.25% and 7.0%, respectively,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During the three and nine months ended September 30, 2021 and 2020, the Company incurred interest expense (income) in connection with the financing arrangement as follows:</w:t>
      </w:r>
    </w:p>
    <w:p>
      <w:pPr>
        <w:spacing w:after="0" w:line="200" w:lineRule="exact"/>
        <w:rPr>
          <w:sz w:val="20"/>
          <w:szCs w:val="20"/>
          <w:color w:val="auto"/>
        </w:rPr>
      </w:pP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320" w:type="dxa"/>
            <w:vAlign w:val="bottom"/>
            <w:gridSpan w:val="5"/>
          </w:tcPr>
          <w:p>
            <w:pPr>
              <w:ind w:left="120"/>
              <w:spacing w:after="0"/>
              <w:rPr>
                <w:sz w:val="20"/>
                <w:szCs w:val="20"/>
                <w:color w:val="auto"/>
              </w:rPr>
            </w:pPr>
            <w:r>
              <w:rPr>
                <w:rFonts w:ascii="Arial" w:cs="Arial" w:eastAsia="Arial" w:hAnsi="Arial"/>
                <w:sz w:val="10"/>
                <w:szCs w:val="10"/>
                <w:b w:val="1"/>
                <w:bCs w:val="1"/>
                <w:color w:val="auto"/>
              </w:rPr>
              <w:t>For the Three Months Ended September 30,</w:t>
            </w:r>
          </w:p>
        </w:tc>
        <w:tc>
          <w:tcPr>
            <w:tcW w:w="440" w:type="dxa"/>
            <w:vAlign w:val="bottom"/>
          </w:tcPr>
          <w:p>
            <w:pPr>
              <w:spacing w:after="0"/>
              <w:rPr>
                <w:sz w:val="11"/>
                <w:szCs w:val="11"/>
                <w:color w:val="auto"/>
              </w:rPr>
            </w:pPr>
          </w:p>
        </w:tc>
        <w:tc>
          <w:tcPr>
            <w:tcW w:w="2040" w:type="dxa"/>
            <w:vAlign w:val="bottom"/>
            <w:gridSpan w:val="4"/>
          </w:tcPr>
          <w:p>
            <w:pPr>
              <w:jc w:val="right"/>
              <w:ind w:right="162"/>
              <w:spacing w:after="0"/>
              <w:rPr>
                <w:sz w:val="20"/>
                <w:szCs w:val="20"/>
                <w:color w:val="auto"/>
              </w:rPr>
            </w:pPr>
            <w:r>
              <w:rPr>
                <w:rFonts w:ascii="Arial" w:cs="Arial" w:eastAsia="Arial" w:hAnsi="Arial"/>
                <w:sz w:val="10"/>
                <w:szCs w:val="10"/>
                <w:b w:val="1"/>
                <w:bCs w:val="1"/>
                <w:color w:val="auto"/>
                <w:w w:val="89"/>
              </w:rPr>
              <w:t>For the Nine Months Ended September 30,</w:t>
            </w:r>
          </w:p>
        </w:tc>
      </w:tr>
      <w:tr>
        <w:trPr>
          <w:trHeight w:val="118"/>
        </w:trPr>
        <w:tc>
          <w:tcPr>
            <w:tcW w:w="534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2020</w:t>
            </w:r>
          </w:p>
        </w:tc>
      </w:tr>
      <w:tr>
        <w:trPr>
          <w:trHeight w:val="143"/>
        </w:trPr>
        <w:tc>
          <w:tcPr>
            <w:tcW w:w="5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Distributions equal to the partner's share of net (loss) income</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w:t>
            </w:r>
          </w:p>
        </w:tc>
      </w:tr>
      <w:tr>
        <w:trPr>
          <w:trHeight w:val="153"/>
        </w:trPr>
        <w:tc>
          <w:tcPr>
            <w:tcW w:w="5340" w:type="dxa"/>
            <w:vAlign w:val="bottom"/>
          </w:tcPr>
          <w:p>
            <w:pPr>
              <w:ind w:left="320"/>
              <w:spacing w:after="0"/>
              <w:rPr>
                <w:sz w:val="20"/>
                <w:szCs w:val="20"/>
                <w:color w:val="auto"/>
              </w:rPr>
            </w:pPr>
            <w:r>
              <w:rPr>
                <w:rFonts w:ascii="Arial" w:cs="Arial" w:eastAsia="Arial" w:hAnsi="Arial"/>
                <w:sz w:val="12"/>
                <w:szCs w:val="12"/>
                <w:color w:val="auto"/>
              </w:rPr>
              <w:t>Distributions in excess of the partner's share of net income</w:t>
            </w:r>
          </w:p>
        </w:tc>
        <w:tc>
          <w:tcPr>
            <w:tcW w:w="4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3,583</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12,583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3,356</w:t>
            </w:r>
          </w:p>
        </w:tc>
      </w:tr>
      <w:tr>
        <w:trPr>
          <w:trHeight w:val="153"/>
        </w:trPr>
        <w:tc>
          <w:tcPr>
            <w:tcW w:w="53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Adjustment to fair value of financing arrangement obligation</w:t>
            </w:r>
          </w:p>
        </w:tc>
        <w:tc>
          <w:tcPr>
            <w:tcW w:w="4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(10,306)</w:t>
            </w:r>
          </w:p>
        </w:tc>
        <w:tc>
          <w:tcPr>
            <w:tcW w:w="1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(15,502)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(12,608)</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(96,793)</w:t>
            </w:r>
          </w:p>
        </w:tc>
      </w:tr>
      <w:tr>
        <w:trPr>
          <w:trHeight w:val="142"/>
        </w:trPr>
        <w:tc>
          <w:tcPr>
            <w:tcW w:w="5340" w:type="dxa"/>
            <w:vAlign w:val="bottom"/>
          </w:tcPr>
          <w:p>
            <w:pPr>
              <w:spacing w:after="0"/>
              <w:rPr>
                <w:sz w:val="12"/>
                <w:szCs w:val="12"/>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(7,708)</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(15,502)</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(92,552)</w:t>
            </w: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Noncontrolling Interests:</w:t>
      </w:r>
    </w:p>
    <w:p>
      <w:pPr>
        <w:spacing w:after="0" w:line="100"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and 93% ownership interest in the Operating Partnership as of September 30, 2021 and December 31, 2020, respectively. The remaining 4% and 7% limited partnership interest as of September 30, 2021 and December 31, 2020, respectively, was owned by certain of the Company's executive officers and directors, certain of their affiliates and other third party investors in the form of OP Units. The OP Units may be redeemed for shares of stock or cash, at the Company's option. The redemption value for each OP</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26"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Noncontrolling Interests: (Continued)</w:t>
      </w:r>
    </w:p>
    <w:p>
      <w:pPr>
        <w:spacing w:after="0" w:line="36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2021 and December 31, 2020, the aggregate redemption value of the then-outstanding OP Units not owned by the Company was $171,749 and $117,602, respectively.</w:t>
      </w:r>
    </w:p>
    <w:p>
      <w:pPr>
        <w:spacing w:after="0" w:line="77"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Stockholders' Equity:</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Stock Dividend</w:t>
      </w:r>
    </w:p>
    <w:p>
      <w:pPr>
        <w:spacing w:after="0" w:line="105" w:lineRule="exact"/>
        <w:rPr>
          <w:sz w:val="20"/>
          <w:szCs w:val="20"/>
          <w:color w:val="auto"/>
        </w:rPr>
      </w:pPr>
    </w:p>
    <w:p>
      <w:pPr>
        <w:jc w:val="both"/>
        <w:ind w:firstLine="297"/>
        <w:spacing w:after="0" w:line="263" w:lineRule="auto"/>
        <w:rPr>
          <w:sz w:val="20"/>
          <w:szCs w:val="20"/>
          <w:color w:val="auto"/>
        </w:rPr>
      </w:pPr>
      <w:r>
        <w:rPr>
          <w:rFonts w:ascii="Arial" w:cs="Arial" w:eastAsia="Arial" w:hAnsi="Arial"/>
          <w:sz w:val="12"/>
          <w:szCs w:val="12"/>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68"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79"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The Company accounted for the stock portion of its distribution as a stock issuance as opposed to a stock dividend. Accordingly, the impact of the shares issued is reflected in the Company's earnings per share calculation on a prospective basis.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Stock Offerings</w:t>
      </w:r>
    </w:p>
    <w:p>
      <w:pPr>
        <w:spacing w:after="0" w:line="96" w:lineRule="exact"/>
        <w:rPr>
          <w:sz w:val="20"/>
          <w:szCs w:val="20"/>
          <w:color w:val="auto"/>
        </w:rPr>
      </w:pPr>
    </w:p>
    <w:p>
      <w:pPr>
        <w:jc w:val="both"/>
        <w:ind w:right="240" w:firstLine="297"/>
        <w:spacing w:after="0" w:line="298" w:lineRule="auto"/>
        <w:rPr>
          <w:sz w:val="20"/>
          <w:szCs w:val="20"/>
          <w:color w:val="auto"/>
        </w:rPr>
      </w:pPr>
      <w:r>
        <w:rPr>
          <w:rFonts w:ascii="Arial" w:cs="Arial" w:eastAsia="Arial" w:hAnsi="Arial"/>
          <w:sz w:val="11"/>
          <w:szCs w:val="11"/>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w:t>
      </w:r>
    </w:p>
    <w:p>
      <w:pPr>
        <w:spacing w:after="0" w:line="60" w:lineRule="exact"/>
        <w:rPr>
          <w:sz w:val="20"/>
          <w:szCs w:val="20"/>
          <w:color w:val="auto"/>
        </w:rPr>
      </w:pPr>
    </w:p>
    <w:p>
      <w:pPr>
        <w:ind w:right="140" w:firstLine="297"/>
        <w:spacing w:after="0" w:line="326" w:lineRule="auto"/>
        <w:rPr>
          <w:sz w:val="20"/>
          <w:szCs w:val="20"/>
          <w:color w:val="auto"/>
        </w:rPr>
      </w:pPr>
      <w:r>
        <w:rPr>
          <w:rFonts w:ascii="Arial" w:cs="Arial" w:eastAsia="Arial" w:hAnsi="Arial"/>
          <w:sz w:val="10"/>
          <w:szCs w:val="10"/>
          <w:color w:val="auto"/>
        </w:rPr>
        <w:t>During the nine months ended September 30, 2021, the Company issued 62,029,777 shares of common stock under the ATM Programs for aggregate gross proceeds of $847,875 and net proceeds of $829,874 after commissions and other transaction costs. The proceeds from the sales under the ATM Programs were used to pay down the Company’s line of credit (See Note 11 – Bank and Other Notes Payable). As of September 30, 2021, $152,125 remained available to be sold under the March 2021 ATM Program. The February 2021 ATM Program was fully utilized as of June 30, 2021 and is no longer active.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Stock Buyback Program</w:t>
      </w:r>
    </w:p>
    <w:p>
      <w:pPr>
        <w:spacing w:after="0" w:line="96"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On February 12, 2017, the Company's Board of Directors authorized the repurchase of up to $500,000 of its outstanding common shares as market conditions and the Company’s liquidity warrant. Repurchases may be made through open market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24" w:name="page25"/>
    <w:bookmarkEnd w:id="2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Stockholders' Equity: (Continued)</w:t>
      </w:r>
    </w:p>
    <w:p>
      <w:pPr>
        <w:spacing w:after="0" w:line="361"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were no repurchases under the Stock Buyback Program during the nine months ended September 30, 2021 or 2020.</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Dispositions:</w:t>
      </w:r>
    </w:p>
    <w:p>
      <w:pPr>
        <w:spacing w:after="0" w:line="100"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2"/>
          <w:szCs w:val="12"/>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77"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On September 17, 2021, the Company sold Tucson La Encantada in Tucson, Arizona for $165,250, resulting in a gain on sale of assets of approximately $117,242. The Company used the net cash proceeds of $100,142 to pay down debt.</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and Contingencies:</w:t>
      </w:r>
    </w:p>
    <w:p>
      <w:pPr>
        <w:spacing w:after="0" w:line="100"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As of September 30, 2021, the Company was contingently liable for $40,915 in letters of credit guaranteeing performance by the Company of certain obligations relating to the Centers. As of September 30, 2021, $40,600 of these letters of credit were secured by restricted cash. The Company does not believe that these letters of credit will result in a liability to the Company.</w:t>
      </w:r>
    </w:p>
    <w:p>
      <w:pPr>
        <w:spacing w:after="0" w:line="70" w:lineRule="exact"/>
        <w:rPr>
          <w:sz w:val="20"/>
          <w:szCs w:val="20"/>
          <w:color w:val="auto"/>
        </w:rPr>
      </w:pPr>
    </w:p>
    <w:p>
      <w:pPr>
        <w:ind w:right="280" w:firstLine="297"/>
        <w:spacing w:after="0" w:line="276" w:lineRule="auto"/>
        <w:rPr>
          <w:sz w:val="20"/>
          <w:szCs w:val="20"/>
          <w:color w:val="auto"/>
        </w:rPr>
      </w:pPr>
      <w:r>
        <w:rPr>
          <w:rFonts w:ascii="Arial" w:cs="Arial" w:eastAsia="Arial" w:hAnsi="Arial"/>
          <w:sz w:val="12"/>
          <w:szCs w:val="12"/>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September 30, 2021, the Company had $2,920 in outstanding obligations, which it believes will be settled in the next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Related Party Transactions:</w:t>
      </w:r>
    </w:p>
    <w:p>
      <w:pPr>
        <w:spacing w:after="0" w:line="100" w:lineRule="exact"/>
        <w:rPr>
          <w:sz w:val="20"/>
          <w:szCs w:val="20"/>
          <w:color w:val="auto"/>
        </w:rPr>
      </w:pPr>
    </w:p>
    <w:p>
      <w:pPr>
        <w:ind w:right="100" w:firstLine="297"/>
        <w:spacing w:after="0" w:line="276" w:lineRule="auto"/>
        <w:rPr>
          <w:sz w:val="20"/>
          <w:szCs w:val="20"/>
          <w:color w:val="auto"/>
        </w:rPr>
      </w:pPr>
      <w:r>
        <w:rPr>
          <w:rFonts w:ascii="Arial" w:cs="Arial" w:eastAsia="Arial" w:hAnsi="Arial"/>
          <w:sz w:val="12"/>
          <w:szCs w:val="12"/>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are fees charged to unconsolidated joint ventures:</w:t>
      </w:r>
    </w:p>
    <w:p>
      <w:pPr>
        <w:spacing w:after="0" w:line="54" w:lineRule="exact"/>
        <w:rPr>
          <w:sz w:val="20"/>
          <w:szCs w:val="20"/>
          <w:color w:val="auto"/>
        </w:rPr>
      </w:pPr>
    </w:p>
    <w:tbl>
      <w:tblPr>
        <w:tblLayout w:type="fixed"/>
        <w:tblInd w:w="280" w:type="dxa"/>
        <w:tblCellMar>
          <w:top w:w="0" w:type="dxa"/>
          <w:left w:w="0" w:type="dxa"/>
          <w:bottom w:w="0" w:type="dxa"/>
          <w:right w:w="0" w:type="dxa"/>
        </w:tblCellMar>
      </w:tblPr>
      <w:tr>
        <w:trPr>
          <w:trHeight w:val="127"/>
        </w:trPr>
        <w:tc>
          <w:tcPr>
            <w:tcW w:w="2960" w:type="dxa"/>
            <w:vAlign w:val="bottom"/>
          </w:tcPr>
          <w:p>
            <w:pPr>
              <w:spacing w:after="0"/>
              <w:rPr>
                <w:sz w:val="11"/>
                <w:szCs w:val="11"/>
                <w:color w:val="auto"/>
              </w:rPr>
            </w:pPr>
          </w:p>
        </w:tc>
        <w:tc>
          <w:tcPr>
            <w:tcW w:w="2580" w:type="dxa"/>
            <w:vAlign w:val="bottom"/>
            <w:gridSpan w:val="6"/>
          </w:tcPr>
          <w:p>
            <w:pPr>
              <w:ind w:left="500"/>
              <w:spacing w:after="0"/>
              <w:rPr>
                <w:sz w:val="20"/>
                <w:szCs w:val="20"/>
                <w:color w:val="auto"/>
              </w:rPr>
            </w:pPr>
            <w:r>
              <w:rPr>
                <w:rFonts w:ascii="Arial" w:cs="Arial" w:eastAsia="Arial" w:hAnsi="Arial"/>
                <w:sz w:val="10"/>
                <w:szCs w:val="10"/>
                <w:b w:val="1"/>
                <w:bCs w:val="1"/>
                <w:color w:val="auto"/>
                <w:w w:val="99"/>
              </w:rPr>
              <w:t>For the Three Months Ended September 30,</w:t>
            </w:r>
          </w:p>
        </w:tc>
        <w:tc>
          <w:tcPr>
            <w:tcW w:w="440" w:type="dxa"/>
            <w:vAlign w:val="bottom"/>
          </w:tcPr>
          <w:p>
            <w:pPr>
              <w:spacing w:after="0"/>
              <w:rPr>
                <w:sz w:val="11"/>
                <w:szCs w:val="11"/>
                <w:color w:val="auto"/>
              </w:rPr>
            </w:pPr>
          </w:p>
        </w:tc>
        <w:tc>
          <w:tcPr>
            <w:tcW w:w="2080" w:type="dxa"/>
            <w:vAlign w:val="bottom"/>
            <w:gridSpan w:val="4"/>
          </w:tcPr>
          <w:p>
            <w:pPr>
              <w:jc w:val="right"/>
              <w:ind w:right="183"/>
              <w:spacing w:after="0"/>
              <w:rPr>
                <w:sz w:val="20"/>
                <w:szCs w:val="20"/>
                <w:color w:val="auto"/>
              </w:rPr>
            </w:pPr>
            <w:r>
              <w:rPr>
                <w:rFonts w:ascii="Arial" w:cs="Arial" w:eastAsia="Arial" w:hAnsi="Arial"/>
                <w:sz w:val="10"/>
                <w:szCs w:val="10"/>
                <w:b w:val="1"/>
                <w:bCs w:val="1"/>
                <w:color w:val="auto"/>
                <w:w w:val="90"/>
              </w:rPr>
              <w:t>For the Nine Months Ended September 30,</w:t>
            </w:r>
          </w:p>
        </w:tc>
      </w:tr>
      <w:tr>
        <w:trPr>
          <w:trHeight w:val="118"/>
        </w:trPr>
        <w:tc>
          <w:tcPr>
            <w:tcW w:w="296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2020</w:t>
            </w:r>
          </w:p>
        </w:tc>
      </w:tr>
      <w:tr>
        <w:trPr>
          <w:trHeight w:val="143"/>
        </w:trPr>
        <w:tc>
          <w:tcPr>
            <w:tcW w:w="29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Management fees</w:t>
            </w:r>
          </w:p>
        </w:tc>
        <w:tc>
          <w:tcPr>
            <w:tcW w:w="860" w:type="dxa"/>
            <w:vAlign w:val="bottom"/>
            <w:shd w:val="clear" w:color="auto" w:fill="CCEEFF"/>
          </w:tcPr>
          <w:p>
            <w:pPr>
              <w:jc w:val="right"/>
              <w:ind w:right="426"/>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4,594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12,397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13,066</w:t>
            </w:r>
          </w:p>
        </w:tc>
      </w:tr>
      <w:tr>
        <w:trPr>
          <w:trHeight w:val="153"/>
        </w:trPr>
        <w:tc>
          <w:tcPr>
            <w:tcW w:w="29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Development and leasing fees</w:t>
            </w: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1,747</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1,443</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5,838</w:t>
            </w:r>
          </w:p>
        </w:tc>
      </w:tr>
      <w:tr>
        <w:trPr>
          <w:trHeight w:val="158"/>
        </w:trPr>
        <w:tc>
          <w:tcPr>
            <w:tcW w:w="29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2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6,341</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5,728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17,129</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18,904</w:t>
            </w:r>
          </w:p>
        </w:tc>
      </w:tr>
    </w:tbl>
    <w:p>
      <w:pPr>
        <w:spacing w:after="0" w:line="200" w:lineRule="exact"/>
        <w:rPr>
          <w:sz w:val="20"/>
          <w:szCs w:val="20"/>
          <w:color w:val="auto"/>
        </w:rPr>
      </w:pPr>
    </w:p>
    <w:p>
      <w:pPr>
        <w:spacing w:after="0" w:line="205" w:lineRule="exact"/>
        <w:rPr>
          <w:sz w:val="20"/>
          <w:szCs w:val="20"/>
          <w:color w:val="auto"/>
        </w:rPr>
      </w:pPr>
    </w:p>
    <w:p>
      <w:pPr>
        <w:ind w:right="600" w:firstLine="297"/>
        <w:spacing w:after="0" w:line="276" w:lineRule="auto"/>
        <w:rPr>
          <w:sz w:val="20"/>
          <w:szCs w:val="20"/>
          <w:color w:val="auto"/>
        </w:rPr>
      </w:pPr>
      <w:r>
        <w:rPr>
          <w:rFonts w:ascii="Arial" w:cs="Arial" w:eastAsia="Arial" w:hAnsi="Arial"/>
          <w:sz w:val="12"/>
          <w:szCs w:val="12"/>
          <w:color w:val="auto"/>
        </w:rPr>
        <w:t>Interest expense (income) from related party transactions includes $(7,708) and $(15,502) for the three months ended September 30, 2021 and 2020, respectively, and $(3,435) and $(92,552) for the nine months ended September 30, 2021 and 2020, respectively, in connection with the Financing Arrangement (See Note 12—Financing Arrangement).</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Due from affiliates includes $2,977 and $1,612 of unreimbursed costs and fees from unconsolidated joint ventures due to the Management Companies as of September 30, 2021 and December 31,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Share and Unit-Based Plans:</w:t>
      </w:r>
    </w:p>
    <w:p>
      <w:pPr>
        <w:spacing w:after="0" w:line="109" w:lineRule="exact"/>
        <w:rPr>
          <w:sz w:val="20"/>
          <w:szCs w:val="20"/>
          <w:color w:val="auto"/>
        </w:rPr>
      </w:pPr>
    </w:p>
    <w:p>
      <w:pPr>
        <w:ind w:right="320" w:firstLine="297"/>
        <w:spacing w:after="0" w:line="276" w:lineRule="auto"/>
        <w:rPr>
          <w:sz w:val="20"/>
          <w:szCs w:val="20"/>
          <w:color w:val="auto"/>
        </w:rPr>
      </w:pPr>
      <w:r>
        <w:rPr>
          <w:rFonts w:ascii="Arial" w:cs="Arial" w:eastAsia="Arial" w:hAnsi="Arial"/>
          <w:sz w:val="12"/>
          <w:szCs w:val="12"/>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25" w:name="page26"/>
    <w:bookmarkEnd w:id="2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Share and Unit-Based Plans: (Continued)</w:t>
      </w:r>
    </w:p>
    <w:p>
      <w:pPr>
        <w:spacing w:after="0" w:line="361"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Company's option, on a one-unit for one-share basis. LTIP Units receive cash dividends based on the dividend amount paid on the common stock of the Company. The LTIP may include both market-indexed awards and service-based awards.</w:t>
      </w:r>
    </w:p>
    <w:p>
      <w:pPr>
        <w:spacing w:after="0" w:line="70" w:lineRule="exact"/>
        <w:rPr>
          <w:sz w:val="20"/>
          <w:szCs w:val="20"/>
          <w:color w:val="auto"/>
        </w:rPr>
      </w:pPr>
    </w:p>
    <w:p>
      <w:pPr>
        <w:ind w:firstLine="297"/>
        <w:spacing w:after="0" w:line="276" w:lineRule="auto"/>
        <w:rPr>
          <w:sz w:val="20"/>
          <w:szCs w:val="20"/>
          <w:color w:val="auto"/>
        </w:rPr>
      </w:pPr>
      <w:r>
        <w:rPr>
          <w:rFonts w:ascii="Arial" w:cs="Arial" w:eastAsia="Arial" w:hAnsi="Arial"/>
          <w:sz w:val="12"/>
          <w:szCs w:val="12"/>
          <w:color w:val="auto"/>
        </w:rPr>
        <w:t>The market-indexed LTIP Units vest over the service period of the award based on certain performance conditions of the Company and on the percentile ranking of the Company in terms of total return to stockholders (the "Total Return") per share of common stock relative to the Total Return of a group of peer REITs, as measured at the end of the measurement period.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During the nine months ended September 30, 2021, the Company granted the following LTIP Units: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Grant Date</w:t>
            </w: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1"/>
                <w:szCs w:val="11"/>
                <w:b w:val="1"/>
                <w:bCs w:val="1"/>
                <w:color w:val="auto"/>
              </w:rPr>
              <w:t>Units</w:t>
            </w:r>
          </w:p>
        </w:tc>
        <w:tc>
          <w:tcPr>
            <w:tcW w:w="12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Type</w:t>
            </w:r>
          </w:p>
        </w:tc>
        <w:tc>
          <w:tcPr>
            <w:tcW w:w="1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Fair Value per LTIP Unit</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Vest Date</w:t>
            </w:r>
          </w:p>
        </w:tc>
      </w:tr>
      <w:tr>
        <w:trPr>
          <w:trHeight w:val="144"/>
        </w:trPr>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1/1/2021</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576,378</w:t>
            </w: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Service-based</w:t>
            </w:r>
          </w:p>
        </w:tc>
        <w:tc>
          <w:tcPr>
            <w:tcW w:w="820" w:type="dxa"/>
            <w:vAlign w:val="bottom"/>
            <w:shd w:val="clear" w:color="auto" w:fill="CCEEFF"/>
          </w:tcPr>
          <w:p>
            <w:pPr>
              <w:jc w:val="right"/>
              <w:ind w:right="38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12/31/2023</w:t>
            </w:r>
          </w:p>
        </w:tc>
      </w:tr>
      <w:tr>
        <w:trPr>
          <w:trHeight w:val="153"/>
        </w:trPr>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1/1/2021</w:t>
            </w:r>
          </w:p>
        </w:tc>
        <w:tc>
          <w:tcPr>
            <w:tcW w:w="1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1,005,073</w:t>
            </w:r>
          </w:p>
        </w:tc>
        <w:tc>
          <w:tcPr>
            <w:tcW w:w="12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gridSpan w:val="2"/>
          </w:tcPr>
          <w:p>
            <w:pPr>
              <w:ind w:left="320"/>
              <w:spacing w:after="0"/>
              <w:rPr>
                <w:sz w:val="20"/>
                <w:szCs w:val="20"/>
                <w:color w:val="auto"/>
              </w:rPr>
            </w:pPr>
            <w:r>
              <w:rPr>
                <w:rFonts w:ascii="Arial" w:cs="Arial" w:eastAsia="Arial" w:hAnsi="Arial"/>
                <w:sz w:val="12"/>
                <w:szCs w:val="12"/>
                <w:color w:val="auto"/>
              </w:rPr>
              <w:t>Market-indexed</w:t>
            </w:r>
          </w:p>
        </w:tc>
        <w:tc>
          <w:tcPr>
            <w:tcW w:w="820" w:type="dxa"/>
            <w:vAlign w:val="bottom"/>
            <w:tcBorders>
              <w:bottom w:val="single" w:sz="8" w:color="CCEEFF"/>
            </w:tcBorders>
          </w:tcPr>
          <w:p>
            <w:pPr>
              <w:jc w:val="right"/>
              <w:ind w:right="38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9.85</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12/31/2023</w:t>
            </w:r>
          </w:p>
        </w:tc>
      </w:tr>
      <w:tr>
        <w:trPr>
          <w:trHeight w:val="158"/>
        </w:trPr>
        <w:tc>
          <w:tcPr>
            <w:tcW w:w="1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1,581,451</w:t>
            </w:r>
          </w:p>
        </w:tc>
        <w:tc>
          <w:tcPr>
            <w:tcW w:w="12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bl>
    <w:p>
      <w:pPr>
        <w:spacing w:after="0" w:line="144" w:lineRule="exact"/>
        <w:rPr>
          <w:sz w:val="20"/>
          <w:szCs w:val="20"/>
          <w:color w:val="auto"/>
        </w:rPr>
      </w:pPr>
    </w:p>
    <w:p>
      <w:pPr>
        <w:ind w:right="200" w:firstLine="297"/>
        <w:spacing w:after="0" w:line="276" w:lineRule="auto"/>
        <w:rPr>
          <w:sz w:val="20"/>
          <w:szCs w:val="20"/>
          <w:color w:val="auto"/>
        </w:rPr>
      </w:pPr>
      <w:r>
        <w:rPr>
          <w:rFonts w:ascii="Arial" w:cs="Arial" w:eastAsia="Arial" w:hAnsi="Arial"/>
          <w:sz w:val="12"/>
          <w:szCs w:val="12"/>
          <w:color w:val="auto"/>
        </w:rPr>
        <w:t>The fair value of the market-indexed LTIP Units (Level 3) granted on January 1, 2021 was estimated on the date of grant using a Monte Carlo Simulation model that assumed a risk-free interest rate of 0.17% and an expected volatility of 62.82%.</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activity of the non-vested LTIP Units, phantom stock units and stock units: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9"/>
              </w:rPr>
              <w:t>LTIP Units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ind w:left="800"/>
              <w:spacing w:after="0"/>
              <w:rPr>
                <w:sz w:val="20"/>
                <w:szCs w:val="20"/>
                <w:color w:val="auto"/>
              </w:rPr>
            </w:pPr>
            <w:r>
              <w:rPr>
                <w:rFonts w:ascii="Arial" w:cs="Arial" w:eastAsia="Arial" w:hAnsi="Arial"/>
                <w:sz w:val="11"/>
                <w:szCs w:val="11"/>
                <w:b w:val="1"/>
                <w:bCs w:val="1"/>
                <w:color w:val="auto"/>
              </w:rPr>
              <w:t>Phantom Stock Units</w:t>
            </w:r>
          </w:p>
        </w:tc>
        <w:tc>
          <w:tcPr>
            <w:tcW w:w="10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89"/>
              </w:rPr>
              <w:t>Stock Units</w:t>
            </w:r>
          </w:p>
        </w:tc>
        <w:tc>
          <w:tcPr>
            <w:tcW w:w="680" w:type="dxa"/>
            <w:vAlign w:val="bottom"/>
          </w:tcPr>
          <w:p>
            <w:pPr>
              <w:spacing w:after="0"/>
              <w:rPr>
                <w:sz w:val="12"/>
                <w:szCs w:val="12"/>
                <w:color w:val="auto"/>
              </w:rPr>
            </w:pPr>
          </w:p>
        </w:tc>
      </w:tr>
      <w:tr>
        <w:trPr>
          <w:trHeight w:val="133"/>
        </w:trPr>
        <w:tc>
          <w:tcPr>
            <w:tcW w:w="238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w w:val="98"/>
              </w:rPr>
              <w:t>Value(1)</w:t>
            </w:r>
          </w:p>
        </w:tc>
        <w:tc>
          <w:tcPr>
            <w:tcW w:w="1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Value(1)</w:t>
            </w:r>
          </w:p>
        </w:tc>
        <w:tc>
          <w:tcPr>
            <w:tcW w:w="8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w w:val="93"/>
              </w:rPr>
              <w:t>Value(1)</w:t>
            </w:r>
          </w:p>
        </w:tc>
      </w:tr>
      <w:tr>
        <w:trPr>
          <w:trHeight w:val="144"/>
        </w:trPr>
        <w:tc>
          <w:tcPr>
            <w:tcW w:w="23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Balance at 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784,052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35.35</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309,845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21.47</w:t>
            </w:r>
          </w:p>
        </w:tc>
      </w:tr>
      <w:tr>
        <w:trPr>
          <w:trHeight w:val="153"/>
        </w:trPr>
        <w:tc>
          <w:tcPr>
            <w:tcW w:w="2380" w:type="dxa"/>
            <w:vAlign w:val="bottom"/>
          </w:tcPr>
          <w:p>
            <w:pPr>
              <w:ind w:left="380"/>
              <w:spacing w:after="0"/>
              <w:rPr>
                <w:sz w:val="20"/>
                <w:szCs w:val="20"/>
                <w:color w:val="auto"/>
              </w:rPr>
            </w:pPr>
            <w:r>
              <w:rPr>
                <w:rFonts w:ascii="Arial" w:cs="Arial" w:eastAsia="Arial" w:hAnsi="Arial"/>
                <w:sz w:val="12"/>
                <w:szCs w:val="12"/>
                <w:color w:val="auto"/>
              </w:rPr>
              <w:t>Granted</w:t>
            </w:r>
          </w:p>
        </w:tc>
        <w:tc>
          <w:tcPr>
            <w:tcW w:w="1000" w:type="dxa"/>
            <w:vAlign w:val="bottom"/>
          </w:tcPr>
          <w:p>
            <w:pPr>
              <w:jc w:val="right"/>
              <w:spacing w:after="0"/>
              <w:rPr>
                <w:sz w:val="20"/>
                <w:szCs w:val="20"/>
                <w:color w:val="auto"/>
              </w:rPr>
            </w:pPr>
            <w:r>
              <w:rPr>
                <w:rFonts w:ascii="Arial" w:cs="Arial" w:eastAsia="Arial" w:hAnsi="Arial"/>
                <w:sz w:val="12"/>
                <w:szCs w:val="12"/>
                <w:color w:val="auto"/>
              </w:rPr>
              <w:t>1,581,451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16,577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11.74</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167,356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14.58</w:t>
            </w:r>
          </w:p>
        </w:tc>
      </w:tr>
      <w:tr>
        <w:trPr>
          <w:trHeight w:val="153"/>
        </w:trPr>
        <w:tc>
          <w:tcPr>
            <w:tcW w:w="23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(17,931)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(16,710)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16.87</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(209,709)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19.04</w:t>
            </w:r>
          </w:p>
        </w:tc>
      </w:tr>
      <w:tr>
        <w:trPr>
          <w:trHeight w:val="153"/>
        </w:trPr>
        <w:tc>
          <w:tcPr>
            <w:tcW w:w="23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22.12</w:t>
            </w:r>
          </w:p>
        </w:tc>
      </w:tr>
      <w:tr>
        <w:trPr>
          <w:trHeight w:val="158"/>
        </w:trPr>
        <w:tc>
          <w:tcPr>
            <w:tcW w:w="2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Balance at September 30,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2,347,572</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4,529</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17.10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266,505</w:t>
            </w: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19.05</w:t>
            </w:r>
          </w:p>
        </w:tc>
      </w:tr>
      <w:tr>
        <w:trPr>
          <w:trHeight w:val="126"/>
        </w:trPr>
        <w:tc>
          <w:tcPr>
            <w:tcW w:w="2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(1) Value represents the weighted average grant date fair value.</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activity of the stock options outstanding:</w:t>
      </w:r>
    </w:p>
    <w:p>
      <w:pPr>
        <w:spacing w:after="0" w:line="132"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314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Stock Options</w:t>
            </w:r>
          </w:p>
        </w:tc>
        <w:tc>
          <w:tcPr>
            <w:tcW w:w="680" w:type="dxa"/>
            <w:vAlign w:val="bottom"/>
            <w:tcBorders>
              <w:bottom w:val="single" w:sz="8" w:color="auto"/>
            </w:tcBorders>
          </w:tcPr>
          <w:p>
            <w:pPr>
              <w:spacing w:after="0"/>
              <w:rPr>
                <w:sz w:val="12"/>
                <w:szCs w:val="12"/>
                <w:color w:val="auto"/>
              </w:rPr>
            </w:pPr>
          </w:p>
        </w:tc>
      </w:tr>
      <w:tr>
        <w:trPr>
          <w:trHeight w:val="133"/>
        </w:trPr>
        <w:tc>
          <w:tcPr>
            <w:tcW w:w="31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w w:val="88"/>
              </w:rPr>
              <w:t>Value(1)</w:t>
            </w:r>
          </w:p>
        </w:tc>
      </w:tr>
      <w:tr>
        <w:trPr>
          <w:trHeight w:val="144"/>
        </w:trPr>
        <w:tc>
          <w:tcPr>
            <w:tcW w:w="3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Balance at 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37,515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54.34</w:t>
            </w:r>
          </w:p>
        </w:tc>
      </w:tr>
      <w:tr>
        <w:trPr>
          <w:trHeight w:val="153"/>
        </w:trPr>
        <w:tc>
          <w:tcPr>
            <w:tcW w:w="3140" w:type="dxa"/>
            <w:vAlign w:val="bottom"/>
          </w:tcPr>
          <w:p>
            <w:pPr>
              <w:ind w:left="260"/>
              <w:spacing w:after="0"/>
              <w:rPr>
                <w:sz w:val="20"/>
                <w:szCs w:val="20"/>
                <w:color w:val="auto"/>
              </w:rPr>
            </w:pPr>
            <w:r>
              <w:rPr>
                <w:rFonts w:ascii="Arial" w:cs="Arial" w:eastAsia="Arial" w:hAnsi="Arial"/>
                <w:sz w:val="12"/>
                <w:szCs w:val="12"/>
                <w:color w:val="auto"/>
              </w:rPr>
              <w:t>Granted</w:t>
            </w: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Exercised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3140" w:type="dxa"/>
            <w:vAlign w:val="bottom"/>
          </w:tcPr>
          <w:p>
            <w:pPr>
              <w:ind w:left="180"/>
              <w:spacing w:after="0"/>
              <w:rPr>
                <w:sz w:val="20"/>
                <w:szCs w:val="20"/>
                <w:color w:val="auto"/>
              </w:rPr>
            </w:pPr>
            <w:r>
              <w:rPr>
                <w:rFonts w:ascii="Arial" w:cs="Arial" w:eastAsia="Arial" w:hAnsi="Arial"/>
                <w:sz w:val="12"/>
                <w:szCs w:val="12"/>
                <w:color w:val="auto"/>
              </w:rPr>
              <w:t>Balance at September 30,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37,515</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54.34</w:t>
            </w:r>
          </w:p>
        </w:tc>
      </w:tr>
      <w:tr>
        <w:trPr>
          <w:trHeight w:val="20"/>
        </w:trPr>
        <w:tc>
          <w:tcPr>
            <w:tcW w:w="3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102870</wp:posOffset>
            </wp:positionV>
            <wp:extent cx="19316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31670" cy="5715"/>
                    </a:xfrm>
                    <a:prstGeom prst="rect">
                      <a:avLst/>
                    </a:prstGeom>
                    <a:noFill/>
                  </pic:spPr>
                </pic:pic>
              </a:graphicData>
            </a:graphic>
          </wp:anchor>
        </w:drawing>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0"/>
          <w:szCs w:val="10"/>
          <w:color w:val="auto"/>
        </w:rPr>
        <w:t>(1) Value represents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26" w:right="379" w:bottom="1440" w:gutter="0" w:footer="0" w:header="0"/>
        </w:sectPr>
      </w:pPr>
    </w:p>
    <w:bookmarkStart w:id="26" w:name="page27"/>
    <w:bookmarkEnd w:id="2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(Continued)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thousands, except per share and square foot amounts)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Share and Unit-Based Plans: (Continued)</w:t>
      </w:r>
    </w:p>
    <w:p>
      <w:pPr>
        <w:spacing w:after="0" w:line="3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summarizes the compensation cost under the share and unit-based plans: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40" w:type="dxa"/>
            <w:vAlign w:val="bottom"/>
          </w:tcPr>
          <w:p>
            <w:pPr>
              <w:spacing w:after="0"/>
              <w:rPr>
                <w:sz w:val="11"/>
                <w:szCs w:val="11"/>
                <w:color w:val="auto"/>
              </w:rPr>
            </w:pPr>
          </w:p>
        </w:tc>
        <w:tc>
          <w:tcPr>
            <w:tcW w:w="2620" w:type="dxa"/>
            <w:vAlign w:val="bottom"/>
            <w:gridSpan w:val="6"/>
          </w:tcPr>
          <w:p>
            <w:pPr>
              <w:ind w:left="500"/>
              <w:spacing w:after="0"/>
              <w:rPr>
                <w:sz w:val="20"/>
                <w:szCs w:val="20"/>
                <w:color w:val="auto"/>
              </w:rPr>
            </w:pPr>
            <w:r>
              <w:rPr>
                <w:rFonts w:ascii="Arial" w:cs="Arial" w:eastAsia="Arial" w:hAnsi="Arial"/>
                <w:sz w:val="10"/>
                <w:szCs w:val="10"/>
                <w:b w:val="1"/>
                <w:bCs w:val="1"/>
                <w:color w:val="auto"/>
              </w:rPr>
              <w:t>For the Three Months Ended September 30,</w:t>
            </w:r>
          </w:p>
        </w:tc>
        <w:tc>
          <w:tcPr>
            <w:tcW w:w="460" w:type="dxa"/>
            <w:vAlign w:val="bottom"/>
          </w:tcPr>
          <w:p>
            <w:pPr>
              <w:spacing w:after="0"/>
              <w:rPr>
                <w:sz w:val="11"/>
                <w:szCs w:val="11"/>
                <w:color w:val="auto"/>
              </w:rPr>
            </w:pPr>
          </w:p>
        </w:tc>
        <w:tc>
          <w:tcPr>
            <w:tcW w:w="2060" w:type="dxa"/>
            <w:vAlign w:val="bottom"/>
            <w:gridSpan w:val="4"/>
          </w:tcPr>
          <w:p>
            <w:pPr>
              <w:jc w:val="right"/>
              <w:ind w:right="182"/>
              <w:spacing w:after="0"/>
              <w:rPr>
                <w:sz w:val="20"/>
                <w:szCs w:val="20"/>
                <w:color w:val="auto"/>
              </w:rPr>
            </w:pPr>
            <w:r>
              <w:rPr>
                <w:rFonts w:ascii="Arial" w:cs="Arial" w:eastAsia="Arial" w:hAnsi="Arial"/>
                <w:sz w:val="10"/>
                <w:szCs w:val="10"/>
                <w:b w:val="1"/>
                <w:bCs w:val="1"/>
                <w:color w:val="auto"/>
                <w:w w:val="89"/>
              </w:rPr>
              <w:t>For the Nine Months Ended September 30,</w:t>
            </w:r>
          </w:p>
        </w:tc>
      </w:tr>
      <w:tr>
        <w:trPr>
          <w:trHeight w:val="118"/>
        </w:trPr>
        <w:tc>
          <w:tcPr>
            <w:tcW w:w="43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2020</w:t>
            </w:r>
          </w:p>
        </w:tc>
      </w:tr>
      <w:tr>
        <w:trPr>
          <w:trHeight w:val="143"/>
        </w:trPr>
        <w:tc>
          <w:tcPr>
            <w:tcW w:w="43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LTIP Units</w:t>
            </w:r>
          </w:p>
        </w:tc>
        <w:tc>
          <w:tcPr>
            <w:tcW w:w="860" w:type="dxa"/>
            <w:vAlign w:val="bottom"/>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3,625</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3,354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9,918</w:t>
            </w:r>
          </w:p>
        </w:tc>
      </w:tr>
      <w:tr>
        <w:trPr>
          <w:trHeight w:val="153"/>
        </w:trPr>
        <w:tc>
          <w:tcPr>
            <w:tcW w:w="4340" w:type="dxa"/>
            <w:vAlign w:val="bottom"/>
          </w:tcPr>
          <w:p>
            <w:pPr>
              <w:ind w:left="300"/>
              <w:spacing w:after="0"/>
              <w:rPr>
                <w:sz w:val="20"/>
                <w:szCs w:val="20"/>
                <w:color w:val="auto"/>
              </w:rPr>
            </w:pPr>
            <w:r>
              <w:rPr>
                <w:rFonts w:ascii="Arial" w:cs="Arial" w:eastAsia="Arial" w:hAnsi="Arial"/>
                <w:sz w:val="12"/>
                <w:szCs w:val="12"/>
                <w:color w:val="auto"/>
              </w:rPr>
              <w:t>Stock units</w:t>
            </w:r>
          </w:p>
        </w:tc>
        <w:tc>
          <w:tcPr>
            <w:tcW w:w="8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2,577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3,580</w:t>
            </w:r>
          </w:p>
        </w:tc>
      </w:tr>
      <w:tr>
        <w:trPr>
          <w:trHeight w:val="153"/>
        </w:trPr>
        <w:tc>
          <w:tcPr>
            <w:tcW w:w="43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Phantom stock units</w:t>
            </w:r>
          </w:p>
        </w:tc>
        <w:tc>
          <w:tcPr>
            <w:tcW w:w="8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w:t>
            </w:r>
          </w:p>
        </w:tc>
      </w:tr>
      <w:tr>
        <w:trPr>
          <w:trHeight w:val="142"/>
        </w:trPr>
        <w:tc>
          <w:tcPr>
            <w:tcW w:w="4340" w:type="dxa"/>
            <w:vAlign w:val="bottom"/>
          </w:tcPr>
          <w:p>
            <w:pPr>
              <w:spacing w:after="0"/>
              <w:rPr>
                <w:sz w:val="12"/>
                <w:szCs w:val="12"/>
                <w:color w:val="auto"/>
              </w:rPr>
            </w:pPr>
          </w:p>
        </w:tc>
        <w:tc>
          <w:tcPr>
            <w:tcW w:w="86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4,318</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4,123</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13,681</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13,936</w:t>
            </w:r>
          </w:p>
        </w:tc>
      </w:tr>
      <w:tr>
        <w:trPr>
          <w:trHeight w:val="20"/>
        </w:trPr>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80" w:firstLine="297"/>
        <w:spacing w:after="0" w:line="323" w:lineRule="auto"/>
        <w:rPr>
          <w:sz w:val="20"/>
          <w:szCs w:val="20"/>
          <w:color w:val="auto"/>
        </w:rPr>
      </w:pPr>
      <w:r>
        <w:rPr>
          <w:rFonts w:ascii="Arial" w:cs="Arial" w:eastAsia="Arial" w:hAnsi="Arial"/>
          <w:sz w:val="11"/>
          <w:szCs w:val="11"/>
          <w:color w:val="auto"/>
        </w:rPr>
        <w:t>The Company capitalized share and unit-based compensation costs of $910 and $626 for the three months ended September 30, 2021 and 2020, respectively, and $2,813 and $2,946 for the nine months ended September 30, 2021 and 2020, respectively. Unrecognized compensation costs of share and unit-based plans at September 30, 2021 consisted of $8,235 from LTIP Units, $2,097 from stock units and $77 from phantom stock units.</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Income Taxes:</w:t>
      </w:r>
    </w:p>
    <w:p>
      <w:pPr>
        <w:spacing w:after="0" w:line="109"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income tax provision of the TRSs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700" w:type="dxa"/>
            <w:vAlign w:val="bottom"/>
          </w:tcPr>
          <w:p>
            <w:pPr>
              <w:spacing w:after="0"/>
              <w:rPr>
                <w:sz w:val="11"/>
                <w:szCs w:val="11"/>
                <w:color w:val="auto"/>
              </w:rPr>
            </w:pPr>
          </w:p>
        </w:tc>
        <w:tc>
          <w:tcPr>
            <w:tcW w:w="2920" w:type="dxa"/>
            <w:vAlign w:val="bottom"/>
            <w:gridSpan w:val="6"/>
          </w:tcPr>
          <w:p>
            <w:pPr>
              <w:ind w:left="660"/>
              <w:spacing w:after="0"/>
              <w:rPr>
                <w:sz w:val="20"/>
                <w:szCs w:val="20"/>
                <w:color w:val="auto"/>
              </w:rPr>
            </w:pPr>
            <w:r>
              <w:rPr>
                <w:rFonts w:ascii="Arial" w:cs="Arial" w:eastAsia="Arial" w:hAnsi="Arial"/>
                <w:sz w:val="10"/>
                <w:szCs w:val="10"/>
                <w:b w:val="1"/>
                <w:bCs w:val="1"/>
                <w:color w:val="auto"/>
              </w:rPr>
              <w:t>For the Three Months Ended September 30,</w:t>
            </w:r>
          </w:p>
        </w:tc>
        <w:tc>
          <w:tcPr>
            <w:tcW w:w="540" w:type="dxa"/>
            <w:vAlign w:val="bottom"/>
          </w:tcPr>
          <w:p>
            <w:pPr>
              <w:spacing w:after="0"/>
              <w:rPr>
                <w:sz w:val="11"/>
                <w:szCs w:val="11"/>
                <w:color w:val="auto"/>
              </w:rPr>
            </w:pPr>
          </w:p>
        </w:tc>
        <w:tc>
          <w:tcPr>
            <w:tcW w:w="2300" w:type="dxa"/>
            <w:vAlign w:val="bottom"/>
            <w:gridSpan w:val="4"/>
          </w:tcPr>
          <w:p>
            <w:pPr>
              <w:jc w:val="right"/>
              <w:ind w:right="343"/>
              <w:spacing w:after="0"/>
              <w:rPr>
                <w:sz w:val="20"/>
                <w:szCs w:val="20"/>
                <w:color w:val="auto"/>
              </w:rPr>
            </w:pPr>
            <w:r>
              <w:rPr>
                <w:rFonts w:ascii="Arial" w:cs="Arial" w:eastAsia="Arial" w:hAnsi="Arial"/>
                <w:sz w:val="10"/>
                <w:szCs w:val="10"/>
                <w:b w:val="1"/>
                <w:bCs w:val="1"/>
                <w:color w:val="auto"/>
                <w:w w:val="93"/>
              </w:rPr>
              <w:t>For the Nine Months Ended September 30,</w:t>
            </w:r>
          </w:p>
        </w:tc>
      </w:tr>
      <w:tr>
        <w:trPr>
          <w:trHeight w:val="118"/>
        </w:trPr>
        <w:tc>
          <w:tcPr>
            <w:tcW w:w="3700" w:type="dxa"/>
            <w:vAlign w:val="bottom"/>
            <w:tcBorders>
              <w:bottom w:val="single" w:sz="8" w:color="CCEEFF"/>
            </w:tcBorders>
          </w:tcPr>
          <w:p>
            <w:pPr>
              <w:spacing w:after="0"/>
              <w:rPr>
                <w:sz w:val="10"/>
                <w:szCs w:val="10"/>
                <w:color w:val="auto"/>
              </w:rPr>
            </w:pPr>
          </w:p>
        </w:tc>
        <w:tc>
          <w:tcPr>
            <w:tcW w:w="10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2020</w:t>
            </w:r>
          </w:p>
        </w:tc>
      </w:tr>
      <w:tr>
        <w:trPr>
          <w:trHeight w:val="143"/>
        </w:trPr>
        <w:tc>
          <w:tcPr>
            <w:tcW w:w="3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Current</w:t>
            </w:r>
          </w:p>
        </w:tc>
        <w:tc>
          <w:tcPr>
            <w:tcW w:w="1020" w:type="dxa"/>
            <w:vAlign w:val="bottom"/>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w:t>
            </w:r>
          </w:p>
        </w:tc>
      </w:tr>
      <w:tr>
        <w:trPr>
          <w:trHeight w:val="153"/>
        </w:trPr>
        <w:tc>
          <w:tcPr>
            <w:tcW w:w="37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Deferred</w:t>
            </w: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(1,106)</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w:t>
            </w:r>
          </w:p>
        </w:tc>
      </w:tr>
      <w:tr>
        <w:trPr>
          <w:trHeight w:val="158"/>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income tax (expense) benefit</w:t>
            </w:r>
          </w:p>
        </w:tc>
        <w:tc>
          <w:tcPr>
            <w:tcW w:w="102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(1,106)</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(9,452)</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684</w:t>
            </w:r>
          </w:p>
        </w:tc>
      </w:tr>
    </w:tbl>
    <w:p>
      <w:pPr>
        <w:spacing w:after="0" w:line="144" w:lineRule="exact"/>
        <w:rPr>
          <w:sz w:val="20"/>
          <w:szCs w:val="20"/>
          <w:color w:val="auto"/>
        </w:rPr>
      </w:pPr>
    </w:p>
    <w:p>
      <w:pPr>
        <w:ind w:right="140" w:firstLine="297"/>
        <w:spacing w:after="0" w:line="298" w:lineRule="auto"/>
        <w:rPr>
          <w:sz w:val="20"/>
          <w:szCs w:val="20"/>
          <w:color w:val="auto"/>
        </w:rPr>
      </w:pPr>
      <w:r>
        <w:rPr>
          <w:rFonts w:ascii="Arial" w:cs="Arial" w:eastAsia="Arial" w:hAnsi="Arial"/>
          <w:sz w:val="11"/>
          <w:szCs w:val="11"/>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$21,315 and $30,767 were included in deferred charges and other assets, net at September 30, 2021 and December 31, 2020, respectively.</w:t>
      </w:r>
    </w:p>
    <w:p>
      <w:pPr>
        <w:spacing w:after="0" w:line="60" w:lineRule="exact"/>
        <w:rPr>
          <w:sz w:val="20"/>
          <w:szCs w:val="20"/>
          <w:color w:val="auto"/>
        </w:rPr>
      </w:pPr>
    </w:p>
    <w:p>
      <w:pPr>
        <w:jc w:val="both"/>
        <w:ind w:right="80" w:firstLine="297"/>
        <w:spacing w:after="0" w:line="263" w:lineRule="auto"/>
        <w:rPr>
          <w:sz w:val="20"/>
          <w:szCs w:val="20"/>
          <w:color w:val="auto"/>
        </w:rPr>
      </w:pPr>
      <w:r>
        <w:rPr>
          <w:rFonts w:ascii="Arial" w:cs="Arial" w:eastAsia="Arial" w:hAnsi="Arial"/>
          <w:sz w:val="12"/>
          <w:szCs w:val="12"/>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September 30, 2021, the Company had no valuation allowance recorded.</w:t>
      </w:r>
    </w:p>
    <w:p>
      <w:pPr>
        <w:spacing w:after="0" w:line="68"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The tax years 2017 through 2019 remain open to examination by the taxing jurisdictions to which the Company is subject. The Company does not expect that the total amount of unrecognized tax benefit will materially change within the next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 Subsequent Events:</w:t>
      </w:r>
    </w:p>
    <w:p>
      <w:pPr>
        <w:spacing w:after="0" w:line="109" w:lineRule="exact"/>
        <w:rPr>
          <w:sz w:val="20"/>
          <w:szCs w:val="20"/>
          <w:color w:val="auto"/>
        </w:rPr>
      </w:pPr>
    </w:p>
    <w:p>
      <w:pPr>
        <w:ind w:right="180" w:firstLine="297"/>
        <w:spacing w:after="0" w:line="260" w:lineRule="auto"/>
        <w:rPr>
          <w:sz w:val="20"/>
          <w:szCs w:val="20"/>
          <w:color w:val="auto"/>
        </w:rPr>
      </w:pPr>
      <w:r>
        <w:rPr>
          <w:rFonts w:ascii="Arial" w:cs="Arial" w:eastAsia="Arial" w:hAnsi="Arial"/>
          <w:sz w:val="12"/>
          <w:szCs w:val="12"/>
          <w:color w:val="auto"/>
        </w:rPr>
        <w:t>On October 28, 2021, the Company announced a dividend/distribution of $0.15 per share for common stockholders and OP Unitholders of record on November 9, 2021. All dividends/distributions will be paid 100% in cash on December 3, 2021.</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26" w:right="299" w:bottom="1440" w:gutter="0" w:footer="0" w:header="0"/>
        </w:sectPr>
      </w:pPr>
    </w:p>
    <w:bookmarkStart w:id="27" w:name="page28"/>
    <w:bookmarkEnd w:id="2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INFORMATION RELATED TO FORWARD-LOOKING STATEMENTS</w:t>
      </w:r>
    </w:p>
    <w:p>
      <w:pPr>
        <w:spacing w:after="0" w:line="109" w:lineRule="exact"/>
        <w:rPr>
          <w:sz w:val="20"/>
          <w:szCs w:val="20"/>
          <w:color w:val="auto"/>
        </w:rPr>
      </w:pPr>
    </w:p>
    <w:p>
      <w:pPr>
        <w:ind w:right="100" w:firstLine="297"/>
        <w:spacing w:after="0" w:line="289" w:lineRule="auto"/>
        <w:rPr>
          <w:sz w:val="20"/>
          <w:szCs w:val="20"/>
          <w:color w:val="auto"/>
        </w:rPr>
      </w:pPr>
      <w:r>
        <w:rPr>
          <w:rFonts w:ascii="Arial" w:cs="Arial" w:eastAsia="Arial" w:hAnsi="Arial"/>
          <w:sz w:val="11"/>
          <w:szCs w:val="11"/>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66" w:lineRule="exact"/>
        <w:rPr>
          <w:sz w:val="20"/>
          <w:szCs w:val="20"/>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expectations regarding the Company's growth;</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beliefs regarding its acquisition, redevelopment, development, leasing and operational activities and opportunities, including the performance and financial stability of its retailers;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acquisition, disposition and other strategies;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regulatory matters pertaining to compliance with governmental regulations;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capital expenditure plans and expectations for obtaining capital for expenditures;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expectations regarding income tax benefits;</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expectations regarding its financial condition or results of operations; and</w:t>
      </w:r>
    </w:p>
    <w:p>
      <w:pPr>
        <w:spacing w:after="0" w:line="42" w:lineRule="exact"/>
        <w:rPr>
          <w:rFonts w:ascii="Arial" w:cs="Arial" w:eastAsia="Arial" w:hAnsi="Arial"/>
          <w:sz w:val="12"/>
          <w:szCs w:val="12"/>
          <w:color w:val="auto"/>
        </w:rPr>
      </w:pPr>
    </w:p>
    <w:p>
      <w:pPr>
        <w:ind w:left="860" w:hanging="436"/>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Company's expectations for refinancing its indebtedness, entering into and servicing debt obligations and entering into joint venture arrangements.</w:t>
      </w:r>
    </w:p>
    <w:p>
      <w:pPr>
        <w:spacing w:after="0" w:line="96" w:lineRule="exact"/>
        <w:rPr>
          <w:sz w:val="20"/>
          <w:szCs w:val="20"/>
          <w:color w:val="auto"/>
        </w:rPr>
      </w:pPr>
    </w:p>
    <w:p>
      <w:pPr>
        <w:ind w:right="40" w:firstLine="297"/>
        <w:spacing w:after="0" w:line="278" w:lineRule="auto"/>
        <w:rPr>
          <w:sz w:val="20"/>
          <w:szCs w:val="20"/>
          <w:color w:val="auto"/>
        </w:rPr>
      </w:pPr>
      <w:r>
        <w:rPr>
          <w:rFonts w:ascii="Arial" w:cs="Arial" w:eastAsia="Arial" w:hAnsi="Arial"/>
          <w:sz w:val="11"/>
          <w:szCs w:val="11"/>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continuing adverse impact of the novel coronavirus ("COVID-19")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2020,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Overview and Summary</w:t>
      </w:r>
    </w:p>
    <w:p>
      <w:pPr>
        <w:spacing w:after="0" w:line="109" w:lineRule="exact"/>
        <w:rPr>
          <w:sz w:val="20"/>
          <w:szCs w:val="20"/>
          <w:color w:val="auto"/>
        </w:rPr>
      </w:pPr>
    </w:p>
    <w:p>
      <w:pPr>
        <w:ind w:firstLine="297"/>
        <w:spacing w:after="0" w:line="283" w:lineRule="auto"/>
        <w:rPr>
          <w:sz w:val="20"/>
          <w:szCs w:val="20"/>
          <w:color w:val="auto"/>
        </w:rPr>
      </w:pPr>
      <w:r>
        <w:rPr>
          <w:rFonts w:ascii="Arial" w:cs="Arial" w:eastAsia="Arial" w:hAnsi="Arial"/>
          <w:sz w:val="11"/>
          <w:szCs w:val="11"/>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2021, the Operating Partnership owned or had an ownership interest in 45 regional town centers and five community/power shopping centers. These 50 regional town centers and community/power shopping centers (which include any related office space) consist of approximately 49 million square feet of gross leasable area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28" w:name="page29"/>
    <w:bookmarkEnd w:id="2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The following discussion is based primarily on the consolidated financial statements of the Company for the three and nine months ended September 30, 2021 and 2020. It compares the results of operations for the three months ended September 30, 2021 to the results of operations for the three months ended September 30, 2020. It also compares the results of operations and cash flows for the nine months ended September 30, 2021 to the results of operations and cash flows for the nine months ended September 30, 2020.</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This information should be read in conjunction with the accompanying consolidated financial statements and notes thereto.</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Dispositions:</w:t>
      </w:r>
    </w:p>
    <w:p>
      <w:pPr>
        <w:spacing w:after="0" w:line="105" w:lineRule="exact"/>
        <w:rPr>
          <w:sz w:val="20"/>
          <w:szCs w:val="20"/>
          <w:color w:val="auto"/>
        </w:rPr>
      </w:pPr>
    </w:p>
    <w:p>
      <w:pPr>
        <w:ind w:right="80" w:firstLine="297"/>
        <w:spacing w:after="0" w:line="323" w:lineRule="auto"/>
        <w:rPr>
          <w:sz w:val="20"/>
          <w:szCs w:val="20"/>
          <w:color w:val="auto"/>
        </w:rPr>
      </w:pPr>
      <w:r>
        <w:rPr>
          <w:rFonts w:ascii="Arial" w:cs="Arial" w:eastAsia="Arial" w:hAnsi="Arial"/>
          <w:sz w:val="11"/>
          <w:szCs w:val="11"/>
          <w:color w:val="auto"/>
        </w:rPr>
        <w:t>On March 29, 2021, the Company sold Paradise Valley Mall in Phoenix, Arizona to a newly formed joint venture for $100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38" w:lineRule="exact"/>
        <w:rPr>
          <w:sz w:val="20"/>
          <w:szCs w:val="20"/>
          <w:color w:val="auto"/>
        </w:rPr>
      </w:pPr>
    </w:p>
    <w:p>
      <w:pPr>
        <w:ind w:right="500" w:firstLine="297"/>
        <w:spacing w:after="0" w:line="276" w:lineRule="auto"/>
        <w:rPr>
          <w:sz w:val="20"/>
          <w:szCs w:val="20"/>
          <w:color w:val="auto"/>
        </w:rPr>
      </w:pPr>
      <w:r>
        <w:rPr>
          <w:rFonts w:ascii="Arial" w:cs="Arial" w:eastAsia="Arial" w:hAnsi="Arial"/>
          <w:sz w:val="12"/>
          <w:szCs w:val="12"/>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Financing Activities:</w:t>
      </w:r>
    </w:p>
    <w:p>
      <w:pPr>
        <w:spacing w:after="0" w:line="105" w:lineRule="exact"/>
        <w:rPr>
          <w:sz w:val="20"/>
          <w:szCs w:val="20"/>
          <w:color w:val="auto"/>
        </w:rPr>
      </w:pPr>
    </w:p>
    <w:p>
      <w:pPr>
        <w:ind w:right="100" w:firstLine="297"/>
        <w:spacing w:after="0" w:line="263" w:lineRule="auto"/>
        <w:rPr>
          <w:sz w:val="20"/>
          <w:szCs w:val="20"/>
          <w:color w:val="auto"/>
        </w:rPr>
      </w:pPr>
      <w:r>
        <w:rPr>
          <w:rFonts w:ascii="Arial" w:cs="Arial" w:eastAsia="Arial" w:hAnsi="Arial"/>
          <w:sz w:val="12"/>
          <w:szCs w:val="12"/>
          <w:color w:val="auto"/>
        </w:rPr>
        <w:t>On September 15, 2020, the Company closed on a loan extension agreement for the $191.0 million loan on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 million of the outstanding loan balance at closing.</w:t>
      </w:r>
    </w:p>
    <w:p>
      <w:pPr>
        <w:spacing w:after="0" w:line="68"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On November 17, 2020, the Company’s joint venture in Tysons VITA, the residential tower at Tysons Corner Center, placed a new $95.0 million loan on the property that bears interest at an effective rate of 3.43% and matures on December 1, 2030. Initial loan funding for the Company's joint venture was $90.0 million with future advance potential of up to $5.0 million. The Company used its share of the initial proceeds of $45.0 million for general corporate purposes.</w:t>
      </w:r>
    </w:p>
    <w:p>
      <w:pPr>
        <w:spacing w:after="0" w:line="77"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On December 10, 2020, the Company made a loan (the “Partnership Loan”) to the Company’s joint venture in Fashion District Philadelphia to fund the entirety of a $100.0 million repayment to reduce the mortgage loan on Fashion District Philadelphia from $301.0 million to $201.0 million. This mortgage loan now matures on January 22, 2024, assuming exercise of a one-year extension option, and bears interest at LIBOR plus 3.5%, with a LIBOR floor of 0.50%.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w:t>
      </w:r>
    </w:p>
    <w:p>
      <w:pPr>
        <w:spacing w:after="0" w:line="79" w:lineRule="exact"/>
        <w:rPr>
          <w:sz w:val="20"/>
          <w:szCs w:val="20"/>
          <w:color w:val="auto"/>
        </w:rPr>
      </w:pPr>
    </w:p>
    <w:p>
      <w:pPr>
        <w:ind w:right="340" w:firstLine="297"/>
        <w:spacing w:after="0" w:line="276" w:lineRule="auto"/>
        <w:rPr>
          <w:sz w:val="20"/>
          <w:szCs w:val="20"/>
          <w:color w:val="auto"/>
        </w:rPr>
      </w:pPr>
      <w:r>
        <w:rPr>
          <w:rFonts w:ascii="Arial" w:cs="Arial" w:eastAsia="Arial" w:hAnsi="Arial"/>
          <w:sz w:val="12"/>
          <w:szCs w:val="12"/>
          <w:color w:val="auto"/>
        </w:rPr>
        <w:t>On December 15, 2020, the Company closed on a loan extension agreement for the $101.5 million loan on Fashion Outlets of Niagara. Under the extension agreement the original loan maturity date of October 6, 2020 was extended to October 6, 2023. The loan amount and interest rate are unchanged following the extension.</w:t>
      </w:r>
    </w:p>
    <w:p>
      <w:pPr>
        <w:spacing w:after="0" w:line="61" w:lineRule="exact"/>
        <w:rPr>
          <w:sz w:val="20"/>
          <w:szCs w:val="20"/>
          <w:color w:val="auto"/>
        </w:rPr>
      </w:pPr>
    </w:p>
    <w:p>
      <w:pPr>
        <w:jc w:val="both"/>
        <w:ind w:right="260" w:firstLine="297"/>
        <w:spacing w:after="0" w:line="263" w:lineRule="auto"/>
        <w:rPr>
          <w:sz w:val="20"/>
          <w:szCs w:val="20"/>
          <w:color w:val="auto"/>
        </w:rPr>
      </w:pPr>
      <w:r>
        <w:rPr>
          <w:rFonts w:ascii="Arial" w:cs="Arial" w:eastAsia="Arial" w:hAnsi="Arial"/>
          <w:sz w:val="12"/>
          <w:szCs w:val="12"/>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 The Company's joint venture is currently negotiating a commitment for a new five-year $200.0 million loan to replace the existing $198.2 million loan on the property.</w:t>
      </w:r>
    </w:p>
    <w:p>
      <w:pPr>
        <w:spacing w:after="0" w:line="77" w:lineRule="exact"/>
        <w:rPr>
          <w:sz w:val="20"/>
          <w:szCs w:val="20"/>
          <w:color w:val="auto"/>
        </w:rPr>
      </w:pPr>
    </w:p>
    <w:p>
      <w:pPr>
        <w:ind w:right="400" w:firstLine="297"/>
        <w:spacing w:after="0" w:line="276" w:lineRule="auto"/>
        <w:rPr>
          <w:sz w:val="20"/>
          <w:szCs w:val="20"/>
          <w:color w:val="auto"/>
        </w:rPr>
      </w:pPr>
      <w:r>
        <w:rPr>
          <w:rFonts w:ascii="Arial" w:cs="Arial" w:eastAsia="Arial" w:hAnsi="Arial"/>
          <w:sz w:val="12"/>
          <w:szCs w:val="12"/>
          <w:color w:val="auto"/>
        </w:rPr>
        <w:t>On January 22, 2021, the Company closed on a one-year extension for the Green Acres Mall $258.2 million loan to February 3, 2022, which also includes a one-year extension option to February 3, 2023. The interest rate remained unchanged, and the Company repaid $9 million of the outstanding loan balance at closing.</w:t>
      </w:r>
    </w:p>
    <w:p>
      <w:pPr>
        <w:spacing w:after="0" w:line="70" w:lineRule="exact"/>
        <w:rPr>
          <w:sz w:val="20"/>
          <w:szCs w:val="20"/>
          <w:color w:val="auto"/>
        </w:rPr>
      </w:pPr>
    </w:p>
    <w:p>
      <w:pPr>
        <w:ind w:right="380" w:firstLine="297"/>
        <w:spacing w:after="0" w:line="276" w:lineRule="auto"/>
        <w:rPr>
          <w:sz w:val="20"/>
          <w:szCs w:val="20"/>
          <w:color w:val="auto"/>
        </w:rPr>
      </w:pPr>
      <w:r>
        <w:rPr>
          <w:rFonts w:ascii="Arial" w:cs="Arial" w:eastAsia="Arial" w:hAnsi="Arial"/>
          <w:sz w:val="12"/>
          <w:szCs w:val="12"/>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61" w:lineRule="exact"/>
        <w:rPr>
          <w:sz w:val="20"/>
          <w:szCs w:val="20"/>
          <w:color w:val="auto"/>
        </w:rPr>
      </w:pPr>
    </w:p>
    <w:p>
      <w:pPr>
        <w:ind w:right="300" w:firstLine="297"/>
        <w:spacing w:after="0" w:line="276" w:lineRule="auto"/>
        <w:rPr>
          <w:sz w:val="20"/>
          <w:szCs w:val="20"/>
          <w:color w:val="auto"/>
        </w:rPr>
      </w:pPr>
      <w:r>
        <w:rPr>
          <w:rFonts w:ascii="Arial" w:cs="Arial" w:eastAsia="Arial" w:hAnsi="Arial"/>
          <w:sz w:val="12"/>
          <w:szCs w:val="12"/>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29" w:name="page30"/>
    <w:bookmarkEnd w:id="2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During the second quarter of 2020 and in July 2020, the Company secured agreements with its mortgage lenders on 19 mortgage loans to defer approximately $47.2 million of both second and third quarter of 2020 debt service payments at the Company’s pro rata share during the COVID-19 pandemic. Of the deferred payments, $28.1 million and $36.9 million was repaid in the three months and twelve months ended December 31, 2020, respectively; and the remaining balance was fully repaid during the first quarter of 2021.</w:t>
      </w:r>
    </w:p>
    <w:p>
      <w:pPr>
        <w:spacing w:after="0" w:line="68"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(See "Liquidity and Capital Resources").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Redevelopment and Development Activities:</w:t>
      </w:r>
    </w:p>
    <w:p>
      <w:pPr>
        <w:spacing w:after="0" w:line="105"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2022. The total cost of the project is estimated to be between $500.0 million and $550.0 million, with $125.0 million to $137.5 million estimated to be the Company's pro rata share. The Company has funded $100.3 million of the total $401.3 million incurred by the joint venture as of September 30, 2021. The joint venture expects to fund the remaining costs of the development with its $414.6 million construction loan (See "Financing Activities").</w:t>
      </w:r>
    </w:p>
    <w:p>
      <w:pPr>
        <w:spacing w:after="0" w:line="70" w:lineRule="exact"/>
        <w:rPr>
          <w:sz w:val="20"/>
          <w:szCs w:val="20"/>
          <w:color w:val="auto"/>
        </w:rPr>
      </w:pPr>
    </w:p>
    <w:p>
      <w:pPr>
        <w:ind w:right="380" w:firstLine="297"/>
        <w:spacing w:after="0" w:line="323" w:lineRule="auto"/>
        <w:rPr>
          <w:sz w:val="20"/>
          <w:szCs w:val="20"/>
          <w:color w:val="auto"/>
        </w:rPr>
      </w:pPr>
      <w:r>
        <w:rPr>
          <w:rFonts w:ascii="Arial" w:cs="Arial" w:eastAsia="Arial" w:hAnsi="Arial"/>
          <w:sz w:val="11"/>
          <w:szCs w:val="11"/>
          <w:color w:val="auto"/>
        </w:rPr>
        <w:t>The Company has a 50/50 joint venture with Simon Property Group to develop Los Angeles Premium Outlets, a premium outlet center in Carson, California that is planned to open with approximately 400,000 square feet, followed by an additional 165,000 square feet in the second phase. The Company has funded $40.8 million of the total $81.6 million incurred by the joint venture as of September 30, 2021.</w:t>
      </w:r>
    </w:p>
    <w:p>
      <w:pPr>
        <w:spacing w:after="0" w:line="47" w:lineRule="exact"/>
        <w:rPr>
          <w:sz w:val="20"/>
          <w:szCs w:val="20"/>
          <w:color w:val="auto"/>
        </w:rPr>
      </w:pPr>
    </w:p>
    <w:p>
      <w:pPr>
        <w:jc w:val="both"/>
        <w:ind w:right="60" w:firstLine="297"/>
        <w:spacing w:after="0" w:line="263" w:lineRule="auto"/>
        <w:rPr>
          <w:sz w:val="20"/>
          <w:szCs w:val="20"/>
          <w:color w:val="auto"/>
        </w:rPr>
      </w:pPr>
      <w:r>
        <w:rPr>
          <w:rFonts w:ascii="Arial" w:cs="Arial" w:eastAsia="Arial" w:hAnsi="Arial"/>
          <w:sz w:val="12"/>
          <w:szCs w:val="12"/>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$39.9 million at its pro rata share as of September 30, 2021.</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Other Transactions and Events:</w:t>
      </w:r>
    </w:p>
    <w:p>
      <w:pPr>
        <w:spacing w:after="0" w:line="96" w:lineRule="exact"/>
        <w:rPr>
          <w:sz w:val="20"/>
          <w:szCs w:val="20"/>
          <w:color w:val="auto"/>
        </w:rPr>
      </w:pPr>
    </w:p>
    <w:p>
      <w:pPr>
        <w:ind w:right="400" w:firstLine="297"/>
        <w:spacing w:after="0" w:line="263" w:lineRule="auto"/>
        <w:rPr>
          <w:sz w:val="20"/>
          <w:szCs w:val="20"/>
          <w:color w:val="auto"/>
        </w:rPr>
      </w:pPr>
      <w:r>
        <w:rPr>
          <w:rFonts w:ascii="Arial" w:cs="Arial" w:eastAsia="Arial" w:hAnsi="Arial"/>
          <w:sz w:val="12"/>
          <w:szCs w:val="12"/>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Quarterly Report on Form 10-Q, government-imposed capacity restrictions resulting from COVID-19 have been essentially eliminated across the Company's markets.</w:t>
      </w:r>
    </w:p>
    <w:p>
      <w:pPr>
        <w:spacing w:after="0" w:line="77"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On December 31, 2020, the Company and its joint venture partner, Seritage Growth Properties (“Seritage”),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Seritage. The joint venture partners agreed that the distributed properties were of equal value. The Company now owns 100% of the former Sears parcel at South Plains Mall. Effective December 31, 2020, the Company consolidates its 100% interest in the Sears parcel at South Plains Mall in the Company’s consolidated financial statements.</w:t>
      </w:r>
    </w:p>
    <w:p>
      <w:pPr>
        <w:spacing w:after="0" w:line="79" w:lineRule="exact"/>
        <w:rPr>
          <w:sz w:val="20"/>
          <w:szCs w:val="20"/>
          <w:color w:val="auto"/>
        </w:rPr>
      </w:pPr>
    </w:p>
    <w:p>
      <w:pPr>
        <w:ind w:firstLine="297"/>
        <w:spacing w:after="0" w:line="255" w:lineRule="auto"/>
        <w:rPr>
          <w:sz w:val="20"/>
          <w:szCs w:val="20"/>
          <w:color w:val="auto"/>
        </w:rPr>
      </w:pPr>
      <w:r>
        <w:rPr>
          <w:rFonts w:ascii="Arial" w:cs="Arial" w:eastAsia="Arial" w:hAnsi="Arial"/>
          <w:sz w:val="12"/>
          <w:szCs w:val="12"/>
          <w:color w:val="auto"/>
        </w:rPr>
        <w:t>In March 2020, the Company declared a reduced second quarter dividend of $0.50 per share of its common stock, which was paid on June 3, 2020 in a combination of cash and shares of common stock, at the election of the stockholder, subject to a limitation that the aggregate amount of cash payable to holders of the Company’s common stock would not exceed 20% of the aggregate amount of the dividend, or $0.10 per share, for all stockholders of record on April 22, 2020. The amount of the dividend represented a reduction from the Company’s first quarter 2020 dividend, and was paid in a combination of cash and shares of common stock to preserve liquidity in light of the impact and uncertainty arising out of the COVID-19 pandemic. The Company declared a further reduced cash dividend of $0.15 per share of its common stock for the third and fourth quarters of 2020 and for the first, second and third quarters of 2021. On October 28, 2021, the Company declared a fourth quarter cash dividend of $0.15 per share of its common stock, which will be paid on December 3, 2021 to stockholders of record on November 9, 2021. The dividend amount will be reviewed by the Board on a quarterly basis.</w:t>
      </w:r>
    </w:p>
    <w:p>
      <w:pPr>
        <w:spacing w:after="0" w:line="74" w:lineRule="exact"/>
        <w:rPr>
          <w:sz w:val="20"/>
          <w:szCs w:val="20"/>
          <w:color w:val="auto"/>
        </w:rPr>
      </w:pPr>
    </w:p>
    <w:p>
      <w:pPr>
        <w:jc w:val="both"/>
        <w:ind w:right="260" w:firstLine="297"/>
        <w:spacing w:after="0" w:line="263" w:lineRule="auto"/>
        <w:rPr>
          <w:sz w:val="20"/>
          <w:szCs w:val="20"/>
          <w:color w:val="auto"/>
        </w:rPr>
      </w:pPr>
      <w:r>
        <w:rPr>
          <w:rFonts w:ascii="Arial" w:cs="Arial" w:eastAsia="Arial" w:hAnsi="Arial"/>
          <w:sz w:val="12"/>
          <w:szCs w:val="12"/>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0" w:name="page31"/>
    <w:bookmarkEnd w:id="3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color w:val="auto"/>
        </w:rPr>
        <w:t>price of up to $500 million under each of the February 2021 ATM Program and the March 2021 ATM Program, or a total of $1 billion under the ATM Programs. As of September 30, 2021, the Company had approximately $152.1 million of gross sales of its common stock available under the March 2021 ATM Program. The February 2021 ATM Program was fully utilized as of June 30, 2021 and is no longer active.</w:t>
      </w:r>
    </w:p>
    <w:p>
      <w:pPr>
        <w:spacing w:after="0" w:line="38"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See “Liquidity and Capital Resources” for a further discussion of the Company’s anticipated liquidity needs, and the measures taken by the Company to meet those needs, including the ATM Programs and the Company's new credit facility.</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Inflation:</w:t>
      </w:r>
    </w:p>
    <w:p>
      <w:pPr>
        <w:spacing w:after="0" w:line="105"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In addition, approximately 3% to 18%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09" w:lineRule="exact"/>
        <w:rPr>
          <w:sz w:val="20"/>
          <w:szCs w:val="20"/>
          <w:color w:val="auto"/>
        </w:rPr>
      </w:pPr>
    </w:p>
    <w:p>
      <w:pPr>
        <w:jc w:val="both"/>
        <w:ind w:right="200" w:firstLine="297"/>
        <w:spacing w:after="0" w:line="263"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7" w:lineRule="exact"/>
        <w:rPr>
          <w:sz w:val="20"/>
          <w:szCs w:val="20"/>
          <w:color w:val="auto"/>
        </w:rPr>
      </w:pPr>
    </w:p>
    <w:p>
      <w:pPr>
        <w:ind w:right="60" w:firstLine="297"/>
        <w:spacing w:after="0" w:line="263" w:lineRule="auto"/>
        <w:rPr>
          <w:sz w:val="20"/>
          <w:szCs w:val="20"/>
          <w:color w:val="auto"/>
        </w:rPr>
      </w:pPr>
      <w:r>
        <w:rPr>
          <w:rFonts w:ascii="Arial" w:cs="Arial" w:eastAsia="Arial" w:hAnsi="Arial"/>
          <w:sz w:val="12"/>
          <w:szCs w:val="12"/>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Acquisitions:</w:t>
      </w:r>
    </w:p>
    <w:p>
      <w:pPr>
        <w:spacing w:after="0" w:line="105" w:lineRule="exact"/>
        <w:rPr>
          <w:sz w:val="20"/>
          <w:szCs w:val="20"/>
          <w:color w:val="auto"/>
        </w:rPr>
      </w:pPr>
    </w:p>
    <w:p>
      <w:pPr>
        <w:ind w:firstLine="297"/>
        <w:spacing w:after="0" w:line="277" w:lineRule="auto"/>
        <w:rPr>
          <w:sz w:val="20"/>
          <w:szCs w:val="20"/>
          <w:color w:val="auto"/>
        </w:rPr>
      </w:pPr>
      <w:r>
        <w:rPr>
          <w:rFonts w:ascii="Arial" w:cs="Arial" w:eastAsia="Arial" w:hAnsi="Arial"/>
          <w:sz w:val="11"/>
          <w:szCs w:val="11"/>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right="60" w:firstLine="297"/>
        <w:spacing w:after="0" w:line="263" w:lineRule="auto"/>
        <w:rPr>
          <w:sz w:val="20"/>
          <w:szCs w:val="20"/>
          <w:color w:val="auto"/>
        </w:rPr>
      </w:pPr>
      <w:r>
        <w:rPr>
          <w:rFonts w:ascii="Arial" w:cs="Arial" w:eastAsia="Arial" w:hAnsi="Arial"/>
          <w:sz w:val="12"/>
          <w:szCs w:val="12"/>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Asset Impairment:</w:t>
      </w:r>
    </w:p>
    <w:p>
      <w:pPr>
        <w:spacing w:after="0" w:line="105" w:lineRule="exact"/>
        <w:rPr>
          <w:sz w:val="20"/>
          <w:szCs w:val="20"/>
          <w:color w:val="auto"/>
        </w:rPr>
      </w:pPr>
    </w:p>
    <w:p>
      <w:pPr>
        <w:ind w:firstLine="297"/>
        <w:spacing w:after="0" w:line="320" w:lineRule="auto"/>
        <w:rPr>
          <w:sz w:val="20"/>
          <w:szCs w:val="20"/>
          <w:color w:val="auto"/>
        </w:rPr>
      </w:pPr>
      <w:r>
        <w:rPr>
          <w:rFonts w:ascii="Arial" w:cs="Arial" w:eastAsia="Arial" w:hAnsi="Arial"/>
          <w:sz w:val="10"/>
          <w:szCs w:val="10"/>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0"/>
          <w:szCs w:val="10"/>
          <w:color w:val="auto"/>
        </w:rPr>
        <w:t>The Company reviews its investments in unconsolidated joint ventures for a series of operating losses and other factors that may indicate that a decrease in the value of its investments has occurred which is other-than-temporary.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investment in each unconsolidated joint venture is evaluated periodically, and as deemed necessary, for recoverability and valuation declines that are other-than-temporary.</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105" w:lineRule="exact"/>
        <w:rPr>
          <w:sz w:val="20"/>
          <w:szCs w:val="20"/>
          <w:color w:val="auto"/>
        </w:rPr>
      </w:pPr>
    </w:p>
    <w:p>
      <w:pPr>
        <w:ind w:firstLine="297"/>
        <w:spacing w:after="0" w:line="254" w:lineRule="auto"/>
        <w:rPr>
          <w:sz w:val="20"/>
          <w:szCs w:val="20"/>
          <w:color w:val="auto"/>
        </w:rPr>
      </w:pPr>
      <w:r>
        <w:rPr>
          <w:rFonts w:ascii="Arial" w:cs="Arial" w:eastAsia="Arial" w:hAnsi="Arial"/>
          <w:sz w:val="12"/>
          <w:szCs w:val="12"/>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5" w:lineRule="exact"/>
        <w:rPr>
          <w:sz w:val="20"/>
          <w:szCs w:val="20"/>
          <w:color w:val="auto"/>
        </w:rPr>
      </w:pPr>
    </w:p>
    <w:p>
      <w:pPr>
        <w:ind w:right="380" w:firstLine="297"/>
        <w:spacing w:after="0" w:line="276" w:lineRule="auto"/>
        <w:rPr>
          <w:sz w:val="20"/>
          <w:szCs w:val="20"/>
          <w:color w:val="auto"/>
        </w:rPr>
      </w:pPr>
      <w:r>
        <w:rPr>
          <w:rFonts w:ascii="Arial" w:cs="Arial" w:eastAsia="Arial" w:hAnsi="Arial"/>
          <w:sz w:val="12"/>
          <w:szCs w:val="12"/>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61"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09" w:lineRule="exact"/>
        <w:rPr>
          <w:sz w:val="20"/>
          <w:szCs w:val="20"/>
          <w:color w:val="auto"/>
        </w:rPr>
      </w:pPr>
    </w:p>
    <w:p>
      <w:pPr>
        <w:ind w:right="720" w:firstLine="297"/>
        <w:spacing w:after="0" w:line="276" w:lineRule="auto"/>
        <w:rPr>
          <w:sz w:val="20"/>
          <w:szCs w:val="20"/>
          <w:color w:val="auto"/>
        </w:rPr>
      </w:pPr>
      <w:r>
        <w:rPr>
          <w:rFonts w:ascii="Arial" w:cs="Arial" w:eastAsia="Arial" w:hAnsi="Arial"/>
          <w:sz w:val="12"/>
          <w:szCs w:val="12"/>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61"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2" w:name="page33"/>
    <w:bookmarkEnd w:id="3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61" w:lineRule="exact"/>
        <w:rPr>
          <w:sz w:val="20"/>
          <w:szCs w:val="20"/>
          <w:color w:val="auto"/>
        </w:rPr>
      </w:pPr>
    </w:p>
    <w:p>
      <w:pPr>
        <w:ind w:right="240" w:firstLine="297"/>
        <w:spacing w:after="0" w:line="323" w:lineRule="auto"/>
        <w:rPr>
          <w:sz w:val="20"/>
          <w:szCs w:val="20"/>
          <w:color w:val="auto"/>
        </w:rPr>
      </w:pPr>
      <w:r>
        <w:rPr>
          <w:rFonts w:ascii="Arial" w:cs="Arial" w:eastAsia="Arial" w:hAnsi="Arial"/>
          <w:sz w:val="11"/>
          <w:szCs w:val="11"/>
          <w:color w:val="auto"/>
        </w:rPr>
        <w:t>For the comparison of the three and nine months ended September 30, 2021 to the three and nine months ended September 30, 2020, the JV Transition Centers are Fashion District Philadelphia and Sears South Plains. For the comparison of the three and nine months ended September 30, 2021 to the three and nine months ended September 30, 2020, the Disposition Properties are Paradise Valley Mall and Tucson La Encantada.</w:t>
      </w:r>
    </w:p>
    <w:p>
      <w:pPr>
        <w:spacing w:after="0" w:line="47" w:lineRule="exact"/>
        <w:rPr>
          <w:sz w:val="20"/>
          <w:szCs w:val="20"/>
          <w:color w:val="auto"/>
        </w:rPr>
      </w:pPr>
    </w:p>
    <w:p>
      <w:pPr>
        <w:ind w:right="140" w:firstLine="297"/>
        <w:spacing w:after="0" w:line="276" w:lineRule="auto"/>
        <w:rPr>
          <w:sz w:val="20"/>
          <w:szCs w:val="20"/>
          <w:color w:val="auto"/>
        </w:rPr>
      </w:pPr>
      <w:r>
        <w:rPr>
          <w:rFonts w:ascii="Arial" w:cs="Arial" w:eastAsia="Arial" w:hAnsi="Arial"/>
          <w:sz w:val="12"/>
          <w:szCs w:val="12"/>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70" w:lineRule="exact"/>
        <w:rPr>
          <w:sz w:val="20"/>
          <w:szCs w:val="20"/>
          <w:color w:val="auto"/>
        </w:rPr>
      </w:pPr>
    </w:p>
    <w:p>
      <w:pPr>
        <w:jc w:val="both"/>
        <w:ind w:right="160" w:firstLine="297"/>
        <w:spacing w:after="0" w:line="263" w:lineRule="auto"/>
        <w:rPr>
          <w:sz w:val="20"/>
          <w:szCs w:val="20"/>
          <w:color w:val="auto"/>
        </w:rPr>
      </w:pPr>
      <w:r>
        <w:rPr>
          <w:rFonts w:ascii="Arial" w:cs="Arial" w:eastAsia="Arial" w:hAnsi="Arial"/>
          <w:sz w:val="12"/>
          <w:szCs w:val="12"/>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68" w:lineRule="exact"/>
        <w:rPr>
          <w:sz w:val="20"/>
          <w:szCs w:val="20"/>
          <w:color w:val="auto"/>
        </w:rPr>
      </w:pPr>
    </w:p>
    <w:p>
      <w:pPr>
        <w:jc w:val="both"/>
        <w:ind w:right="120" w:firstLine="297"/>
        <w:spacing w:after="0" w:line="298" w:lineRule="auto"/>
        <w:rPr>
          <w:sz w:val="20"/>
          <w:szCs w:val="20"/>
          <w:color w:val="auto"/>
        </w:rPr>
      </w:pPr>
      <w:r>
        <w:rPr>
          <w:rFonts w:ascii="Arial" w:cs="Arial" w:eastAsia="Arial" w:hAnsi="Arial"/>
          <w:sz w:val="11"/>
          <w:szCs w:val="11"/>
          <w:color w:val="auto"/>
        </w:rPr>
        <w:t>During the third quarter of 2021, comparable tenant sales from spaces less than 10,000 square feet across the portfolio increased by 13.8% relative to pre-COVID sales during the third quarter of 2019. The leased occupancy rate decreased from 90.8% at September 30, 2020 to 90.3% at September 30, 2021, but improved by 0.90% from 89.4% at June 30, 2021. Releasing spreads decreased as the Company executed leases at an average rent of $55.23 for new and renewal leases executed compared to $56.65 on leases expiring, resulting in a releasing spread decrease of $1.42 per square foot, or 2.5%, for the trailing twelve months ended September 30, 2021.</w:t>
      </w:r>
    </w:p>
    <w:p>
      <w:pPr>
        <w:spacing w:after="0" w:line="51" w:lineRule="exact"/>
        <w:rPr>
          <w:sz w:val="20"/>
          <w:szCs w:val="20"/>
          <w:color w:val="auto"/>
        </w:rPr>
      </w:pPr>
    </w:p>
    <w:p>
      <w:pPr>
        <w:ind w:firstLine="297"/>
        <w:spacing w:after="0" w:line="234" w:lineRule="auto"/>
        <w:rPr>
          <w:sz w:val="20"/>
          <w:szCs w:val="20"/>
          <w:color w:val="auto"/>
        </w:rPr>
      </w:pPr>
      <w:r>
        <w:rPr>
          <w:rFonts w:ascii="Arial" w:cs="Arial" w:eastAsia="Arial" w:hAnsi="Arial"/>
          <w:sz w:val="12"/>
          <w:szCs w:val="12"/>
          <w:color w:val="auto"/>
        </w:rPr>
        <w:t>The Company continues to renew or replace leases that are scheduled to expire in the remainder of 2021. As of September 30, 2021, the Company has executed leases or commitments from retailers that are in lease documentation for 91% of the leased space expiring in 2021. The remaining leases expiring in 2021 represented approximately 257,000 square feet, and the Company is negotiating letters of intent for those spaces. These amounts exclude leases for stores that have closed or for stores that tenants have indicated they intend to close.</w:t>
      </w:r>
    </w:p>
    <w:p>
      <w:pPr>
        <w:spacing w:after="0" w:line="82" w:lineRule="exact"/>
        <w:rPr>
          <w:sz w:val="20"/>
          <w:szCs w:val="20"/>
          <w:color w:val="auto"/>
        </w:rPr>
      </w:pPr>
    </w:p>
    <w:p>
      <w:pPr>
        <w:ind w:right="180" w:firstLine="297"/>
        <w:spacing w:after="0" w:line="276" w:lineRule="auto"/>
        <w:rPr>
          <w:sz w:val="20"/>
          <w:szCs w:val="20"/>
          <w:color w:val="auto"/>
        </w:rPr>
      </w:pPr>
      <w:r>
        <w:rPr>
          <w:rFonts w:ascii="Arial" w:cs="Arial" w:eastAsia="Arial" w:hAnsi="Arial"/>
          <w:sz w:val="12"/>
          <w:szCs w:val="12"/>
          <w:color w:val="auto"/>
        </w:rPr>
        <w:t>The Company has entered into 215 leases for new stores totaling approximately 964,000 square feet that have previously opened in 2021 or are planned for opening in the remainder of 2021. While there may be additional new store openings in 2021, any such leases were not yet executed as of September 30, 2021.</w:t>
      </w:r>
    </w:p>
    <w:p>
      <w:pPr>
        <w:spacing w:after="0" w:line="61" w:lineRule="exact"/>
        <w:rPr>
          <w:sz w:val="20"/>
          <w:szCs w:val="20"/>
          <w:color w:val="auto"/>
        </w:rPr>
      </w:pPr>
    </w:p>
    <w:p>
      <w:pPr>
        <w:ind w:right="140" w:firstLine="297"/>
        <w:spacing w:after="0" w:line="276" w:lineRule="auto"/>
        <w:rPr>
          <w:sz w:val="20"/>
          <w:szCs w:val="20"/>
          <w:color w:val="auto"/>
        </w:rPr>
      </w:pPr>
      <w:r>
        <w:rPr>
          <w:rFonts w:ascii="Arial" w:cs="Arial" w:eastAsia="Arial" w:hAnsi="Arial"/>
          <w:sz w:val="12"/>
          <w:szCs w:val="12"/>
          <w:color w:val="auto"/>
        </w:rPr>
        <w:t>During the trailing twelve months ended September 30, 2021, the Company signed 265 new leases and 559 renewal leases comprising approximately 3.0 million square feet of GLA, of which 1.8 million square feet is related to the consolidated Centers. The average tenant allowance was $22.82 per square foot. The Company's COVID-19 related lease amendments are excluded from these numbers.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09" w:lineRule="exact"/>
        <w:rPr>
          <w:sz w:val="20"/>
          <w:szCs w:val="20"/>
          <w:color w:val="auto"/>
        </w:rPr>
      </w:pPr>
    </w:p>
    <w:p>
      <w:pPr>
        <w:jc w:val="both"/>
        <w:ind w:right="260" w:firstLine="297"/>
        <w:spacing w:after="0" w:line="263" w:lineRule="auto"/>
        <w:rPr>
          <w:sz w:val="20"/>
          <w:szCs w:val="20"/>
          <w:color w:val="auto"/>
        </w:rPr>
      </w:pPr>
      <w:r>
        <w:rPr>
          <w:rFonts w:ascii="Arial" w:cs="Arial" w:eastAsia="Arial" w:hAnsi="Arial"/>
          <w:sz w:val="12"/>
          <w:szCs w:val="12"/>
          <w:color w:val="auto"/>
        </w:rPr>
        <w:t>The Company has a long-term four-pronged business strategy that focuses on the acquisition, leasing and management, redevelopment and development of Regional Shopping Centers. Although overall regional town center fundamentals in its markets continued to improve during the third quarter, the Company expects that its results for the remainder of 2021 will be negatively impacted by the COVID-19 pandemic, reduced occupancy relative to pre-COVID levels and Anchor closures, among other factors.</w:t>
      </w:r>
    </w:p>
    <w:p>
      <w:pPr>
        <w:spacing w:after="0" w:line="68" w:lineRule="exact"/>
        <w:rPr>
          <w:sz w:val="20"/>
          <w:szCs w:val="20"/>
          <w:color w:val="auto"/>
        </w:rPr>
      </w:pPr>
    </w:p>
    <w:p>
      <w:pPr>
        <w:ind w:right="20" w:firstLine="297"/>
        <w:spacing w:after="0" w:line="283" w:lineRule="auto"/>
        <w:rPr>
          <w:sz w:val="20"/>
          <w:szCs w:val="20"/>
          <w:color w:val="auto"/>
        </w:rPr>
      </w:pPr>
      <w:r>
        <w:rPr>
          <w:rFonts w:ascii="Arial" w:cs="Arial" w:eastAsia="Arial" w:hAnsi="Arial"/>
          <w:sz w:val="11"/>
          <w:szCs w:val="11"/>
          <w:color w:val="auto"/>
        </w:rPr>
        <w:t>All Centers have been open and operating since October 7, 2020. As of the date of this Quarterly Report on Form 10-Q, government-imposed capacity restrictions resulting from COVID-19 have been essentially eliminated across the Company’s markets. The Company experienced a positive impact to its leasing revenue during the three months ending September 30, 2021. Leasing revenue increased by approximately 11%, including joint ventures at the Company’s share, compared to the three months ended September 30, 2020. This increase was primarily due to (i) increases in percentage rent, which was primarily driven by accelerating tenant sales and all of the Company’s Centers being fully open and operating in the third quarter of 2021 as compared to the third quarter of 2020; and (ii) decreases in bad debt reserves and decreases in retroactive rent abatements incurred in the third quarter of 2021 compared to the third quarter of 2020. During the three and nine months ended September 30, 2021, certain of the Company’s previously reserved accounts receivable were collected resulting in a reduction of bad debt expense. These collections were a result of improving economic conditions that have become evident as the impact of the pandemic has eased as well as collection efforts by the Company.</w:t>
      </w:r>
    </w:p>
    <w:p>
      <w:pPr>
        <w:spacing w:after="0" w:line="68" w:lineRule="exact"/>
        <w:rPr>
          <w:sz w:val="20"/>
          <w:szCs w:val="20"/>
          <w:color w:val="auto"/>
        </w:rPr>
      </w:pPr>
    </w:p>
    <w:p>
      <w:pPr>
        <w:ind w:right="60"/>
        <w:spacing w:after="0" w:line="260" w:lineRule="auto"/>
        <w:rPr>
          <w:sz w:val="20"/>
          <w:szCs w:val="20"/>
          <w:color w:val="auto"/>
        </w:rPr>
      </w:pPr>
      <w:r>
        <w:rPr>
          <w:rFonts w:ascii="Arial" w:cs="Arial" w:eastAsia="Arial" w:hAnsi="Arial"/>
          <w:sz w:val="12"/>
          <w:szCs w:val="12"/>
          <w:color w:val="auto"/>
        </w:rPr>
        <w:t>As a result of government-imposed capacity restrictions resulting from COVID-19 essentially being eliminated across the Company’s markets, combined with pent up demand, the positive economic impacts of consumer savings, fiscal stimulus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 w:name="page34"/>
    <w:bookmarkEnd w:id="3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other factors, sales and traffic at the Company's Centers continued to greatly improve during the third quarter of 2021 with extremely high customer conversion rates. Traffic levels continue to range in the mid 90%'s relative to 2019. Comparable tenant sales from spaces less than 10,000 square feet across the portfolio increased by 13.8% relative to pre-COVID sales during the third quarter of 2019. For the nine months ended September 30, 2021, comparable tenant sales from spaces less than 10,000 square feet across the portfolio increased by 8.7% relative to sales during the same pre-COVID nine-month period of 2019.</w:t>
      </w:r>
    </w:p>
    <w:p>
      <w:pPr>
        <w:spacing w:after="0" w:line="141" w:lineRule="exact"/>
        <w:rPr>
          <w:sz w:val="20"/>
          <w:szCs w:val="20"/>
          <w:color w:val="auto"/>
        </w:rPr>
      </w:pPr>
    </w:p>
    <w:p>
      <w:pPr>
        <w:ind w:right="100"/>
        <w:spacing w:after="0" w:line="281" w:lineRule="auto"/>
        <w:rPr>
          <w:sz w:val="20"/>
          <w:szCs w:val="20"/>
          <w:color w:val="auto"/>
        </w:rPr>
      </w:pPr>
      <w:r>
        <w:rPr>
          <w:rFonts w:ascii="Arial" w:cs="Arial" w:eastAsia="Arial" w:hAnsi="Arial"/>
          <w:sz w:val="11"/>
          <w:szCs w:val="11"/>
          <w:color w:val="auto"/>
        </w:rPr>
        <w:t>During the third quarter of 2021, the Company signed 219 leases for approximately 1.13 million square feet (excluding COVID-19 workout deals), which represents a 15% increase in the leased square feet relative to what was leased during the pre-COVID third quarter of 2019. For the nine months ended September 30, 2021, the Company has signed 707 leases for approximately 2.98 million square feet, which represents a 26% increase in the amount of leased square feet relative to what was leased over the same pre-COVID nine month period ended September 30, 2019. 2019 was the highest volume leasing year for the Company since 2015.</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As of September 30, 2021, the leased occupancy rate increased to 90.3% compared to the leased occupancy rate at June 30, 2021 of 89.4%, which is also a sequential 1.80% occupancy improvement from 88.5% at March 31,</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2021.</w:t>
      </w:r>
    </w:p>
    <w:p>
      <w:pPr>
        <w:spacing w:after="0" w:line="87" w:lineRule="exact"/>
        <w:rPr>
          <w:sz w:val="20"/>
          <w:szCs w:val="20"/>
          <w:color w:val="auto"/>
        </w:rPr>
      </w:pPr>
    </w:p>
    <w:p>
      <w:pPr>
        <w:ind w:right="40" w:firstLine="297"/>
        <w:spacing w:after="0" w:line="255" w:lineRule="auto"/>
        <w:rPr>
          <w:sz w:val="20"/>
          <w:szCs w:val="20"/>
          <w:color w:val="auto"/>
        </w:rPr>
      </w:pPr>
      <w:r>
        <w:rPr>
          <w:rFonts w:ascii="Arial" w:cs="Arial" w:eastAsia="Arial" w:hAnsi="Arial"/>
          <w:sz w:val="12"/>
          <w:szCs w:val="12"/>
          <w:color w:val="auto"/>
        </w:rPr>
        <w:t>The Company's rent collections have continued to significantly improve and are now comparable to pre-COVID levels. The Company has made significant progress in its negotiations with national and local tenants to secure rental payments, despite a significant portion of the Company’s tenants requesting rental assistance, whether in the form of deferral or rent reduction. This effort of negotiating COVID-19 rental assistance agreements is essentially now completed. The lease amendments negotiated by the Company related to COVID-19 have resulted in a combination of rent payment deferrals and rent abatements. The majority of the Company’s leases required continued payment of rent by the Company’s tenants during the period of government mandated closures caused by COVID-19. Additionally, many of the Company’s leases contain co-tenancy clauses. Certain Anchor or small tenant closures have become permanent following the re-opening of the Company's Centers, and co-tenancy clauses within certain leases may be triggered as a result. The Company does not anticipate any negative impact of such clauses on lease revenue will be significant.</w:t>
      </w:r>
    </w:p>
    <w:p>
      <w:pPr>
        <w:spacing w:after="0" w:line="83"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During the year ended December 31, 2020, the Company incurred $56.4 million of rent abatements at the Company’s share relating primarily to 2020 rents as a result of COVID-19 and negotiated $32.9 million of rent deferrals during the year ended December 31, 2020 at the Company’s share. During the three and nine months ended September 30, 2021, the Company incurred $2.0 million and $46.3 million, respectively, of rent abatements at the Company’s share relating primarily to 2020 rents as a result of COVID-19, and negotiated $4.9 million of rent deferrals during the nine months ended September 30, 2021, at the Company’s share. The Company did not negotiate any rent deferrals during the three months ended September 30, 2021. As of September 30, 2021, $6.7 million of the rent deferrals remain outstanding, with $2.8 million scheduled to be repaid during the remainder of 2021 and the balance scheduled for repayment in 2022 and 2023.</w:t>
      </w:r>
    </w:p>
    <w:p>
      <w:pPr>
        <w:spacing w:after="0" w:line="83" w:lineRule="exact"/>
        <w:rPr>
          <w:sz w:val="20"/>
          <w:szCs w:val="20"/>
          <w:color w:val="auto"/>
        </w:rPr>
      </w:pPr>
    </w:p>
    <w:p>
      <w:pPr>
        <w:ind w:right="100" w:firstLine="297"/>
        <w:spacing w:after="0" w:line="289" w:lineRule="auto"/>
        <w:rPr>
          <w:sz w:val="20"/>
          <w:szCs w:val="20"/>
          <w:color w:val="auto"/>
        </w:rPr>
      </w:pPr>
      <w:r>
        <w:rPr>
          <w:rFonts w:ascii="Arial" w:cs="Arial" w:eastAsia="Arial" w:hAnsi="Arial"/>
          <w:sz w:val="11"/>
          <w:szCs w:val="11"/>
          <w:color w:val="auto"/>
        </w:rPr>
        <w:t>During 2020, there were 42 bankruptcy filings involving the Company’s tenants, totaling 322 leases and involving approximately 6.0 million square feet and $85.4 million of annual leasing revenue at the Company’s share. During 2021, the pace of such filings has decreased substantially, as there were ten bankruptcy filings involving the Company's tenants, totaling 62 leases and involving approximately 369,000 square feet and $11.9 million of annual leasing revenue at the Company's share. This included two leases totaling 139,000 square feet with a single department store retailer that quickly emerged from bankruptcy and assumed both of its leases with the Company. Excluding this department store retailer, bankruptcy filings during 2021 are only 230,000 square feet. The current pace of 2021 bankruptcy filings is well lower than the past several years, dating back to 2015.</w:t>
      </w:r>
    </w:p>
    <w:p>
      <w:pPr>
        <w:spacing w:after="0" w:line="57" w:lineRule="exact"/>
        <w:rPr>
          <w:sz w:val="20"/>
          <w:szCs w:val="20"/>
          <w:color w:val="auto"/>
        </w:rPr>
      </w:pPr>
    </w:p>
    <w:p>
      <w:pPr>
        <w:ind w:right="160" w:firstLine="297"/>
        <w:spacing w:after="0" w:line="323" w:lineRule="auto"/>
        <w:rPr>
          <w:sz w:val="20"/>
          <w:szCs w:val="20"/>
          <w:color w:val="auto"/>
        </w:rPr>
      </w:pPr>
      <w:r>
        <w:rPr>
          <w:rFonts w:ascii="Arial" w:cs="Arial" w:eastAsia="Arial" w:hAnsi="Arial"/>
          <w:sz w:val="11"/>
          <w:szCs w:val="11"/>
          <w:color w:val="auto"/>
        </w:rPr>
        <w:t>During 2021, the Company expects to generate significant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pipeline.</w:t>
      </w:r>
    </w:p>
    <w:p>
      <w:pPr>
        <w:spacing w:after="0" w:line="47" w:lineRule="exact"/>
        <w:rPr>
          <w:sz w:val="20"/>
          <w:szCs w:val="20"/>
          <w:color w:val="auto"/>
        </w:rPr>
      </w:pPr>
    </w:p>
    <w:p>
      <w:pPr>
        <w:ind w:right="60" w:firstLine="297"/>
        <w:spacing w:after="0" w:line="256" w:lineRule="auto"/>
        <w:rPr>
          <w:sz w:val="20"/>
          <w:szCs w:val="20"/>
          <w:color w:val="auto"/>
        </w:rPr>
      </w:pPr>
      <w:r>
        <w:rPr>
          <w:rFonts w:ascii="Arial" w:cs="Arial" w:eastAsia="Arial" w:hAnsi="Arial"/>
          <w:sz w:val="12"/>
          <w:szCs w:val="12"/>
          <w:color w:val="auto"/>
        </w:rPr>
        <w:t>Given the continued disruption and uncertainties from COVID-19 and the related impacts on the capital markets, the Company has secured extensions of term from one to three years of its near-term maturing non-recourse mortgage loans totaling an aggregate of approximately $950 million on Danbury Fair Mall, The Shops at Atlas Park, Fashion Outlets of Niagara, FlatIron Crossing, Green Acres Mall and Green Acres Commons. On October 26, 2021, the Company’s joint venture closed a $65 million, five-year loan, including extension options, that bears interest at LIBOR plus 4.15% to refinance The Shops at Atlas Park, which replaced a $67.5 million loan on the property. The Company’s joint venture in FlatIron Crossing is currently negotiating a commitment for a new five-year $200 million loan to replace the existing $198.2 million loan on the property. (See "Financing Activities" in Management's Overview and Summary).</w:t>
      </w:r>
    </w:p>
    <w:p>
      <w:pPr>
        <w:spacing w:after="0" w:line="83" w:lineRule="exact"/>
        <w:rPr>
          <w:sz w:val="20"/>
          <w:szCs w:val="20"/>
          <w:color w:val="auto"/>
        </w:rPr>
      </w:pPr>
    </w:p>
    <w:p>
      <w:pPr>
        <w:ind w:right="20" w:firstLine="297"/>
        <w:spacing w:after="0" w:line="276" w:lineRule="auto"/>
        <w:rPr>
          <w:sz w:val="20"/>
          <w:szCs w:val="20"/>
          <w:color w:val="auto"/>
        </w:rPr>
      </w:pPr>
      <w:r>
        <w:rPr>
          <w:rFonts w:ascii="Arial" w:cs="Arial" w:eastAsia="Arial" w:hAnsi="Arial"/>
          <w:sz w:val="12"/>
          <w:szCs w:val="12"/>
          <w:color w:val="auto"/>
        </w:rPr>
        <w:t>During the second quarter of 2021, the Company repaid and terminated its existing credit facility and entered into a new credit agreement, which provides for an aggregate $700 million facility, including a $525 million revolving loan facility that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4" w:name="page35"/>
    <w:bookmarkEnd w:id="3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matures on April 14, 2023, with a one-year extension option, and a $175 million term loan facility that matures on April 14, 2024. Concurrent with the closing of this credit facility, the Company repaid $985.0 million of debt (See "Liquidity and Capital Resources"). As of September 30, 2021, the balances on the term loan facility and the revolving loan facility were $0 and $130.0 million (less the amount of unamortized deferred financing costs of $15.7 million), respectively.</w:t>
      </w:r>
    </w:p>
    <w:p>
      <w:pPr>
        <w:spacing w:after="0" w:line="68"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Rising interest rates could increase the cost of the Company’s borrowings due to its outstanding floating-rate debt and lead to higher interest rates on new fixed-rate debt.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In today’s interest rate environment, the swap agreements that the Company had entered into resulted in increases in interest expense. Those swap agreements expired on September 30, 2021 and have not been renewed by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Three Months Ended September 30, 2021 and 2020</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Revenues:</w:t>
      </w:r>
    </w:p>
    <w:p>
      <w:pPr>
        <w:spacing w:after="0" w:line="96" w:lineRule="exact"/>
        <w:rPr>
          <w:sz w:val="20"/>
          <w:szCs w:val="20"/>
          <w:color w:val="auto"/>
        </w:rPr>
      </w:pPr>
    </w:p>
    <w:p>
      <w:pPr>
        <w:ind w:right="60" w:firstLine="297"/>
        <w:spacing w:after="0" w:line="283" w:lineRule="auto"/>
        <w:rPr>
          <w:sz w:val="20"/>
          <w:szCs w:val="20"/>
          <w:color w:val="auto"/>
        </w:rPr>
      </w:pPr>
      <w:r>
        <w:rPr>
          <w:rFonts w:ascii="Arial" w:cs="Arial" w:eastAsia="Arial" w:hAnsi="Arial"/>
          <w:sz w:val="11"/>
          <w:szCs w:val="11"/>
          <w:color w:val="auto"/>
        </w:rPr>
        <w:t>Leasing revenue increased by $21.6 million, or 12.3%, from 2020 to 2021. The increase in leasing revenue is attributed to increases of $16.2 million from the Same Centers and $6.3 million from the JV Transition Centers offset in part by a decrease of $0.9 million from the Disposition Properties. Leasing revenue includes the amortization of above and below-market leases, the amortization of straight-line rents, lease termination income, percentage rent and the provision for bad debts. The amortization of above and below-market leases was $0.6 million for both 2020 and 2021. The amortization of straight-line rents decreased from $5.5 million in 2020 to $(2.6) million in 2021. Lease termination income increased from $4.3 million in 2020 to $8.9 million in 2021. Percentage rent increased from $2.8 million in 2020 to $13.7 million in 2021. Provision for bad debts decreased from $10.6 million in 2020 to $1.6 million in 2021. The increase in leasing revenue and decrease in bad debt at the Same Centers is primarily the result of all Centers being opened in 2021 compared to some Centers being closed for all or a portion of the third quarter of 2020 and an increase in tenant sales to pre-COVID 2019 levels (See "Other Transactions and Events" in Management's Overview and Summary).</w:t>
      </w:r>
    </w:p>
    <w:p>
      <w:pPr>
        <w:spacing w:after="0" w:line="68" w:lineRule="exact"/>
        <w:rPr>
          <w:sz w:val="20"/>
          <w:szCs w:val="20"/>
          <w:color w:val="auto"/>
        </w:rPr>
      </w:pPr>
    </w:p>
    <w:p>
      <w:pPr>
        <w:ind w:left="280" w:right="2440" w:hanging="26"/>
        <w:spacing w:after="0" w:line="490" w:lineRule="auto"/>
        <w:rPr>
          <w:sz w:val="20"/>
          <w:szCs w:val="20"/>
          <w:color w:val="auto"/>
        </w:rPr>
      </w:pPr>
      <w:r>
        <w:rPr>
          <w:rFonts w:ascii="Arial" w:cs="Arial" w:eastAsia="Arial" w:hAnsi="Arial"/>
          <w:sz w:val="12"/>
          <w:szCs w:val="12"/>
          <w:color w:val="auto"/>
        </w:rPr>
        <w:t xml:space="preserve">Other income increased from $4.3 million in 2020 to $8.2 million in 2021. This is primarily due to increased parking garage income resulting from increased traffic at the Centers. Management Companies' revenue increased from $6.0 million in 2020 to $6.8 million in 2021. </w:t>
      </w:r>
      <w:r>
        <w:rPr>
          <w:rFonts w:ascii="Arial" w:cs="Arial" w:eastAsia="Arial" w:hAnsi="Arial"/>
          <w:sz w:val="12"/>
          <w:szCs w:val="12"/>
          <w:i w:val="1"/>
          <w:iCs w:val="1"/>
          <w:color w:val="auto"/>
        </w:rPr>
        <w:t>Shopping Center and Operating Expenses:</w:t>
      </w:r>
    </w:p>
    <w:p>
      <w:pPr>
        <w:spacing w:after="0" w:line="157" w:lineRule="exact"/>
        <w:rPr>
          <w:sz w:val="20"/>
          <w:szCs w:val="20"/>
          <w:color w:val="auto"/>
        </w:rPr>
      </w:pPr>
    </w:p>
    <w:p>
      <w:pPr>
        <w:ind w:right="240" w:firstLine="297"/>
        <w:spacing w:after="0" w:line="263" w:lineRule="auto"/>
        <w:rPr>
          <w:sz w:val="20"/>
          <w:szCs w:val="20"/>
          <w:color w:val="auto"/>
        </w:rPr>
      </w:pPr>
      <w:r>
        <w:rPr>
          <w:rFonts w:ascii="Arial" w:cs="Arial" w:eastAsia="Arial" w:hAnsi="Arial"/>
          <w:sz w:val="12"/>
          <w:szCs w:val="12"/>
          <w:color w:val="auto"/>
        </w:rPr>
        <w:t>Shopping center and operating expenses increased $6.0 million, or 9.3%, from 2020 to 2021. The increase in shopping center and operating expenses is attributed to increases of $2.1 million from the Same Centers and $5.0 million from the JV Transition Centers offset in part by a decrease of $1.1 million from the Disposition Properties. The increase in shopping center and operating expenses at the Same Centers is primarily the result of some Centers being closed for all or a portion of the third quarter of 2020 (See "Other Transactions and Events" in Management's Overview and Summary).</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Leasing Expenses: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Leasing expenses increased from $5.5 million in 2020 to $6.2 million in 2021.</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Management Companies' Operating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Management Companies' operating expenses increased $1.6 million from 2020 to 2021.</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REIT General and Administrative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REIT general and administrative expenses was $7.6 million for both 2020 and 2021.</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Depreciation and Amortization:</w:t>
      </w:r>
    </w:p>
    <w:p>
      <w:pPr>
        <w:spacing w:after="0" w:line="96" w:lineRule="exact"/>
        <w:rPr>
          <w:sz w:val="20"/>
          <w:szCs w:val="20"/>
          <w:color w:val="auto"/>
        </w:rPr>
      </w:pPr>
    </w:p>
    <w:p>
      <w:pPr>
        <w:ind w:right="240" w:firstLine="297"/>
        <w:spacing w:after="0" w:line="276" w:lineRule="auto"/>
        <w:rPr>
          <w:sz w:val="20"/>
          <w:szCs w:val="20"/>
          <w:color w:val="auto"/>
        </w:rPr>
      </w:pPr>
      <w:r>
        <w:rPr>
          <w:rFonts w:ascii="Arial" w:cs="Arial" w:eastAsia="Arial" w:hAnsi="Arial"/>
          <w:sz w:val="12"/>
          <w:szCs w:val="12"/>
          <w:color w:val="auto"/>
        </w:rPr>
        <w:t>Depreciation and amortization decreased $3.1 million from 2020 to 2021. The decrease in depreciation and amortization is attributed to a decrease of $4.7 million from the Same Centers and $1.4 million from the Disposition Properties offset in part by an increase of $2.9 million from the JV Transition Centers.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Interest Expense:</w:t>
      </w:r>
    </w:p>
    <w:p>
      <w:pPr>
        <w:spacing w:after="0" w:line="96"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Interest expense increased $3.2 million from 2020 to 2021. The increase in interest expense is attributed to an increase of $7.8 million from the Financing Arrangement (See Note 12—Financing Arrangement in the Company's Notes to the Consolidated Financial Statements) and $1.4 million from the JV Transition Centers offset in part by decreases of $4.3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5" w:name="page36"/>
    <w:bookmarkEnd w:id="3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from the Company's revolving line of credit and $1.7 million from the Same Centers. The increase in interest expense from the Financing Arrangement is primarily due to the change in fair value of the underlying properties and the mortgage notes payable on the underlying properties.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Equity in Loss of Unconsolidated Joint Ventures:</w:t>
      </w:r>
    </w:p>
    <w:p>
      <w:pPr>
        <w:spacing w:after="0" w:line="105" w:lineRule="exact"/>
        <w:rPr>
          <w:sz w:val="20"/>
          <w:szCs w:val="20"/>
          <w:color w:val="auto"/>
        </w:rPr>
      </w:pPr>
    </w:p>
    <w:p>
      <w:pPr>
        <w:ind w:right="120" w:firstLine="297"/>
        <w:spacing w:after="0" w:line="263" w:lineRule="auto"/>
        <w:rPr>
          <w:sz w:val="20"/>
          <w:szCs w:val="20"/>
          <w:color w:val="auto"/>
        </w:rPr>
      </w:pPr>
      <w:r>
        <w:rPr>
          <w:rFonts w:ascii="Arial" w:cs="Arial" w:eastAsia="Arial" w:hAnsi="Arial"/>
          <w:sz w:val="12"/>
          <w:szCs w:val="12"/>
          <w:color w:val="auto"/>
        </w:rPr>
        <w:t>Equity in loss of unconsolidated joint ventures decreased $10.8 million from 2020 to 2021. The decrease in equity in loss of unconsolidated joint ventures is primarily due to an increase in leasing revenue, percentage rent, other income and a decrease in the provision for bad debt as a result of the Centers being opened in 2021 compared to some Centers being closed for all or a portion of the third quarter of 2020 (See "Other Transactions and Events" in Management's Overview and Summary).</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Gain on Sale or Write Down of Assets, net:</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gain on sale or write down of assets, net increased $106.8 million from 2020 to 2021 primarily due to the sale of Tucson La Encantada (See "Dispositions" in Management's Overview and Summary).</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Net Income (Loss):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income increased $135.6 million from 2020 to 2021. The increase in net income is primarily due to the variances noted above and the sale of Tucson La Encantada.</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Funds From Operations ("FFO"):</w:t>
      </w:r>
    </w:p>
    <w:p>
      <w:pPr>
        <w:spacing w:after="0" w:line="105" w:lineRule="exact"/>
        <w:rPr>
          <w:sz w:val="20"/>
          <w:szCs w:val="20"/>
          <w:color w:val="auto"/>
        </w:rPr>
      </w:pPr>
    </w:p>
    <w:p>
      <w:pPr>
        <w:ind w:right="200" w:firstLine="297"/>
        <w:spacing w:after="0" w:line="259" w:lineRule="auto"/>
        <w:rPr>
          <w:sz w:val="20"/>
          <w:szCs w:val="20"/>
          <w:color w:val="auto"/>
        </w:rPr>
      </w:pPr>
      <w:r>
        <w:rPr>
          <w:rFonts w:ascii="Arial" w:cs="Arial" w:eastAsia="Arial" w:hAnsi="Arial"/>
          <w:sz w:val="12"/>
          <w:szCs w:val="12"/>
          <w:color w:val="auto"/>
        </w:rPr>
        <w:t>Primarily as a result of the factors mentioned above, FFO attributable to common stockholders and unit holders—diluted, excluding financing expense in connection with Chandler Freehold and loss on extinguishment of debt increased 21.6% from $83.4 million in 2020 to $101.4 million in 2021. For a reconciliation of net income (loss)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Nine Months Ended September 30, 2021 and 2020</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Revenues:</w:t>
      </w:r>
    </w:p>
    <w:p>
      <w:pPr>
        <w:spacing w:after="0" w:line="105"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Leasing revenue increased by $18.7 million, or 3.4%, from 2020 to 2021. The increase in leasing revenue is attributed to increases of $24.0 million from the JV Transition Centers offset in part by decreases of $2.1 million from the Same Centers and $3.2 million from the Disposition Properties. Leasing revenue includes the amortization of above and below-market leases, the amortization of straight-line rents, lease termination income, percentage rent and the provision for bad debts. The amortization of above and below-market leases increased from $1.4 million in 2020 to $1.6 million in 2021. Straight-line rents increased from $5.9 million in 2020 to $8.2 million in 2021. Lease termination income increased from $7.0 million in 2020 to $16.9 million in 2021. Percentage rent increased from $6.5 million in 2020 to $31.0 million in 2021. Provision for bad debts decreased from $39.2 million in 2020 to a recovery of $(4.3) million in 2021.</w:t>
      </w:r>
    </w:p>
    <w:p>
      <w:pPr>
        <w:spacing w:after="0" w:line="83" w:lineRule="exact"/>
        <w:rPr>
          <w:sz w:val="20"/>
          <w:szCs w:val="20"/>
          <w:color w:val="auto"/>
        </w:rPr>
      </w:pPr>
    </w:p>
    <w:p>
      <w:pPr>
        <w:ind w:right="40" w:firstLine="270"/>
        <w:spacing w:after="0" w:line="276" w:lineRule="auto"/>
        <w:rPr>
          <w:sz w:val="20"/>
          <w:szCs w:val="20"/>
          <w:color w:val="auto"/>
        </w:rPr>
      </w:pPr>
      <w:r>
        <w:rPr>
          <w:rFonts w:ascii="Arial" w:cs="Arial" w:eastAsia="Arial" w:hAnsi="Arial"/>
          <w:sz w:val="12"/>
          <w:szCs w:val="12"/>
          <w:color w:val="auto"/>
        </w:rPr>
        <w:t>Other income increased from $16.6 million in 2020 to $25.4 million in 2021. This increase is primarily due to increased parking garage income resulting from increased traffic at the Centers in 2021 compared to 2020 (See "Other Transactions and Events" in Management's Overview and Summary).</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Management Companies' revenue decreased from $19.8 million in 2020 to $19.0 million in 2021 due to a decrease in management fees and development fees.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Shopping Center and Operating Expenses:</w:t>
      </w:r>
    </w:p>
    <w:p>
      <w:pPr>
        <w:spacing w:after="0" w:line="105"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Shopping center and operating expenses increased $22.0 million, or 11.4%, from 2020 to 2021. The increase in shopping center and operating expenses is attributed to increases of $14.2 million from the JV Transition Centers and $9.7 million from the Same Centers. The increase in shopping center and operating expenses at the Same Centers is primarily the result of some Centers being closed for all or a portion of the third quarter of 2020 (See "Other Transactions and Events" in Management's Overview and Summary).</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Leasing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Leasing expenses decreased from $19.6 million in 2020 to $18.0 million in 2021 due to a decrease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6" w:name="page37"/>
    <w:bookmarkEnd w:id="3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Management Companies' Operating Expenses: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Management Companies' operating expenses decreased $1.2 million from 2020 to 2021 due to a decrease in compensation expense.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REIT General and Administrative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REIT general and administrative expenses decreased $0.3 million from 2020 to 2021.</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Depreciation and Amortization:</w:t>
      </w:r>
    </w:p>
    <w:p>
      <w:pPr>
        <w:spacing w:after="0" w:line="105" w:lineRule="exact"/>
        <w:rPr>
          <w:sz w:val="20"/>
          <w:szCs w:val="20"/>
          <w:color w:val="auto"/>
        </w:rPr>
      </w:pPr>
    </w:p>
    <w:p>
      <w:pPr>
        <w:ind w:right="220" w:firstLine="297"/>
        <w:spacing w:after="0" w:line="276" w:lineRule="auto"/>
        <w:rPr>
          <w:sz w:val="20"/>
          <w:szCs w:val="20"/>
          <w:color w:val="auto"/>
        </w:rPr>
      </w:pPr>
      <w:r>
        <w:rPr>
          <w:rFonts w:ascii="Arial" w:cs="Arial" w:eastAsia="Arial" w:hAnsi="Arial"/>
          <w:sz w:val="12"/>
          <w:szCs w:val="12"/>
          <w:color w:val="auto"/>
        </w:rPr>
        <w:t>Depreciation and amortization decreased $9.6 million from 2020 to 2021. The decrease in depreciation and amortization is attributed to decreases of $16.4 million from the Same Centers and $2.8 million from the Disposition Properties offset in part by an increase of $8.9 million from the JV Transition Centers.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Interest Expense:</w:t>
      </w:r>
    </w:p>
    <w:p>
      <w:pPr>
        <w:spacing w:after="0" w:line="96" w:lineRule="exact"/>
        <w:rPr>
          <w:sz w:val="20"/>
          <w:szCs w:val="20"/>
          <w:color w:val="auto"/>
        </w:rPr>
      </w:pPr>
    </w:p>
    <w:p>
      <w:pPr>
        <w:ind w:right="260" w:firstLine="297"/>
        <w:spacing w:after="0" w:line="298" w:lineRule="auto"/>
        <w:rPr>
          <w:sz w:val="20"/>
          <w:szCs w:val="20"/>
          <w:color w:val="auto"/>
        </w:rPr>
      </w:pPr>
      <w:r>
        <w:rPr>
          <w:rFonts w:ascii="Arial" w:cs="Arial" w:eastAsia="Arial" w:hAnsi="Arial"/>
          <w:sz w:val="11"/>
          <w:szCs w:val="11"/>
          <w:color w:val="auto"/>
        </w:rPr>
        <w:t>Interest expense increased $83.9 million from 2020 to 2021. The increase in interest expense was attributed to an increase of $89.1 million from the Financing Arrangement (See Note 12—Financing Arrangement in the Company's Notes to the Consolidated Financial Statements) and $4.7 million from the JV Transition Centers offset in part by decreases of $5.1 million from the Same Centers and $4.8 million from the Company's revolving line of credit. The increase in interest expense from the Financing Arrangement is primarily due to the change in fair value of the underlying properties and the mortgage notes payable on the underlying properties.</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Equity in Income (Loss) of Unconsolidated Joint Ventures:</w:t>
      </w:r>
    </w:p>
    <w:p>
      <w:pPr>
        <w:spacing w:after="0" w:line="105" w:lineRule="exact"/>
        <w:rPr>
          <w:sz w:val="20"/>
          <w:szCs w:val="20"/>
          <w:color w:val="auto"/>
        </w:rPr>
      </w:pPr>
    </w:p>
    <w:p>
      <w:pPr>
        <w:ind w:right="120" w:firstLine="297"/>
        <w:spacing w:after="0" w:line="276" w:lineRule="auto"/>
        <w:rPr>
          <w:sz w:val="20"/>
          <w:szCs w:val="20"/>
          <w:color w:val="auto"/>
        </w:rPr>
      </w:pPr>
      <w:r>
        <w:rPr>
          <w:rFonts w:ascii="Arial" w:cs="Arial" w:eastAsia="Arial" w:hAnsi="Arial"/>
          <w:sz w:val="12"/>
          <w:szCs w:val="12"/>
          <w:color w:val="auto"/>
        </w:rPr>
        <w:t>Equity in income (loss) of unconsolidated joint ventures increased $37.2 million from 2020 to 2021. The increase in equity in income (loss) of unconsolidated joint ventures is primarily due to a decrease in the provision for bad debts and an increase in percentage rent in 2021 compared to 2020.</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Gain (Loss) on Sale or Write Down of Assets, net:</w:t>
      </w:r>
    </w:p>
    <w:p>
      <w:pPr>
        <w:spacing w:after="0" w:line="105"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Gain (Loss) on sale or write down of assets, net increased from a loss of $28.8 million in 2020 to a gain of $93.4 million in 2021. The increase is primarily due to the $36.7 million of impairment losses on Wilton Mall and Paradise Valley Mall in 2020 and $117.2 million gain on the sale of Tucson La Encantada in 2021 offset in part by the sale and impairment loss of $41.6 million on Estrella Falls in 2021. The impairment losses were due to the reduction in the estimated holding periods of the properties (See "Dispositions" in Management's Overview and Summary).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Net Income (Loss):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income increased $81.8 million from 2020 to 2021. The increase in net income is primarily due to the variances noted above.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Funds From Operations ("FFO"):</w:t>
      </w:r>
    </w:p>
    <w:p>
      <w:pPr>
        <w:spacing w:after="0" w:line="105" w:lineRule="exact"/>
        <w:rPr>
          <w:sz w:val="20"/>
          <w:szCs w:val="20"/>
          <w:color w:val="auto"/>
        </w:rPr>
      </w:pPr>
    </w:p>
    <w:p>
      <w:pPr>
        <w:ind w:right="200" w:firstLine="297"/>
        <w:spacing w:after="0" w:line="259" w:lineRule="auto"/>
        <w:rPr>
          <w:sz w:val="20"/>
          <w:szCs w:val="20"/>
          <w:color w:val="auto"/>
        </w:rPr>
      </w:pPr>
      <w:r>
        <w:rPr>
          <w:rFonts w:ascii="Arial" w:cs="Arial" w:eastAsia="Arial" w:hAnsi="Arial"/>
          <w:sz w:val="12"/>
          <w:szCs w:val="12"/>
          <w:color w:val="auto"/>
        </w:rPr>
        <w:t>Primarily as a result of the factors mentioned above, FFO attributable to common stockholders and unit holders—diluted, excluding financing expense in connection with Chandler Freehold and loss on extinguishment of debt increased 14.2% from $266.6 million in 2020 to $304.5 million in 2021. For a reconciliation of net income (loss)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Operating Activities: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provided by operating activities increased $146.5 million from 2020 to 2021. The increase is primarily due to the changes in assets and liabilities and the results, as discussed above.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Investing Activities:</w:t>
      </w:r>
    </w:p>
    <w:p>
      <w:pPr>
        <w:spacing w:after="0" w:line="105" w:lineRule="exact"/>
        <w:rPr>
          <w:sz w:val="20"/>
          <w:szCs w:val="20"/>
          <w:color w:val="auto"/>
        </w:rPr>
      </w:pPr>
    </w:p>
    <w:p>
      <w:pPr>
        <w:ind w:right="160" w:firstLine="297"/>
        <w:spacing w:after="0" w:line="323" w:lineRule="auto"/>
        <w:rPr>
          <w:sz w:val="20"/>
          <w:szCs w:val="20"/>
          <w:color w:val="auto"/>
        </w:rPr>
      </w:pPr>
      <w:r>
        <w:rPr>
          <w:rFonts w:ascii="Arial" w:cs="Arial" w:eastAsia="Arial" w:hAnsi="Arial"/>
          <w:sz w:val="11"/>
          <w:szCs w:val="11"/>
          <w:color w:val="auto"/>
        </w:rPr>
        <w:t>Cash provided by investing activities increased $378.9 million from 2020 to 2021. The increase in cash provided by investing activities is primarily attributed to an increase in proceeds from the sale of assets of $306.7 million, proceeds from notes receivable of $1.3 million, a decrease in contributions to unconsolidated joint ventures of $44.0 million and an increase of $42.8 million in distributions from unconsolidated joint ventures.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37" w:name="page38"/>
    <w:bookmarkEnd w:id="3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Financing Activities: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1"/>
          <w:szCs w:val="11"/>
          <w:color w:val="auto"/>
        </w:rPr>
        <w:t>Cash provided by financing activities decreased $1.3 billion from 2020 to 2021. The decrease in cash provided by financing activities is primarily due to decreases in proceeds from mortgages, bank and other notes payable of</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$165.0 million and an increase in payments on mortgages, bank and other notes payable of $2.0 billion offset in part by net proceeds from sales of common shares under the ATM Programs of $829.9 million and a decrease in dividends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and distributions of $50.7 million.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9" w:lineRule="exact"/>
        <w:rPr>
          <w:sz w:val="20"/>
          <w:szCs w:val="20"/>
          <w:color w:val="auto"/>
        </w:rPr>
      </w:pPr>
    </w:p>
    <w:p>
      <w:pPr>
        <w:ind w:right="60" w:firstLine="297"/>
        <w:spacing w:after="0" w:line="263" w:lineRule="auto"/>
        <w:rPr>
          <w:sz w:val="20"/>
          <w:szCs w:val="20"/>
          <w:color w:val="auto"/>
        </w:rPr>
      </w:pPr>
      <w:r>
        <w:rPr>
          <w:rFonts w:ascii="Arial" w:cs="Arial" w:eastAsia="Arial" w:hAnsi="Arial"/>
          <w:sz w:val="12"/>
          <w:szCs w:val="12"/>
          <w:color w:val="auto"/>
        </w:rPr>
        <w:t>The Company has historically met its liquidity needs for its operating expenses, debt service and dividend requirements for the next twelve months through cash generated from operations, distributions from unconsolidated joint ventures, working capital reserves and/or borrowings under its line of credit. Following the uncertain environment brought about by COVID-19, the Company took a number of previously disclosed measures to enhance its liquidity position over the short-term, but currently anticipates meeting its liquidity needs as it has done historically.</w:t>
      </w:r>
    </w:p>
    <w:p>
      <w:pPr>
        <w:spacing w:after="0" w:line="32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summarize capital expenditures incurred at the Centers (at the Company's pro rata share):</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23"/>
        </w:trPr>
        <w:tc>
          <w:tcPr>
            <w:tcW w:w="576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0"/>
                <w:szCs w:val="10"/>
                <w:b w:val="1"/>
                <w:bCs w:val="1"/>
                <w:color w:val="auto"/>
                <w:w w:val="95"/>
              </w:rPr>
              <w:t>For the Nine Months Ended September 30,</w:t>
            </w:r>
          </w:p>
        </w:tc>
      </w:tr>
      <w:tr>
        <w:trPr>
          <w:trHeight w:val="122"/>
        </w:trPr>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0"/>
                <w:szCs w:val="10"/>
                <w:b w:val="1"/>
                <w:bCs w:val="1"/>
                <w:color w:val="auto"/>
              </w:rPr>
              <w:t>(Dollars in thousands)</w:t>
            </w: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2020</w:t>
            </w:r>
          </w:p>
        </w:tc>
      </w:tr>
      <w:tr>
        <w:trPr>
          <w:trHeight w:val="14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b w:val="1"/>
                <w:bCs w:val="1"/>
                <w:i w:val="1"/>
                <w:iCs w:val="1"/>
                <w:color w:val="auto"/>
              </w:rPr>
              <w:t>Consolidated Centers:</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3"/>
        </w:trPr>
        <w:tc>
          <w:tcPr>
            <w:tcW w:w="5760" w:type="dxa"/>
            <w:vAlign w:val="bottom"/>
          </w:tcPr>
          <w:p>
            <w:pPr>
              <w:ind w:left="320"/>
              <w:spacing w:after="0"/>
              <w:rPr>
                <w:sz w:val="20"/>
                <w:szCs w:val="20"/>
                <w:color w:val="auto"/>
              </w:rPr>
            </w:pPr>
            <w:r>
              <w:rPr>
                <w:rFonts w:ascii="Arial" w:cs="Arial" w:eastAsia="Arial" w:hAnsi="Arial"/>
                <w:sz w:val="12"/>
                <w:szCs w:val="12"/>
                <w:color w:val="auto"/>
              </w:rPr>
              <w:t>Acquisitions of property, building improvement and equipment</w:t>
            </w: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13,092</w:t>
            </w: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8,852</w:t>
            </w:r>
          </w:p>
        </w:tc>
      </w:tr>
      <w:tr>
        <w:trPr>
          <w:trHeight w:val="15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Development, redevelopment, expansions and renovations of Centers</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34,678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28,120</w:t>
            </w:r>
          </w:p>
        </w:tc>
      </w:tr>
      <w:tr>
        <w:trPr>
          <w:trHeight w:val="153"/>
        </w:trPr>
        <w:tc>
          <w:tcPr>
            <w:tcW w:w="5760" w:type="dxa"/>
            <w:vAlign w:val="bottom"/>
          </w:tcPr>
          <w:p>
            <w:pPr>
              <w:ind w:left="320"/>
              <w:spacing w:after="0"/>
              <w:rPr>
                <w:sz w:val="20"/>
                <w:szCs w:val="20"/>
                <w:color w:val="auto"/>
              </w:rPr>
            </w:pPr>
            <w:r>
              <w:rPr>
                <w:rFonts w:ascii="Arial" w:cs="Arial" w:eastAsia="Arial" w:hAnsi="Arial"/>
                <w:sz w:val="12"/>
                <w:szCs w:val="12"/>
                <w:color w:val="auto"/>
              </w:rPr>
              <w:t>Tenant allowances</w:t>
            </w:r>
          </w:p>
        </w:tc>
        <w:tc>
          <w:tcPr>
            <w:tcW w:w="5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13,445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8,182</w:t>
            </w:r>
          </w:p>
        </w:tc>
      </w:tr>
      <w:tr>
        <w:trPr>
          <w:trHeight w:val="15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leasing charges</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1,956</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2,162</w:t>
            </w:r>
          </w:p>
        </w:tc>
      </w:tr>
      <w:tr>
        <w:trPr>
          <w:trHeight w:val="158"/>
        </w:trPr>
        <w:tc>
          <w:tcPr>
            <w:tcW w:w="57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63,171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47,316</w:t>
            </w:r>
          </w:p>
        </w:tc>
      </w:tr>
      <w:tr>
        <w:trPr>
          <w:trHeight w:val="15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b w:val="1"/>
                <w:bCs w:val="1"/>
                <w:i w:val="1"/>
                <w:iCs w:val="1"/>
                <w:color w:val="auto"/>
              </w:rPr>
              <w:t>Joint Venture Centers:</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3"/>
        </w:trPr>
        <w:tc>
          <w:tcPr>
            <w:tcW w:w="5760" w:type="dxa"/>
            <w:vAlign w:val="bottom"/>
          </w:tcPr>
          <w:p>
            <w:pPr>
              <w:ind w:left="320"/>
              <w:spacing w:after="0"/>
              <w:rPr>
                <w:sz w:val="20"/>
                <w:szCs w:val="20"/>
                <w:color w:val="auto"/>
              </w:rPr>
            </w:pPr>
            <w:r>
              <w:rPr>
                <w:rFonts w:ascii="Arial" w:cs="Arial" w:eastAsia="Arial" w:hAnsi="Arial"/>
                <w:sz w:val="12"/>
                <w:szCs w:val="12"/>
                <w:color w:val="auto"/>
              </w:rPr>
              <w:t>Acquisitions of property, building improvement and equipment</w:t>
            </w:r>
          </w:p>
        </w:tc>
        <w:tc>
          <w:tcPr>
            <w:tcW w:w="5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7,408</w:t>
            </w:r>
          </w:p>
        </w:tc>
        <w:tc>
          <w:tcPr>
            <w:tcW w:w="8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5,866</w:t>
            </w:r>
          </w:p>
        </w:tc>
      </w:tr>
      <w:tr>
        <w:trPr>
          <w:trHeight w:val="15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Development, redevelopment, expansions and renovations of Centers</w:t>
            </w: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41,783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86,505</w:t>
            </w:r>
          </w:p>
        </w:tc>
      </w:tr>
      <w:tr>
        <w:trPr>
          <w:trHeight w:val="153"/>
        </w:trPr>
        <w:tc>
          <w:tcPr>
            <w:tcW w:w="5760" w:type="dxa"/>
            <w:vAlign w:val="bottom"/>
          </w:tcPr>
          <w:p>
            <w:pPr>
              <w:ind w:left="320"/>
              <w:spacing w:after="0"/>
              <w:rPr>
                <w:sz w:val="20"/>
                <w:szCs w:val="20"/>
                <w:color w:val="auto"/>
              </w:rPr>
            </w:pPr>
            <w:r>
              <w:rPr>
                <w:rFonts w:ascii="Arial" w:cs="Arial" w:eastAsia="Arial" w:hAnsi="Arial"/>
                <w:sz w:val="12"/>
                <w:szCs w:val="12"/>
                <w:color w:val="auto"/>
              </w:rPr>
              <w:t>Tenant allowances</w:t>
            </w:r>
          </w:p>
        </w:tc>
        <w:tc>
          <w:tcPr>
            <w:tcW w:w="5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6,916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1,992</w:t>
            </w:r>
          </w:p>
        </w:tc>
      </w:tr>
      <w:tr>
        <w:trPr>
          <w:trHeight w:val="153"/>
        </w:trPr>
        <w:tc>
          <w:tcPr>
            <w:tcW w:w="5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leasing charges</w:t>
            </w: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2,065</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1,245</w:t>
            </w:r>
          </w:p>
        </w:tc>
      </w:tr>
      <w:tr>
        <w:trPr>
          <w:trHeight w:val="142"/>
        </w:trPr>
        <w:tc>
          <w:tcPr>
            <w:tcW w:w="5760" w:type="dxa"/>
            <w:vAlign w:val="bottom"/>
          </w:tcPr>
          <w:p>
            <w:pPr>
              <w:spacing w:after="0"/>
              <w:rPr>
                <w:sz w:val="12"/>
                <w:szCs w:val="12"/>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58,172</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95,608</w:t>
            </w:r>
          </w:p>
        </w:tc>
      </w:tr>
      <w:tr>
        <w:trPr>
          <w:trHeight w:val="20"/>
        </w:trPr>
        <w:tc>
          <w:tcPr>
            <w:tcW w:w="5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The Company expects amounts to be incurred during the next twelve months for tenant allowances and deferred leasing charges to be less than or comparable to 2021. The Company expects to incur less than $20.0 million during the remaining period of 2021 for development, redevelopment, expansion and renovations. This excludes the Company's share of the remaining development costs associated with One Westside, which is fully funded by a non-recourse construction facility. Capital for these expenditures, developments and/or redevelopments has been, and is expected to continue to be, obtained from a combination of cash on hand, debt financings, which are expected to include borrowings under the Company's line of credit, from property financings and construction loans, each to the extent available.</w:t>
      </w:r>
    </w:p>
    <w:p>
      <w:pPr>
        <w:spacing w:after="0" w:line="70"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The Company has also generated liquidity in the past, and may continue to do so in the future, through equity offerings and issuances, property refinancings, joint venture transactions and the sale of non-core assets.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77" w:lineRule="exact"/>
        <w:rPr>
          <w:sz w:val="20"/>
          <w:szCs w:val="20"/>
          <w:color w:val="auto"/>
        </w:rPr>
      </w:pPr>
    </w:p>
    <w:p>
      <w:pPr>
        <w:ind w:right="40" w:firstLine="297"/>
        <w:spacing w:after="0" w:line="263" w:lineRule="auto"/>
        <w:rPr>
          <w:sz w:val="20"/>
          <w:szCs w:val="20"/>
          <w:color w:val="auto"/>
        </w:rPr>
      </w:pPr>
      <w:r>
        <w:rPr>
          <w:rFonts w:ascii="Arial" w:cs="Arial" w:eastAsia="Arial" w:hAnsi="Arial"/>
          <w:sz w:val="12"/>
          <w:szCs w:val="12"/>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The following table sets forth certain information with respect to issuances made under each of the ATM Programs as of September 30, 2021.</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FF"/>
            </w:tcBorders>
          </w:tcPr>
          <w:p>
            <w:pPr>
              <w:spacing w:after="0"/>
              <w:rPr>
                <w:rFonts w:ascii="Arial" w:cs="Arial" w:eastAsia="Arial" w:hAnsi="Arial"/>
                <w:sz w:val="10"/>
                <w:szCs w:val="10"/>
                <w:color w:val="0000FF"/>
                <w:w w:val="83"/>
              </w:rPr>
            </w:pPr>
            <w:hyperlink w:anchor="page1">
              <w:r>
                <w:rPr>
                  <w:rFonts w:ascii="Arial" w:cs="Arial" w:eastAsia="Arial" w:hAnsi="Arial"/>
                  <w:sz w:val="10"/>
                  <w:szCs w:val="10"/>
                  <w:color w:val="0000FF"/>
                  <w:w w:val="83"/>
                </w:rPr>
                <w:t>Table of Contents</w:t>
              </w:r>
            </w:hyperlink>
          </w:p>
        </w:tc>
        <w:tc>
          <w:tcPr>
            <w:tcW w:w="26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638"/>
        </w:trPr>
        <w:tc>
          <w:tcPr>
            <w:tcW w:w="3320" w:type="dxa"/>
            <w:vAlign w:val="bottom"/>
            <w:gridSpan w:val="2"/>
          </w:tcPr>
          <w:p>
            <w:pPr>
              <w:ind w:left="20"/>
              <w:spacing w:after="0"/>
              <w:rPr>
                <w:sz w:val="20"/>
                <w:szCs w:val="20"/>
                <w:color w:val="auto"/>
              </w:rPr>
            </w:pPr>
            <w:r>
              <w:rPr>
                <w:rFonts w:ascii="Arial" w:cs="Arial" w:eastAsia="Arial" w:hAnsi="Arial"/>
                <w:sz w:val="10"/>
                <w:szCs w:val="10"/>
                <w:b w:val="1"/>
                <w:bCs w:val="1"/>
                <w:color w:val="auto"/>
              </w:rPr>
              <w:t>(Dollars and shares in thousands)</w:t>
            </w: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1"/>
              </w:rPr>
              <w:t>February 2021 ATM Program</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6"/>
              </w:rPr>
              <w:t>March 2021 ATM Program</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22"/>
        </w:trPr>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b w:val="1"/>
                <w:bCs w:val="1"/>
                <w:color w:val="auto"/>
              </w:rPr>
              <w:t>For the Three Months Ended:</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92"/>
              </w:rPr>
              <w:t>Number of Shares Issued</w:t>
            </w: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Net Proceeds</w:t>
            </w: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w w:val="88"/>
              </w:rPr>
              <w:t>Sales Commissions</w:t>
            </w:r>
          </w:p>
        </w:tc>
        <w:tc>
          <w:tcPr>
            <w:tcW w:w="12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91"/>
              </w:rPr>
              <w:t>Number of Shares Issued</w:t>
            </w: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Net Proceeds</w:t>
            </w: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w w:val="86"/>
              </w:rPr>
              <w:t>Sales Commissions</w:t>
            </w:r>
          </w:p>
        </w:tc>
      </w:tr>
      <w:tr>
        <w:trPr>
          <w:trHeight w:val="143"/>
        </w:trPr>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36,001</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477,283</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9,746</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9,991</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119,724</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2,449</w:t>
            </w:r>
          </w:p>
        </w:tc>
      </w:tr>
      <w:tr>
        <w:trPr>
          <w:trHeight w:val="153"/>
        </w:trPr>
        <w:tc>
          <w:tcPr>
            <w:tcW w:w="3320" w:type="dxa"/>
            <w:vAlign w:val="bottom"/>
            <w:gridSpan w:val="2"/>
          </w:tcPr>
          <w:p>
            <w:pPr>
              <w:spacing w:after="0"/>
              <w:rPr>
                <w:sz w:val="20"/>
                <w:szCs w:val="20"/>
                <w:color w:val="auto"/>
              </w:rPr>
            </w:pPr>
            <w:r>
              <w:rPr>
                <w:rFonts w:ascii="Arial" w:cs="Arial" w:eastAsia="Arial" w:hAnsi="Arial"/>
                <w:sz w:val="12"/>
                <w:szCs w:val="12"/>
                <w:color w:val="auto"/>
              </w:rPr>
              <w:t>June 30, 2021</w:t>
            </w:r>
          </w:p>
        </w:tc>
        <w:tc>
          <w:tcPr>
            <w:tcW w:w="1240" w:type="dxa"/>
            <w:vAlign w:val="bottom"/>
          </w:tcPr>
          <w:p>
            <w:pPr>
              <w:jc w:val="right"/>
              <w:spacing w:after="0"/>
              <w:rPr>
                <w:sz w:val="20"/>
                <w:szCs w:val="20"/>
                <w:color w:val="auto"/>
              </w:rPr>
            </w:pPr>
            <w:r>
              <w:rPr>
                <w:rFonts w:ascii="Arial" w:cs="Arial" w:eastAsia="Arial" w:hAnsi="Arial"/>
                <w:sz w:val="12"/>
                <w:szCs w:val="12"/>
                <w:color w:val="auto"/>
              </w:rPr>
              <w:t>686</w:t>
            </w:r>
          </w:p>
        </w:tc>
        <w:tc>
          <w:tcPr>
            <w:tcW w:w="240" w:type="dxa"/>
            <w:vAlign w:val="bottom"/>
          </w:tcPr>
          <w:p>
            <w:pPr>
              <w:jc w:val="right"/>
              <w:ind w:right="103"/>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12,269</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254</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13,229</w:t>
            </w:r>
          </w:p>
        </w:tc>
        <w:tc>
          <w:tcPr>
            <w:tcW w:w="2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182,149</w:t>
            </w:r>
          </w:p>
        </w:tc>
        <w:tc>
          <w:tcPr>
            <w:tcW w:w="1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3,719</w:t>
            </w:r>
          </w:p>
        </w:tc>
      </w:tr>
      <w:tr>
        <w:trPr>
          <w:trHeight w:val="153"/>
        </w:trPr>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30, 2021</w:t>
            </w:r>
          </w:p>
        </w:tc>
        <w:tc>
          <w:tcPr>
            <w:tcW w:w="1480" w:type="dxa"/>
            <w:vAlign w:val="bottom"/>
            <w:gridSpan w:val="2"/>
            <w:shd w:val="clear" w:color="auto" w:fill="CCEEFF"/>
          </w:tcPr>
          <w:p>
            <w:pPr>
              <w:jc w:val="right"/>
              <w:ind w:right="103"/>
              <w:spacing w:after="0"/>
              <w:rPr>
                <w:sz w:val="20"/>
                <w:szCs w:val="20"/>
                <w:color w:val="auto"/>
              </w:rPr>
            </w:pPr>
            <w:r>
              <w:rPr>
                <w:rFonts w:ascii="Arial" w:cs="Arial" w:eastAsia="Arial" w:hAnsi="Arial"/>
                <w:sz w:val="12"/>
                <w:szCs w:val="12"/>
                <w:color w:val="auto"/>
              </w:rPr>
              <w:t>— $</w:t>
            </w:r>
          </w:p>
        </w:tc>
        <w:tc>
          <w:tcPr>
            <w:tcW w:w="120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 $</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38,449</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787</w:t>
            </w:r>
          </w:p>
        </w:tc>
      </w:tr>
      <w:tr>
        <w:trPr>
          <w:trHeight w:val="142"/>
        </w:trPr>
        <w:tc>
          <w:tcPr>
            <w:tcW w:w="3320" w:type="dxa"/>
            <w:vAlign w:val="bottom"/>
            <w:gridSpan w:val="2"/>
          </w:tcPr>
          <w:p>
            <w:pPr>
              <w:spacing w:after="0"/>
              <w:rPr>
                <w:sz w:val="20"/>
                <w:szCs w:val="20"/>
                <w:color w:val="auto"/>
              </w:rPr>
            </w:pPr>
            <w:r>
              <w:rPr>
                <w:rFonts w:ascii="Arial" w:cs="Arial" w:eastAsia="Arial" w:hAnsi="Arial"/>
                <w:sz w:val="12"/>
                <w:szCs w:val="12"/>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36,687</w:t>
            </w: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489,552</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25,342</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340,322</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6,955</w:t>
            </w:r>
          </w:p>
        </w:tc>
      </w:tr>
      <w:tr>
        <w:trPr>
          <w:trHeight w:val="20"/>
        </w:trPr>
        <w:tc>
          <w:tcPr>
            <w:tcW w:w="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As of September 30, 2021, the Company had approximately $152.1 million of gross sales of its common stock available under the March 2021 ATM Program. The February 2021 ATM Program was fully utilized as of June 30, 2021 and is no longer active.</w:t>
      </w:r>
    </w:p>
    <w:p>
      <w:pPr>
        <w:spacing w:after="0" w:line="70" w:lineRule="exact"/>
        <w:rPr>
          <w:sz w:val="20"/>
          <w:szCs w:val="20"/>
          <w:color w:val="auto"/>
        </w:rPr>
      </w:pPr>
    </w:p>
    <w:p>
      <w:pPr>
        <w:ind w:right="20" w:firstLine="297"/>
        <w:spacing w:after="0" w:line="263" w:lineRule="auto"/>
        <w:rPr>
          <w:sz w:val="20"/>
          <w:szCs w:val="20"/>
          <w:color w:val="auto"/>
        </w:rPr>
      </w:pPr>
      <w:r>
        <w:rPr>
          <w:rFonts w:ascii="Arial" w:cs="Arial" w:eastAsia="Arial" w:hAnsi="Arial"/>
          <w:sz w:val="12"/>
          <w:szCs w:val="12"/>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as a result of COVID-19 or other factors. Many factors impact the Company's ability to access capital, such as its overall debt level, interest rates, interest coverage ratios and prevailing market conditions. Increases in the Company's proportion of floating rate debt will cause it to be subject to interest rate fluctuations in the future.</w:t>
      </w:r>
    </w:p>
    <w:p>
      <w:pPr>
        <w:spacing w:after="0" w:line="68" w:lineRule="exact"/>
        <w:rPr>
          <w:sz w:val="20"/>
          <w:szCs w:val="20"/>
          <w:color w:val="auto"/>
        </w:rPr>
      </w:pPr>
    </w:p>
    <w:p>
      <w:pPr>
        <w:ind w:firstLine="297"/>
        <w:spacing w:after="0" w:line="263" w:lineRule="auto"/>
        <w:rPr>
          <w:sz w:val="20"/>
          <w:szCs w:val="20"/>
          <w:color w:val="auto"/>
        </w:rPr>
      </w:pPr>
      <w:r>
        <w:rPr>
          <w:rFonts w:ascii="Arial" w:cs="Arial" w:eastAsia="Arial" w:hAnsi="Arial"/>
          <w:sz w:val="12"/>
          <w:szCs w:val="12"/>
          <w:color w:val="auto"/>
        </w:rPr>
        <w:t>The Company's total outstanding loan indebtedness, which includes mortgages and other notes payable, at September 30, 2021 was $7.2 billion (consisting of $4.5 billion of consolidated debt, less $456.8 million of noncontrolling interests, plus $3.1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77" w:lineRule="exact"/>
        <w:rPr>
          <w:sz w:val="20"/>
          <w:szCs w:val="20"/>
          <w:color w:val="auto"/>
        </w:rPr>
      </w:pPr>
    </w:p>
    <w:p>
      <w:pPr>
        <w:ind w:right="100" w:firstLine="297"/>
        <w:spacing w:after="0" w:line="256" w:lineRule="auto"/>
        <w:rPr>
          <w:sz w:val="20"/>
          <w:szCs w:val="20"/>
          <w:color w:val="auto"/>
        </w:rPr>
      </w:pPr>
      <w:r>
        <w:rPr>
          <w:rFonts w:ascii="Arial" w:cs="Arial" w:eastAsia="Arial" w:hAnsi="Arial"/>
          <w:sz w:val="12"/>
          <w:szCs w:val="12"/>
          <w:color w:val="auto"/>
        </w:rPr>
        <w:t>Given the continued disruption and uncertainties from COVID-19 and the related impacts on the capital markets, the Company has secured extensions of term from one to three years of its near-term maturing non-recourse mortgage loans totaling an aggregate of approximately $950 million on Danbury Fair Mall, The Shops at Atlas Park, Fashion Outlets of Niagara, FlatIron Crossing, Green Acres Mall and Green Acres Commons. On October 26, 2021, the Company’s joint venture closed a $65 million, five-year loan, including extension options, that bears interest at LIBOR plus 4.15% to refinance The Shops at Atlas Park, which replaced a $67.5 million loan on the property. The Company’s joint venture in FlatIron Crossing is currently negotiating a commitment for a new five-year $200 million loan to replace the existing $198.2 million loan on the property (See “Financing Activities” in Management’s Overview and Summary).</w:t>
      </w:r>
    </w:p>
    <w:p>
      <w:pPr>
        <w:spacing w:after="0" w:line="83"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74" w:lineRule="exact"/>
        <w:rPr>
          <w:sz w:val="20"/>
          <w:szCs w:val="20"/>
          <w:color w:val="auto"/>
        </w:rPr>
      </w:pPr>
    </w:p>
    <w:p>
      <w:pPr>
        <w:ind w:right="80" w:firstLine="297"/>
        <w:spacing w:after="0" w:line="263" w:lineRule="auto"/>
        <w:rPr>
          <w:sz w:val="20"/>
          <w:szCs w:val="20"/>
          <w:color w:val="auto"/>
        </w:rPr>
      </w:pPr>
      <w:r>
        <w:rPr>
          <w:rFonts w:ascii="Arial" w:cs="Arial" w:eastAsia="Arial" w:hAnsi="Arial"/>
          <w:sz w:val="12"/>
          <w:szCs w:val="12"/>
          <w:color w:val="auto"/>
        </w:rPr>
        <w:t>On March 29, 2021, the Company sold Paradise Valley Mall to a newly formed joint venture for $100 million. Concurrent with the sale, the Company elected to reinvest into the joint venture at a 5% ownership interest. The Company received $95.3 million of net proceeds. On September 17, 2021, the Company sold Tucson La Encantada in Tucson, Arizona for $165.3 million. The Company received $100.1 million of net cash proceeds which was used to repay debt (See “Dispositions” in Management’s Overview and Summary).</w:t>
      </w:r>
    </w:p>
    <w:p>
      <w:pPr>
        <w:spacing w:after="0" w:line="77" w:lineRule="exact"/>
        <w:rPr>
          <w:sz w:val="20"/>
          <w:szCs w:val="20"/>
          <w:color w:val="auto"/>
        </w:rPr>
      </w:pPr>
    </w:p>
    <w:p>
      <w:pPr>
        <w:ind w:right="140" w:firstLine="297"/>
        <w:spacing w:after="0" w:line="255" w:lineRule="auto"/>
        <w:rPr>
          <w:sz w:val="20"/>
          <w:szCs w:val="20"/>
          <w:color w:val="auto"/>
        </w:rPr>
      </w:pPr>
      <w:r>
        <w:rPr>
          <w:rFonts w:ascii="Arial" w:cs="Arial" w:eastAsia="Arial" w:hAnsi="Arial"/>
          <w:sz w:val="12"/>
          <w:szCs w:val="12"/>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revolving loan facility can be expanded up to $800 million, subject to receipt of lender commitments and other conditions. All obligations under the facility are guaranteed unconditionally by the Company and are secured in the form of mortgages on certain wholly-owned assets and pledges of equity interests held by certain of the Company’s subsidiaries. The new credit facility bears interest at LIBOR plus a spread of 2.25% to 3.25% depending on Company’s overall leverage level. As of September 30, 2021, the borrowing rate was LIBOR plus 2.25%. As of September 30, 2021, borrowings under the facility were $130 million less unamortized deferred finance costs of $15.7 million for the revolving loan facility at a total interest rate of 3.69%. As of September 30, 2021, the Company's availability under the revolving loan facility for additional borrowings was $394.7 million.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9" w:name="page40"/>
    <w:bookmarkEnd w:id="39"/>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The Company drew the $175 million term loan facility in its entirety simultaneously with entering into the new credit agreement and subsequently paid off the remaining balance outstanding on the term loan facility with proceeds from the sale of Tucson La Encantada.</w:t>
      </w:r>
    </w:p>
    <w:p>
      <w:pPr>
        <w:spacing w:after="0" w:line="61" w:lineRule="exact"/>
        <w:rPr>
          <w:sz w:val="20"/>
          <w:szCs w:val="20"/>
          <w:color w:val="auto"/>
        </w:rPr>
      </w:pPr>
    </w:p>
    <w:p>
      <w:pPr>
        <w:ind w:left="8" w:right="20" w:firstLine="297"/>
        <w:spacing w:after="0" w:line="255" w:lineRule="auto"/>
        <w:rPr>
          <w:sz w:val="20"/>
          <w:szCs w:val="20"/>
          <w:color w:val="auto"/>
        </w:rPr>
      </w:pPr>
      <w:r>
        <w:rPr>
          <w:rFonts w:ascii="Arial" w:cs="Arial" w:eastAsia="Arial" w:hAnsi="Arial"/>
          <w:sz w:val="12"/>
          <w:szCs w:val="12"/>
          <w:color w:val="auto"/>
        </w:rPr>
        <w:t>Concurrently with entering into the new credit agreement, the Company repaid $985 million of debt, which included terminating and repaying all amounts outstanding under its prior revolving line of credit facility. The Company had four interest rate swap agreements that effectively converted a total of $400 million of the outstanding balance under the prior credit agreement from floating rate debt of LIBOR plus 1.65% to fixed rate debt of 4.50% until September 30, 2021. These swaps were hedged against the Santa Monica Place floating rate loan and a portion of the Green Acres Commons floating rate loan and effectively converted the Santa Monica Place loan and a majority of the Green Acres Commons loan to fixed rate debt through September 30, 2021. The Company did not renew the swaps that expired on September 30, 2021 and, as a result, on October 1, 2021, the Santa Monica Place and Green Acres Commons loans reverted back to floating rate loans with an effective interest rate of 1.81% and 3.1%, respectively, as of such date (See Note 5 – Derivative Instruments and Hedging Activities and Note 10 – Mortgage Notes Payable in the Company’s Notes to the Consolidated Financial Statements).</w:t>
      </w:r>
    </w:p>
    <w:p>
      <w:pPr>
        <w:spacing w:after="0" w:line="83" w:lineRule="exact"/>
        <w:rPr>
          <w:sz w:val="20"/>
          <w:szCs w:val="20"/>
          <w:color w:val="auto"/>
        </w:rPr>
      </w:pPr>
    </w:p>
    <w:p>
      <w:pPr>
        <w:ind w:left="268" w:right="4480" w:firstLine="27"/>
        <w:spacing w:after="0" w:line="418" w:lineRule="auto"/>
        <w:rPr>
          <w:sz w:val="20"/>
          <w:szCs w:val="20"/>
          <w:color w:val="auto"/>
        </w:rPr>
      </w:pPr>
      <w:r>
        <w:rPr>
          <w:rFonts w:ascii="Arial" w:cs="Arial" w:eastAsia="Arial" w:hAnsi="Arial"/>
          <w:sz w:val="12"/>
          <w:szCs w:val="12"/>
          <w:color w:val="auto"/>
        </w:rPr>
        <w:t xml:space="preserve">Cash dividends and distributions for the nine months ended September 30, 2021 were $104.5 million, which were funded by operations. At September 30, 2021, the Company was in compliance with all applicable loan covenants under its agreements. At September 30, 2021, the Company had cash and cash equivalents of $117.6 million. </w:t>
      </w:r>
      <w:r>
        <w:rPr>
          <w:rFonts w:ascii="Arial" w:cs="Arial" w:eastAsia="Arial" w:hAnsi="Arial"/>
          <w:sz w:val="12"/>
          <w:szCs w:val="12"/>
          <w:i w:val="1"/>
          <w:iCs w:val="1"/>
          <w:color w:val="auto"/>
        </w:rPr>
        <w:t>Off-Balance Sheet Arrangements:</w:t>
      </w:r>
    </w:p>
    <w:p>
      <w:pPr>
        <w:spacing w:after="0" w:line="2" w:lineRule="exact"/>
        <w:rPr>
          <w:sz w:val="20"/>
          <w:szCs w:val="20"/>
          <w:color w:val="auto"/>
        </w:rPr>
      </w:pPr>
    </w:p>
    <w:p>
      <w:pPr>
        <w:ind w:left="8" w:firstLine="297"/>
        <w:spacing w:after="0" w:line="276" w:lineRule="auto"/>
        <w:rPr>
          <w:sz w:val="20"/>
          <w:szCs w:val="20"/>
          <w:color w:val="auto"/>
        </w:rPr>
      </w:pPr>
      <w:r>
        <w:rPr>
          <w:rFonts w:ascii="Arial" w:cs="Arial" w:eastAsia="Arial" w:hAnsi="Arial"/>
          <w:sz w:val="12"/>
          <w:szCs w:val="12"/>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61" w:lineRule="exact"/>
        <w:rPr>
          <w:sz w:val="20"/>
          <w:szCs w:val="20"/>
          <w:color w:val="auto"/>
        </w:rPr>
      </w:pPr>
    </w:p>
    <w:p>
      <w:pPr>
        <w:ind w:left="288"/>
        <w:spacing w:after="0"/>
        <w:rPr>
          <w:sz w:val="20"/>
          <w:szCs w:val="20"/>
          <w:color w:val="auto"/>
        </w:rPr>
      </w:pPr>
      <w:r>
        <w:rPr>
          <w:rFonts w:ascii="Arial" w:cs="Arial" w:eastAsia="Arial" w:hAnsi="Arial"/>
          <w:sz w:val="11"/>
          <w:szCs w:val="11"/>
          <w:color w:val="auto"/>
        </w:rPr>
        <w:t>As of September 30, 2021, one of the Company's joint ventures had $50.0 million of debt that could become recourse to the Company should the joint venture be unable to discharge the obligation of the related debt.</w:t>
      </w:r>
    </w:p>
    <w:p>
      <w:pPr>
        <w:spacing w:after="0" w:line="117" w:lineRule="exact"/>
        <w:rPr>
          <w:sz w:val="20"/>
          <w:szCs w:val="20"/>
          <w:color w:val="auto"/>
        </w:rPr>
      </w:pPr>
    </w:p>
    <w:p>
      <w:pPr>
        <w:ind w:left="8" w:right="260" w:firstLine="297"/>
        <w:spacing w:after="0" w:line="276" w:lineRule="auto"/>
        <w:rPr>
          <w:sz w:val="20"/>
          <w:szCs w:val="20"/>
          <w:color w:val="auto"/>
        </w:rPr>
      </w:pPr>
      <w:r>
        <w:rPr>
          <w:rFonts w:ascii="Arial" w:cs="Arial" w:eastAsia="Arial" w:hAnsi="Arial"/>
          <w:sz w:val="12"/>
          <w:szCs w:val="12"/>
          <w:color w:val="auto"/>
        </w:rPr>
        <w:t>Additionally, as of September 30, 2021, the Company was contingently liable for $40.9 million in letters of credit guaranteeing performance by the Company of certain obligations relating to the Centers. As of September 30, 2021, $40.6 million of these letters of credit were secured by restricted cash. The Company does not believe that these letters of credit will result in a liability to the Company.</w:t>
      </w:r>
    </w:p>
    <w:p>
      <w:pPr>
        <w:spacing w:after="0" w:line="70"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Contractual Obligations:</w:t>
      </w:r>
    </w:p>
    <w:p>
      <w:pPr>
        <w:spacing w:after="0" w:line="9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following is a schedule of contractual obligations as of September 30, 2021 for the consolidated Centers over the periods in which they are expected to be paid (in thousands):</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2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Payment Due by Period</w:t>
            </w:r>
          </w:p>
        </w:tc>
        <w:tc>
          <w:tcPr>
            <w:tcW w:w="5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90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Contractual Obligations</w:t>
            </w:r>
          </w:p>
        </w:tc>
        <w:tc>
          <w:tcPr>
            <w:tcW w:w="580" w:type="dxa"/>
            <w:vAlign w:val="bottom"/>
          </w:tcPr>
          <w:p>
            <w:pPr>
              <w:spacing w:after="0"/>
              <w:rPr>
                <w:sz w:val="7"/>
                <w:szCs w:val="7"/>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Total</w:t>
            </w:r>
          </w:p>
        </w:tc>
        <w:tc>
          <w:tcPr>
            <w:tcW w:w="480" w:type="dxa"/>
            <w:vAlign w:val="bottom"/>
          </w:tcPr>
          <w:p>
            <w:pPr>
              <w:spacing w:after="0"/>
              <w:rPr>
                <w:sz w:val="7"/>
                <w:szCs w:val="7"/>
                <w:color w:val="auto"/>
              </w:rPr>
            </w:pPr>
          </w:p>
        </w:tc>
        <w:tc>
          <w:tcPr>
            <w:tcW w:w="1080" w:type="dxa"/>
            <w:vAlign w:val="bottom"/>
            <w:gridSpan w:val="2"/>
          </w:tcPr>
          <w:p>
            <w:pPr>
              <w:ind w:left="200"/>
              <w:spacing w:after="0" w:line="83" w:lineRule="exact"/>
              <w:rPr>
                <w:sz w:val="20"/>
                <w:szCs w:val="20"/>
                <w:color w:val="auto"/>
              </w:rPr>
            </w:pPr>
            <w:r>
              <w:rPr>
                <w:rFonts w:ascii="Arial" w:cs="Arial" w:eastAsia="Arial" w:hAnsi="Arial"/>
                <w:sz w:val="8"/>
                <w:szCs w:val="8"/>
                <w:b w:val="1"/>
                <w:bCs w:val="1"/>
                <w:color w:val="auto"/>
              </w:rPr>
              <w:t>Less than</w:t>
            </w:r>
          </w:p>
        </w:tc>
        <w:tc>
          <w:tcPr>
            <w:tcW w:w="380" w:type="dxa"/>
            <w:vAlign w:val="bottom"/>
          </w:tcPr>
          <w:p>
            <w:pPr>
              <w:spacing w:after="0"/>
              <w:rPr>
                <w:sz w:val="7"/>
                <w:szCs w:val="7"/>
                <w:color w:val="auto"/>
              </w:rPr>
            </w:pPr>
          </w:p>
        </w:tc>
        <w:tc>
          <w:tcPr>
            <w:tcW w:w="48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1</w:t>
            </w:r>
          </w:p>
        </w:tc>
        <w:tc>
          <w:tcPr>
            <w:tcW w:w="620" w:type="dxa"/>
            <w:vAlign w:val="bottom"/>
          </w:tcPr>
          <w:p>
            <w:pPr>
              <w:jc w:val="right"/>
              <w:ind w:right="443"/>
              <w:spacing w:after="0" w:line="83" w:lineRule="exact"/>
              <w:rPr>
                <w:sz w:val="20"/>
                <w:szCs w:val="20"/>
                <w:color w:val="auto"/>
              </w:rPr>
            </w:pPr>
            <w:r>
              <w:rPr>
                <w:rFonts w:ascii="Arial" w:cs="Arial" w:eastAsia="Arial" w:hAnsi="Arial"/>
                <w:sz w:val="8"/>
                <w:szCs w:val="8"/>
                <w:b w:val="1"/>
                <w:bCs w:val="1"/>
                <w:color w:val="auto"/>
              </w:rPr>
              <w:t>- 3</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jc w:val="right"/>
              <w:spacing w:after="0" w:line="83" w:lineRule="exact"/>
              <w:rPr>
                <w:sz w:val="20"/>
                <w:szCs w:val="20"/>
                <w:color w:val="auto"/>
              </w:rPr>
            </w:pPr>
            <w:r>
              <w:rPr>
                <w:rFonts w:ascii="Arial" w:cs="Arial" w:eastAsia="Arial" w:hAnsi="Arial"/>
                <w:sz w:val="8"/>
                <w:szCs w:val="8"/>
                <w:b w:val="1"/>
                <w:bCs w:val="1"/>
                <w:color w:val="auto"/>
              </w:rPr>
              <w:t>3</w:t>
            </w:r>
          </w:p>
        </w:tc>
        <w:tc>
          <w:tcPr>
            <w:tcW w:w="620" w:type="dxa"/>
            <w:vAlign w:val="bottom"/>
          </w:tcPr>
          <w:p>
            <w:pPr>
              <w:jc w:val="right"/>
              <w:ind w:right="443"/>
              <w:spacing w:after="0" w:line="83" w:lineRule="exact"/>
              <w:rPr>
                <w:sz w:val="20"/>
                <w:szCs w:val="20"/>
                <w:color w:val="auto"/>
              </w:rPr>
            </w:pPr>
            <w:r>
              <w:rPr>
                <w:rFonts w:ascii="Arial" w:cs="Arial" w:eastAsia="Arial" w:hAnsi="Arial"/>
                <w:sz w:val="8"/>
                <w:szCs w:val="8"/>
                <w:b w:val="1"/>
                <w:bCs w:val="1"/>
                <w:color w:val="auto"/>
              </w:rPr>
              <w:t>- 5</w:t>
            </w: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jc w:val="right"/>
              <w:ind w:right="344"/>
              <w:spacing w:after="0" w:line="83" w:lineRule="exact"/>
              <w:rPr>
                <w:sz w:val="20"/>
                <w:szCs w:val="20"/>
                <w:color w:val="auto"/>
              </w:rPr>
            </w:pPr>
            <w:r>
              <w:rPr>
                <w:rFonts w:ascii="Arial" w:cs="Arial" w:eastAsia="Arial" w:hAnsi="Arial"/>
                <w:sz w:val="8"/>
                <w:szCs w:val="8"/>
                <w:b w:val="1"/>
                <w:bCs w:val="1"/>
                <w:color w:val="auto"/>
              </w:rPr>
              <w:t>More than</w:t>
            </w:r>
          </w:p>
        </w:tc>
        <w:tc>
          <w:tcPr>
            <w:tcW w:w="0" w:type="dxa"/>
            <w:vAlign w:val="bottom"/>
          </w:tcPr>
          <w:p>
            <w:pPr>
              <w:spacing w:after="0"/>
              <w:rPr>
                <w:sz w:val="1"/>
                <w:szCs w:val="1"/>
                <w:color w:val="auto"/>
              </w:rPr>
            </w:pPr>
          </w:p>
        </w:tc>
      </w:tr>
      <w:tr>
        <w:trPr>
          <w:trHeight w:val="125"/>
        </w:trPr>
        <w:tc>
          <w:tcPr>
            <w:tcW w:w="29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1 year</w:t>
            </w:r>
          </w:p>
        </w:tc>
        <w:tc>
          <w:tcPr>
            <w:tcW w:w="3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years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b w:val="1"/>
                <w:bCs w:val="1"/>
                <w:color w:val="auto"/>
              </w:rPr>
              <w:t>years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jc w:val="right"/>
              <w:ind w:right="504"/>
              <w:spacing w:after="0"/>
              <w:rPr>
                <w:sz w:val="20"/>
                <w:szCs w:val="20"/>
                <w:color w:val="auto"/>
              </w:rPr>
            </w:pPr>
            <w:r>
              <w:rPr>
                <w:rFonts w:ascii="Arial" w:cs="Arial" w:eastAsia="Arial" w:hAnsi="Arial"/>
                <w:sz w:val="10"/>
                <w:szCs w:val="10"/>
                <w:b w:val="1"/>
                <w:bCs w:val="1"/>
                <w:color w:val="auto"/>
                <w:w w:val="99"/>
              </w:rPr>
              <w:t>five years</w:t>
            </w:r>
          </w:p>
        </w:tc>
        <w:tc>
          <w:tcPr>
            <w:tcW w:w="0" w:type="dxa"/>
            <w:vAlign w:val="bottom"/>
          </w:tcPr>
          <w:p>
            <w:pPr>
              <w:spacing w:after="0"/>
              <w:rPr>
                <w:sz w:val="1"/>
                <w:szCs w:val="1"/>
                <w:color w:val="auto"/>
              </w:rPr>
            </w:pPr>
          </w:p>
        </w:tc>
      </w:tr>
      <w:tr>
        <w:trPr>
          <w:trHeight w:val="98"/>
        </w:trPr>
        <w:tc>
          <w:tcPr>
            <w:tcW w:w="2900" w:type="dxa"/>
            <w:vAlign w:val="bottom"/>
            <w:tcBorders>
              <w:top w:val="single" w:sz="8" w:color="CCEEFF"/>
            </w:tcBorders>
            <w:shd w:val="clear" w:color="auto" w:fill="CCEEFF"/>
          </w:tcPr>
          <w:p>
            <w:pPr>
              <w:ind w:left="300"/>
              <w:spacing w:after="0" w:line="99" w:lineRule="exact"/>
              <w:rPr>
                <w:sz w:val="20"/>
                <w:szCs w:val="20"/>
                <w:color w:val="auto"/>
              </w:rPr>
            </w:pPr>
            <w:r>
              <w:rPr>
                <w:rFonts w:ascii="Arial" w:cs="Arial" w:eastAsia="Arial" w:hAnsi="Arial"/>
                <w:sz w:val="11"/>
                <w:szCs w:val="11"/>
                <w:color w:val="auto"/>
              </w:rPr>
              <w:t>Long-term debt obligations (includes expected</w:t>
            </w:r>
          </w:p>
        </w:tc>
        <w:tc>
          <w:tcPr>
            <w:tcW w:w="580" w:type="dxa"/>
            <w:vAlign w:val="bottom"/>
            <w:tcBorders>
              <w:top w:val="single" w:sz="8" w:color="auto"/>
            </w:tcBorders>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5,377,989</w:t>
            </w: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657,110</w:t>
            </w: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1,750,045</w:t>
            </w: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981,389</w:t>
            </w: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2"/>
                <w:szCs w:val="12"/>
                <w:color w:val="auto"/>
              </w:rPr>
              <w:t>1,989,445</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interest payments)(1)</w:t>
            </w:r>
          </w:p>
        </w:tc>
        <w:tc>
          <w:tcPr>
            <w:tcW w:w="58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300"/>
              <w:spacing w:after="0"/>
              <w:rPr>
                <w:sz w:val="20"/>
                <w:szCs w:val="20"/>
                <w:color w:val="auto"/>
              </w:rPr>
            </w:pPr>
            <w:r>
              <w:rPr>
                <w:rFonts w:ascii="Arial" w:cs="Arial" w:eastAsia="Arial" w:hAnsi="Arial"/>
                <w:sz w:val="12"/>
                <w:szCs w:val="12"/>
                <w:color w:val="auto"/>
              </w:rPr>
              <w:t>Lease liabilities(2)</w:t>
            </w:r>
          </w:p>
        </w:tc>
        <w:tc>
          <w:tcPr>
            <w:tcW w:w="58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173,529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6,387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29,258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22,056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2"/>
                <w:szCs w:val="12"/>
                <w:color w:val="auto"/>
              </w:rPr>
              <w:t>115,828</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Purchase obligations(3)</w:t>
            </w: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2,920</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Other long-term liabilities</w:t>
            </w: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193,053</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121,061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28,199</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13,744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30,049</w:t>
            </w:r>
          </w:p>
        </w:tc>
        <w:tc>
          <w:tcPr>
            <w:tcW w:w="0" w:type="dxa"/>
            <w:vAlign w:val="bottom"/>
          </w:tcPr>
          <w:p>
            <w:pPr>
              <w:spacing w:after="0"/>
              <w:rPr>
                <w:sz w:val="1"/>
                <w:szCs w:val="1"/>
                <w:color w:val="auto"/>
              </w:rPr>
            </w:pPr>
          </w:p>
        </w:tc>
      </w:tr>
      <w:tr>
        <w:trPr>
          <w:trHeight w:val="158"/>
        </w:trPr>
        <w:tc>
          <w:tcPr>
            <w:tcW w:w="29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5,747,491</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787,478</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1,807,502</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1,017,189</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2,135,322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w:t>
      </w:r>
    </w:p>
    <w:p>
      <w:pPr>
        <w:spacing w:after="0" w:line="6"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Interest payments on floating rate debt were based on rates in effect at September 30, 2021.</w:t>
      </w:r>
    </w:p>
    <w:p>
      <w:pPr>
        <w:spacing w:after="0" w:line="1" w:lineRule="exact"/>
        <w:rPr>
          <w:rFonts w:ascii="Arial" w:cs="Arial" w:eastAsia="Arial" w:hAnsi="Arial"/>
          <w:sz w:val="11"/>
          <w:szCs w:val="11"/>
          <w:color w:val="auto"/>
        </w:rPr>
      </w:pPr>
    </w:p>
    <w:p>
      <w:pPr>
        <w:ind w:left="208" w:hanging="208"/>
        <w:spacing w:after="0"/>
        <w:tabs>
          <w:tab w:leader="none" w:pos="208"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Note 8—Leases in the Company's Notes to the Consolidated Financial Statements.</w:t>
      </w:r>
    </w:p>
    <w:p>
      <w:pPr>
        <w:ind w:left="208" w:hanging="208"/>
        <w:spacing w:after="0"/>
        <w:tabs>
          <w:tab w:leader="none" w:pos="208"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Note 16—Commitments and Contingencies in the Company's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8" w:right="299" w:bottom="1440" w:gutter="0" w:footer="0" w:header="0"/>
        </w:sectPr>
      </w:pPr>
    </w:p>
    <w:bookmarkStart w:id="40" w:name="page41"/>
    <w:bookmarkEnd w:id="4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Funds From Operations ("FFO")</w:t>
      </w:r>
    </w:p>
    <w:p>
      <w:pPr>
        <w:spacing w:after="0" w:line="100"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 xml:space="preserve">The Company uses FFO in addition to net income to report its operating and financial results and considers FFO and FFO </w:t>
      </w:r>
      <w:r>
        <w:rPr>
          <w:rFonts w:ascii="Arial" w:cs="Arial" w:eastAsia="Arial" w:hAnsi="Arial"/>
          <w:sz w:val="10"/>
          <w:szCs w:val="10"/>
          <w:color w:val="auto"/>
        </w:rPr>
        <w:t>—</w:t>
      </w:r>
      <w:r>
        <w:rPr>
          <w:rFonts w:ascii="Arial" w:cs="Arial" w:eastAsia="Arial" w:hAnsi="Arial"/>
          <w:sz w:val="12"/>
          <w:szCs w:val="12"/>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79" w:lineRule="exact"/>
        <w:rPr>
          <w:sz w:val="20"/>
          <w:szCs w:val="20"/>
          <w:color w:val="auto"/>
        </w:rPr>
      </w:pPr>
    </w:p>
    <w:p>
      <w:pPr>
        <w:jc w:val="both"/>
        <w:ind w:right="440" w:firstLine="297"/>
        <w:spacing w:after="0" w:line="298" w:lineRule="auto"/>
        <w:rPr>
          <w:sz w:val="20"/>
          <w:szCs w:val="20"/>
          <w:color w:val="auto"/>
        </w:rPr>
      </w:pPr>
      <w:r>
        <w:rPr>
          <w:rFonts w:ascii="Arial" w:cs="Arial" w:eastAsia="Arial" w:hAnsi="Arial"/>
          <w:sz w:val="11"/>
          <w:szCs w:val="11"/>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also presents FFO excluding financing expense in connection with Chandler Freehold and loss on extinguishment of debt.</w:t>
      </w:r>
    </w:p>
    <w:p>
      <w:pPr>
        <w:spacing w:after="0" w:line="96" w:lineRule="exact"/>
        <w:rPr>
          <w:sz w:val="20"/>
          <w:szCs w:val="20"/>
          <w:color w:val="auto"/>
        </w:rPr>
      </w:pPr>
    </w:p>
    <w:p>
      <w:pPr>
        <w:ind w:firstLine="297"/>
        <w:spacing w:after="0" w:line="285" w:lineRule="auto"/>
        <w:rPr>
          <w:sz w:val="20"/>
          <w:szCs w:val="20"/>
          <w:color w:val="auto"/>
        </w:rPr>
      </w:pPr>
      <w:r>
        <w:rPr>
          <w:rFonts w:ascii="Arial" w:cs="Arial" w:eastAsia="Arial" w:hAnsi="Arial"/>
          <w:sz w:val="11"/>
          <w:szCs w:val="11"/>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68" w:lineRule="exact"/>
        <w:rPr>
          <w:sz w:val="20"/>
          <w:szCs w:val="20"/>
          <w:color w:val="auto"/>
        </w:rPr>
      </w:pPr>
    </w:p>
    <w:p>
      <w:pPr>
        <w:jc w:val="both"/>
        <w:ind w:right="60" w:firstLine="297"/>
        <w:spacing w:after="0" w:line="276" w:lineRule="auto"/>
        <w:rPr>
          <w:sz w:val="20"/>
          <w:szCs w:val="20"/>
          <w:color w:val="auto"/>
        </w:rPr>
      </w:pPr>
      <w:r>
        <w:rPr>
          <w:rFonts w:ascii="Arial" w:cs="Arial" w:eastAsia="Arial" w:hAnsi="Arial"/>
          <w:sz w:val="12"/>
          <w:szCs w:val="12"/>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70" w:lineRule="exact"/>
        <w:rPr>
          <w:sz w:val="20"/>
          <w:szCs w:val="20"/>
          <w:color w:val="auto"/>
        </w:rPr>
      </w:pPr>
    </w:p>
    <w:p>
      <w:pPr>
        <w:jc w:val="both"/>
        <w:ind w:right="40" w:firstLine="297"/>
        <w:spacing w:after="0" w:line="263" w:lineRule="auto"/>
        <w:rPr>
          <w:sz w:val="20"/>
          <w:szCs w:val="20"/>
          <w:color w:val="auto"/>
        </w:rPr>
      </w:pPr>
      <w:r>
        <w:rPr>
          <w:rFonts w:ascii="Arial" w:cs="Arial" w:eastAsia="Arial" w:hAnsi="Arial"/>
          <w:sz w:val="12"/>
          <w:szCs w:val="12"/>
          <w:color w:val="auto"/>
        </w:rPr>
        <w:t>Management compensates for the limitations of FFO by providing investors with financial statements prepared according to GAAP, along with this detailed discussion of FFO and a reconciliation of net (loss) income to FFO and FFO</w:t>
      </w:r>
      <w:r>
        <w:rPr>
          <w:rFonts w:ascii="Arial" w:cs="Arial" w:eastAsia="Arial" w:hAnsi="Arial"/>
          <w:sz w:val="10"/>
          <w:szCs w:val="10"/>
          <w:color w:val="auto"/>
        </w:rPr>
        <w:t>—</w:t>
      </w:r>
      <w:r>
        <w:rPr>
          <w:rFonts w:ascii="Arial" w:cs="Arial" w:eastAsia="Arial" w:hAnsi="Arial"/>
          <w:sz w:val="12"/>
          <w:szCs w:val="12"/>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8" w:right="339" w:bottom="1440" w:gutter="0" w:footer="0" w:header="0"/>
        </w:sectPr>
      </w:pPr>
    </w:p>
    <w:bookmarkStart w:id="41" w:name="page42"/>
    <w:bookmarkEnd w:id="41"/>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left="8" w:right="100" w:firstLine="297"/>
        <w:spacing w:after="0" w:line="276" w:lineRule="auto"/>
        <w:rPr>
          <w:sz w:val="20"/>
          <w:szCs w:val="20"/>
          <w:color w:val="auto"/>
        </w:rPr>
      </w:pPr>
      <w:r>
        <w:rPr>
          <w:rFonts w:ascii="Arial" w:cs="Arial" w:eastAsia="Arial" w:hAnsi="Arial"/>
          <w:sz w:val="12"/>
          <w:szCs w:val="12"/>
          <w:color w:val="auto"/>
        </w:rPr>
        <w:t>The following reconciles net income (loss) attributable to the Company to FFO and FFO</w:t>
      </w:r>
      <w:r>
        <w:rPr>
          <w:rFonts w:ascii="Arial" w:cs="Arial" w:eastAsia="Arial" w:hAnsi="Arial"/>
          <w:sz w:val="10"/>
          <w:szCs w:val="10"/>
          <w:color w:val="auto"/>
        </w:rPr>
        <w:t>—</w:t>
      </w:r>
      <w:r>
        <w:rPr>
          <w:rFonts w:ascii="Arial" w:cs="Arial" w:eastAsia="Arial" w:hAnsi="Arial"/>
          <w:sz w:val="12"/>
          <w:szCs w:val="12"/>
          <w:color w:val="auto"/>
        </w:rPr>
        <w:t>diluted attributable to common stockholders and unit holders-basic and diluted, excluding financing expense in connection with Chandler Freehold and loss on extinguishment of debt for the nine months ended September 30, 2021 and 2020 (dollars and shares in thousands):</w:t>
      </w:r>
    </w:p>
    <w:p>
      <w:pPr>
        <w:spacing w:after="0" w:line="109" w:lineRule="exact"/>
        <w:rPr>
          <w:sz w:val="20"/>
          <w:szCs w:val="20"/>
          <w:color w:val="auto"/>
        </w:rPr>
      </w:pPr>
    </w:p>
    <w:tbl>
      <w:tblPr>
        <w:tblLayout w:type="fixed"/>
        <w:tblInd w:w="288" w:type="dxa"/>
        <w:tblCellMar>
          <w:top w:w="0" w:type="dxa"/>
          <w:left w:w="0" w:type="dxa"/>
          <w:bottom w:w="0" w:type="dxa"/>
          <w:right w:w="0" w:type="dxa"/>
        </w:tblCellMar>
      </w:tblPr>
      <w:tr>
        <w:trPr>
          <w:trHeight w:val="127"/>
        </w:trPr>
        <w:tc>
          <w:tcPr>
            <w:tcW w:w="5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60" w:type="dxa"/>
            <w:vAlign w:val="bottom"/>
            <w:gridSpan w:val="5"/>
          </w:tcPr>
          <w:p>
            <w:pPr>
              <w:ind w:left="140"/>
              <w:spacing w:after="0"/>
              <w:rPr>
                <w:sz w:val="20"/>
                <w:szCs w:val="20"/>
                <w:color w:val="auto"/>
              </w:rPr>
            </w:pPr>
            <w:r>
              <w:rPr>
                <w:rFonts w:ascii="Arial" w:cs="Arial" w:eastAsia="Arial" w:hAnsi="Arial"/>
                <w:sz w:val="10"/>
                <w:szCs w:val="10"/>
                <w:b w:val="1"/>
                <w:bCs w:val="1"/>
                <w:color w:val="auto"/>
              </w:rPr>
              <w:t>For the Three Months Ended September 30,</w:t>
            </w:r>
          </w:p>
        </w:tc>
        <w:tc>
          <w:tcPr>
            <w:tcW w:w="500" w:type="dxa"/>
            <w:vAlign w:val="bottom"/>
          </w:tcPr>
          <w:p>
            <w:pPr>
              <w:spacing w:after="0"/>
              <w:rPr>
                <w:sz w:val="11"/>
                <w:szCs w:val="11"/>
                <w:color w:val="auto"/>
              </w:rPr>
            </w:pPr>
          </w:p>
        </w:tc>
        <w:tc>
          <w:tcPr>
            <w:tcW w:w="2000" w:type="dxa"/>
            <w:vAlign w:val="bottom"/>
            <w:gridSpan w:val="4"/>
          </w:tcPr>
          <w:p>
            <w:pPr>
              <w:jc w:val="right"/>
              <w:ind w:right="66"/>
              <w:spacing w:after="0"/>
              <w:rPr>
                <w:sz w:val="20"/>
                <w:szCs w:val="20"/>
                <w:color w:val="auto"/>
              </w:rPr>
            </w:pPr>
            <w:r>
              <w:rPr>
                <w:rFonts w:ascii="Arial" w:cs="Arial" w:eastAsia="Arial" w:hAnsi="Arial"/>
                <w:sz w:val="10"/>
                <w:szCs w:val="10"/>
                <w:b w:val="1"/>
                <w:bCs w:val="1"/>
                <w:color w:val="auto"/>
                <w:w w:val="92"/>
              </w:rPr>
              <w:t>For the Nine Months Ended September 30,</w:t>
            </w:r>
          </w:p>
        </w:tc>
        <w:tc>
          <w:tcPr>
            <w:tcW w:w="0" w:type="dxa"/>
            <w:vAlign w:val="bottom"/>
          </w:tcPr>
          <w:p>
            <w:pPr>
              <w:spacing w:after="0"/>
              <w:rPr>
                <w:sz w:val="1"/>
                <w:szCs w:val="1"/>
                <w:color w:val="auto"/>
              </w:rPr>
            </w:pPr>
          </w:p>
        </w:tc>
      </w:tr>
      <w:tr>
        <w:trPr>
          <w:trHeight w:val="118"/>
        </w:trPr>
        <w:tc>
          <w:tcPr>
            <w:tcW w:w="560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4"/>
        </w:trPr>
        <w:tc>
          <w:tcPr>
            <w:tcW w:w="56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income (loss) attributable to the Company</w:t>
            </w: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106,702</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(22,191)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31,333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center"/>
              <w:ind w:left="306"/>
              <w:spacing w:after="0"/>
              <w:rPr>
                <w:sz w:val="20"/>
                <w:szCs w:val="20"/>
                <w:color w:val="auto"/>
              </w:rPr>
            </w:pPr>
            <w:r>
              <w:rPr>
                <w:rFonts w:ascii="Arial" w:cs="Arial" w:eastAsia="Arial" w:hAnsi="Arial"/>
                <w:sz w:val="11"/>
                <w:szCs w:val="11"/>
                <w:color w:val="auto"/>
                <w:w w:val="84"/>
              </w:rPr>
              <w:t>(39,</w:t>
            </w:r>
          </w:p>
        </w:tc>
        <w:tc>
          <w:tcPr>
            <w:tcW w:w="0" w:type="dxa"/>
            <w:vAlign w:val="bottom"/>
          </w:tcPr>
          <w:p>
            <w:pPr>
              <w:spacing w:after="0"/>
              <w:rPr>
                <w:sz w:val="1"/>
                <w:szCs w:val="1"/>
                <w:color w:val="auto"/>
              </w:rPr>
            </w:pPr>
          </w:p>
        </w:tc>
      </w:tr>
      <w:tr>
        <w:trPr>
          <w:trHeight w:val="112"/>
        </w:trPr>
        <w:tc>
          <w:tcPr>
            <w:tcW w:w="5600" w:type="dxa"/>
            <w:vAlign w:val="bottom"/>
          </w:tcPr>
          <w:p>
            <w:pPr>
              <w:ind w:left="320"/>
              <w:spacing w:after="0" w:line="112" w:lineRule="exact"/>
              <w:rPr>
                <w:sz w:val="20"/>
                <w:szCs w:val="20"/>
                <w:color w:val="auto"/>
              </w:rPr>
            </w:pPr>
            <w:r>
              <w:rPr>
                <w:rFonts w:ascii="Arial" w:cs="Arial" w:eastAsia="Arial" w:hAnsi="Arial"/>
                <w:sz w:val="11"/>
                <w:szCs w:val="11"/>
                <w:color w:val="auto"/>
                <w:w w:val="93"/>
              </w:rPr>
              <w:t>Adjustments to reconcile net income (loss) attributable to the Company to FFO attributable to common stockholders</w:t>
            </w: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600" w:type="dxa"/>
            <w:vAlign w:val="bottom"/>
          </w:tcPr>
          <w:p>
            <w:pPr>
              <w:ind w:left="20"/>
              <w:spacing w:after="0"/>
              <w:rPr>
                <w:sz w:val="20"/>
                <w:szCs w:val="20"/>
                <w:color w:val="auto"/>
              </w:rPr>
            </w:pPr>
            <w:r>
              <w:rPr>
                <w:rFonts w:ascii="Arial" w:cs="Arial" w:eastAsia="Arial" w:hAnsi="Arial"/>
                <w:sz w:val="11"/>
                <w:szCs w:val="11"/>
                <w:color w:val="auto"/>
              </w:rPr>
              <w:t>and unit holders—basic and diluted:</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Noncontrolling interests in the Operating Partnership</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(1,618)</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346"/>
              <w:spacing w:after="0"/>
              <w:rPr>
                <w:sz w:val="20"/>
                <w:szCs w:val="20"/>
                <w:color w:val="auto"/>
              </w:rPr>
            </w:pPr>
            <w:r>
              <w:rPr>
                <w:rFonts w:ascii="Arial" w:cs="Arial" w:eastAsia="Arial" w:hAnsi="Arial"/>
                <w:sz w:val="11"/>
                <w:szCs w:val="11"/>
                <w:color w:val="auto"/>
                <w:w w:val="93"/>
              </w:rPr>
              <w:t>(2,</w:t>
            </w: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(Gain) loss on sale or write down of assets, net—consolidated assets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(118,566)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(11,786)</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(93,356)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366"/>
              <w:spacing w:after="0"/>
              <w:rPr>
                <w:sz w:val="20"/>
                <w:szCs w:val="20"/>
                <w:color w:val="auto"/>
              </w:rPr>
            </w:pPr>
            <w:r>
              <w:rPr>
                <w:rFonts w:ascii="Arial" w:cs="Arial" w:eastAsia="Arial" w:hAnsi="Arial"/>
                <w:sz w:val="11"/>
                <w:szCs w:val="11"/>
                <w:color w:val="auto"/>
                <w:w w:val="91"/>
              </w:rPr>
              <w:t>28,</w:t>
            </w: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Add: noncontrolling interests share of (loss) gain on sale or write down of assets—consolidated assets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Add: gain on sale of undepreciated assets—consolidated assets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12,362</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19,913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366"/>
              <w:spacing w:after="0"/>
              <w:rPr>
                <w:sz w:val="20"/>
                <w:szCs w:val="20"/>
                <w:color w:val="auto"/>
              </w:rPr>
            </w:pPr>
            <w:r>
              <w:rPr>
                <w:rFonts w:ascii="Arial" w:cs="Arial" w:eastAsia="Arial" w:hAnsi="Arial"/>
                <w:sz w:val="11"/>
                <w:szCs w:val="11"/>
                <w:color w:val="auto"/>
                <w:w w:val="91"/>
              </w:rPr>
              <w:t>12,</w:t>
            </w: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Less: noncontrolling interests share of gain of undepreciated assets—consolidated assets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Loss on write-down of non-real estate assets—consolidated assets</w:t>
            </w:r>
          </w:p>
        </w:tc>
        <w:tc>
          <w:tcPr>
            <w:tcW w:w="52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(1,361)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(2,200)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346"/>
              <w:spacing w:after="0"/>
              <w:rPr>
                <w:sz w:val="20"/>
                <w:szCs w:val="20"/>
                <w:color w:val="auto"/>
              </w:rPr>
            </w:pPr>
            <w:r>
              <w:rPr>
                <w:rFonts w:ascii="Arial" w:cs="Arial" w:eastAsia="Arial" w:hAnsi="Arial"/>
                <w:sz w:val="11"/>
                <w:szCs w:val="11"/>
                <w:color w:val="auto"/>
                <w:w w:val="93"/>
              </w:rPr>
              <w:t>(4,</w:t>
            </w: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(Gain) loss on sale or write down of assets—unconsolidated joint ventures, net(1)</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Add: gain on sale of undepreciated assets—unconsolidated joint ventures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Depreciation and amortization—consolidated assets</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78,605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231,491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306"/>
              <w:spacing w:after="0"/>
              <w:rPr>
                <w:sz w:val="20"/>
                <w:szCs w:val="20"/>
                <w:color w:val="auto"/>
              </w:rPr>
            </w:pPr>
            <w:r>
              <w:rPr>
                <w:rFonts w:ascii="Arial" w:cs="Arial" w:eastAsia="Arial" w:hAnsi="Arial"/>
                <w:sz w:val="11"/>
                <w:szCs w:val="11"/>
                <w:color w:val="auto"/>
                <w:w w:val="93"/>
              </w:rPr>
              <w:t>241,</w:t>
            </w: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Less: noncontrolling interests in depreciation and amortization—consolidated assets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(4,173)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(3,855)</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(13,333)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jc w:val="center"/>
              <w:ind w:left="306"/>
              <w:spacing w:after="0"/>
              <w:rPr>
                <w:sz w:val="20"/>
                <w:szCs w:val="20"/>
                <w:color w:val="auto"/>
              </w:rPr>
            </w:pPr>
            <w:r>
              <w:rPr>
                <w:rFonts w:ascii="Arial" w:cs="Arial" w:eastAsia="Arial" w:hAnsi="Arial"/>
                <w:sz w:val="11"/>
                <w:szCs w:val="11"/>
                <w:color w:val="auto"/>
                <w:w w:val="84"/>
              </w:rPr>
              <w:t>(11,</w:t>
            </w: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Depreciation and amortization—unconsolidated joint ventures(1)</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44,905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50,775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138,137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306"/>
              <w:spacing w:after="0"/>
              <w:rPr>
                <w:sz w:val="20"/>
                <w:szCs w:val="20"/>
                <w:color w:val="auto"/>
              </w:rPr>
            </w:pPr>
            <w:r>
              <w:rPr>
                <w:rFonts w:ascii="Arial" w:cs="Arial" w:eastAsia="Arial" w:hAnsi="Arial"/>
                <w:sz w:val="11"/>
                <w:szCs w:val="11"/>
                <w:color w:val="auto"/>
                <w:w w:val="93"/>
              </w:rPr>
              <w:t>146,</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Less: depreciation on personal property</w:t>
            </w: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(3,246)</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(3,460)</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(9,933)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left="306"/>
              <w:spacing w:after="0"/>
              <w:rPr>
                <w:sz w:val="20"/>
                <w:szCs w:val="20"/>
                <w:color w:val="auto"/>
              </w:rPr>
            </w:pPr>
            <w:r>
              <w:rPr>
                <w:rFonts w:ascii="Arial" w:cs="Arial" w:eastAsia="Arial" w:hAnsi="Arial"/>
                <w:sz w:val="11"/>
                <w:szCs w:val="11"/>
                <w:color w:val="auto"/>
                <w:w w:val="84"/>
              </w:rPr>
              <w:t>(11,</w:t>
            </w:r>
          </w:p>
        </w:tc>
        <w:tc>
          <w:tcPr>
            <w:tcW w:w="0" w:type="dxa"/>
            <w:vAlign w:val="bottom"/>
          </w:tcPr>
          <w:p>
            <w:pPr>
              <w:spacing w:after="0"/>
              <w:rPr>
                <w:sz w:val="1"/>
                <w:szCs w:val="1"/>
                <w:color w:val="auto"/>
              </w:rPr>
            </w:pPr>
          </w:p>
        </w:tc>
      </w:tr>
      <w:tr>
        <w:trPr>
          <w:trHeight w:val="135"/>
        </w:trPr>
        <w:tc>
          <w:tcPr>
            <w:tcW w:w="56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FFO attributable to common stockholders and unit holders—basic and diluted</w:t>
            </w: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107,098</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98,471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303,548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60" w:type="dxa"/>
            <w:vAlign w:val="bottom"/>
            <w:shd w:val="clear" w:color="auto" w:fill="CCEEFF"/>
          </w:tcPr>
          <w:p>
            <w:pPr>
              <w:jc w:val="center"/>
              <w:ind w:left="306"/>
              <w:spacing w:after="0"/>
              <w:rPr>
                <w:sz w:val="20"/>
                <w:szCs w:val="20"/>
                <w:color w:val="auto"/>
              </w:rPr>
            </w:pPr>
            <w:r>
              <w:rPr>
                <w:rFonts w:ascii="Arial" w:cs="Arial" w:eastAsia="Arial" w:hAnsi="Arial"/>
                <w:sz w:val="11"/>
                <w:szCs w:val="11"/>
                <w:color w:val="auto"/>
                <w:w w:val="93"/>
              </w:rPr>
              <w:t>360,</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1"/>
                <w:szCs w:val="11"/>
                <w:color w:val="auto"/>
              </w:rPr>
              <w:t>Financing expense in connection with Chandler Freehold</w:t>
            </w: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(6,723)</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(15,104)</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left="306"/>
              <w:spacing w:after="0"/>
              <w:rPr>
                <w:sz w:val="20"/>
                <w:szCs w:val="20"/>
                <w:color w:val="auto"/>
              </w:rPr>
            </w:pPr>
            <w:r>
              <w:rPr>
                <w:rFonts w:ascii="Arial" w:cs="Arial" w:eastAsia="Arial" w:hAnsi="Arial"/>
                <w:sz w:val="11"/>
                <w:szCs w:val="11"/>
                <w:color w:val="auto"/>
                <w:w w:val="84"/>
              </w:rPr>
              <w:t>(93,</w:t>
            </w:r>
          </w:p>
        </w:tc>
        <w:tc>
          <w:tcPr>
            <w:tcW w:w="0" w:type="dxa"/>
            <w:vAlign w:val="bottom"/>
          </w:tcPr>
          <w:p>
            <w:pPr>
              <w:spacing w:after="0"/>
              <w:rPr>
                <w:sz w:val="1"/>
                <w:szCs w:val="1"/>
                <w:color w:val="auto"/>
              </w:rPr>
            </w:pPr>
          </w:p>
        </w:tc>
      </w:tr>
      <w:tr>
        <w:trPr>
          <w:trHeight w:val="94"/>
        </w:trPr>
        <w:tc>
          <w:tcPr>
            <w:tcW w:w="5600" w:type="dxa"/>
            <w:vAlign w:val="bottom"/>
            <w:shd w:val="clear" w:color="auto" w:fill="CCEEFF"/>
          </w:tcPr>
          <w:p>
            <w:pPr>
              <w:ind w:left="320"/>
              <w:spacing w:after="0" w:line="94" w:lineRule="exact"/>
              <w:rPr>
                <w:sz w:val="20"/>
                <w:szCs w:val="20"/>
                <w:color w:val="auto"/>
              </w:rPr>
            </w:pPr>
            <w:r>
              <w:rPr>
                <w:rFonts w:ascii="Arial" w:cs="Arial" w:eastAsia="Arial" w:hAnsi="Arial"/>
                <w:sz w:val="10"/>
                <w:szCs w:val="10"/>
                <w:color w:val="auto"/>
              </w:rPr>
              <w:t>FFO attributable to common stockholders and unit holders, excluding financing expense in connection with Chandler</w:t>
            </w:r>
          </w:p>
        </w:tc>
        <w:tc>
          <w:tcPr>
            <w:tcW w:w="5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100,375</w:t>
            </w: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83,367</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303,523</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center"/>
              <w:ind w:left="306"/>
              <w:spacing w:after="0"/>
              <w:rPr>
                <w:sz w:val="20"/>
                <w:szCs w:val="20"/>
                <w:color w:val="auto"/>
              </w:rPr>
            </w:pPr>
            <w:r>
              <w:rPr>
                <w:rFonts w:ascii="Arial" w:cs="Arial" w:eastAsia="Arial" w:hAnsi="Arial"/>
                <w:sz w:val="11"/>
                <w:szCs w:val="11"/>
                <w:color w:val="auto"/>
                <w:w w:val="93"/>
              </w:rPr>
              <w:t>266,</w:t>
            </w:r>
          </w:p>
        </w:tc>
        <w:tc>
          <w:tcPr>
            <w:tcW w:w="0" w:type="dxa"/>
            <w:vAlign w:val="bottom"/>
          </w:tcPr>
          <w:p>
            <w:pPr>
              <w:spacing w:after="0"/>
              <w:rPr>
                <w:sz w:val="1"/>
                <w:szCs w:val="1"/>
                <w:color w:val="auto"/>
              </w:rPr>
            </w:pPr>
          </w:p>
        </w:tc>
      </w:tr>
      <w:tr>
        <w:trPr>
          <w:trHeight w:val="140"/>
        </w:trPr>
        <w:tc>
          <w:tcPr>
            <w:tcW w:w="5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Freehold—basic and diluted</w:t>
            </w:r>
          </w:p>
        </w:tc>
        <w:tc>
          <w:tcPr>
            <w:tcW w:w="5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ind w:left="400"/>
              <w:spacing w:after="0"/>
              <w:rPr>
                <w:sz w:val="20"/>
                <w:szCs w:val="20"/>
                <w:color w:val="auto"/>
              </w:rPr>
            </w:pPr>
            <w:r>
              <w:rPr>
                <w:rFonts w:ascii="Arial" w:cs="Arial" w:eastAsia="Arial" w:hAnsi="Arial"/>
                <w:sz w:val="11"/>
                <w:szCs w:val="11"/>
                <w:color w:val="auto"/>
              </w:rPr>
              <w:t>Loss on extinguishment of debt—consolidated assets</w:t>
            </w: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600" w:type="dxa"/>
            <w:vAlign w:val="bottom"/>
            <w:tcBorders>
              <w:top w:val="single" w:sz="8" w:color="CCEEFF"/>
            </w:tcBorders>
            <w:shd w:val="clear" w:color="auto" w:fill="CCEEFF"/>
          </w:tcPr>
          <w:p>
            <w:pPr>
              <w:ind w:left="320"/>
              <w:spacing w:after="0" w:line="94" w:lineRule="exact"/>
              <w:rPr>
                <w:sz w:val="20"/>
                <w:szCs w:val="20"/>
                <w:color w:val="auto"/>
              </w:rPr>
            </w:pPr>
            <w:r>
              <w:rPr>
                <w:rFonts w:ascii="Arial" w:cs="Arial" w:eastAsia="Arial" w:hAnsi="Arial"/>
                <w:sz w:val="10"/>
                <w:szCs w:val="10"/>
                <w:color w:val="auto"/>
              </w:rPr>
              <w:t>FFO attributable to common stockholders and unit holders, excluding financing expense in connection with Chandler</w:t>
            </w:r>
          </w:p>
        </w:tc>
        <w:tc>
          <w:tcPr>
            <w:tcW w:w="5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101,382</w:t>
            </w:r>
          </w:p>
        </w:tc>
        <w:tc>
          <w:tcPr>
            <w:tcW w:w="16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83,367</w:t>
            </w: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304,530</w:t>
            </w: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vMerge w:val="restart"/>
            <w:shd w:val="clear" w:color="auto" w:fill="CCEEFF"/>
          </w:tcPr>
          <w:p>
            <w:pPr>
              <w:jc w:val="center"/>
              <w:ind w:left="306"/>
              <w:spacing w:after="0"/>
              <w:rPr>
                <w:sz w:val="20"/>
                <w:szCs w:val="20"/>
                <w:color w:val="auto"/>
              </w:rPr>
            </w:pPr>
            <w:r>
              <w:rPr>
                <w:rFonts w:ascii="Arial" w:cs="Arial" w:eastAsia="Arial" w:hAnsi="Arial"/>
                <w:sz w:val="11"/>
                <w:szCs w:val="11"/>
                <w:color w:val="auto"/>
                <w:w w:val="93"/>
              </w:rPr>
              <w:t>266,</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Freehold and loss on extinguishment of debt—basic and diluted</w:t>
            </w: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600" w:type="dxa"/>
            <w:vAlign w:val="bottom"/>
          </w:tcPr>
          <w:p>
            <w:pPr>
              <w:ind w:left="320"/>
              <w:spacing w:after="0"/>
              <w:rPr>
                <w:sz w:val="20"/>
                <w:szCs w:val="20"/>
                <w:color w:val="auto"/>
              </w:rPr>
            </w:pPr>
            <w:r>
              <w:rPr>
                <w:rFonts w:ascii="Arial" w:cs="Arial" w:eastAsia="Arial" w:hAnsi="Arial"/>
                <w:sz w:val="11"/>
                <w:szCs w:val="11"/>
                <w:color w:val="auto"/>
              </w:rPr>
              <w:t>Weighted average number of FFO shares outstanding for:</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FFO attributable to common stockholders and unit holders—basic(2)</w:t>
            </w: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223,033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160,509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202,877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306"/>
              <w:spacing w:after="0"/>
              <w:rPr>
                <w:sz w:val="20"/>
                <w:szCs w:val="20"/>
                <w:color w:val="auto"/>
              </w:rPr>
            </w:pPr>
            <w:r>
              <w:rPr>
                <w:rFonts w:ascii="Arial" w:cs="Arial" w:eastAsia="Arial" w:hAnsi="Arial"/>
                <w:sz w:val="11"/>
                <w:szCs w:val="11"/>
                <w:color w:val="auto"/>
                <w:w w:val="93"/>
              </w:rPr>
              <w:t>155,</w:t>
            </w:r>
          </w:p>
        </w:tc>
        <w:tc>
          <w:tcPr>
            <w:tcW w:w="0" w:type="dxa"/>
            <w:vAlign w:val="bottom"/>
          </w:tcPr>
          <w:p>
            <w:pPr>
              <w:spacing w:after="0"/>
              <w:rPr>
                <w:sz w:val="1"/>
                <w:szCs w:val="1"/>
                <w:color w:val="auto"/>
              </w:rPr>
            </w:pPr>
          </w:p>
        </w:tc>
      </w:tr>
      <w:tr>
        <w:trPr>
          <w:trHeight w:val="142"/>
        </w:trPr>
        <w:tc>
          <w:tcPr>
            <w:tcW w:w="5600" w:type="dxa"/>
            <w:vAlign w:val="bottom"/>
          </w:tcPr>
          <w:p>
            <w:pPr>
              <w:ind w:left="320"/>
              <w:spacing w:after="0"/>
              <w:rPr>
                <w:sz w:val="20"/>
                <w:szCs w:val="20"/>
                <w:color w:val="auto"/>
              </w:rPr>
            </w:pPr>
            <w:r>
              <w:rPr>
                <w:rFonts w:ascii="Arial" w:cs="Arial" w:eastAsia="Arial" w:hAnsi="Arial"/>
                <w:sz w:val="11"/>
                <w:szCs w:val="11"/>
                <w:color w:val="auto"/>
              </w:rPr>
              <w:t>Adjustments for impact of dilutive securities in computing FFO—diluted:</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Share and unit based compensation plans</w:t>
            </w:r>
          </w:p>
        </w:tc>
        <w:tc>
          <w:tcPr>
            <w:tcW w:w="5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5600" w:type="dxa"/>
            <w:vAlign w:val="bottom"/>
          </w:tcPr>
          <w:p>
            <w:pPr>
              <w:ind w:left="320"/>
              <w:spacing w:after="0" w:line="92" w:lineRule="exact"/>
              <w:rPr>
                <w:sz w:val="20"/>
                <w:szCs w:val="20"/>
                <w:color w:val="auto"/>
              </w:rPr>
            </w:pPr>
            <w:r>
              <w:rPr>
                <w:rFonts w:ascii="Arial" w:cs="Arial" w:eastAsia="Arial" w:hAnsi="Arial"/>
                <w:sz w:val="10"/>
                <w:szCs w:val="10"/>
                <w:color w:val="auto"/>
              </w:rPr>
              <w:t>Weighted average number of FFO shares outstanding for FFO attributable to common stockholders and unit holders—</w:t>
            </w:r>
          </w:p>
        </w:tc>
        <w:tc>
          <w:tcPr>
            <w:tcW w:w="520" w:type="dxa"/>
            <w:vAlign w:val="bottom"/>
            <w:tcBorders>
              <w:top w:val="single" w:sz="8" w:color="auto"/>
            </w:tcBorders>
          </w:tcPr>
          <w:p>
            <w:pPr>
              <w:spacing w:after="0"/>
              <w:rPr>
                <w:sz w:val="7"/>
                <w:szCs w:val="7"/>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223,033</w:t>
            </w: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160,509</w:t>
            </w:r>
          </w:p>
        </w:tc>
        <w:tc>
          <w:tcPr>
            <w:tcW w:w="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202,877</w:t>
            </w: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vMerge w:val="restart"/>
          </w:tcPr>
          <w:p>
            <w:pPr>
              <w:jc w:val="center"/>
              <w:ind w:left="306"/>
              <w:spacing w:after="0"/>
              <w:rPr>
                <w:sz w:val="20"/>
                <w:szCs w:val="20"/>
                <w:color w:val="auto"/>
              </w:rPr>
            </w:pPr>
            <w:r>
              <w:rPr>
                <w:rFonts w:ascii="Arial" w:cs="Arial" w:eastAsia="Arial" w:hAnsi="Arial"/>
                <w:sz w:val="11"/>
                <w:szCs w:val="11"/>
                <w:color w:val="auto"/>
                <w:w w:val="93"/>
              </w:rPr>
              <w:t>155,</w:t>
            </w:r>
          </w:p>
        </w:tc>
        <w:tc>
          <w:tcPr>
            <w:tcW w:w="0" w:type="dxa"/>
            <w:vAlign w:val="bottom"/>
          </w:tcPr>
          <w:p>
            <w:pPr>
              <w:spacing w:after="0"/>
              <w:rPr>
                <w:sz w:val="1"/>
                <w:szCs w:val="1"/>
                <w:color w:val="auto"/>
              </w:rPr>
            </w:pPr>
          </w:p>
        </w:tc>
      </w:tr>
      <w:tr>
        <w:trPr>
          <w:trHeight w:val="122"/>
        </w:trPr>
        <w:tc>
          <w:tcPr>
            <w:tcW w:w="5600" w:type="dxa"/>
            <w:vAlign w:val="bottom"/>
          </w:tcPr>
          <w:p>
            <w:pPr>
              <w:ind w:left="20"/>
              <w:spacing w:after="0" w:line="122" w:lineRule="exact"/>
              <w:rPr>
                <w:sz w:val="20"/>
                <w:szCs w:val="20"/>
                <w:color w:val="auto"/>
              </w:rPr>
            </w:pPr>
            <w:r>
              <w:rPr>
                <w:rFonts w:ascii="Arial" w:cs="Arial" w:eastAsia="Arial" w:hAnsi="Arial"/>
                <w:sz w:val="11"/>
                <w:szCs w:val="11"/>
                <w:color w:val="auto"/>
              </w:rPr>
              <w:t>basic and diluted(2)</w:t>
            </w:r>
          </w:p>
        </w:tc>
        <w:tc>
          <w:tcPr>
            <w:tcW w:w="5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68" w:hanging="268"/>
        <w:spacing w:after="0"/>
        <w:tabs>
          <w:tab w:leader="none" w:pos="268" w:val="left"/>
        </w:tabs>
        <w:numPr>
          <w:ilvl w:val="0"/>
          <w:numId w:val="15"/>
        </w:numPr>
        <w:rPr>
          <w:rFonts w:ascii="Arial" w:cs="Arial" w:eastAsia="Arial" w:hAnsi="Arial"/>
          <w:sz w:val="11"/>
          <w:szCs w:val="11"/>
          <w:color w:val="auto"/>
        </w:rPr>
      </w:pPr>
      <w:r>
        <w:rPr>
          <w:rFonts w:ascii="Arial" w:cs="Arial" w:eastAsia="Arial" w:hAnsi="Arial"/>
          <w:sz w:val="11"/>
          <w:szCs w:val="11"/>
          <w:color w:val="auto"/>
        </w:rPr>
        <w:t>Unconsolidated joint ventures are presented at the Company's pro rata share.</w:t>
      </w:r>
    </w:p>
    <w:p>
      <w:pPr>
        <w:spacing w:after="0" w:line="89" w:lineRule="exact"/>
        <w:rPr>
          <w:rFonts w:ascii="Arial" w:cs="Arial" w:eastAsia="Arial" w:hAnsi="Arial"/>
          <w:sz w:val="11"/>
          <w:szCs w:val="11"/>
          <w:color w:val="auto"/>
        </w:rPr>
      </w:pPr>
    </w:p>
    <w:p>
      <w:pPr>
        <w:ind w:left="268" w:right="220" w:hanging="268"/>
        <w:spacing w:after="0" w:line="257" w:lineRule="auto"/>
        <w:tabs>
          <w:tab w:leader="none" w:pos="259" w:val="left"/>
        </w:tabs>
        <w:numPr>
          <w:ilvl w:val="0"/>
          <w:numId w:val="15"/>
        </w:numPr>
        <w:rPr>
          <w:rFonts w:ascii="Arial" w:cs="Arial" w:eastAsia="Arial" w:hAnsi="Arial"/>
          <w:sz w:val="11"/>
          <w:szCs w:val="11"/>
          <w:color w:val="auto"/>
        </w:rPr>
      </w:pPr>
      <w:r>
        <w:rPr>
          <w:rFonts w:ascii="Arial" w:cs="Arial" w:eastAsia="Arial" w:hAnsi="Arial"/>
          <w:sz w:val="11"/>
          <w:szCs w:val="11"/>
          <w:color w:val="auto"/>
        </w:rPr>
        <w:t>Calculated based upon basic net income as adjusted to reach basic FFO. Includes 9.8 million and 10.9 million OP Units for the three months ended September 30, 2021 and 2020, respectively, and 10.2 million and 10.6 million for the nine months ended September 30, 2021 and 2020, respectively.</w:t>
      </w:r>
    </w:p>
    <w:p>
      <w:pPr>
        <w:spacing w:after="0" w:line="80" w:lineRule="exact"/>
        <w:rPr>
          <w:rFonts w:ascii="Arial" w:cs="Arial" w:eastAsia="Arial" w:hAnsi="Arial"/>
          <w:sz w:val="11"/>
          <w:szCs w:val="11"/>
          <w:color w:val="auto"/>
        </w:rPr>
      </w:pPr>
    </w:p>
    <w:p>
      <w:pPr>
        <w:ind w:left="268" w:right="160"/>
        <w:spacing w:after="0" w:line="257" w:lineRule="auto"/>
        <w:rPr>
          <w:rFonts w:ascii="Arial" w:cs="Arial" w:eastAsia="Arial" w:hAnsi="Arial"/>
          <w:sz w:val="11"/>
          <w:szCs w:val="11"/>
          <w:color w:val="auto"/>
        </w:rPr>
      </w:pPr>
      <w:r>
        <w:rPr>
          <w:rFonts w:ascii="Arial" w:cs="Arial" w:eastAsia="Arial" w:hAnsi="Arial"/>
          <w:sz w:val="11"/>
          <w:szCs w:val="11"/>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4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28" w:right="239" w:bottom="1440" w:gutter="0" w:footer="0" w:header="0"/>
        </w:sectPr>
      </w:pPr>
    </w:p>
    <w:bookmarkStart w:id="42" w:name="page43"/>
    <w:bookmarkEnd w:id="42"/>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00" w:lineRule="exact"/>
        <w:rPr>
          <w:sz w:val="20"/>
          <w:szCs w:val="20"/>
          <w:color w:val="auto"/>
        </w:rPr>
      </w:pPr>
    </w:p>
    <w:p>
      <w:pPr>
        <w:ind w:left="8" w:right="120" w:firstLine="297"/>
        <w:spacing w:after="0" w:line="263" w:lineRule="auto"/>
        <w:rPr>
          <w:sz w:val="20"/>
          <w:szCs w:val="20"/>
          <w:color w:val="auto"/>
        </w:rPr>
      </w:pPr>
      <w:r>
        <w:rPr>
          <w:rFonts w:ascii="Arial" w:cs="Arial" w:eastAsia="Arial" w:hAnsi="Arial"/>
          <w:sz w:val="12"/>
          <w:szCs w:val="12"/>
          <w:color w:val="auto"/>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77" w:lineRule="exact"/>
        <w:rPr>
          <w:sz w:val="20"/>
          <w:szCs w:val="20"/>
          <w:color w:val="auto"/>
        </w:rPr>
      </w:pPr>
    </w:p>
    <w:p>
      <w:pPr>
        <w:ind w:left="8" w:right="160" w:firstLine="297"/>
        <w:spacing w:after="0" w:line="269" w:lineRule="auto"/>
        <w:rPr>
          <w:sz w:val="20"/>
          <w:szCs w:val="20"/>
          <w:color w:val="auto"/>
        </w:rPr>
      </w:pPr>
      <w:r>
        <w:rPr>
          <w:rFonts w:ascii="Arial" w:cs="Arial" w:eastAsia="Arial" w:hAnsi="Arial"/>
          <w:sz w:val="12"/>
          <w:szCs w:val="12"/>
          <w:color w:val="auto"/>
        </w:rPr>
        <w:t>The following table sets forth information as of September 30, 2021 concerning the Company's long-term debt obligations, including principal cash flows by scheduled maturity, weighted average interest rates and estimated fair value (dollars in thousands):</w:t>
      </w:r>
    </w:p>
    <w:tbl>
      <w:tblPr>
        <w:tblLayout w:type="fixed"/>
        <w:tblInd w:w="8" w:type="dxa"/>
        <w:tblCellMar>
          <w:top w:w="0" w:type="dxa"/>
          <w:left w:w="0" w:type="dxa"/>
          <w:bottom w:w="0" w:type="dxa"/>
          <w:right w:w="0" w:type="dxa"/>
        </w:tblCellMar>
      </w:tblPr>
      <w:tr>
        <w:trPr>
          <w:trHeight w:val="127"/>
        </w:trPr>
        <w:tc>
          <w:tcPr>
            <w:tcW w:w="1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Expected Maturity Date</w:t>
            </w: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0"/>
                <w:szCs w:val="10"/>
                <w:b w:val="1"/>
                <w:bCs w:val="1"/>
                <w:color w:val="auto"/>
                <w:w w:val="84"/>
              </w:rPr>
              <w:t>For the twelve months ending September 30,</w:t>
            </w: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2022</w:t>
            </w: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2025</w:t>
            </w: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2026</w:t>
            </w:r>
          </w:p>
        </w:tc>
        <w:tc>
          <w:tcPr>
            <w:tcW w:w="2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2"/>
              <w:spacing w:after="0" w:line="110" w:lineRule="exact"/>
              <w:rPr>
                <w:sz w:val="20"/>
                <w:szCs w:val="20"/>
                <w:color w:val="auto"/>
              </w:rPr>
            </w:pPr>
            <w:r>
              <w:rPr>
                <w:rFonts w:ascii="Arial" w:cs="Arial" w:eastAsia="Arial" w:hAnsi="Arial"/>
                <w:sz w:val="10"/>
                <w:szCs w:val="10"/>
                <w:b w:val="1"/>
                <w:bCs w:val="1"/>
                <w:color w:val="auto"/>
              </w:rPr>
              <w:t>Thereafter</w:t>
            </w:r>
          </w:p>
        </w:tc>
        <w:tc>
          <w:tcPr>
            <w:tcW w:w="2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2"/>
              <w:spacing w:after="0" w:line="11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3"/>
        </w:trPr>
        <w:tc>
          <w:tcPr>
            <w:tcW w:w="1220" w:type="dxa"/>
            <w:vAlign w:val="bottom"/>
          </w:tcPr>
          <w:p>
            <w:pPr>
              <w:ind w:left="300"/>
              <w:spacing w:after="0" w:line="73" w:lineRule="exact"/>
              <w:rPr>
                <w:sz w:val="20"/>
                <w:szCs w:val="20"/>
                <w:color w:val="auto"/>
              </w:rPr>
            </w:pPr>
            <w:r>
              <w:rPr>
                <w:rFonts w:ascii="Arial" w:cs="Arial" w:eastAsia="Arial" w:hAnsi="Arial"/>
                <w:sz w:val="8"/>
                <w:szCs w:val="8"/>
                <w:b w:val="1"/>
                <w:bCs w:val="1"/>
                <w:color w:val="auto"/>
              </w:rPr>
              <w:t>CONSOLIDATED</w:t>
            </w: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1220" w:type="dxa"/>
            <w:vAlign w:val="bottom"/>
          </w:tcPr>
          <w:p>
            <w:pPr>
              <w:spacing w:after="0"/>
              <w:rPr>
                <w:sz w:val="20"/>
                <w:szCs w:val="20"/>
                <w:color w:val="auto"/>
              </w:rPr>
            </w:pPr>
            <w:r>
              <w:rPr>
                <w:rFonts w:ascii="Arial" w:cs="Arial" w:eastAsia="Arial" w:hAnsi="Arial"/>
                <w:sz w:val="10"/>
                <w:szCs w:val="10"/>
                <w:b w:val="1"/>
                <w:bCs w:val="1"/>
                <w:color w:val="auto"/>
              </w:rPr>
              <w:t>CENTERS:</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220" w:type="dxa"/>
            <w:vAlign w:val="bottom"/>
            <w:shd w:val="clear" w:color="auto" w:fill="CCEEFF"/>
          </w:tcPr>
          <w:p>
            <w:pPr>
              <w:ind w:left="300"/>
              <w:spacing w:after="0"/>
              <w:rPr>
                <w:sz w:val="20"/>
                <w:szCs w:val="20"/>
                <w:color w:val="auto"/>
              </w:rPr>
            </w:pPr>
            <w:r>
              <w:rPr>
                <w:rFonts w:ascii="Arial" w:cs="Arial" w:eastAsia="Arial" w:hAnsi="Arial"/>
                <w:sz w:val="10"/>
                <w:szCs w:val="10"/>
                <w:color w:val="auto"/>
              </w:rPr>
              <w:t>Long-term debt:</w:t>
            </w: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20" w:type="dxa"/>
            <w:vAlign w:val="bottom"/>
          </w:tcPr>
          <w:p>
            <w:pPr>
              <w:ind w:left="380"/>
              <w:spacing w:after="0"/>
              <w:rPr>
                <w:sz w:val="20"/>
                <w:szCs w:val="20"/>
                <w:color w:val="auto"/>
              </w:rPr>
            </w:pPr>
            <w:r>
              <w:rPr>
                <w:rFonts w:ascii="Arial" w:cs="Arial" w:eastAsia="Arial" w:hAnsi="Arial"/>
                <w:sz w:val="10"/>
                <w:szCs w:val="10"/>
                <w:color w:val="auto"/>
              </w:rPr>
              <w:t>Fixed rate(1)</w:t>
            </w: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479,813</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663,318</w:t>
            </w:r>
          </w:p>
        </w:tc>
        <w:tc>
          <w:tcPr>
            <w:tcW w:w="240" w:type="dxa"/>
            <w:vAlign w:val="bottom"/>
          </w:tcPr>
          <w:p>
            <w:pPr>
              <w:spacing w:after="0"/>
              <w:rPr>
                <w:sz w:val="10"/>
                <w:szCs w:val="10"/>
                <w:color w:val="auto"/>
              </w:rPr>
            </w:pPr>
          </w:p>
        </w:tc>
        <w:tc>
          <w:tcPr>
            <w:tcW w:w="580" w:type="dxa"/>
            <w:vAlign w:val="bottom"/>
            <w:gridSpan w:val="2"/>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471,219</w:t>
            </w:r>
          </w:p>
        </w:tc>
        <w:tc>
          <w:tcPr>
            <w:tcW w:w="1080" w:type="dxa"/>
            <w:vAlign w:val="bottom"/>
            <w:gridSpan w:val="3"/>
          </w:tcPr>
          <w:p>
            <w:pPr>
              <w:jc w:val="right"/>
              <w:ind w:right="272"/>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32"/>
              <w:spacing w:after="0"/>
              <w:rPr>
                <w:sz w:val="20"/>
                <w:szCs w:val="20"/>
                <w:color w:val="auto"/>
              </w:rPr>
            </w:pPr>
            <w:r>
              <w:rPr>
                <w:rFonts w:ascii="Arial" w:cs="Arial" w:eastAsia="Arial" w:hAnsi="Arial"/>
                <w:sz w:val="10"/>
                <w:szCs w:val="10"/>
                <w:color w:val="auto"/>
                <w:w w:val="77"/>
              </w:rPr>
              <w:t>607,334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214,621</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132"/>
              <w:spacing w:after="0"/>
              <w:rPr>
                <w:sz w:val="20"/>
                <w:szCs w:val="20"/>
                <w:color w:val="auto"/>
              </w:rPr>
            </w:pPr>
            <w:r>
              <w:rPr>
                <w:rFonts w:ascii="Arial" w:cs="Arial" w:eastAsia="Arial" w:hAnsi="Arial"/>
                <w:sz w:val="10"/>
                <w:szCs w:val="10"/>
                <w:color w:val="auto"/>
              </w:rPr>
              <w:t>1,785,000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4,221,305</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380"/>
              <w:spacing w:after="0"/>
              <w:rPr>
                <w:sz w:val="20"/>
                <w:szCs w:val="20"/>
                <w:color w:val="auto"/>
              </w:rPr>
            </w:pPr>
            <w:r>
              <w:rPr>
                <w:rFonts w:ascii="Arial" w:cs="Arial" w:eastAsia="Arial" w:hAnsi="Arial"/>
                <w:sz w:val="10"/>
                <w:szCs w:val="10"/>
                <w:color w:val="auto"/>
                <w:w w:val="88"/>
              </w:rPr>
              <w:t>Average interest rate</w:t>
            </w: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4.57</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4.19</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4.41</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3.49</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3.49</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3.92</w:t>
            </w:r>
          </w:p>
        </w:tc>
        <w:tc>
          <w:tcPr>
            <w:tcW w:w="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4.01</w:t>
            </w:r>
          </w:p>
        </w:tc>
        <w:tc>
          <w:tcPr>
            <w:tcW w:w="0" w:type="dxa"/>
            <w:vAlign w:val="bottom"/>
          </w:tcPr>
          <w:p>
            <w:pPr>
              <w:spacing w:after="0"/>
              <w:rPr>
                <w:sz w:val="1"/>
                <w:szCs w:val="1"/>
                <w:color w:val="auto"/>
              </w:rPr>
            </w:pPr>
          </w:p>
        </w:tc>
      </w:tr>
      <w:tr>
        <w:trPr>
          <w:trHeight w:val="124"/>
        </w:trPr>
        <w:tc>
          <w:tcPr>
            <w:tcW w:w="1220" w:type="dxa"/>
            <w:vAlign w:val="bottom"/>
          </w:tcPr>
          <w:p>
            <w:pPr>
              <w:ind w:left="380"/>
              <w:spacing w:after="0"/>
              <w:rPr>
                <w:sz w:val="20"/>
                <w:szCs w:val="20"/>
                <w:color w:val="auto"/>
              </w:rPr>
            </w:pPr>
            <w:r>
              <w:rPr>
                <w:rFonts w:ascii="Arial" w:cs="Arial" w:eastAsia="Arial" w:hAnsi="Arial"/>
                <w:sz w:val="10"/>
                <w:szCs w:val="10"/>
                <w:color w:val="auto"/>
              </w:rPr>
              <w:t>Floating rate</w:t>
            </w:r>
          </w:p>
        </w:tc>
        <w:tc>
          <w:tcPr>
            <w:tcW w:w="5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37,820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317,102</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354,922</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380"/>
              <w:spacing w:after="0"/>
              <w:rPr>
                <w:sz w:val="20"/>
                <w:szCs w:val="20"/>
                <w:color w:val="auto"/>
              </w:rPr>
            </w:pPr>
            <w:r>
              <w:rPr>
                <w:rFonts w:ascii="Arial" w:cs="Arial" w:eastAsia="Arial" w:hAnsi="Arial"/>
                <w:sz w:val="10"/>
                <w:szCs w:val="10"/>
                <w:color w:val="auto"/>
                <w:w w:val="88"/>
              </w:rPr>
              <w:t>Average interest rate</w:t>
            </w:r>
          </w:p>
        </w:tc>
        <w:tc>
          <w:tcPr>
            <w:tcW w:w="5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3.07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rPr>
              <w:t>3.35</w:t>
            </w:r>
          </w:p>
        </w:tc>
        <w:tc>
          <w:tcPr>
            <w:tcW w:w="0" w:type="dxa"/>
            <w:vAlign w:val="bottom"/>
          </w:tcPr>
          <w:p>
            <w:pPr>
              <w:spacing w:after="0"/>
              <w:rPr>
                <w:sz w:val="1"/>
                <w:szCs w:val="1"/>
                <w:color w:val="auto"/>
              </w:rPr>
            </w:pPr>
          </w:p>
        </w:tc>
      </w:tr>
      <w:tr>
        <w:trPr>
          <w:trHeight w:val="70"/>
        </w:trPr>
        <w:tc>
          <w:tcPr>
            <w:tcW w:w="1220" w:type="dxa"/>
            <w:vAlign w:val="bottom"/>
          </w:tcPr>
          <w:p>
            <w:pPr>
              <w:ind w:left="300"/>
              <w:spacing w:after="0" w:line="70" w:lineRule="exact"/>
              <w:rPr>
                <w:sz w:val="20"/>
                <w:szCs w:val="20"/>
                <w:color w:val="auto"/>
              </w:rPr>
            </w:pPr>
            <w:r>
              <w:rPr>
                <w:rFonts w:ascii="Arial" w:cs="Arial" w:eastAsia="Arial" w:hAnsi="Arial"/>
                <w:sz w:val="8"/>
                <w:szCs w:val="8"/>
                <w:color w:val="auto"/>
              </w:rPr>
              <w:t>Total debt—</w:t>
            </w: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0"/>
                <w:szCs w:val="10"/>
                <w:color w:val="auto"/>
              </w:rPr>
              <w:t>479,813</w:t>
            </w: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132"/>
              <w:spacing w:after="0"/>
              <w:rPr>
                <w:sz w:val="20"/>
                <w:szCs w:val="20"/>
                <w:color w:val="auto"/>
              </w:rPr>
            </w:pPr>
            <w:r>
              <w:rPr>
                <w:rFonts w:ascii="Arial" w:cs="Arial" w:eastAsia="Arial" w:hAnsi="Arial"/>
                <w:sz w:val="10"/>
                <w:szCs w:val="10"/>
                <w:color w:val="auto"/>
              </w:rPr>
              <w:t>701,138</w:t>
            </w:r>
          </w:p>
        </w:tc>
        <w:tc>
          <w:tcPr>
            <w:tcW w:w="240" w:type="dxa"/>
            <w:vAlign w:val="bottom"/>
          </w:tcPr>
          <w:p>
            <w:pPr>
              <w:spacing w:after="0"/>
              <w:rPr>
                <w:sz w:val="6"/>
                <w:szCs w:val="6"/>
                <w:color w:val="auto"/>
              </w:rPr>
            </w:pPr>
          </w:p>
        </w:tc>
        <w:tc>
          <w:tcPr>
            <w:tcW w:w="580" w:type="dxa"/>
            <w:vAlign w:val="bottom"/>
            <w:gridSpan w:val="2"/>
            <w:vMerge w:val="restart"/>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vMerge w:val="restart"/>
          </w:tcPr>
          <w:p>
            <w:pPr>
              <w:jc w:val="right"/>
              <w:ind w:right="12"/>
              <w:spacing w:after="0"/>
              <w:rPr>
                <w:sz w:val="20"/>
                <w:szCs w:val="20"/>
                <w:color w:val="auto"/>
              </w:rPr>
            </w:pPr>
            <w:r>
              <w:rPr>
                <w:rFonts w:ascii="Arial" w:cs="Arial" w:eastAsia="Arial" w:hAnsi="Arial"/>
                <w:sz w:val="10"/>
                <w:szCs w:val="10"/>
                <w:color w:val="auto"/>
              </w:rPr>
              <w:t>788,321</w:t>
            </w:r>
          </w:p>
        </w:tc>
        <w:tc>
          <w:tcPr>
            <w:tcW w:w="1080" w:type="dxa"/>
            <w:vAlign w:val="bottom"/>
            <w:gridSpan w:val="3"/>
            <w:vMerge w:val="restart"/>
          </w:tcPr>
          <w:p>
            <w:pPr>
              <w:jc w:val="right"/>
              <w:ind w:right="272"/>
              <w:spacing w:after="0"/>
              <w:rPr>
                <w:sz w:val="20"/>
                <w:szCs w:val="20"/>
                <w:color w:val="auto"/>
              </w:rPr>
            </w:pPr>
            <w:r>
              <w:rPr>
                <w:rFonts w:ascii="Arial" w:cs="Arial" w:eastAsia="Arial" w:hAnsi="Arial"/>
                <w:sz w:val="10"/>
                <w:szCs w:val="10"/>
                <w:color w:val="auto"/>
              </w:rPr>
              <w:t>$</w:t>
            </w:r>
          </w:p>
        </w:tc>
        <w:tc>
          <w:tcPr>
            <w:tcW w:w="480" w:type="dxa"/>
            <w:vAlign w:val="bottom"/>
            <w:vMerge w:val="restart"/>
          </w:tcPr>
          <w:p>
            <w:pPr>
              <w:jc w:val="right"/>
              <w:ind w:right="132"/>
              <w:spacing w:after="0"/>
              <w:rPr>
                <w:sz w:val="20"/>
                <w:szCs w:val="20"/>
                <w:color w:val="auto"/>
              </w:rPr>
            </w:pPr>
            <w:r>
              <w:rPr>
                <w:rFonts w:ascii="Arial" w:cs="Arial" w:eastAsia="Arial" w:hAnsi="Arial"/>
                <w:sz w:val="10"/>
                <w:szCs w:val="10"/>
                <w:color w:val="auto"/>
                <w:w w:val="77"/>
              </w:rPr>
              <w:t>607,334</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112"/>
              <w:spacing w:after="0"/>
              <w:rPr>
                <w:sz w:val="20"/>
                <w:szCs w:val="20"/>
                <w:color w:val="auto"/>
              </w:rPr>
            </w:pPr>
            <w:r>
              <w:rPr>
                <w:rFonts w:ascii="Arial" w:cs="Arial" w:eastAsia="Arial" w:hAnsi="Arial"/>
                <w:sz w:val="10"/>
                <w:szCs w:val="10"/>
                <w:color w:val="auto"/>
              </w:rPr>
              <w:t>214,621</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0"/>
                <w:szCs w:val="10"/>
                <w:color w:val="auto"/>
              </w:rPr>
              <w:t>1,785,000</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vMerge w:val="restart"/>
          </w:tcPr>
          <w:p>
            <w:pPr>
              <w:jc w:val="right"/>
              <w:ind w:right="272"/>
              <w:spacing w:after="0"/>
              <w:rPr>
                <w:sz w:val="20"/>
                <w:szCs w:val="20"/>
                <w:color w:val="auto"/>
              </w:rPr>
            </w:pPr>
            <w:r>
              <w:rPr>
                <w:rFonts w:ascii="Arial" w:cs="Arial" w:eastAsia="Arial" w:hAnsi="Arial"/>
                <w:sz w:val="10"/>
                <w:szCs w:val="10"/>
                <w:color w:val="auto"/>
              </w:rPr>
              <w:t>4,576,227</w:t>
            </w:r>
          </w:p>
        </w:tc>
        <w:tc>
          <w:tcPr>
            <w:tcW w:w="0" w:type="dxa"/>
            <w:vAlign w:val="bottom"/>
          </w:tcPr>
          <w:p>
            <w:pPr>
              <w:spacing w:after="0"/>
              <w:rPr>
                <w:sz w:val="1"/>
                <w:szCs w:val="1"/>
                <w:color w:val="auto"/>
              </w:rPr>
            </w:pPr>
          </w:p>
        </w:tc>
      </w:tr>
      <w:tr>
        <w:trPr>
          <w:trHeight w:val="124"/>
        </w:trPr>
        <w:tc>
          <w:tcPr>
            <w:tcW w:w="1220" w:type="dxa"/>
            <w:vAlign w:val="bottom"/>
          </w:tcPr>
          <w:p>
            <w:pPr>
              <w:spacing w:after="0" w:line="108" w:lineRule="exact"/>
              <w:rPr>
                <w:sz w:val="20"/>
                <w:szCs w:val="20"/>
                <w:color w:val="auto"/>
              </w:rPr>
            </w:pPr>
            <w:r>
              <w:rPr>
                <w:rFonts w:ascii="Arial" w:cs="Arial" w:eastAsia="Arial" w:hAnsi="Arial"/>
                <w:sz w:val="10"/>
                <w:szCs w:val="10"/>
                <w:color w:val="auto"/>
              </w:rPr>
              <w:t>Consolidated Centers</w:t>
            </w:r>
          </w:p>
        </w:tc>
        <w:tc>
          <w:tcPr>
            <w:tcW w:w="5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220" w:type="dxa"/>
            <w:vAlign w:val="bottom"/>
            <w:tcBorders>
              <w:top w:val="single" w:sz="8" w:color="CCEEFF"/>
            </w:tcBorders>
            <w:shd w:val="clear" w:color="auto" w:fill="CCEEFF"/>
          </w:tcPr>
          <w:p>
            <w:pPr>
              <w:ind w:left="300"/>
              <w:spacing w:after="0" w:line="72" w:lineRule="exact"/>
              <w:rPr>
                <w:sz w:val="20"/>
                <w:szCs w:val="20"/>
                <w:color w:val="auto"/>
              </w:rPr>
            </w:pPr>
            <w:r>
              <w:rPr>
                <w:rFonts w:ascii="Arial" w:cs="Arial" w:eastAsia="Arial" w:hAnsi="Arial"/>
                <w:sz w:val="8"/>
                <w:szCs w:val="8"/>
                <w:b w:val="1"/>
                <w:bCs w:val="1"/>
                <w:color w:val="auto"/>
              </w:rPr>
              <w:t>UNCONSOLIDATED</w:t>
            </w:r>
          </w:p>
        </w:tc>
        <w:tc>
          <w:tcPr>
            <w:tcW w:w="52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shd w:val="clear" w:color="auto" w:fill="CCEEFF"/>
          </w:tcPr>
          <w:p>
            <w:pPr>
              <w:spacing w:after="0" w:line="90" w:lineRule="exact"/>
              <w:rPr>
                <w:sz w:val="20"/>
                <w:szCs w:val="20"/>
                <w:color w:val="auto"/>
              </w:rPr>
            </w:pPr>
            <w:r>
              <w:rPr>
                <w:rFonts w:ascii="Arial" w:cs="Arial" w:eastAsia="Arial" w:hAnsi="Arial"/>
                <w:sz w:val="10"/>
                <w:szCs w:val="10"/>
                <w:b w:val="1"/>
                <w:bCs w:val="1"/>
                <w:color w:val="auto"/>
              </w:rPr>
              <w:t>JOINT VENTURE</w:t>
            </w: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2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CENTERS:</w:t>
            </w: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Pr>
          <w:p>
            <w:pPr>
              <w:ind w:left="300"/>
              <w:spacing w:after="0" w:line="90" w:lineRule="exact"/>
              <w:rPr>
                <w:sz w:val="20"/>
                <w:szCs w:val="20"/>
                <w:color w:val="auto"/>
              </w:rPr>
            </w:pPr>
            <w:r>
              <w:rPr>
                <w:rFonts w:ascii="Arial" w:cs="Arial" w:eastAsia="Arial" w:hAnsi="Arial"/>
                <w:sz w:val="10"/>
                <w:szCs w:val="10"/>
                <w:color w:val="auto"/>
              </w:rPr>
              <w:t>Long-term debt (at</w:t>
            </w: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220" w:type="dxa"/>
            <w:vAlign w:val="bottom"/>
          </w:tcPr>
          <w:p>
            <w:pPr>
              <w:spacing w:after="0"/>
              <w:rPr>
                <w:sz w:val="20"/>
                <w:szCs w:val="20"/>
                <w:color w:val="auto"/>
              </w:rPr>
            </w:pPr>
            <w:r>
              <w:rPr>
                <w:rFonts w:ascii="Arial" w:cs="Arial" w:eastAsia="Arial" w:hAnsi="Arial"/>
                <w:sz w:val="10"/>
                <w:szCs w:val="10"/>
                <w:color w:val="auto"/>
                <w:w w:val="99"/>
              </w:rPr>
              <w:t>Company's pro rata share):</w:t>
            </w: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380"/>
              <w:spacing w:after="0"/>
              <w:rPr>
                <w:sz w:val="20"/>
                <w:szCs w:val="20"/>
                <w:color w:val="auto"/>
              </w:rPr>
            </w:pPr>
            <w:r>
              <w:rPr>
                <w:rFonts w:ascii="Arial" w:cs="Arial" w:eastAsia="Arial" w:hAnsi="Arial"/>
                <w:sz w:val="10"/>
                <w:szCs w:val="10"/>
                <w:color w:val="auto"/>
              </w:rPr>
              <w:t>Fixed rate</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152,530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673,865</w:t>
            </w:r>
          </w:p>
        </w:tc>
        <w:tc>
          <w:tcPr>
            <w:tcW w:w="2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372,033</w:t>
            </w:r>
          </w:p>
        </w:tc>
        <w:tc>
          <w:tcPr>
            <w:tcW w:w="1080" w:type="dxa"/>
            <w:vAlign w:val="bottom"/>
            <w:gridSpan w:val="3"/>
            <w:shd w:val="clear" w:color="auto" w:fill="CCEEFF"/>
          </w:tcPr>
          <w:p>
            <w:pPr>
              <w:jc w:val="right"/>
              <w:ind w:right="27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91"/>
              </w:rPr>
              <w:t>34,504</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551,102</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1,224,921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3,008,955</w:t>
            </w:r>
          </w:p>
        </w:tc>
        <w:tc>
          <w:tcPr>
            <w:tcW w:w="0" w:type="dxa"/>
            <w:vAlign w:val="bottom"/>
          </w:tcPr>
          <w:p>
            <w:pPr>
              <w:spacing w:after="0"/>
              <w:rPr>
                <w:sz w:val="1"/>
                <w:szCs w:val="1"/>
                <w:color w:val="auto"/>
              </w:rPr>
            </w:pPr>
          </w:p>
        </w:tc>
      </w:tr>
      <w:tr>
        <w:trPr>
          <w:trHeight w:val="124"/>
        </w:trPr>
        <w:tc>
          <w:tcPr>
            <w:tcW w:w="1220" w:type="dxa"/>
            <w:vAlign w:val="bottom"/>
          </w:tcPr>
          <w:p>
            <w:pPr>
              <w:ind w:left="380"/>
              <w:spacing w:after="0"/>
              <w:rPr>
                <w:sz w:val="20"/>
                <w:szCs w:val="20"/>
                <w:color w:val="auto"/>
              </w:rPr>
            </w:pPr>
            <w:r>
              <w:rPr>
                <w:rFonts w:ascii="Arial" w:cs="Arial" w:eastAsia="Arial" w:hAnsi="Arial"/>
                <w:sz w:val="10"/>
                <w:szCs w:val="10"/>
                <w:color w:val="auto"/>
                <w:w w:val="88"/>
              </w:rPr>
              <w:t>Average interest rate</w:t>
            </w:r>
          </w:p>
        </w:tc>
        <w:tc>
          <w:tcPr>
            <w:tcW w:w="5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3.98</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jc w:val="right"/>
              <w:ind w:right="132"/>
              <w:spacing w:after="0"/>
              <w:rPr>
                <w:sz w:val="20"/>
                <w:szCs w:val="20"/>
                <w:color w:val="auto"/>
              </w:rPr>
            </w:pPr>
            <w:r>
              <w:rPr>
                <w:rFonts w:ascii="Arial" w:cs="Arial" w:eastAsia="Arial" w:hAnsi="Arial"/>
                <w:sz w:val="10"/>
                <w:szCs w:val="10"/>
                <w:color w:val="auto"/>
              </w:rPr>
              <w:t>3.52</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jc w:val="right"/>
              <w:ind w:right="12"/>
              <w:spacing w:after="0"/>
              <w:rPr>
                <w:sz w:val="20"/>
                <w:szCs w:val="20"/>
                <w:color w:val="auto"/>
              </w:rPr>
            </w:pPr>
            <w:r>
              <w:rPr>
                <w:rFonts w:ascii="Arial" w:cs="Arial" w:eastAsia="Arial" w:hAnsi="Arial"/>
                <w:sz w:val="10"/>
                <w:szCs w:val="10"/>
                <w:color w:val="auto"/>
              </w:rPr>
              <w:t>4.08</w:t>
            </w:r>
          </w:p>
        </w:tc>
        <w:tc>
          <w:tcPr>
            <w:tcW w:w="36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jc w:val="right"/>
              <w:ind w:right="132"/>
              <w:spacing w:after="0"/>
              <w:rPr>
                <w:sz w:val="20"/>
                <w:szCs w:val="20"/>
                <w:color w:val="auto"/>
              </w:rPr>
            </w:pPr>
            <w:r>
              <w:rPr>
                <w:rFonts w:ascii="Arial" w:cs="Arial" w:eastAsia="Arial" w:hAnsi="Arial"/>
                <w:sz w:val="10"/>
                <w:szCs w:val="10"/>
                <w:color w:val="auto"/>
              </w:rPr>
              <w:t>3.84</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3.83</w:t>
            </w: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ind w:right="132"/>
              <w:spacing w:after="0"/>
              <w:rPr>
                <w:sz w:val="20"/>
                <w:szCs w:val="20"/>
                <w:color w:val="auto"/>
              </w:rPr>
            </w:pPr>
            <w:r>
              <w:rPr>
                <w:rFonts w:ascii="Arial" w:cs="Arial" w:eastAsia="Arial" w:hAnsi="Arial"/>
                <w:sz w:val="10"/>
                <w:szCs w:val="10"/>
                <w:color w:val="auto"/>
              </w:rPr>
              <w:t>3.88</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3.82</w:t>
            </w:r>
          </w:p>
        </w:tc>
        <w:tc>
          <w:tcPr>
            <w:tcW w:w="0" w:type="dxa"/>
            <w:vAlign w:val="bottom"/>
          </w:tcPr>
          <w:p>
            <w:pPr>
              <w:spacing w:after="0"/>
              <w:rPr>
                <w:sz w:val="1"/>
                <w:szCs w:val="1"/>
                <w:color w:val="auto"/>
              </w:rPr>
            </w:pPr>
          </w:p>
        </w:tc>
      </w:tr>
      <w:tr>
        <w:trPr>
          <w:trHeight w:val="128"/>
        </w:trPr>
        <w:tc>
          <w:tcPr>
            <w:tcW w:w="1220" w:type="dxa"/>
            <w:vAlign w:val="bottom"/>
            <w:shd w:val="clear" w:color="auto" w:fill="CCEEFF"/>
          </w:tcPr>
          <w:p>
            <w:pPr>
              <w:ind w:left="380"/>
              <w:spacing w:after="0"/>
              <w:rPr>
                <w:sz w:val="20"/>
                <w:szCs w:val="20"/>
                <w:color w:val="auto"/>
              </w:rPr>
            </w:pPr>
            <w:r>
              <w:rPr>
                <w:rFonts w:ascii="Arial" w:cs="Arial" w:eastAsia="Arial" w:hAnsi="Arial"/>
                <w:sz w:val="10"/>
                <w:szCs w:val="10"/>
                <w:color w:val="auto"/>
              </w:rPr>
              <w:t>Floating rate</w:t>
            </w: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33,907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10,802</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91"/>
              </w:rPr>
              <w:t>55,060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rPr>
              <w:t>99,769</w:t>
            </w:r>
          </w:p>
        </w:tc>
        <w:tc>
          <w:tcPr>
            <w:tcW w:w="0" w:type="dxa"/>
            <w:vAlign w:val="bottom"/>
          </w:tcPr>
          <w:p>
            <w:pPr>
              <w:spacing w:after="0"/>
              <w:rPr>
                <w:sz w:val="1"/>
                <w:szCs w:val="1"/>
                <w:color w:val="auto"/>
              </w:rPr>
            </w:pPr>
          </w:p>
        </w:tc>
      </w:tr>
      <w:tr>
        <w:trPr>
          <w:trHeight w:val="124"/>
        </w:trPr>
        <w:tc>
          <w:tcPr>
            <w:tcW w:w="1220" w:type="dxa"/>
            <w:vAlign w:val="bottom"/>
            <w:tcBorders>
              <w:bottom w:val="single" w:sz="8" w:color="CCEEFF"/>
            </w:tcBorders>
          </w:tcPr>
          <w:p>
            <w:pPr>
              <w:ind w:left="380"/>
              <w:spacing w:after="0"/>
              <w:rPr>
                <w:sz w:val="20"/>
                <w:szCs w:val="20"/>
                <w:color w:val="auto"/>
              </w:rPr>
            </w:pPr>
            <w:r>
              <w:rPr>
                <w:rFonts w:ascii="Arial" w:cs="Arial" w:eastAsia="Arial" w:hAnsi="Arial"/>
                <w:sz w:val="10"/>
                <w:szCs w:val="10"/>
                <w:color w:val="auto"/>
                <w:w w:val="88"/>
              </w:rPr>
              <w:t>Average interest rate</w:t>
            </w: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2.09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1.79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rPr>
              <w:t>1.91</w:t>
            </w:r>
          </w:p>
        </w:tc>
        <w:tc>
          <w:tcPr>
            <w:tcW w:w="0" w:type="dxa"/>
            <w:vAlign w:val="bottom"/>
          </w:tcPr>
          <w:p>
            <w:pPr>
              <w:spacing w:after="0"/>
              <w:rPr>
                <w:sz w:val="1"/>
                <w:szCs w:val="1"/>
                <w:color w:val="auto"/>
              </w:rPr>
            </w:pPr>
          </w:p>
        </w:tc>
      </w:tr>
      <w:tr>
        <w:trPr>
          <w:trHeight w:val="72"/>
        </w:trPr>
        <w:tc>
          <w:tcPr>
            <w:tcW w:w="1220" w:type="dxa"/>
            <w:vAlign w:val="bottom"/>
            <w:shd w:val="clear" w:color="auto" w:fill="CCEEFF"/>
          </w:tcPr>
          <w:p>
            <w:pPr>
              <w:ind w:left="300"/>
              <w:spacing w:after="0" w:line="73" w:lineRule="exact"/>
              <w:rPr>
                <w:sz w:val="20"/>
                <w:szCs w:val="20"/>
                <w:color w:val="auto"/>
              </w:rPr>
            </w:pPr>
            <w:r>
              <w:rPr>
                <w:rFonts w:ascii="Arial" w:cs="Arial" w:eastAsia="Arial" w:hAnsi="Arial"/>
                <w:sz w:val="8"/>
                <w:szCs w:val="8"/>
                <w:color w:val="auto"/>
              </w:rPr>
              <w:t>Total debt—</w:t>
            </w:r>
          </w:p>
        </w:tc>
        <w:tc>
          <w:tcPr>
            <w:tcW w:w="5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220" w:type="dxa"/>
            <w:vAlign w:val="bottom"/>
            <w:shd w:val="clear" w:color="auto" w:fill="CCEEFF"/>
          </w:tcPr>
          <w:p>
            <w:pPr>
              <w:spacing w:after="0" w:line="90" w:lineRule="exact"/>
              <w:rPr>
                <w:sz w:val="20"/>
                <w:szCs w:val="20"/>
                <w:color w:val="auto"/>
              </w:rPr>
            </w:pPr>
            <w:r>
              <w:rPr>
                <w:rFonts w:ascii="Arial" w:cs="Arial" w:eastAsia="Arial" w:hAnsi="Arial"/>
                <w:sz w:val="10"/>
                <w:szCs w:val="10"/>
                <w:color w:val="auto"/>
                <w:w w:val="91"/>
              </w:rPr>
              <w:t>Unconsolidated Joint Venture</w:t>
            </w: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186,437</w:t>
            </w: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rPr>
              <w:t>673,865</w:t>
            </w:r>
          </w:p>
        </w:tc>
        <w:tc>
          <w:tcPr>
            <w:tcW w:w="24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7"/>
                <w:szCs w:val="7"/>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382,835</w:t>
            </w:r>
          </w:p>
        </w:tc>
        <w:tc>
          <w:tcPr>
            <w:tcW w:w="360" w:type="dxa"/>
            <w:vAlign w:val="bottom"/>
            <w:vMerge w:val="restart"/>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7"/>
                <w:szCs w:val="7"/>
                <w:color w:val="auto"/>
              </w:rPr>
            </w:pPr>
          </w:p>
        </w:tc>
        <w:tc>
          <w:tcPr>
            <w:tcW w:w="660" w:type="dxa"/>
            <w:vAlign w:val="bottom"/>
            <w:vMerge w:val="restart"/>
            <w:shd w:val="clear" w:color="auto" w:fill="CCEEFF"/>
          </w:tcPr>
          <w:p>
            <w:pPr>
              <w:jc w:val="right"/>
              <w:ind w:right="272"/>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w w:val="91"/>
              </w:rPr>
              <w:t>89,564</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551,102</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20" w:type="dxa"/>
            <w:vAlign w:val="bottom"/>
            <w:vMerge w:val="restart"/>
            <w:shd w:val="clear" w:color="auto" w:fill="CCEEFF"/>
          </w:tcPr>
          <w:p>
            <w:pPr>
              <w:jc w:val="right"/>
              <w:ind w:right="132"/>
              <w:spacing w:after="0"/>
              <w:rPr>
                <w:sz w:val="20"/>
                <w:szCs w:val="20"/>
                <w:color w:val="auto"/>
              </w:rPr>
            </w:pPr>
            <w:r>
              <w:rPr>
                <w:rFonts w:ascii="Arial" w:cs="Arial" w:eastAsia="Arial" w:hAnsi="Arial"/>
                <w:sz w:val="10"/>
                <w:szCs w:val="10"/>
                <w:color w:val="auto"/>
              </w:rPr>
              <w:t>1,224,921</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60" w:type="dxa"/>
            <w:vAlign w:val="bottom"/>
            <w:vMerge w:val="restart"/>
            <w:shd w:val="clear" w:color="auto" w:fill="CCEEFF"/>
          </w:tcPr>
          <w:p>
            <w:pPr>
              <w:jc w:val="right"/>
              <w:ind w:right="272"/>
              <w:spacing w:after="0"/>
              <w:rPr>
                <w:sz w:val="20"/>
                <w:szCs w:val="20"/>
                <w:color w:val="auto"/>
              </w:rPr>
            </w:pPr>
            <w:r>
              <w:rPr>
                <w:rFonts w:ascii="Arial" w:cs="Arial" w:eastAsia="Arial" w:hAnsi="Arial"/>
                <w:sz w:val="10"/>
                <w:szCs w:val="10"/>
                <w:color w:val="auto"/>
              </w:rPr>
              <w:t>3,108,724</w:t>
            </w:r>
          </w:p>
        </w:tc>
        <w:tc>
          <w:tcPr>
            <w:tcW w:w="0" w:type="dxa"/>
            <w:vAlign w:val="bottom"/>
          </w:tcPr>
          <w:p>
            <w:pPr>
              <w:spacing w:after="0"/>
              <w:rPr>
                <w:sz w:val="1"/>
                <w:szCs w:val="1"/>
                <w:color w:val="auto"/>
              </w:rPr>
            </w:pPr>
          </w:p>
        </w:tc>
      </w:tr>
      <w:tr>
        <w:trPr>
          <w:trHeight w:val="124"/>
        </w:trPr>
        <w:tc>
          <w:tcPr>
            <w:tcW w:w="1220" w:type="dxa"/>
            <w:vAlign w:val="bottom"/>
            <w:tcBorders>
              <w:bottom w:val="single" w:sz="8" w:color="CCEEFF"/>
            </w:tcBorders>
            <w:shd w:val="clear" w:color="auto" w:fill="CCEEFF"/>
          </w:tcPr>
          <w:p>
            <w:pPr>
              <w:spacing w:after="0" w:line="108" w:lineRule="exact"/>
              <w:rPr>
                <w:sz w:val="20"/>
                <w:szCs w:val="20"/>
                <w:color w:val="auto"/>
              </w:rPr>
            </w:pPr>
            <w:r>
              <w:rPr>
                <w:rFonts w:ascii="Arial" w:cs="Arial" w:eastAsia="Arial" w:hAnsi="Arial"/>
                <w:sz w:val="10"/>
                <w:szCs w:val="10"/>
                <w:color w:val="auto"/>
              </w:rPr>
              <w:t>Centers</w:t>
            </w: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2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640" w:type="dxa"/>
            <w:vAlign w:val="bottom"/>
            <w:tcBorders>
              <w:bottom w:val="single" w:sz="8" w:color="auto"/>
            </w:tcBorders>
            <w:vMerge w:val="continue"/>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3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auto"/>
            </w:tcBorders>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20" w:type="dxa"/>
            <w:vAlign w:val="bottom"/>
            <w:tcBorders>
              <w:bottom w:val="single" w:sz="8" w:color="auto"/>
            </w:tcBorders>
            <w:vMerge w:val="continue"/>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68" w:right="180" w:hanging="268"/>
        <w:spacing w:after="0" w:line="222" w:lineRule="auto"/>
        <w:tabs>
          <w:tab w:leader="none" w:pos="204"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The notional amount of the swaps that were previously hedged against the Company's prior revolving line of credit are now hedged against the Santa Monica Place floating rate debt and a portion of Green Acres Commons floating rate debt effectively converting the Santa Monica Place loan and a majority of the Green Acres Commons loan to fixed rate debt through September 30, 2021. The Company did not renew the swaps and, as a result, on October 1, 2021, these loans reverted back to floating interest rate loans (See Note 5—Derivative Instruments and Hedging Activities in the Company's Notes to the Consolidated Financial Statements).</w:t>
      </w:r>
    </w:p>
    <w:p>
      <w:pPr>
        <w:spacing w:after="0" w:line="80" w:lineRule="exact"/>
        <w:rPr>
          <w:sz w:val="20"/>
          <w:szCs w:val="20"/>
          <w:color w:val="auto"/>
        </w:rPr>
      </w:pPr>
    </w:p>
    <w:p>
      <w:pPr>
        <w:ind w:left="8" w:right="240" w:firstLine="297"/>
        <w:spacing w:after="0" w:line="263" w:lineRule="auto"/>
        <w:rPr>
          <w:sz w:val="20"/>
          <w:szCs w:val="20"/>
          <w:color w:val="auto"/>
        </w:rPr>
      </w:pPr>
      <w:r>
        <w:rPr>
          <w:rFonts w:ascii="Arial" w:cs="Arial" w:eastAsia="Arial" w:hAnsi="Arial"/>
          <w:sz w:val="12"/>
          <w:szCs w:val="12"/>
          <w:color w:val="auto"/>
        </w:rPr>
        <w:t>The Consolidated Centers' total fixed rate debt at each of September 30, 2021 and December 31, 2020 was $4.2 billion. The average interest rate on the fixed rate debt at September 30, 2021 and December 31, 2020 was 4.01% and 3.98%, respectively. The Consolidated Centers' total floating rate debt at each of September 30, 2021 and December 31, 2020 was $0.4 billion and $1.7 billion, respectively. The average interest rate on the floating rate debt at September 30, 2021 and December 31, 2020 was 3.35% and 2.08%, respectively.</w:t>
      </w:r>
    </w:p>
    <w:p>
      <w:pPr>
        <w:spacing w:after="0" w:line="77" w:lineRule="exact"/>
        <w:rPr>
          <w:sz w:val="20"/>
          <w:szCs w:val="20"/>
          <w:color w:val="auto"/>
        </w:rPr>
      </w:pPr>
    </w:p>
    <w:p>
      <w:pPr>
        <w:ind w:left="288"/>
        <w:spacing w:after="0"/>
        <w:rPr>
          <w:sz w:val="20"/>
          <w:szCs w:val="20"/>
          <w:color w:val="auto"/>
        </w:rPr>
      </w:pPr>
      <w:r>
        <w:rPr>
          <w:rFonts w:ascii="Arial" w:cs="Arial" w:eastAsia="Arial" w:hAnsi="Arial"/>
          <w:sz w:val="10"/>
          <w:szCs w:val="10"/>
          <w:color w:val="auto"/>
        </w:rPr>
        <w:t>The Company's pro rata share of the unconsolidated joint venture Centers' fixed rate debt at each of September 30, 2021 and December 31, 2020 was $3.0 billion. The average interest rate on the fixed rate debt at September 30,</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2021 and December 31, 2020 was 3.82%. The Company's pro rata share of the unconsolidated joint venture Centers' floating rate debt at September 30, 2021 and December 31, 2020 was $99.8 million and $70.5 million, respectively.</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average interest rate on the floating rate debt at September 30, 2021 and December 31, 2020 was 1.91% and 2.02%, respectively.</w:t>
      </w:r>
    </w:p>
    <w:p>
      <w:pPr>
        <w:spacing w:after="0" w:line="87" w:lineRule="exact"/>
        <w:rPr>
          <w:sz w:val="20"/>
          <w:szCs w:val="20"/>
          <w:color w:val="auto"/>
        </w:rPr>
      </w:pPr>
    </w:p>
    <w:p>
      <w:pPr>
        <w:ind w:left="8" w:right="140" w:firstLine="297"/>
        <w:spacing w:after="0" w:line="259" w:lineRule="auto"/>
        <w:rPr>
          <w:sz w:val="20"/>
          <w:szCs w:val="20"/>
          <w:color w:val="auto"/>
        </w:rPr>
      </w:pPr>
      <w:r>
        <w:rPr>
          <w:rFonts w:ascii="Arial" w:cs="Arial" w:eastAsia="Arial" w:hAnsi="Arial"/>
          <w:sz w:val="12"/>
          <w:szCs w:val="12"/>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These swap agreements expired on September 30, 2021 and have not been renewed by the Company. As of September 30, 2021, the Company has one interest rate cap agreement and four interest rate swap agreements in place (See Note 5— Derivative Instruments and Hedging Activities in the Company's Notes to the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28" w:right="239" w:bottom="1440" w:gutter="0" w:footer="0" w:header="0"/>
        </w:sectPr>
      </w:pPr>
    </w:p>
    <w:bookmarkStart w:id="43" w:name="page44"/>
    <w:bookmarkEnd w:id="4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300" w:lineRule="exact"/>
        <w:rPr>
          <w:sz w:val="20"/>
          <w:szCs w:val="20"/>
          <w:color w:val="auto"/>
        </w:rPr>
      </w:pPr>
    </w:p>
    <w:p>
      <w:pPr>
        <w:ind w:right="60" w:firstLine="297"/>
        <w:spacing w:after="0" w:line="276" w:lineRule="auto"/>
        <w:rPr>
          <w:sz w:val="20"/>
          <w:szCs w:val="20"/>
          <w:color w:val="auto"/>
        </w:rPr>
      </w:pPr>
      <w:r>
        <w:rPr>
          <w:rFonts w:ascii="Arial" w:cs="Arial" w:eastAsia="Arial" w:hAnsi="Arial"/>
          <w:sz w:val="12"/>
          <w:szCs w:val="12"/>
          <w:color w:val="auto"/>
        </w:rPr>
        <w:t>In addition, the Company has assessed the market risk for its floating rate debt and believes that a 1% increase in interest rates would decrease future earnings and cash flows by approximately $4.5 million per year based on $0.5 billion of floating rate debt outstanding at September 30, 2021.</w:t>
      </w:r>
    </w:p>
    <w:p>
      <w:pPr>
        <w:spacing w:after="0" w:line="61" w:lineRule="exact"/>
        <w:rPr>
          <w:sz w:val="20"/>
          <w:szCs w:val="20"/>
          <w:color w:val="auto"/>
        </w:rPr>
      </w:pPr>
    </w:p>
    <w:p>
      <w:pPr>
        <w:ind w:right="160" w:firstLine="297"/>
        <w:spacing w:after="0" w:line="263" w:lineRule="auto"/>
        <w:rPr>
          <w:sz w:val="20"/>
          <w:szCs w:val="20"/>
          <w:color w:val="auto"/>
        </w:rPr>
      </w:pPr>
      <w:r>
        <w:rPr>
          <w:rFonts w:ascii="Arial" w:cs="Arial" w:eastAsia="Arial" w:hAnsi="Arial"/>
          <w:sz w:val="12"/>
          <w:szCs w:val="12"/>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 Bank and Other Notes Payable in the Company's Notes to the Consolidated Financial Statements).</w:t>
      </w:r>
    </w:p>
    <w:p>
      <w:pPr>
        <w:spacing w:after="0" w:line="77" w:lineRule="exact"/>
        <w:rPr>
          <w:sz w:val="20"/>
          <w:szCs w:val="20"/>
          <w:color w:val="auto"/>
        </w:rPr>
      </w:pPr>
    </w:p>
    <w:p>
      <w:pPr>
        <w:ind w:firstLine="297"/>
        <w:spacing w:after="0" w:line="289" w:lineRule="auto"/>
        <w:rPr>
          <w:sz w:val="20"/>
          <w:szCs w:val="20"/>
          <w:color w:val="auto"/>
        </w:rPr>
      </w:pPr>
      <w:r>
        <w:rPr>
          <w:rFonts w:ascii="Arial" w:cs="Arial" w:eastAsia="Arial" w:hAnsi="Arial"/>
          <w:sz w:val="11"/>
          <w:szCs w:val="11"/>
          <w:color w:val="auto"/>
        </w:rPr>
        <w:t>In July 2017, the Financial Conduct Authority (the “FCA”), the authority that regulates LIBOR, announced that it intends to stop compelling banks to submit rates for the calculation of LIBOR after 2021, and, on March 5, 2021, the FCA announced that USD-LIBOR will no longer be published after June 30, 2023. In the event that LIBOR is discontinued after June 30, 2023, the interest rate for the variable rate debt of the Company and its joint ventures and the swap rate for the Company’s interest rate swaps following such event will be based on an alternative variable rate as specified in the applicable documentation governing such debt or swaps or as otherwise agreed upon. Such an event would not affect the Company’s ability to borrow or maintain already outstanding borrowings or swaps, but the alternative variable rate could be higher and more volatile than LIBOR prior to its discontinuance.</w:t>
      </w:r>
    </w:p>
    <w:p>
      <w:pPr>
        <w:spacing w:after="0" w:line="6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00" w:lineRule="exact"/>
        <w:rPr>
          <w:sz w:val="20"/>
          <w:szCs w:val="20"/>
          <w:color w:val="auto"/>
        </w:rPr>
      </w:pPr>
    </w:p>
    <w:p>
      <w:pPr>
        <w:ind w:firstLine="297"/>
        <w:spacing w:after="0" w:line="255" w:lineRule="auto"/>
        <w:rPr>
          <w:sz w:val="20"/>
          <w:szCs w:val="20"/>
          <w:color w:val="auto"/>
        </w:rPr>
      </w:pPr>
      <w:r>
        <w:rPr>
          <w:rFonts w:ascii="Arial" w:cs="Arial" w:eastAsia="Arial" w:hAnsi="Arial"/>
          <w:sz w:val="12"/>
          <w:szCs w:val="12"/>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2021,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83" w:lineRule="exact"/>
        <w:rPr>
          <w:sz w:val="20"/>
          <w:szCs w:val="20"/>
          <w:color w:val="auto"/>
        </w:rPr>
      </w:pPr>
    </w:p>
    <w:p>
      <w:pPr>
        <w:ind w:right="260" w:firstLine="297"/>
        <w:spacing w:after="0" w:line="276" w:lineRule="auto"/>
        <w:rPr>
          <w:sz w:val="20"/>
          <w:szCs w:val="20"/>
          <w:color w:val="auto"/>
        </w:rPr>
      </w:pPr>
      <w:r>
        <w:rPr>
          <w:rFonts w:ascii="Arial" w:cs="Arial" w:eastAsia="Arial" w:hAnsi="Arial"/>
          <w:sz w:val="12"/>
          <w:szCs w:val="12"/>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09" w:lineRule="exact"/>
        <w:rPr>
          <w:sz w:val="20"/>
          <w:szCs w:val="20"/>
          <w:color w:val="auto"/>
        </w:rPr>
      </w:pPr>
    </w:p>
    <w:p>
      <w:pPr>
        <w:ind w:right="160" w:firstLine="297"/>
        <w:spacing w:after="0" w:line="276" w:lineRule="auto"/>
        <w:rPr>
          <w:sz w:val="20"/>
          <w:szCs w:val="20"/>
          <w:color w:val="auto"/>
        </w:rPr>
      </w:pPr>
      <w:r>
        <w:rPr>
          <w:rFonts w:ascii="Arial" w:cs="Arial" w:eastAsia="Arial" w:hAnsi="Arial"/>
          <w:sz w:val="12"/>
          <w:szCs w:val="12"/>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There have been no material changes to the risk factors relating to the Company set forth under the caption "Item 1A. Risk Factors"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44" w:name="page45"/>
    <w:bookmarkEnd w:id="4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vMerge w:val="restart"/>
          </w:tcPr>
          <w:p>
            <w:pPr>
              <w:jc w:val="center"/>
              <w:ind w:left="146"/>
              <w:spacing w:after="0"/>
              <w:rPr>
                <w:sz w:val="20"/>
                <w:szCs w:val="20"/>
                <w:color w:val="auto"/>
              </w:rPr>
            </w:pPr>
            <w:r>
              <w:rPr>
                <w:rFonts w:ascii="Arial" w:cs="Arial" w:eastAsia="Arial" w:hAnsi="Arial"/>
                <w:sz w:val="11"/>
                <w:szCs w:val="11"/>
                <w:b w:val="1"/>
                <w:bCs w:val="1"/>
                <w:color w:val="auto"/>
                <w:w w:val="88"/>
              </w:rPr>
              <w:t>Total Number of Shares</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Average Price Paid per</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88"/>
              </w:rPr>
              <w:t>Total Number of Shares Purchased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2"/>
          </w:tcPr>
          <w:p>
            <w:pPr>
              <w:ind w:left="20"/>
              <w:spacing w:after="0"/>
              <w:rPr>
                <w:sz w:val="20"/>
                <w:szCs w:val="20"/>
                <w:color w:val="auto"/>
              </w:rPr>
            </w:pPr>
            <w:r>
              <w:rPr>
                <w:rFonts w:ascii="Arial" w:cs="Arial" w:eastAsia="Arial" w:hAnsi="Arial"/>
                <w:sz w:val="11"/>
                <w:szCs w:val="11"/>
                <w:b w:val="1"/>
                <w:bCs w:val="1"/>
                <w:color w:val="auto"/>
              </w:rPr>
              <w:t>Approximate Dollar Value of Shares</w:t>
            </w:r>
          </w:p>
        </w:tc>
        <w:tc>
          <w:tcPr>
            <w:tcW w:w="0" w:type="dxa"/>
            <w:vAlign w:val="bottom"/>
          </w:tcPr>
          <w:p>
            <w:pPr>
              <w:spacing w:after="0"/>
              <w:rPr>
                <w:sz w:val="1"/>
                <w:szCs w:val="1"/>
                <w:color w:val="auto"/>
              </w:rPr>
            </w:pPr>
          </w:p>
        </w:tc>
      </w:tr>
      <w:tr>
        <w:trPr>
          <w:trHeight w:val="108"/>
        </w:trPr>
        <w:tc>
          <w:tcPr>
            <w:tcW w:w="3440" w:type="dxa"/>
            <w:vAlign w:val="bottom"/>
            <w:vMerge w:val="restart"/>
          </w:tcPr>
          <w:p>
            <w:pPr>
              <w:spacing w:after="0"/>
              <w:rPr>
                <w:sz w:val="20"/>
                <w:szCs w:val="20"/>
                <w:color w:val="auto"/>
              </w:rPr>
            </w:pPr>
            <w:r>
              <w:rPr>
                <w:rFonts w:ascii="Arial" w:cs="Arial" w:eastAsia="Arial" w:hAnsi="Arial"/>
                <w:sz w:val="11"/>
                <w:szCs w:val="11"/>
                <w:b w:val="1"/>
                <w:bCs w:val="1"/>
                <w:color w:val="auto"/>
              </w:rPr>
              <w:t>Period</w:t>
            </w:r>
          </w:p>
        </w:tc>
        <w:tc>
          <w:tcPr>
            <w:tcW w:w="80" w:type="dxa"/>
            <w:vAlign w:val="bottom"/>
            <w:vMerge w:val="restart"/>
          </w:tcPr>
          <w:p>
            <w:pPr>
              <w:spacing w:after="0"/>
              <w:rPr>
                <w:sz w:val="9"/>
                <w:szCs w:val="9"/>
                <w:color w:val="auto"/>
              </w:rPr>
            </w:pPr>
          </w:p>
        </w:tc>
        <w:tc>
          <w:tcPr>
            <w:tcW w:w="1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as Part of Publicly Announced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2"/>
          </w:tcPr>
          <w:p>
            <w:pPr>
              <w:jc w:val="right"/>
              <w:ind w:right="206"/>
              <w:spacing w:after="0" w:line="108" w:lineRule="exact"/>
              <w:rPr>
                <w:sz w:val="20"/>
                <w:szCs w:val="20"/>
                <w:color w:val="auto"/>
              </w:rPr>
            </w:pPr>
            <w:r>
              <w:rPr>
                <w:rFonts w:ascii="Arial" w:cs="Arial" w:eastAsia="Arial" w:hAnsi="Arial"/>
                <w:sz w:val="11"/>
                <w:szCs w:val="11"/>
                <w:b w:val="1"/>
                <w:bCs w:val="1"/>
                <w:color w:val="auto"/>
                <w:w w:val="92"/>
              </w:rPr>
              <w:t>That May Yet Be Purchased Under</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85"/>
              </w:rPr>
              <w:t>Purchased</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Share</w:t>
            </w:r>
          </w:p>
        </w:tc>
        <w:tc>
          <w:tcPr>
            <w:tcW w:w="1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Plans or Programs</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w w:val="95"/>
              </w:rPr>
              <w:t>the Plans or Programs (1)</w:t>
            </w:r>
          </w:p>
        </w:tc>
        <w:tc>
          <w:tcPr>
            <w:tcW w:w="0" w:type="dxa"/>
            <w:vAlign w:val="bottom"/>
          </w:tcPr>
          <w:p>
            <w:pPr>
              <w:spacing w:after="0"/>
              <w:rPr>
                <w:sz w:val="1"/>
                <w:szCs w:val="1"/>
                <w:color w:val="auto"/>
              </w:rPr>
            </w:pPr>
          </w:p>
        </w:tc>
      </w:tr>
      <w:tr>
        <w:trPr>
          <w:trHeight w:val="144"/>
        </w:trPr>
        <w:tc>
          <w:tcPr>
            <w:tcW w:w="3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July 1, 2021 to July 31, 2021</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7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53"/>
        </w:trPr>
        <w:tc>
          <w:tcPr>
            <w:tcW w:w="3520" w:type="dxa"/>
            <w:vAlign w:val="bottom"/>
            <w:gridSpan w:val="2"/>
          </w:tcPr>
          <w:p>
            <w:pPr>
              <w:spacing w:after="0"/>
              <w:rPr>
                <w:sz w:val="20"/>
                <w:szCs w:val="20"/>
                <w:color w:val="auto"/>
              </w:rPr>
            </w:pPr>
            <w:r>
              <w:rPr>
                <w:rFonts w:ascii="Arial" w:cs="Arial" w:eastAsia="Arial" w:hAnsi="Arial"/>
                <w:sz w:val="11"/>
                <w:szCs w:val="11"/>
                <w:color w:val="auto"/>
              </w:rPr>
              <w:t>August 1, 2021 to August 31, 2021</w:t>
            </w:r>
          </w:p>
        </w:tc>
        <w:tc>
          <w:tcPr>
            <w:tcW w:w="13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170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1780" w:type="dxa"/>
            <w:vAlign w:val="bottom"/>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53"/>
        </w:trPr>
        <w:tc>
          <w:tcPr>
            <w:tcW w:w="35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September 1, 2021 to September 30, 2021</w:t>
            </w:r>
          </w:p>
        </w:tc>
        <w:tc>
          <w:tcPr>
            <w:tcW w:w="13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17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278,707,048</w:t>
            </w:r>
          </w:p>
        </w:tc>
        <w:tc>
          <w:tcPr>
            <w:tcW w:w="0" w:type="dxa"/>
            <w:vAlign w:val="bottom"/>
          </w:tcPr>
          <w:p>
            <w:pPr>
              <w:spacing w:after="0"/>
              <w:rPr>
                <w:sz w:val="1"/>
                <w:szCs w:val="1"/>
                <w:color w:val="auto"/>
              </w:rPr>
            </w:pPr>
          </w:p>
        </w:tc>
      </w:tr>
      <w:tr>
        <w:trPr>
          <w:trHeight w:val="133"/>
        </w:trPr>
        <w:tc>
          <w:tcPr>
            <w:tcW w:w="3520" w:type="dxa"/>
            <w:vAlign w:val="bottom"/>
            <w:gridSpan w:val="2"/>
          </w:tcPr>
          <w:p>
            <w:pPr>
              <w:spacing w:after="0"/>
              <w:rPr>
                <w:sz w:val="20"/>
                <w:szCs w:val="20"/>
                <w:color w:val="auto"/>
              </w:rPr>
            </w:pPr>
            <w:r>
              <w:rPr>
                <w:rFonts w:ascii="Arial" w:cs="Arial" w:eastAsia="Arial" w:hAnsi="Arial"/>
                <w:sz w:val="11"/>
                <w:szCs w:val="11"/>
                <w:color w:val="auto"/>
              </w:rPr>
              <w:t>Total</w:t>
            </w:r>
          </w:p>
        </w:tc>
        <w:tc>
          <w:tcPr>
            <w:tcW w:w="1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3"/>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320" w:type="dxa"/>
            <w:vAlign w:val="bottom"/>
            <w:gridSpan w:val="2"/>
          </w:tcPr>
          <w:p>
            <w:pPr>
              <w:ind w:left="1060"/>
              <w:spacing w:after="0" w:line="133" w:lineRule="exact"/>
              <w:rPr>
                <w:sz w:val="20"/>
                <w:szCs w:val="20"/>
                <w:color w:val="auto"/>
              </w:rPr>
            </w:pPr>
            <w:r>
              <w:rPr>
                <w:rFonts w:ascii="Arial" w:cs="Arial" w:eastAsia="Arial" w:hAnsi="Arial"/>
                <w:sz w:val="12"/>
                <w:szCs w:val="12"/>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376"/>
        <w:spacing w:after="0"/>
        <w:tabs>
          <w:tab w:leader="none" w:pos="800" w:val="left"/>
        </w:tabs>
        <w:numPr>
          <w:ilvl w:val="0"/>
          <w:numId w:val="17"/>
        </w:numPr>
        <w:rPr>
          <w:rFonts w:ascii="Arial" w:cs="Arial" w:eastAsia="Arial" w:hAnsi="Arial"/>
          <w:sz w:val="11"/>
          <w:szCs w:val="11"/>
          <w:color w:val="auto"/>
        </w:rPr>
      </w:pPr>
      <w:r>
        <w:rPr>
          <w:rFonts w:ascii="Arial" w:cs="Arial" w:eastAsia="Arial" w:hAnsi="Arial"/>
          <w:sz w:val="11"/>
          <w:szCs w:val="11"/>
          <w:color w:val="auto"/>
        </w:rPr>
        <w:t>On February 12, 2017, the Company's Board of Directors authorized the repurchase of up to $500.0 million of the Company's outstanding common shares from time to time as market conditions warrant.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128" w:right="499" w:bottom="1440" w:gutter="0" w:footer="0" w:header="0"/>
        </w:sectPr>
      </w:pPr>
    </w:p>
    <w:bookmarkStart w:id="45" w:name="page46"/>
    <w:bookmarkEnd w:id="4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2"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2980" w:type="dxa"/>
            <w:vAlign w:val="bottom"/>
          </w:tcPr>
          <w:p>
            <w:pPr>
              <w:jc w:val="center"/>
              <w:ind w:right="2592"/>
              <w:spacing w:after="0"/>
              <w:rPr>
                <w:sz w:val="20"/>
                <w:szCs w:val="20"/>
                <w:color w:val="auto"/>
              </w:rPr>
            </w:pPr>
            <w:r>
              <w:rPr>
                <w:rFonts w:ascii="Arial" w:cs="Arial" w:eastAsia="Arial" w:hAnsi="Arial"/>
                <w:sz w:val="10"/>
                <w:szCs w:val="10"/>
                <w:b w:val="1"/>
                <w:bCs w:val="1"/>
                <w:color w:val="auto"/>
                <w:w w:val="89"/>
              </w:rPr>
              <w:t>Exhibit</w:t>
            </w:r>
          </w:p>
        </w:tc>
        <w:tc>
          <w:tcPr>
            <w:tcW w:w="3100" w:type="dxa"/>
            <w:vAlign w:val="bottom"/>
            <w:vMerge w:val="restart"/>
          </w:tcPr>
          <w:p>
            <w:pPr>
              <w:ind w:left="2640"/>
              <w:spacing w:after="0"/>
              <w:rPr>
                <w:sz w:val="20"/>
                <w:szCs w:val="20"/>
                <w:color w:val="auto"/>
              </w:rPr>
            </w:pPr>
            <w:r>
              <w:rPr>
                <w:rFonts w:ascii="Arial" w:cs="Arial" w:eastAsia="Arial" w:hAnsi="Arial"/>
                <w:sz w:val="10"/>
                <w:szCs w:val="10"/>
                <w:b w:val="1"/>
                <w:bCs w:val="1"/>
                <w:color w:val="auto"/>
                <w:w w:val="79"/>
              </w:rPr>
              <w:t>Description</w:t>
            </w:r>
          </w:p>
        </w:tc>
        <w:tc>
          <w:tcPr>
            <w:tcW w:w="0" w:type="dxa"/>
            <w:vAlign w:val="bottom"/>
          </w:tcPr>
          <w:p>
            <w:pPr>
              <w:spacing w:after="0"/>
              <w:rPr>
                <w:sz w:val="1"/>
                <w:szCs w:val="1"/>
                <w:color w:val="auto"/>
              </w:rPr>
            </w:pPr>
          </w:p>
        </w:tc>
      </w:tr>
      <w:tr>
        <w:trPr>
          <w:trHeight w:val="123"/>
        </w:trPr>
        <w:tc>
          <w:tcPr>
            <w:tcW w:w="2980" w:type="dxa"/>
            <w:vAlign w:val="bottom"/>
          </w:tcPr>
          <w:p>
            <w:pPr>
              <w:jc w:val="center"/>
              <w:ind w:right="2592"/>
              <w:spacing w:after="0"/>
              <w:rPr>
                <w:sz w:val="20"/>
                <w:szCs w:val="20"/>
                <w:color w:val="auto"/>
              </w:rPr>
            </w:pPr>
            <w:r>
              <w:rPr>
                <w:rFonts w:ascii="Arial" w:cs="Arial" w:eastAsia="Arial" w:hAnsi="Arial"/>
                <w:sz w:val="10"/>
                <w:szCs w:val="10"/>
                <w:b w:val="1"/>
                <w:bCs w:val="1"/>
                <w:color w:val="auto"/>
                <w:w w:val="89"/>
              </w:rPr>
              <w:t>Number</w:t>
            </w: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551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ind w:left="1100" w:right="180" w:hanging="263"/>
        <w:spacing w:after="0" w:line="234" w:lineRule="auto"/>
        <w:tabs>
          <w:tab w:leader="none" w:pos="1080" w:val="left"/>
        </w:tabs>
        <w:rPr>
          <w:rFonts w:ascii="Arial" w:cs="Arial" w:eastAsia="Arial" w:hAnsi="Arial"/>
          <w:sz w:val="12"/>
          <w:szCs w:val="12"/>
          <w:u w:val="single" w:color="auto"/>
          <w:color w:val="0000FF"/>
        </w:rPr>
      </w:pPr>
      <w:hyperlink r:id="rId62">
        <w:r>
          <w:rPr>
            <w:rFonts w:ascii="Arial" w:cs="Arial" w:eastAsia="Arial" w:hAnsi="Arial"/>
            <w:sz w:val="12"/>
            <w:szCs w:val="12"/>
            <w:u w:val="single" w:color="auto"/>
            <w:color w:val="0000FF"/>
          </w:rPr>
          <w:t>2.1</w:t>
        </w:r>
      </w:hyperlink>
      <w:r>
        <w:rPr>
          <w:rFonts w:ascii="Arial" w:cs="Arial" w:eastAsia="Arial" w:hAnsi="Arial"/>
          <w:sz w:val="12"/>
          <w:szCs w:val="12"/>
          <w:u w:val="single" w:color="auto"/>
          <w:color w:val="0000FF"/>
        </w:rPr>
        <w:tab/>
      </w:r>
      <w:hyperlink r:id="rId62">
        <w:r>
          <w:rPr>
            <w:rFonts w:ascii="Arial" w:cs="Arial" w:eastAsia="Arial" w:hAnsi="Arial"/>
            <w:sz w:val="12"/>
            <w:szCs w:val="12"/>
            <w:u w:val="single" w:color="auto"/>
            <w:color w:val="0000FF"/>
          </w:rPr>
          <w:t>Master Agreement, dated November 14, 2014, by and among Pacific Premier Retail LP, MACPT LLC, Macerich PPR GP LLC, Queens JV LP, Macerich Queens JV LP, Queens JV GP LLC, 1700480 Ontario</w:t>
        </w:r>
      </w:hyperlink>
      <w:r>
        <w:rPr>
          <w:rFonts w:ascii="Arial" w:cs="Arial" w:eastAsia="Arial" w:hAnsi="Arial"/>
          <w:sz w:val="12"/>
          <w:szCs w:val="12"/>
          <w:u w:val="single" w:color="auto"/>
          <w:color w:val="0000FF"/>
        </w:rPr>
        <w:t xml:space="preserve"> </w:t>
      </w:r>
      <w:hyperlink r:id="rId62">
        <w:r>
          <w:rPr>
            <w:rFonts w:ascii="Arial" w:cs="Arial" w:eastAsia="Arial" w:hAnsi="Arial"/>
            <w:sz w:val="12"/>
            <w:szCs w:val="12"/>
            <w:u w:val="single" w:color="auto"/>
            <w:color w:val="0000FF"/>
          </w:rPr>
          <w:t>Inc. and the Company (incorporated by reference as an exhibit to the Company’s Current Report on Form 8-K, event date November 14, 2014).</w:t>
        </w:r>
      </w:hyperlink>
    </w:p>
    <w:p>
      <w:pPr>
        <w:spacing w:after="0" w:line="1" w:lineRule="exact"/>
        <w:rPr>
          <w:rFonts w:ascii="Arial" w:cs="Arial" w:eastAsia="Arial" w:hAnsi="Arial"/>
          <w:sz w:val="12"/>
          <w:szCs w:val="12"/>
          <w:u w:val="single" w:color="auto"/>
          <w:color w:val="0000FF"/>
        </w:rPr>
      </w:pPr>
    </w:p>
    <w:p>
      <w:pPr>
        <w:ind w:left="1100" w:right="20" w:hanging="263"/>
        <w:spacing w:after="0" w:line="234" w:lineRule="auto"/>
        <w:tabs>
          <w:tab w:leader="none" w:pos="1080" w:val="left"/>
        </w:tabs>
        <w:rPr>
          <w:sz w:val="20"/>
          <w:szCs w:val="20"/>
          <w:color w:val="auto"/>
        </w:rPr>
      </w:pPr>
      <w:r>
        <w:rPr>
          <w:rFonts w:ascii="Arial" w:cs="Arial" w:eastAsia="Arial" w:hAnsi="Arial"/>
          <w:sz w:val="12"/>
          <w:szCs w:val="12"/>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1" w:lineRule="exact"/>
        <w:rPr>
          <w:rFonts w:ascii="Arial" w:cs="Arial" w:eastAsia="Arial" w:hAnsi="Arial"/>
          <w:sz w:val="12"/>
          <w:szCs w:val="12"/>
          <w:u w:val="single" w:color="auto"/>
          <w:color w:val="0000FF"/>
        </w:rPr>
      </w:pPr>
    </w:p>
    <w:p>
      <w:pPr>
        <w:ind w:left="1100" w:right="120" w:hanging="353"/>
        <w:spacing w:after="0" w:line="234" w:lineRule="auto"/>
        <w:tabs>
          <w:tab w:leader="none" w:pos="1080" w:val="left"/>
        </w:tabs>
        <w:rPr>
          <w:sz w:val="20"/>
          <w:szCs w:val="20"/>
          <w:color w:val="auto"/>
        </w:rPr>
      </w:pPr>
      <w:r>
        <w:rPr>
          <w:rFonts w:ascii="Arial" w:cs="Arial" w:eastAsia="Arial" w:hAnsi="Arial"/>
          <w:sz w:val="12"/>
          <w:szCs w:val="12"/>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1" w:lineRule="exact"/>
        <w:rPr>
          <w:rFonts w:ascii="Arial" w:cs="Arial" w:eastAsia="Arial" w:hAnsi="Arial"/>
          <w:sz w:val="12"/>
          <w:szCs w:val="12"/>
          <w:u w:val="single" w:color="auto"/>
          <w:color w:val="0000FF"/>
        </w:rPr>
      </w:pPr>
    </w:p>
    <w:p>
      <w:pPr>
        <w:ind w:left="740"/>
        <w:spacing w:after="0"/>
        <w:tabs>
          <w:tab w:leader="none" w:pos="1080" w:val="left"/>
        </w:tabs>
        <w:rPr>
          <w:rFonts w:ascii="Arial" w:cs="Arial" w:eastAsia="Arial" w:hAnsi="Arial"/>
          <w:sz w:val="10"/>
          <w:szCs w:val="10"/>
          <w:u w:val="single" w:color="auto"/>
          <w:color w:val="0000FF"/>
        </w:rPr>
      </w:pPr>
      <w:hyperlink r:id="rId63">
        <w:r>
          <w:rPr>
            <w:rFonts w:ascii="Arial" w:cs="Arial" w:eastAsia="Arial" w:hAnsi="Arial"/>
            <w:sz w:val="12"/>
            <w:szCs w:val="12"/>
            <w:u w:val="single" w:color="auto"/>
            <w:color w:val="0000FF"/>
          </w:rPr>
          <w:t>3.1.2</w:t>
        </w:r>
      </w:hyperlink>
      <w:r>
        <w:rPr>
          <w:rFonts w:ascii="Arial" w:cs="Arial" w:eastAsia="Arial" w:hAnsi="Arial"/>
          <w:sz w:val="12"/>
          <w:szCs w:val="12"/>
          <w:u w:val="single" w:color="auto"/>
          <w:color w:val="0000FF"/>
        </w:rPr>
        <w:tab/>
      </w:r>
      <w:hyperlink r:id="rId63">
        <w:r>
          <w:rPr>
            <w:rFonts w:ascii="Arial" w:cs="Arial" w:eastAsia="Arial" w:hAnsi="Arial"/>
            <w:sz w:val="10"/>
            <w:szCs w:val="10"/>
            <w:u w:val="single" w:color="auto"/>
            <w:color w:val="0000FF"/>
          </w:rPr>
          <w:t>Articles Supplementary of the Company (with respect to the first paragraph) (incorporated by reference as an exhibit to the Company's 1998 Form 10-K).</w:t>
        </w:r>
      </w:hyperlink>
    </w:p>
    <w:p>
      <w:pPr>
        <w:spacing w:after="0" w:line="15" w:lineRule="exact"/>
        <w:rPr>
          <w:sz w:val="20"/>
          <w:szCs w:val="20"/>
          <w:color w:val="auto"/>
        </w:rPr>
      </w:pPr>
    </w:p>
    <w:p>
      <w:pPr>
        <w:ind w:left="740"/>
        <w:spacing w:after="0"/>
        <w:tabs>
          <w:tab w:leader="none" w:pos="1080" w:val="left"/>
        </w:tabs>
        <w:rPr>
          <w:rFonts w:ascii="Arial" w:cs="Arial" w:eastAsia="Arial" w:hAnsi="Arial"/>
          <w:sz w:val="10"/>
          <w:szCs w:val="10"/>
          <w:u w:val="single" w:color="auto"/>
          <w:color w:val="0000FF"/>
        </w:rPr>
      </w:pPr>
      <w:hyperlink r:id="rId64">
        <w:r>
          <w:rPr>
            <w:rFonts w:ascii="Arial" w:cs="Arial" w:eastAsia="Arial" w:hAnsi="Arial"/>
            <w:sz w:val="12"/>
            <w:szCs w:val="12"/>
            <w:u w:val="single" w:color="auto"/>
            <w:color w:val="0000FF"/>
          </w:rPr>
          <w:t>3.1.3</w:t>
        </w:r>
      </w:hyperlink>
      <w:r>
        <w:rPr>
          <w:rFonts w:ascii="Arial" w:cs="Arial" w:eastAsia="Arial" w:hAnsi="Arial"/>
          <w:sz w:val="12"/>
          <w:szCs w:val="12"/>
          <w:u w:val="single" w:color="auto"/>
          <w:color w:val="0000FF"/>
        </w:rPr>
        <w:tab/>
      </w:r>
      <w:hyperlink r:id="rId64">
        <w:r>
          <w:rPr>
            <w:rFonts w:ascii="Arial" w:cs="Arial" w:eastAsia="Arial" w:hAnsi="Arial"/>
            <w:sz w:val="10"/>
            <w:szCs w:val="10"/>
            <w:u w:val="single" w:color="auto"/>
            <w:color w:val="0000FF"/>
          </w:rPr>
          <w:t>Articles Supplementary of the Company (Series D Preferred Stock) (incorporated by reference as an exhibit to the Company's Current Report on Form 8-K, event date July 26, 2002).</w:t>
        </w:r>
      </w:hyperlink>
    </w:p>
    <w:p>
      <w:pPr>
        <w:spacing w:after="0" w:line="15" w:lineRule="exact"/>
        <w:rPr>
          <w:sz w:val="20"/>
          <w:szCs w:val="20"/>
          <w:color w:val="auto"/>
        </w:rPr>
      </w:pPr>
    </w:p>
    <w:p>
      <w:pPr>
        <w:ind w:left="740"/>
        <w:spacing w:after="0"/>
        <w:tabs>
          <w:tab w:leader="none" w:pos="1080" w:val="left"/>
        </w:tabs>
        <w:rPr>
          <w:rFonts w:ascii="Arial" w:cs="Arial" w:eastAsia="Arial" w:hAnsi="Arial"/>
          <w:sz w:val="10"/>
          <w:szCs w:val="10"/>
          <w:u w:val="single" w:color="auto"/>
          <w:color w:val="0000FF"/>
        </w:rPr>
      </w:pPr>
      <w:hyperlink r:id="rId65">
        <w:r>
          <w:rPr>
            <w:rFonts w:ascii="Arial" w:cs="Arial" w:eastAsia="Arial" w:hAnsi="Arial"/>
            <w:sz w:val="12"/>
            <w:szCs w:val="12"/>
            <w:u w:val="single" w:color="auto"/>
            <w:color w:val="0000FF"/>
          </w:rPr>
          <w:t>3.1.4</w:t>
        </w:r>
      </w:hyperlink>
      <w:r>
        <w:rPr>
          <w:rFonts w:ascii="Arial" w:cs="Arial" w:eastAsia="Arial" w:hAnsi="Arial"/>
          <w:sz w:val="12"/>
          <w:szCs w:val="12"/>
          <w:u w:val="single" w:color="auto"/>
          <w:color w:val="0000FF"/>
        </w:rPr>
        <w:tab/>
      </w:r>
      <w:hyperlink r:id="rId65">
        <w:r>
          <w:rPr>
            <w:rFonts w:ascii="Arial" w:cs="Arial" w:eastAsia="Arial" w:hAnsi="Arial"/>
            <w:sz w:val="10"/>
            <w:szCs w:val="10"/>
            <w:u w:val="single" w:color="auto"/>
            <w:color w:val="0000FF"/>
          </w:rPr>
          <w:t>Articles Supplementary of the Company (incorporated by reference as an exhibit to the Company's Registration Statement on Form S-3, as amended (No. 333-88718)).</w:t>
        </w:r>
      </w:hyperlink>
    </w:p>
    <w:p>
      <w:pPr>
        <w:spacing w:after="0" w:line="15" w:lineRule="exact"/>
        <w:rPr>
          <w:sz w:val="20"/>
          <w:szCs w:val="20"/>
          <w:color w:val="auto"/>
        </w:rPr>
      </w:pPr>
    </w:p>
    <w:p>
      <w:pPr>
        <w:ind w:left="740"/>
        <w:spacing w:after="0"/>
        <w:tabs>
          <w:tab w:leader="none" w:pos="1080" w:val="left"/>
        </w:tabs>
        <w:rPr>
          <w:rFonts w:ascii="Arial" w:cs="Arial" w:eastAsia="Arial" w:hAnsi="Arial"/>
          <w:sz w:val="10"/>
          <w:szCs w:val="10"/>
          <w:u w:val="single" w:color="auto"/>
          <w:color w:val="0000FF"/>
        </w:rPr>
      </w:pPr>
      <w:hyperlink r:id="rId66">
        <w:r>
          <w:rPr>
            <w:rFonts w:ascii="Arial" w:cs="Arial" w:eastAsia="Arial" w:hAnsi="Arial"/>
            <w:sz w:val="12"/>
            <w:szCs w:val="12"/>
            <w:u w:val="single" w:color="auto"/>
            <w:color w:val="0000FF"/>
          </w:rPr>
          <w:t>3.1.5</w:t>
        </w:r>
      </w:hyperlink>
      <w:r>
        <w:rPr>
          <w:rFonts w:ascii="Arial" w:cs="Arial" w:eastAsia="Arial" w:hAnsi="Arial"/>
          <w:sz w:val="12"/>
          <w:szCs w:val="12"/>
          <w:u w:val="single" w:color="auto"/>
          <w:color w:val="0000FF"/>
        </w:rPr>
        <w:tab/>
      </w:r>
      <w:hyperlink r:id="rId66">
        <w:r>
          <w:rPr>
            <w:rFonts w:ascii="Arial" w:cs="Arial" w:eastAsia="Arial" w:hAnsi="Arial"/>
            <w:sz w:val="10"/>
            <w:szCs w:val="10"/>
            <w:u w:val="single" w:color="auto"/>
            <w:color w:val="0000FF"/>
          </w:rPr>
          <w:t>Articles of Amendment of the Company (declassification of Board) (incorporated by reference as an exhibit to the Company's 2008 Form 10-K).</w:t>
        </w:r>
      </w:hyperlink>
    </w:p>
    <w:p>
      <w:pPr>
        <w:spacing w:after="0" w:line="15" w:lineRule="exact"/>
        <w:rPr>
          <w:sz w:val="20"/>
          <w:szCs w:val="20"/>
          <w:color w:val="auto"/>
        </w:rPr>
      </w:pPr>
    </w:p>
    <w:p>
      <w:pPr>
        <w:ind w:left="740"/>
        <w:spacing w:after="0"/>
        <w:tabs>
          <w:tab w:leader="none" w:pos="1080" w:val="left"/>
        </w:tabs>
        <w:rPr>
          <w:rFonts w:ascii="Arial" w:cs="Arial" w:eastAsia="Arial" w:hAnsi="Arial"/>
          <w:sz w:val="10"/>
          <w:szCs w:val="10"/>
          <w:u w:val="single" w:color="auto"/>
          <w:color w:val="0000FF"/>
        </w:rPr>
      </w:pPr>
      <w:hyperlink r:id="rId67">
        <w:r>
          <w:rPr>
            <w:rFonts w:ascii="Arial" w:cs="Arial" w:eastAsia="Arial" w:hAnsi="Arial"/>
            <w:sz w:val="12"/>
            <w:szCs w:val="12"/>
            <w:u w:val="single" w:color="auto"/>
            <w:color w:val="0000FF"/>
          </w:rPr>
          <w:t>3.1.6</w:t>
        </w:r>
      </w:hyperlink>
      <w:r>
        <w:rPr>
          <w:rFonts w:ascii="Arial" w:cs="Arial" w:eastAsia="Arial" w:hAnsi="Arial"/>
          <w:sz w:val="12"/>
          <w:szCs w:val="12"/>
          <w:u w:val="single" w:color="auto"/>
          <w:color w:val="0000FF"/>
        </w:rPr>
        <w:tab/>
      </w:r>
      <w:hyperlink r:id="rId67">
        <w:r>
          <w:rPr>
            <w:rFonts w:ascii="Arial" w:cs="Arial" w:eastAsia="Arial" w:hAnsi="Arial"/>
            <w:sz w:val="10"/>
            <w:szCs w:val="10"/>
            <w:u w:val="single" w:color="auto"/>
            <w:color w:val="0000FF"/>
          </w:rPr>
          <w:t>Articles Supplementary of the Company (incorporated by reference as an exhibit to the Company's Current Report on Form 8-K, event date February 5, 2009).</w:t>
        </w:r>
      </w:hyperlink>
    </w:p>
    <w:p>
      <w:pPr>
        <w:spacing w:after="0" w:line="15" w:lineRule="exact"/>
        <w:rPr>
          <w:sz w:val="20"/>
          <w:szCs w:val="20"/>
          <w:color w:val="auto"/>
        </w:rPr>
      </w:pPr>
    </w:p>
    <w:p>
      <w:pPr>
        <w:ind w:left="740"/>
        <w:spacing w:after="0"/>
        <w:tabs>
          <w:tab w:leader="none" w:pos="1080" w:val="left"/>
        </w:tabs>
        <w:rPr>
          <w:rFonts w:ascii="Arial" w:cs="Arial" w:eastAsia="Arial" w:hAnsi="Arial"/>
          <w:sz w:val="10"/>
          <w:szCs w:val="10"/>
          <w:u w:val="single" w:color="auto"/>
          <w:color w:val="0000FF"/>
        </w:rPr>
      </w:pPr>
      <w:hyperlink r:id="rId68">
        <w:r>
          <w:rPr>
            <w:rFonts w:ascii="Arial" w:cs="Arial" w:eastAsia="Arial" w:hAnsi="Arial"/>
            <w:sz w:val="12"/>
            <w:szCs w:val="12"/>
            <w:u w:val="single" w:color="auto"/>
            <w:color w:val="0000FF"/>
          </w:rPr>
          <w:t>3.1.7</w:t>
        </w:r>
      </w:hyperlink>
      <w:r>
        <w:rPr>
          <w:rFonts w:ascii="Arial" w:cs="Arial" w:eastAsia="Arial" w:hAnsi="Arial"/>
          <w:sz w:val="12"/>
          <w:szCs w:val="12"/>
          <w:u w:val="single" w:color="auto"/>
          <w:color w:val="0000FF"/>
        </w:rPr>
        <w:tab/>
      </w:r>
      <w:hyperlink r:id="rId68">
        <w:r>
          <w:rPr>
            <w:rFonts w:ascii="Arial" w:cs="Arial" w:eastAsia="Arial" w:hAnsi="Arial"/>
            <w:sz w:val="10"/>
            <w:szCs w:val="10"/>
            <w:u w:val="single" w:color="auto"/>
            <w:color w:val="0000FF"/>
          </w:rPr>
          <w:t>Articles of Amendment of the Company (increased authorized shares) (incorporated by reference as an exhibit to the Company's Quarterly Report on Form 10-Q for the quarter ended June 30, 2009).</w:t>
        </w:r>
      </w:hyperlink>
    </w:p>
    <w:p>
      <w:pPr>
        <w:spacing w:after="0" w:line="15" w:lineRule="exact"/>
        <w:rPr>
          <w:sz w:val="20"/>
          <w:szCs w:val="20"/>
          <w:color w:val="auto"/>
        </w:rPr>
      </w:pPr>
    </w:p>
    <w:p>
      <w:pPr>
        <w:ind w:left="1100" w:right="440" w:hanging="353"/>
        <w:spacing w:after="0" w:line="234" w:lineRule="auto"/>
        <w:tabs>
          <w:tab w:leader="none" w:pos="1080" w:val="left"/>
        </w:tabs>
        <w:rPr>
          <w:rFonts w:ascii="Arial" w:cs="Arial" w:eastAsia="Arial" w:hAnsi="Arial"/>
          <w:sz w:val="12"/>
          <w:szCs w:val="12"/>
          <w:u w:val="single" w:color="auto"/>
          <w:color w:val="0000FF"/>
        </w:rPr>
      </w:pPr>
      <w:hyperlink r:id="rId69">
        <w:r>
          <w:rPr>
            <w:rFonts w:ascii="Arial" w:cs="Arial" w:eastAsia="Arial" w:hAnsi="Arial"/>
            <w:sz w:val="12"/>
            <w:szCs w:val="12"/>
            <w:u w:val="single" w:color="auto"/>
            <w:color w:val="0000FF"/>
          </w:rPr>
          <w:t>3.1.8</w:t>
        </w:r>
      </w:hyperlink>
      <w:r>
        <w:rPr>
          <w:rFonts w:ascii="Arial" w:cs="Arial" w:eastAsia="Arial" w:hAnsi="Arial"/>
          <w:sz w:val="12"/>
          <w:szCs w:val="12"/>
          <w:u w:val="single" w:color="auto"/>
          <w:color w:val="0000FF"/>
        </w:rPr>
        <w:tab/>
      </w:r>
      <w:hyperlink r:id="rId69">
        <w:r>
          <w:rPr>
            <w:rFonts w:ascii="Arial" w:cs="Arial" w:eastAsia="Arial" w:hAnsi="Arial"/>
            <w:sz w:val="12"/>
            <w:szCs w:val="12"/>
            <w:u w:val="single" w:color="auto"/>
            <w:color w:val="0000FF"/>
          </w:rPr>
          <w:t>Articles of Amendment of the Company (to eliminate the supermajority vote requirement to amend the charter and to clarify a reference in Article NINTH) (incorporated by reference as an exhibit to the</w:t>
        </w:r>
      </w:hyperlink>
      <w:r>
        <w:rPr>
          <w:rFonts w:ascii="Arial" w:cs="Arial" w:eastAsia="Arial" w:hAnsi="Arial"/>
          <w:sz w:val="12"/>
          <w:szCs w:val="12"/>
          <w:u w:val="single" w:color="auto"/>
          <w:color w:val="0000FF"/>
        </w:rPr>
        <w:t xml:space="preserve"> </w:t>
      </w:r>
      <w:hyperlink r:id="rId69">
        <w:r>
          <w:rPr>
            <w:rFonts w:ascii="Arial" w:cs="Arial" w:eastAsia="Arial" w:hAnsi="Arial"/>
            <w:sz w:val="12"/>
            <w:szCs w:val="12"/>
            <w:u w:val="single" w:color="auto"/>
            <w:color w:val="0000FF"/>
          </w:rPr>
          <w:t>Company’s Current Report on Form 8-K, event date May 30, 2014).</w:t>
        </w:r>
      </w:hyperlink>
    </w:p>
    <w:p>
      <w:pPr>
        <w:spacing w:after="0" w:line="1" w:lineRule="exact"/>
        <w:rPr>
          <w:rFonts w:ascii="Arial" w:cs="Arial" w:eastAsia="Arial" w:hAnsi="Arial"/>
          <w:sz w:val="12"/>
          <w:szCs w:val="12"/>
          <w:u w:val="single" w:color="auto"/>
          <w:color w:val="0000FF"/>
        </w:rPr>
      </w:pPr>
    </w:p>
    <w:p>
      <w:pPr>
        <w:ind w:left="1100" w:right="60" w:hanging="353"/>
        <w:spacing w:after="0" w:line="234" w:lineRule="auto"/>
        <w:tabs>
          <w:tab w:leader="none" w:pos="1080" w:val="left"/>
        </w:tabs>
        <w:rPr>
          <w:rFonts w:ascii="Arial" w:cs="Arial" w:eastAsia="Arial" w:hAnsi="Arial"/>
          <w:sz w:val="12"/>
          <w:szCs w:val="12"/>
          <w:u w:val="single" w:color="auto"/>
          <w:color w:val="0000FF"/>
        </w:rPr>
      </w:pPr>
      <w:hyperlink r:id="rId70">
        <w:r>
          <w:rPr>
            <w:rFonts w:ascii="Arial" w:cs="Arial" w:eastAsia="Arial" w:hAnsi="Arial"/>
            <w:sz w:val="12"/>
            <w:szCs w:val="12"/>
            <w:u w:val="single" w:color="auto"/>
            <w:color w:val="0000FF"/>
          </w:rPr>
          <w:t>3.1.9</w:t>
        </w:r>
      </w:hyperlink>
      <w:r>
        <w:rPr>
          <w:rFonts w:ascii="Arial" w:cs="Arial" w:eastAsia="Arial" w:hAnsi="Arial"/>
          <w:sz w:val="12"/>
          <w:szCs w:val="12"/>
          <w:u w:val="single" w:color="auto"/>
          <w:color w:val="0000FF"/>
        </w:rPr>
        <w:tab/>
      </w:r>
      <w:hyperlink r:id="rId70">
        <w:r>
          <w:rPr>
            <w:rFonts w:ascii="Arial" w:cs="Arial" w:eastAsia="Arial" w:hAnsi="Arial"/>
            <w:sz w:val="12"/>
            <w:szCs w:val="12"/>
            <w:u w:val="single" w:color="auto"/>
            <w:color w:val="0000FF"/>
          </w:rPr>
          <w:t>Articles Supplementary of the Company (election to be subject to Section 3-803 of the Maryland General Corporation Law) (incorporated by reference as an exhibit to the Company’s Current Report on Form 8-</w:t>
        </w:r>
      </w:hyperlink>
      <w:hyperlink r:id="rId70">
        <w:r>
          <w:rPr>
            <w:rFonts w:ascii="Arial" w:cs="Arial" w:eastAsia="Arial" w:hAnsi="Arial"/>
            <w:sz w:val="12"/>
            <w:szCs w:val="12"/>
            <w:u w:val="single" w:color="auto"/>
            <w:color w:val="0000FF"/>
          </w:rPr>
          <w:t>K, event date March 17, 2015).</w:t>
        </w:r>
      </w:hyperlink>
    </w:p>
    <w:p>
      <w:pPr>
        <w:spacing w:after="0" w:line="1" w:lineRule="exact"/>
        <w:rPr>
          <w:rFonts w:ascii="Arial" w:cs="Arial" w:eastAsia="Arial" w:hAnsi="Arial"/>
          <w:sz w:val="12"/>
          <w:szCs w:val="12"/>
          <w:u w:val="single" w:color="auto"/>
          <w:color w:val="0000FF"/>
        </w:rPr>
      </w:pPr>
    </w:p>
    <w:p>
      <w:pPr>
        <w:ind w:left="680"/>
        <w:spacing w:after="0"/>
        <w:tabs>
          <w:tab w:leader="none" w:pos="1080" w:val="left"/>
        </w:tabs>
        <w:rPr>
          <w:rFonts w:ascii="Arial" w:cs="Arial" w:eastAsia="Arial" w:hAnsi="Arial"/>
          <w:sz w:val="10"/>
          <w:szCs w:val="10"/>
          <w:u w:val="single" w:color="auto"/>
          <w:color w:val="0000FF"/>
        </w:rPr>
      </w:pPr>
      <w:hyperlink r:id="rId71">
        <w:r>
          <w:rPr>
            <w:rFonts w:ascii="Arial" w:cs="Arial" w:eastAsia="Arial" w:hAnsi="Arial"/>
            <w:sz w:val="12"/>
            <w:szCs w:val="12"/>
            <w:u w:val="single" w:color="auto"/>
            <w:color w:val="0000FF"/>
          </w:rPr>
          <w:t>3.1.10</w:t>
        </w:r>
      </w:hyperlink>
      <w:r>
        <w:rPr>
          <w:rFonts w:ascii="Arial" w:cs="Arial" w:eastAsia="Arial" w:hAnsi="Arial"/>
          <w:sz w:val="12"/>
          <w:szCs w:val="12"/>
          <w:u w:val="single" w:color="auto"/>
          <w:color w:val="0000FF"/>
        </w:rPr>
        <w:tab/>
      </w:r>
      <w:hyperlink r:id="rId71">
        <w:r>
          <w:rPr>
            <w:rFonts w:ascii="Arial" w:cs="Arial" w:eastAsia="Arial" w:hAnsi="Arial"/>
            <w:sz w:val="10"/>
            <w:szCs w:val="10"/>
            <w:u w:val="single" w:color="auto"/>
            <w:color w:val="0000FF"/>
          </w:rPr>
          <w:t>Articles Supplementary of the Company (Series E Preferred Stock) (incorporated by reference as an exhibit to the Company’s Current Report on Form 8-K, event date March 18, 2015).</w:t>
        </w:r>
      </w:hyperlink>
    </w:p>
    <w:p>
      <w:pPr>
        <w:spacing w:after="0" w:line="4" w:lineRule="exact"/>
        <w:rPr>
          <w:sz w:val="20"/>
          <w:szCs w:val="20"/>
          <w:color w:val="auto"/>
        </w:rPr>
      </w:pPr>
    </w:p>
    <w:p>
      <w:pPr>
        <w:ind w:left="680"/>
        <w:spacing w:after="0"/>
        <w:tabs>
          <w:tab w:leader="none" w:pos="1080" w:val="left"/>
        </w:tabs>
        <w:rPr>
          <w:rFonts w:ascii="Arial" w:cs="Arial" w:eastAsia="Arial" w:hAnsi="Arial"/>
          <w:sz w:val="10"/>
          <w:szCs w:val="10"/>
          <w:u w:val="single" w:color="auto"/>
          <w:color w:val="0000FF"/>
        </w:rPr>
      </w:pPr>
      <w:hyperlink r:id="rId72">
        <w:r>
          <w:rPr>
            <w:rFonts w:ascii="Arial" w:cs="Arial" w:eastAsia="Arial" w:hAnsi="Arial"/>
            <w:sz w:val="12"/>
            <w:szCs w:val="12"/>
            <w:u w:val="single" w:color="auto"/>
            <w:color w:val="0000FF"/>
          </w:rPr>
          <w:t>3.1.11</w:t>
        </w:r>
      </w:hyperlink>
      <w:r>
        <w:rPr>
          <w:rFonts w:ascii="Arial" w:cs="Arial" w:eastAsia="Arial" w:hAnsi="Arial"/>
          <w:sz w:val="12"/>
          <w:szCs w:val="12"/>
          <w:u w:val="single" w:color="auto"/>
          <w:color w:val="0000FF"/>
        </w:rPr>
        <w:tab/>
      </w:r>
      <w:hyperlink r:id="rId72">
        <w:r>
          <w:rPr>
            <w:rFonts w:ascii="Arial" w:cs="Arial" w:eastAsia="Arial" w:hAnsi="Arial"/>
            <w:sz w:val="10"/>
            <w:szCs w:val="10"/>
            <w:u w:val="single" w:color="auto"/>
            <w:color w:val="0000FF"/>
          </w:rPr>
          <w:t>Articles Supplementary of the Company (reclassification of Series E Preferred Stock to Preferred Stock) (incorporated by reference as an exhibit to the Company’s Current Report on Form 8-K, event date May</w:t>
        </w:r>
      </w:hyperlink>
    </w:p>
    <w:p>
      <w:pPr>
        <w:ind w:left="1100"/>
        <w:spacing w:after="0"/>
        <w:rPr>
          <w:rFonts w:ascii="Arial" w:cs="Arial" w:eastAsia="Arial" w:hAnsi="Arial"/>
          <w:sz w:val="12"/>
          <w:szCs w:val="12"/>
          <w:u w:val="single" w:color="auto"/>
          <w:color w:val="0000FF"/>
        </w:rPr>
      </w:pPr>
      <w:hyperlink r:id="rId72">
        <w:r>
          <w:rPr>
            <w:rFonts w:ascii="Arial" w:cs="Arial" w:eastAsia="Arial" w:hAnsi="Arial"/>
            <w:sz w:val="12"/>
            <w:szCs w:val="12"/>
            <w:u w:val="single" w:color="auto"/>
            <w:color w:val="0000FF"/>
          </w:rPr>
          <w:t>7, 2015).</w:t>
        </w:r>
      </w:hyperlink>
    </w:p>
    <w:p>
      <w:pPr>
        <w:spacing w:after="0" w:line="5" w:lineRule="exact"/>
        <w:rPr>
          <w:sz w:val="20"/>
          <w:szCs w:val="20"/>
          <w:color w:val="auto"/>
        </w:rPr>
      </w:pPr>
    </w:p>
    <w:p>
      <w:pPr>
        <w:ind w:left="1100" w:right="20" w:hanging="413"/>
        <w:spacing w:after="0" w:line="234" w:lineRule="auto"/>
        <w:tabs>
          <w:tab w:leader="none" w:pos="1080" w:val="left"/>
        </w:tabs>
        <w:rPr>
          <w:rFonts w:ascii="Arial" w:cs="Arial" w:eastAsia="Arial" w:hAnsi="Arial"/>
          <w:sz w:val="12"/>
          <w:szCs w:val="12"/>
          <w:u w:val="single" w:color="auto"/>
          <w:color w:val="0000FF"/>
        </w:rPr>
      </w:pPr>
      <w:hyperlink r:id="rId73">
        <w:r>
          <w:rPr>
            <w:rFonts w:ascii="Arial" w:cs="Arial" w:eastAsia="Arial" w:hAnsi="Arial"/>
            <w:sz w:val="12"/>
            <w:szCs w:val="12"/>
            <w:u w:val="single" w:color="auto"/>
            <w:color w:val="0000FF"/>
          </w:rPr>
          <w:t>3.1.12</w:t>
        </w:r>
      </w:hyperlink>
      <w:r>
        <w:rPr>
          <w:rFonts w:ascii="Arial" w:cs="Arial" w:eastAsia="Arial" w:hAnsi="Arial"/>
          <w:sz w:val="12"/>
          <w:szCs w:val="12"/>
          <w:u w:val="single" w:color="auto"/>
          <w:color w:val="0000FF"/>
        </w:rPr>
        <w:tab/>
      </w:r>
      <w:hyperlink r:id="rId73">
        <w:r>
          <w:rPr>
            <w:rFonts w:ascii="Arial" w:cs="Arial" w:eastAsia="Arial" w:hAnsi="Arial"/>
            <w:sz w:val="12"/>
            <w:szCs w:val="12"/>
            <w:u w:val="single" w:color="auto"/>
            <w:color w:val="0000FF"/>
          </w:rPr>
          <w:t>Articles Supplementary of the Company (repeal of election to be subject to Section 3-803 of the Maryland General Corporation Law) (incorporated by reference as an exhibit to the Company’s Current Report on</w:t>
        </w:r>
      </w:hyperlink>
      <w:r>
        <w:rPr>
          <w:rFonts w:ascii="Arial" w:cs="Arial" w:eastAsia="Arial" w:hAnsi="Arial"/>
          <w:sz w:val="12"/>
          <w:szCs w:val="12"/>
          <w:u w:val="single" w:color="auto"/>
          <w:color w:val="0000FF"/>
        </w:rPr>
        <w:t xml:space="preserve"> </w:t>
      </w:r>
      <w:hyperlink r:id="rId73">
        <w:r>
          <w:rPr>
            <w:rFonts w:ascii="Arial" w:cs="Arial" w:eastAsia="Arial" w:hAnsi="Arial"/>
            <w:sz w:val="12"/>
            <w:szCs w:val="12"/>
            <w:u w:val="single" w:color="auto"/>
            <w:color w:val="0000FF"/>
          </w:rPr>
          <w:t>Form 8-K, event date May 28, 2015).</w:t>
        </w:r>
      </w:hyperlink>
    </w:p>
    <w:p>
      <w:pPr>
        <w:spacing w:after="0" w:line="1" w:lineRule="exact"/>
        <w:rPr>
          <w:rFonts w:ascii="Arial" w:cs="Arial" w:eastAsia="Arial" w:hAnsi="Arial"/>
          <w:sz w:val="12"/>
          <w:szCs w:val="12"/>
          <w:u w:val="single" w:color="auto"/>
          <w:color w:val="0000FF"/>
        </w:rPr>
      </w:pPr>
    </w:p>
    <w:p>
      <w:pPr>
        <w:ind w:left="1100" w:right="100" w:hanging="413"/>
        <w:spacing w:after="0" w:line="234" w:lineRule="auto"/>
        <w:tabs>
          <w:tab w:leader="none" w:pos="1080" w:val="left"/>
        </w:tabs>
        <w:rPr>
          <w:rFonts w:ascii="Arial" w:cs="Arial" w:eastAsia="Arial" w:hAnsi="Arial"/>
          <w:sz w:val="12"/>
          <w:szCs w:val="12"/>
          <w:u w:val="single" w:color="auto"/>
          <w:color w:val="0000FF"/>
        </w:rPr>
      </w:pPr>
      <w:hyperlink r:id="rId74">
        <w:r>
          <w:rPr>
            <w:rFonts w:ascii="Arial" w:cs="Arial" w:eastAsia="Arial" w:hAnsi="Arial"/>
            <w:sz w:val="12"/>
            <w:szCs w:val="12"/>
            <w:u w:val="single" w:color="auto"/>
            <w:color w:val="0000FF"/>
          </w:rPr>
          <w:t>3.1.13</w:t>
        </w:r>
      </w:hyperlink>
      <w:r>
        <w:rPr>
          <w:rFonts w:ascii="Arial" w:cs="Arial" w:eastAsia="Arial" w:hAnsi="Arial"/>
          <w:sz w:val="12"/>
          <w:szCs w:val="12"/>
          <w:u w:val="single" w:color="auto"/>
          <w:color w:val="0000FF"/>
        </w:rPr>
        <w:tab/>
      </w:r>
      <w:hyperlink r:id="rId74">
        <w:r>
          <w:rPr>
            <w:rFonts w:ascii="Arial" w:cs="Arial" w:eastAsia="Arial" w:hAnsi="Arial"/>
            <w:sz w:val="12"/>
            <w:szCs w:val="12"/>
            <w:u w:val="single" w:color="auto"/>
            <w:color w:val="0000FF"/>
          </w:rPr>
          <w:t>Articles Supplementary of the Company (opting out of provisions of Subtitle 8 of Title 3 of the Maryland General Corporate Law (MUTA provisions)) (incorporated by reference as an exhibit to the Company’s</w:t>
        </w:r>
      </w:hyperlink>
      <w:r>
        <w:rPr>
          <w:rFonts w:ascii="Arial" w:cs="Arial" w:eastAsia="Arial" w:hAnsi="Arial"/>
          <w:sz w:val="12"/>
          <w:szCs w:val="12"/>
          <w:u w:val="single" w:color="auto"/>
          <w:color w:val="0000FF"/>
        </w:rPr>
        <w:t xml:space="preserve"> </w:t>
      </w:r>
      <w:hyperlink r:id="rId74">
        <w:r>
          <w:rPr>
            <w:rFonts w:ascii="Arial" w:cs="Arial" w:eastAsia="Arial" w:hAnsi="Arial"/>
            <w:sz w:val="12"/>
            <w:szCs w:val="12"/>
            <w:u w:val="single" w:color="auto"/>
            <w:color w:val="0000FF"/>
          </w:rPr>
          <w:t>Current Report on Form 8-K, event date April 24, 2019).</w:t>
        </w:r>
      </w:hyperlink>
    </w:p>
    <w:p>
      <w:pPr>
        <w:spacing w:after="0" w:line="1" w:lineRule="exact"/>
        <w:rPr>
          <w:rFonts w:ascii="Arial" w:cs="Arial" w:eastAsia="Arial" w:hAnsi="Arial"/>
          <w:sz w:val="12"/>
          <w:szCs w:val="12"/>
          <w:u w:val="single" w:color="auto"/>
          <w:color w:val="0000FF"/>
        </w:rPr>
      </w:pPr>
    </w:p>
    <w:p>
      <w:pPr>
        <w:ind w:left="680"/>
        <w:spacing w:after="0"/>
        <w:tabs>
          <w:tab w:leader="none" w:pos="1080" w:val="left"/>
        </w:tabs>
        <w:rPr>
          <w:rFonts w:ascii="Arial" w:cs="Arial" w:eastAsia="Arial" w:hAnsi="Arial"/>
          <w:sz w:val="10"/>
          <w:szCs w:val="10"/>
          <w:u w:val="single" w:color="auto"/>
          <w:color w:val="0000FF"/>
        </w:rPr>
      </w:pPr>
      <w:hyperlink r:id="rId75">
        <w:r>
          <w:rPr>
            <w:rFonts w:ascii="Arial" w:cs="Arial" w:eastAsia="Arial" w:hAnsi="Arial"/>
            <w:sz w:val="12"/>
            <w:szCs w:val="12"/>
            <w:u w:val="single" w:color="auto"/>
            <w:color w:val="0000FF"/>
          </w:rPr>
          <w:t>3.1.14</w:t>
        </w:r>
      </w:hyperlink>
      <w:r>
        <w:rPr>
          <w:rFonts w:ascii="Arial" w:cs="Arial" w:eastAsia="Arial" w:hAnsi="Arial"/>
          <w:sz w:val="12"/>
          <w:szCs w:val="12"/>
          <w:u w:val="single" w:color="auto"/>
          <w:color w:val="0000FF"/>
        </w:rPr>
        <w:tab/>
      </w:r>
      <w:hyperlink r:id="rId75">
        <w:r>
          <w:rPr>
            <w:rFonts w:ascii="Arial" w:cs="Arial" w:eastAsia="Arial" w:hAnsi="Arial"/>
            <w:sz w:val="10"/>
            <w:szCs w:val="10"/>
            <w:u w:val="single" w:color="auto"/>
            <w:color w:val="0000FF"/>
          </w:rPr>
          <w:t>Articles of Amendment of the Company (increased authorized shares) (incorporated by reference as an exhibit to the Company's current Report on Form 8-K, event date May 28, 2021).</w:t>
        </w:r>
      </w:hyperlink>
    </w:p>
    <w:p>
      <w:pPr>
        <w:spacing w:after="0" w:line="15" w:lineRule="exact"/>
        <w:rPr>
          <w:sz w:val="20"/>
          <w:szCs w:val="20"/>
          <w:color w:val="auto"/>
        </w:rPr>
      </w:pPr>
    </w:p>
    <w:p>
      <w:pPr>
        <w:ind w:left="820"/>
        <w:spacing w:after="0"/>
        <w:tabs>
          <w:tab w:leader="none" w:pos="1080" w:val="left"/>
        </w:tabs>
        <w:rPr>
          <w:rFonts w:ascii="Arial" w:cs="Arial" w:eastAsia="Arial" w:hAnsi="Arial"/>
          <w:sz w:val="10"/>
          <w:szCs w:val="10"/>
          <w:u w:val="single" w:color="auto"/>
          <w:color w:val="0000FF"/>
        </w:rPr>
      </w:pPr>
      <w:hyperlink r:id="rId76">
        <w:r>
          <w:rPr>
            <w:rFonts w:ascii="Arial" w:cs="Arial" w:eastAsia="Arial" w:hAnsi="Arial"/>
            <w:sz w:val="12"/>
            <w:szCs w:val="12"/>
            <w:u w:val="single" w:color="auto"/>
            <w:color w:val="0000FF"/>
          </w:rPr>
          <w:t>3.2</w:t>
        </w:r>
      </w:hyperlink>
      <w:r>
        <w:rPr>
          <w:rFonts w:ascii="Arial" w:cs="Arial" w:eastAsia="Arial" w:hAnsi="Arial"/>
          <w:sz w:val="12"/>
          <w:szCs w:val="12"/>
          <w:u w:val="single" w:color="auto"/>
          <w:color w:val="0000FF"/>
        </w:rPr>
        <w:tab/>
      </w:r>
      <w:hyperlink r:id="rId76">
        <w:r>
          <w:rPr>
            <w:rFonts w:ascii="Arial" w:cs="Arial" w:eastAsia="Arial" w:hAnsi="Arial"/>
            <w:sz w:val="10"/>
            <w:szCs w:val="10"/>
            <w:u w:val="single" w:color="auto"/>
            <w:color w:val="0000FF"/>
          </w:rPr>
          <w:t>Amended and Restated Bylaws of the Company (incorporated by reference as an exhibit to the Company's Current Report on Form 8-K, event date April 24, 2019).</w:t>
        </w:r>
      </w:hyperlink>
    </w:p>
    <w:p>
      <w:pPr>
        <w:spacing w:after="0" w:line="15" w:lineRule="exact"/>
        <w:rPr>
          <w:sz w:val="20"/>
          <w:szCs w:val="20"/>
          <w:color w:val="auto"/>
        </w:rPr>
      </w:pPr>
    </w:p>
    <w:p>
      <w:pPr>
        <w:ind w:left="1100" w:hanging="323"/>
        <w:spacing w:after="0" w:line="234" w:lineRule="auto"/>
        <w:tabs>
          <w:tab w:leader="none" w:pos="1080" w:val="left"/>
        </w:tabs>
        <w:rPr>
          <w:rFonts w:ascii="Arial" w:cs="Arial" w:eastAsia="Arial" w:hAnsi="Arial"/>
          <w:sz w:val="12"/>
          <w:szCs w:val="12"/>
          <w:u w:val="single" w:color="auto"/>
          <w:color w:val="0000FF"/>
        </w:rPr>
      </w:pPr>
      <w:hyperlink r:id="rId77">
        <w:r>
          <w:rPr>
            <w:rFonts w:ascii="Arial" w:cs="Arial" w:eastAsia="Arial" w:hAnsi="Arial"/>
            <w:sz w:val="12"/>
            <w:szCs w:val="12"/>
            <w:u w:val="single" w:color="auto"/>
            <w:color w:val="0000FF"/>
          </w:rPr>
          <w:t>10.1</w:t>
        </w:r>
      </w:hyperlink>
      <w:r>
        <w:rPr>
          <w:rFonts w:ascii="Arial" w:cs="Arial" w:eastAsia="Arial" w:hAnsi="Arial"/>
          <w:sz w:val="12"/>
          <w:szCs w:val="12"/>
          <w:u w:val="single" w:color="auto"/>
          <w:color w:val="0000FF"/>
        </w:rPr>
        <w:tab/>
      </w:r>
      <w:hyperlink r:id="rId77">
        <w:r>
          <w:rPr>
            <w:rFonts w:ascii="Arial" w:cs="Arial" w:eastAsia="Arial" w:hAnsi="Arial"/>
            <w:sz w:val="12"/>
            <w:szCs w:val="12"/>
            <w:u w:val="single" w:color="auto"/>
            <w:color w:val="0000FF"/>
          </w:rPr>
          <w:t>First Amendment to Credit Agreement, dated as of July 27, 2021, by and among the Company, as guarantor, the Partnership, as borrower, certain subsidiary guarantors, and Deutsche Bank AG New York Branch,</w:t>
        </w:r>
      </w:hyperlink>
      <w:r>
        <w:rPr>
          <w:rFonts w:ascii="Arial" w:cs="Arial" w:eastAsia="Arial" w:hAnsi="Arial"/>
          <w:sz w:val="12"/>
          <w:szCs w:val="12"/>
          <w:u w:val="single" w:color="auto"/>
          <w:color w:val="0000FF"/>
        </w:rPr>
        <w:t xml:space="preserve"> </w:t>
      </w:r>
      <w:hyperlink r:id="rId77">
        <w:r>
          <w:rPr>
            <w:rFonts w:ascii="Arial" w:cs="Arial" w:eastAsia="Arial" w:hAnsi="Arial"/>
            <w:sz w:val="12"/>
            <w:szCs w:val="12"/>
            <w:u w:val="single" w:color="auto"/>
            <w:color w:val="0000FF"/>
          </w:rPr>
          <w:t>as administrative agent for the lenders (incorporated by reference as an exhibit to the Company's Quarterly Report on Form 10-Q for the quarter ended June 30, 2021).</w:t>
        </w:r>
      </w:hyperlink>
    </w:p>
    <w:p>
      <w:pPr>
        <w:spacing w:after="0" w:line="200" w:lineRule="exact"/>
        <w:rPr>
          <w:rFonts w:ascii="Arial" w:cs="Arial" w:eastAsia="Arial" w:hAnsi="Arial"/>
          <w:sz w:val="12"/>
          <w:szCs w:val="12"/>
          <w:u w:val="single" w:color="auto"/>
          <w:color w:val="0000FF"/>
        </w:rPr>
      </w:pPr>
    </w:p>
    <w:p>
      <w:pPr>
        <w:spacing w:after="0" w:line="200" w:lineRule="exact"/>
        <w:rPr>
          <w:rFonts w:ascii="Arial" w:cs="Arial" w:eastAsia="Arial" w:hAnsi="Arial"/>
          <w:sz w:val="12"/>
          <w:szCs w:val="12"/>
          <w:u w:val="single" w:color="auto"/>
          <w:color w:val="0000FF"/>
        </w:rPr>
      </w:pPr>
    </w:p>
    <w:p>
      <w:pPr>
        <w:spacing w:after="0" w:line="276" w:lineRule="exact"/>
        <w:rPr>
          <w:rFonts w:ascii="Arial" w:cs="Arial" w:eastAsia="Arial" w:hAnsi="Arial"/>
          <w:sz w:val="12"/>
          <w:szCs w:val="12"/>
          <w:u w:val="single" w:color="auto"/>
          <w:color w:val="0000FF"/>
        </w:rPr>
      </w:pPr>
    </w:p>
    <w:p>
      <w:pPr>
        <w:jc w:val="center"/>
        <w:ind w:right="-59"/>
        <w:spacing w:after="0"/>
        <w:rPr>
          <w:sz w:val="20"/>
          <w:szCs w:val="20"/>
          <w:color w:val="auto"/>
        </w:rPr>
      </w:pPr>
      <w:r>
        <w:rPr>
          <w:rFonts w:ascii="Arial" w:cs="Arial" w:eastAsia="Arial" w:hAnsi="Arial"/>
          <w:sz w:val="12"/>
          <w:szCs w:val="12"/>
          <w:color w:val="auto"/>
        </w:rPr>
        <w:t>46</w:t>
      </w:r>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8" w:right="359" w:bottom="1440" w:gutter="0" w:footer="0" w:header="0"/>
        </w:sectPr>
      </w:pPr>
    </w:p>
    <w:bookmarkStart w:id="46" w:name="page47"/>
    <w:bookmarkEnd w:id="46"/>
    <w:tbl>
      <w:tblPr>
        <w:tblLayout w:type="fixed"/>
        <w:tblInd w:w="8" w:type="dxa"/>
        <w:tblCellMar>
          <w:top w:w="0" w:type="dxa"/>
          <w:left w:w="0" w:type="dxa"/>
          <w:bottom w:w="0" w:type="dxa"/>
          <w:right w:w="0" w:type="dxa"/>
        </w:tblCellMar>
      </w:tblPr>
      <w:tr>
        <w:trPr>
          <w:trHeight w:val="115"/>
        </w:trPr>
        <w:tc>
          <w:tcPr>
            <w:tcW w:w="680" w:type="dxa"/>
            <w:vAlign w:val="bottom"/>
            <w:tcBorders>
              <w:bottom w:val="single" w:sz="8" w:color="0000FF"/>
            </w:tcBorders>
            <w:gridSpan w:val="2"/>
          </w:tcPr>
          <w:p>
            <w:pPr>
              <w:jc w:val="right"/>
              <w:spacing w:after="0"/>
              <w:rPr>
                <w:rFonts w:ascii="Arial" w:cs="Arial" w:eastAsia="Arial" w:hAnsi="Arial"/>
                <w:sz w:val="10"/>
                <w:szCs w:val="10"/>
                <w:color w:val="0000FF"/>
                <w:w w:val="83"/>
              </w:rPr>
            </w:pPr>
            <w:hyperlink w:anchor="page1">
              <w:r>
                <w:rPr>
                  <w:rFonts w:ascii="Arial" w:cs="Arial" w:eastAsia="Arial" w:hAnsi="Arial"/>
                  <w:sz w:val="10"/>
                  <w:szCs w:val="10"/>
                  <w:color w:val="0000FF"/>
                  <w:w w:val="83"/>
                </w:rPr>
                <w:t>Table of Contents</w:t>
              </w:r>
            </w:hyperlink>
          </w:p>
        </w:tc>
        <w:tc>
          <w:tcPr>
            <w:tcW w:w="3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1"/>
        </w:trPr>
        <w:tc>
          <w:tcPr>
            <w:tcW w:w="98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Exhibit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vMerge w:val="restart"/>
          </w:tcPr>
          <w:p>
            <w:pPr>
              <w:ind w:left="1500"/>
              <w:spacing w:after="0"/>
              <w:rPr>
                <w:sz w:val="20"/>
                <w:szCs w:val="20"/>
                <w:color w:val="auto"/>
              </w:rPr>
            </w:pPr>
            <w:r>
              <w:rPr>
                <w:rFonts w:ascii="Arial" w:cs="Arial" w:eastAsia="Arial" w:hAnsi="Arial"/>
                <w:sz w:val="10"/>
                <w:szCs w:val="10"/>
                <w:b w:val="1"/>
                <w:bCs w:val="1"/>
                <w:color w:val="auto"/>
                <w:w w:val="79"/>
              </w:rPr>
              <w:t>Description</w:t>
            </w:r>
          </w:p>
        </w:tc>
        <w:tc>
          <w:tcPr>
            <w:tcW w:w="0" w:type="dxa"/>
            <w:vAlign w:val="bottom"/>
          </w:tcPr>
          <w:p>
            <w:pPr>
              <w:spacing w:after="0"/>
              <w:rPr>
                <w:sz w:val="1"/>
                <w:szCs w:val="1"/>
                <w:color w:val="auto"/>
              </w:rPr>
            </w:pPr>
          </w:p>
        </w:tc>
      </w:tr>
      <w:tr>
        <w:trPr>
          <w:trHeight w:val="123"/>
        </w:trPr>
        <w:tc>
          <w:tcPr>
            <w:tcW w:w="9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60" w:type="dxa"/>
            <w:vAlign w:val="bottom"/>
            <w:gridSpan w:val="3"/>
          </w:tcPr>
          <w:p>
            <w:pPr>
              <w:spacing w:after="0"/>
              <w:rPr>
                <w:sz w:val="11"/>
                <w:szCs w:val="11"/>
                <w:color w:val="auto"/>
              </w:rPr>
            </w:pPr>
          </w:p>
        </w:tc>
        <w:tc>
          <w:tcPr>
            <w:tcW w:w="220" w:type="dxa"/>
            <w:vAlign w:val="bottom"/>
            <w:tcBorders>
              <w:bottom w:val="single" w:sz="8" w:color="0000FF"/>
            </w:tcBorders>
          </w:tcPr>
          <w:p>
            <w:pPr>
              <w:jc w:val="right"/>
              <w:spacing w:after="0" w:line="129" w:lineRule="exact"/>
              <w:rPr>
                <w:rFonts w:ascii="Arial" w:cs="Arial" w:eastAsia="Arial" w:hAnsi="Arial"/>
                <w:sz w:val="12"/>
                <w:szCs w:val="12"/>
                <w:color w:val="0000FF"/>
                <w:w w:val="85"/>
              </w:rPr>
            </w:pPr>
            <w:hyperlink w:anchor="page49">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1</w:t>
              </w:r>
            </w:hyperlink>
          </w:p>
        </w:tc>
        <w:tc>
          <w:tcPr>
            <w:tcW w:w="120" w:type="dxa"/>
            <w:vAlign w:val="bottom"/>
          </w:tcPr>
          <w:p>
            <w:pPr>
              <w:spacing w:after="0"/>
              <w:rPr>
                <w:sz w:val="11"/>
                <w:szCs w:val="11"/>
                <w:color w:val="auto"/>
              </w:rPr>
            </w:pPr>
          </w:p>
        </w:tc>
        <w:tc>
          <w:tcPr>
            <w:tcW w:w="580" w:type="dxa"/>
            <w:vAlign w:val="bottom"/>
            <w:tcBorders>
              <w:bottom w:val="single" w:sz="8" w:color="0000FF"/>
            </w:tcBorders>
          </w:tcPr>
          <w:p>
            <w:pPr>
              <w:spacing w:after="0" w:line="129" w:lineRule="exact"/>
              <w:rPr>
                <w:rFonts w:ascii="Arial" w:cs="Arial" w:eastAsia="Arial" w:hAnsi="Arial"/>
                <w:sz w:val="12"/>
                <w:szCs w:val="12"/>
                <w:color w:val="0000FF"/>
                <w:w w:val="88"/>
              </w:rPr>
            </w:pPr>
            <w:hyperlink w:anchor="page49">
              <w:r>
                <w:rPr>
                  <w:rFonts w:ascii="Arial" w:cs="Arial" w:eastAsia="Arial" w:hAnsi="Arial"/>
                  <w:sz w:val="12"/>
                  <w:szCs w:val="12"/>
                  <w:color w:val="0000FF"/>
                  <w:w w:val="88"/>
                </w:rPr>
                <w:t>Section 302</w:t>
              </w:r>
            </w:hyperlink>
          </w:p>
        </w:tc>
        <w:tc>
          <w:tcPr>
            <w:tcW w:w="2760" w:type="dxa"/>
            <w:vAlign w:val="bottom"/>
            <w:tcBorders>
              <w:bottom w:val="single" w:sz="8" w:color="0000FF"/>
            </w:tcBorders>
            <w:gridSpan w:val="2"/>
          </w:tcPr>
          <w:p>
            <w:pPr>
              <w:ind w:left="20"/>
              <w:spacing w:after="0" w:line="129" w:lineRule="exact"/>
              <w:rPr>
                <w:rFonts w:ascii="Arial" w:cs="Arial" w:eastAsia="Arial" w:hAnsi="Arial"/>
                <w:sz w:val="12"/>
                <w:szCs w:val="12"/>
                <w:color w:val="0000FF"/>
                <w:w w:val="92"/>
              </w:rPr>
            </w:pPr>
            <w:hyperlink w:anchor="page49">
              <w:r>
                <w:rPr>
                  <w:rFonts w:ascii="Arial" w:cs="Arial" w:eastAsia="Arial" w:hAnsi="Arial"/>
                  <w:sz w:val="12"/>
                  <w:szCs w:val="12"/>
                  <w:color w:val="0000FF"/>
                  <w:w w:val="92"/>
                </w:rPr>
                <w:t>Certification of Thomas O'Hern, Chief Executive Officer</w:t>
              </w:r>
            </w:hyperlink>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gridSpan w:val="3"/>
          </w:tcPr>
          <w:p>
            <w:pPr>
              <w:spacing w:after="0"/>
              <w:rPr>
                <w:sz w:val="11"/>
                <w:szCs w:val="11"/>
                <w:color w:val="auto"/>
              </w:rPr>
            </w:pPr>
          </w:p>
        </w:tc>
        <w:tc>
          <w:tcPr>
            <w:tcW w:w="220" w:type="dxa"/>
            <w:vAlign w:val="bottom"/>
          </w:tcPr>
          <w:p>
            <w:pPr>
              <w:jc w:val="right"/>
              <w:spacing w:after="0" w:line="133" w:lineRule="exact"/>
              <w:rPr>
                <w:rFonts w:ascii="Arial" w:cs="Arial" w:eastAsia="Arial" w:hAnsi="Arial"/>
                <w:sz w:val="12"/>
                <w:szCs w:val="12"/>
                <w:color w:val="0000FF"/>
                <w:w w:val="85"/>
              </w:rPr>
            </w:pPr>
            <w:hyperlink w:anchor="page50">
              <w:r>
                <w:rPr>
                  <w:rFonts w:ascii="Arial" w:cs="Arial" w:eastAsia="Arial" w:hAnsi="Arial"/>
                  <w:sz w:val="12"/>
                  <w:szCs w:val="12"/>
                  <w:color w:val="0000FF"/>
                  <w:w w:val="85"/>
                </w:rPr>
                <w:t>31.</w:t>
              </w:r>
              <w:r>
                <w:rPr>
                  <w:rFonts w:ascii="Arial" w:cs="Arial" w:eastAsia="Arial" w:hAnsi="Arial"/>
                  <w:sz w:val="12"/>
                  <w:szCs w:val="12"/>
                  <w:u w:val="single" w:color="auto"/>
                  <w:color w:val="0000FF"/>
                  <w:w w:val="85"/>
                </w:rPr>
                <w:t>2</w:t>
              </w:r>
            </w:hyperlink>
          </w:p>
        </w:tc>
        <w:tc>
          <w:tcPr>
            <w:tcW w:w="120" w:type="dxa"/>
            <w:vAlign w:val="bottom"/>
          </w:tcPr>
          <w:p>
            <w:pPr>
              <w:spacing w:after="0"/>
              <w:rPr>
                <w:sz w:val="11"/>
                <w:szCs w:val="11"/>
                <w:color w:val="auto"/>
              </w:rPr>
            </w:pPr>
          </w:p>
        </w:tc>
        <w:tc>
          <w:tcPr>
            <w:tcW w:w="580" w:type="dxa"/>
            <w:vAlign w:val="bottom"/>
          </w:tcPr>
          <w:p>
            <w:pPr>
              <w:spacing w:after="0" w:line="133" w:lineRule="exact"/>
              <w:rPr>
                <w:rFonts w:ascii="Arial" w:cs="Arial" w:eastAsia="Arial" w:hAnsi="Arial"/>
                <w:sz w:val="12"/>
                <w:szCs w:val="12"/>
                <w:color w:val="0000FF"/>
                <w:w w:val="88"/>
              </w:rPr>
            </w:pPr>
            <w:hyperlink w:anchor="page50">
              <w:r>
                <w:rPr>
                  <w:rFonts w:ascii="Arial" w:cs="Arial" w:eastAsia="Arial" w:hAnsi="Arial"/>
                  <w:sz w:val="12"/>
                  <w:szCs w:val="12"/>
                  <w:color w:val="0000FF"/>
                  <w:w w:val="88"/>
                </w:rPr>
                <w:t>Section 302</w:t>
              </w:r>
            </w:hyperlink>
          </w:p>
        </w:tc>
        <w:tc>
          <w:tcPr>
            <w:tcW w:w="4720" w:type="dxa"/>
            <w:vAlign w:val="bottom"/>
            <w:gridSpan w:val="3"/>
          </w:tcPr>
          <w:p>
            <w:pPr>
              <w:ind w:left="20"/>
              <w:spacing w:after="0" w:line="133" w:lineRule="exact"/>
              <w:rPr>
                <w:rFonts w:ascii="Arial" w:cs="Arial" w:eastAsia="Arial" w:hAnsi="Arial"/>
                <w:sz w:val="12"/>
                <w:szCs w:val="12"/>
                <w:color w:val="0000FF"/>
              </w:rPr>
            </w:pPr>
            <w:hyperlink w:anchor="page50">
              <w:r>
                <w:rPr>
                  <w:rFonts w:ascii="Arial" w:cs="Arial" w:eastAsia="Arial" w:hAnsi="Arial"/>
                  <w:sz w:val="12"/>
                  <w:szCs w:val="12"/>
                  <w:color w:val="0000FF"/>
                </w:rPr>
                <w:t>Certification of Scott Kingsmore, Chief Financial Officer</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0" w:type="dxa"/>
            <w:vAlign w:val="bottom"/>
          </w:tcPr>
          <w:p>
            <w:pPr>
              <w:spacing w:after="0"/>
              <w:rPr>
                <w:sz w:val="11"/>
                <w:szCs w:val="11"/>
                <w:color w:val="auto"/>
              </w:rPr>
            </w:pPr>
          </w:p>
        </w:tc>
        <w:tc>
          <w:tcPr>
            <w:tcW w:w="340" w:type="dxa"/>
            <w:vAlign w:val="bottom"/>
            <w:tcBorders>
              <w:bottom w:val="single" w:sz="8" w:color="0000FF"/>
            </w:tcBorders>
            <w:gridSpan w:val="3"/>
          </w:tcPr>
          <w:p>
            <w:pPr>
              <w:jc w:val="right"/>
              <w:spacing w:after="0" w:line="133" w:lineRule="exact"/>
              <w:rPr>
                <w:rFonts w:ascii="Arial" w:cs="Arial" w:eastAsia="Arial" w:hAnsi="Arial"/>
                <w:sz w:val="12"/>
                <w:szCs w:val="12"/>
                <w:color w:val="0000FF"/>
                <w:w w:val="97"/>
              </w:rPr>
            </w:pPr>
            <w:hyperlink w:anchor="page51">
              <w:r>
                <w:rPr>
                  <w:rFonts w:ascii="Arial" w:cs="Arial" w:eastAsia="Arial" w:hAnsi="Arial"/>
                  <w:sz w:val="12"/>
                  <w:szCs w:val="12"/>
                  <w:color w:val="0000FF"/>
                  <w:w w:val="97"/>
                </w:rPr>
                <w:t>32.</w:t>
              </w:r>
              <w:r>
                <w:rPr>
                  <w:rFonts w:ascii="Arial" w:cs="Arial" w:eastAsia="Arial" w:hAnsi="Arial"/>
                  <w:sz w:val="12"/>
                  <w:szCs w:val="12"/>
                  <w:u w:val="single" w:color="auto"/>
                  <w:color w:val="0000FF"/>
                  <w:w w:val="97"/>
                </w:rPr>
                <w:t>1**</w:t>
              </w:r>
            </w:hyperlink>
          </w:p>
        </w:tc>
        <w:tc>
          <w:tcPr>
            <w:tcW w:w="120" w:type="dxa"/>
            <w:vAlign w:val="bottom"/>
          </w:tcPr>
          <w:p>
            <w:pPr>
              <w:spacing w:after="0"/>
              <w:rPr>
                <w:sz w:val="11"/>
                <w:szCs w:val="11"/>
                <w:color w:val="auto"/>
              </w:rPr>
            </w:pPr>
          </w:p>
        </w:tc>
        <w:tc>
          <w:tcPr>
            <w:tcW w:w="580" w:type="dxa"/>
            <w:vAlign w:val="bottom"/>
            <w:tcBorders>
              <w:bottom w:val="single" w:sz="8" w:color="0000FF"/>
            </w:tcBorders>
          </w:tcPr>
          <w:p>
            <w:pPr>
              <w:spacing w:after="0" w:line="133" w:lineRule="exact"/>
              <w:rPr>
                <w:rFonts w:ascii="Arial" w:cs="Arial" w:eastAsia="Arial" w:hAnsi="Arial"/>
                <w:sz w:val="12"/>
                <w:szCs w:val="12"/>
                <w:color w:val="0000FF"/>
                <w:w w:val="88"/>
              </w:rPr>
            </w:pPr>
            <w:hyperlink w:anchor="page51">
              <w:r>
                <w:rPr>
                  <w:rFonts w:ascii="Arial" w:cs="Arial" w:eastAsia="Arial" w:hAnsi="Arial"/>
                  <w:sz w:val="12"/>
                  <w:szCs w:val="12"/>
                  <w:color w:val="0000FF"/>
                  <w:w w:val="88"/>
                </w:rPr>
                <w:t>Section 906</w:t>
              </w:r>
            </w:hyperlink>
          </w:p>
        </w:tc>
        <w:tc>
          <w:tcPr>
            <w:tcW w:w="2640" w:type="dxa"/>
            <w:vAlign w:val="bottom"/>
            <w:tcBorders>
              <w:bottom w:val="single" w:sz="8" w:color="0000FF"/>
            </w:tcBorders>
          </w:tcPr>
          <w:p>
            <w:pPr>
              <w:ind w:left="20"/>
              <w:spacing w:after="0" w:line="133" w:lineRule="exact"/>
              <w:rPr>
                <w:rFonts w:ascii="Arial" w:cs="Arial" w:eastAsia="Arial" w:hAnsi="Arial"/>
                <w:sz w:val="12"/>
                <w:szCs w:val="12"/>
                <w:color w:val="0000FF"/>
                <w:w w:val="91"/>
              </w:rPr>
            </w:pPr>
            <w:hyperlink w:anchor="page51">
              <w:r>
                <w:rPr>
                  <w:rFonts w:ascii="Arial" w:cs="Arial" w:eastAsia="Arial" w:hAnsi="Arial"/>
                  <w:sz w:val="12"/>
                  <w:szCs w:val="12"/>
                  <w:color w:val="0000FF"/>
                  <w:w w:val="91"/>
                </w:rPr>
                <w:t>Certifications of Thomas O'Hern and Scott Kingsmore</w:t>
              </w:r>
            </w:hyperlink>
          </w:p>
        </w:tc>
        <w:tc>
          <w:tcPr>
            <w:tcW w:w="20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80" w:type="dxa"/>
            <w:vAlign w:val="bottom"/>
            <w:gridSpan w:val="4"/>
          </w:tcPr>
          <w:p>
            <w:pPr>
              <w:jc w:val="right"/>
              <w:spacing w:after="0"/>
              <w:rPr>
                <w:sz w:val="20"/>
                <w:szCs w:val="20"/>
                <w:color w:val="auto"/>
              </w:rPr>
            </w:pPr>
            <w:r>
              <w:rPr>
                <w:rFonts w:ascii="Arial" w:cs="Arial" w:eastAsia="Arial" w:hAnsi="Arial"/>
                <w:sz w:val="12"/>
                <w:szCs w:val="12"/>
                <w:color w:val="auto"/>
              </w:rPr>
              <w:t>101.SCH</w:t>
            </w:r>
          </w:p>
        </w:tc>
        <w:tc>
          <w:tcPr>
            <w:tcW w:w="120" w:type="dxa"/>
            <w:vAlign w:val="bottom"/>
          </w:tcPr>
          <w:p>
            <w:pPr>
              <w:spacing w:after="0"/>
              <w:rPr>
                <w:sz w:val="13"/>
                <w:szCs w:val="13"/>
                <w:color w:val="auto"/>
              </w:rPr>
            </w:pPr>
          </w:p>
        </w:tc>
        <w:tc>
          <w:tcPr>
            <w:tcW w:w="5300" w:type="dxa"/>
            <w:vAlign w:val="bottom"/>
            <w:gridSpan w:val="4"/>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153"/>
        </w:trPr>
        <w:tc>
          <w:tcPr>
            <w:tcW w:w="980" w:type="dxa"/>
            <w:vAlign w:val="bottom"/>
            <w:gridSpan w:val="4"/>
          </w:tcPr>
          <w:p>
            <w:pPr>
              <w:jc w:val="right"/>
              <w:spacing w:after="0"/>
              <w:rPr>
                <w:sz w:val="20"/>
                <w:szCs w:val="20"/>
                <w:color w:val="auto"/>
              </w:rPr>
            </w:pPr>
            <w:r>
              <w:rPr>
                <w:rFonts w:ascii="Arial" w:cs="Arial" w:eastAsia="Arial" w:hAnsi="Arial"/>
                <w:sz w:val="12"/>
                <w:szCs w:val="12"/>
                <w:color w:val="auto"/>
              </w:rPr>
              <w:t>101.CAL</w:t>
            </w:r>
          </w:p>
        </w:tc>
        <w:tc>
          <w:tcPr>
            <w:tcW w:w="120" w:type="dxa"/>
            <w:vAlign w:val="bottom"/>
          </w:tcPr>
          <w:p>
            <w:pPr>
              <w:spacing w:after="0"/>
              <w:rPr>
                <w:sz w:val="13"/>
                <w:szCs w:val="13"/>
                <w:color w:val="auto"/>
              </w:rPr>
            </w:pPr>
          </w:p>
        </w:tc>
        <w:tc>
          <w:tcPr>
            <w:tcW w:w="5300" w:type="dxa"/>
            <w:vAlign w:val="bottom"/>
            <w:gridSpan w:val="4"/>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53"/>
        </w:trPr>
        <w:tc>
          <w:tcPr>
            <w:tcW w:w="980" w:type="dxa"/>
            <w:vAlign w:val="bottom"/>
            <w:gridSpan w:val="4"/>
          </w:tcPr>
          <w:p>
            <w:pPr>
              <w:jc w:val="right"/>
              <w:spacing w:after="0"/>
              <w:rPr>
                <w:sz w:val="20"/>
                <w:szCs w:val="20"/>
                <w:color w:val="auto"/>
              </w:rPr>
            </w:pPr>
            <w:r>
              <w:rPr>
                <w:rFonts w:ascii="Arial" w:cs="Arial" w:eastAsia="Arial" w:hAnsi="Arial"/>
                <w:sz w:val="12"/>
                <w:szCs w:val="12"/>
                <w:color w:val="auto"/>
              </w:rPr>
              <w:t>101.LAB</w:t>
            </w:r>
          </w:p>
        </w:tc>
        <w:tc>
          <w:tcPr>
            <w:tcW w:w="120" w:type="dxa"/>
            <w:vAlign w:val="bottom"/>
          </w:tcPr>
          <w:p>
            <w:pPr>
              <w:spacing w:after="0"/>
              <w:rPr>
                <w:sz w:val="13"/>
                <w:szCs w:val="13"/>
                <w:color w:val="auto"/>
              </w:rPr>
            </w:pPr>
          </w:p>
        </w:tc>
        <w:tc>
          <w:tcPr>
            <w:tcW w:w="5300" w:type="dxa"/>
            <w:vAlign w:val="bottom"/>
            <w:gridSpan w:val="4"/>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53"/>
        </w:trPr>
        <w:tc>
          <w:tcPr>
            <w:tcW w:w="980" w:type="dxa"/>
            <w:vAlign w:val="bottom"/>
            <w:gridSpan w:val="4"/>
          </w:tcPr>
          <w:p>
            <w:pPr>
              <w:jc w:val="right"/>
              <w:spacing w:after="0"/>
              <w:rPr>
                <w:sz w:val="20"/>
                <w:szCs w:val="20"/>
                <w:color w:val="auto"/>
              </w:rPr>
            </w:pPr>
            <w:r>
              <w:rPr>
                <w:rFonts w:ascii="Arial" w:cs="Arial" w:eastAsia="Arial" w:hAnsi="Arial"/>
                <w:sz w:val="12"/>
                <w:szCs w:val="12"/>
                <w:color w:val="auto"/>
              </w:rPr>
              <w:t>101.PRE</w:t>
            </w:r>
          </w:p>
        </w:tc>
        <w:tc>
          <w:tcPr>
            <w:tcW w:w="120" w:type="dxa"/>
            <w:vAlign w:val="bottom"/>
          </w:tcPr>
          <w:p>
            <w:pPr>
              <w:spacing w:after="0"/>
              <w:rPr>
                <w:sz w:val="13"/>
                <w:szCs w:val="13"/>
                <w:color w:val="auto"/>
              </w:rPr>
            </w:pPr>
          </w:p>
        </w:tc>
        <w:tc>
          <w:tcPr>
            <w:tcW w:w="5300" w:type="dxa"/>
            <w:vAlign w:val="bottom"/>
            <w:gridSpan w:val="4"/>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153"/>
        </w:trPr>
        <w:tc>
          <w:tcPr>
            <w:tcW w:w="980" w:type="dxa"/>
            <w:vAlign w:val="bottom"/>
            <w:gridSpan w:val="4"/>
          </w:tcPr>
          <w:p>
            <w:pPr>
              <w:jc w:val="right"/>
              <w:spacing w:after="0"/>
              <w:rPr>
                <w:sz w:val="20"/>
                <w:szCs w:val="20"/>
                <w:color w:val="auto"/>
              </w:rPr>
            </w:pPr>
            <w:r>
              <w:rPr>
                <w:rFonts w:ascii="Arial" w:cs="Arial" w:eastAsia="Arial" w:hAnsi="Arial"/>
                <w:sz w:val="12"/>
                <w:szCs w:val="12"/>
                <w:color w:val="auto"/>
              </w:rPr>
              <w:t>101.DEF</w:t>
            </w:r>
          </w:p>
        </w:tc>
        <w:tc>
          <w:tcPr>
            <w:tcW w:w="120" w:type="dxa"/>
            <w:vAlign w:val="bottom"/>
          </w:tcPr>
          <w:p>
            <w:pPr>
              <w:spacing w:after="0"/>
              <w:rPr>
                <w:sz w:val="13"/>
                <w:szCs w:val="13"/>
                <w:color w:val="auto"/>
              </w:rPr>
            </w:pPr>
          </w:p>
        </w:tc>
        <w:tc>
          <w:tcPr>
            <w:tcW w:w="5300" w:type="dxa"/>
            <w:vAlign w:val="bottom"/>
            <w:gridSpan w:val="4"/>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bl>
    <w:p>
      <w:pPr>
        <w:ind w:left="1108" w:hanging="301"/>
        <w:spacing w:after="0"/>
        <w:tabs>
          <w:tab w:leader="none" w:pos="1108" w:val="left"/>
        </w:tabs>
        <w:numPr>
          <w:ilvl w:val="1"/>
          <w:numId w:val="18"/>
        </w:numPr>
        <w:rPr>
          <w:rFonts w:ascii="Arial" w:cs="Arial" w:eastAsia="Arial" w:hAnsi="Arial"/>
          <w:sz w:val="11"/>
          <w:szCs w:val="11"/>
          <w:color w:val="auto"/>
        </w:rPr>
      </w:pPr>
      <w:r>
        <w:rPr>
          <w:rFonts w:ascii="Arial" w:cs="Arial" w:eastAsia="Arial" w:hAnsi="Arial"/>
          <w:sz w:val="11"/>
          <w:szCs w:val="11"/>
          <w:color w:val="auto"/>
        </w:rPr>
        <w:t>Cover Page Interactive Data File (formatted as Inline XBRL with applicable taxonomy extension information contained in Exhibits 101.*).</w:t>
      </w:r>
    </w:p>
    <w:p>
      <w:pPr>
        <w:spacing w:after="0" w:line="350" w:lineRule="exact"/>
        <w:rPr>
          <w:rFonts w:ascii="Arial" w:cs="Arial" w:eastAsia="Arial" w:hAnsi="Arial"/>
          <w:sz w:val="11"/>
          <w:szCs w:val="11"/>
          <w:color w:val="auto"/>
        </w:rPr>
      </w:pPr>
    </w:p>
    <w:p>
      <w:pPr>
        <w:ind w:left="148" w:hanging="148"/>
        <w:spacing w:after="0"/>
        <w:tabs>
          <w:tab w:leader="none" w:pos="1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375"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15" w:right="1440" w:bottom="1440" w:gutter="0" w:footer="0" w:header="0"/>
        </w:sectPr>
      </w:pPr>
    </w:p>
    <w:bookmarkStart w:id="47" w:name="page48"/>
    <w:bookmarkEnd w:id="47"/>
    <w:p>
      <w:pPr>
        <w:spacing w:after="0" w:line="202" w:lineRule="auto"/>
        <w:framePr w:w="1500" w:h="107" w:wrap="auto" w:vAnchor="page" w:hAnchor="page" w:x="7800" w:y="1311"/>
        <w:rPr>
          <w:rFonts w:ascii="Arial" w:cs="Arial" w:eastAsia="Arial" w:hAnsi="Arial"/>
          <w:sz w:val="11"/>
          <w:szCs w:val="11"/>
          <w:color w:val="auto"/>
        </w:rPr>
      </w:pPr>
      <w:r>
        <w:rPr>
          <w:rFonts w:ascii="Arial" w:cs="Arial" w:eastAsia="Arial" w:hAnsi="Arial"/>
          <w:sz w:val="11"/>
          <w:szCs w:val="11"/>
          <w:color w:val="auto"/>
        </w:rPr>
        <w:t>/s/ SCOTT W. KINGSMORE</w:t>
      </w:r>
    </w:p>
    <w:p>
      <w:pPr>
        <w:spacing w:after="0" w:line="202" w:lineRule="auto"/>
        <w:framePr w:w="1060" w:h="107" w:wrap="auto" w:vAnchor="page" w:hAnchor="page" w:x="8020" w:y="1473"/>
        <w:rPr>
          <w:rFonts w:ascii="Arial" w:cs="Arial" w:eastAsia="Arial" w:hAnsi="Arial"/>
          <w:sz w:val="11"/>
          <w:szCs w:val="11"/>
          <w:color w:val="auto"/>
        </w:rPr>
      </w:pPr>
      <w:r>
        <w:rPr>
          <w:rFonts w:ascii="Arial" w:cs="Arial" w:eastAsia="Arial" w:hAnsi="Arial"/>
          <w:sz w:val="11"/>
          <w:szCs w:val="11"/>
          <w:color w:val="auto"/>
        </w:rPr>
        <w:t>Scott W. Kingsmore</w:t>
      </w:r>
    </w:p>
    <w:p>
      <w:pPr>
        <w:spacing w:after="0" w:line="223" w:lineRule="auto"/>
        <w:framePr w:w="3480" w:h="107" w:wrap="auto" w:vAnchor="page" w:hAnchor="page" w:x="6820" w:y="1626"/>
        <w:rPr>
          <w:rFonts w:ascii="Arial" w:cs="Arial" w:eastAsia="Arial" w:hAnsi="Arial"/>
          <w:sz w:val="10"/>
          <w:szCs w:val="10"/>
          <w:i w:val="1"/>
          <w:iCs w:val="1"/>
          <w:color w:val="auto"/>
        </w:rPr>
      </w:pPr>
      <w:r>
        <w:rPr>
          <w:rFonts w:ascii="Arial" w:cs="Arial" w:eastAsia="Arial" w:hAnsi="Arial"/>
          <w:sz w:val="10"/>
          <w:szCs w:val="10"/>
          <w:i w:val="1"/>
          <w:iCs w:val="1"/>
          <w:color w:val="auto"/>
        </w:rPr>
        <w:t>Senior Executive Vice President, Treasurer and Chief Financial Officer</w:t>
      </w:r>
    </w:p>
    <w:p>
      <w:pPr>
        <w:spacing w:after="0" w:line="202" w:lineRule="auto"/>
        <w:framePr w:w="1480" w:h="107" w:wrap="auto" w:vAnchor="page" w:hAnchor="page" w:x="7800" w:y="1779"/>
        <w:rPr>
          <w:rFonts w:ascii="Arial" w:cs="Arial" w:eastAsia="Arial" w:hAnsi="Arial"/>
          <w:sz w:val="11"/>
          <w:szCs w:val="11"/>
          <w:i w:val="1"/>
          <w:iCs w:val="1"/>
          <w:color w:val="auto"/>
        </w:rPr>
      </w:pPr>
      <w:r>
        <w:rPr>
          <w:rFonts w:ascii="Arial" w:cs="Arial" w:eastAsia="Arial" w:hAnsi="Arial"/>
          <w:sz w:val="11"/>
          <w:szCs w:val="11"/>
          <w:i w:val="1"/>
          <w:iCs w:val="1"/>
          <w:color w:val="auto"/>
        </w:rPr>
        <w:t>(Principal Financial Officer)</w:t>
      </w:r>
    </w:p>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rFonts w:ascii="Arial" w:cs="Arial" w:eastAsia="Arial" w:hAnsi="Arial"/>
          <w:sz w:val="11"/>
          <w:szCs w:val="11"/>
          <w:i w:val="1"/>
          <w:iCs w:val="1"/>
          <w:color w:val="auto"/>
        </w:rPr>
      </w:pPr>
    </w:p>
    <w:p>
      <w:pPr>
        <w:spacing w:after="0" w:line="296" w:lineRule="exact"/>
        <w:rPr>
          <w:rFonts w:ascii="Arial" w:cs="Arial" w:eastAsia="Arial" w:hAnsi="Arial"/>
          <w:sz w:val="11"/>
          <w:szCs w:val="11"/>
          <w:i w:val="1"/>
          <w:iCs w:val="1"/>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00" w:lineRule="exact"/>
        <w:rPr>
          <w:rFonts w:ascii="Arial" w:cs="Arial" w:eastAsia="Arial" w:hAnsi="Arial"/>
          <w:sz w:val="11"/>
          <w:szCs w:val="11"/>
          <w:i w:val="1"/>
          <w:iCs w:val="1"/>
          <w:color w:val="auto"/>
        </w:rPr>
      </w:pPr>
    </w:p>
    <w:p>
      <w:pPr>
        <w:ind w:left="28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56" w:lineRule="exact"/>
        <w:rPr>
          <w:rFonts w:ascii="Arial" w:cs="Arial" w:eastAsia="Arial" w:hAnsi="Arial"/>
          <w:sz w:val="11"/>
          <w:szCs w:val="11"/>
          <w:i w:val="1"/>
          <w:iCs w:val="1"/>
          <w:color w:val="auto"/>
        </w:rPr>
      </w:pPr>
    </w:p>
    <w:p>
      <w:pPr>
        <w:ind w:left="5040"/>
        <w:spacing w:after="0"/>
        <w:rPr>
          <w:sz w:val="20"/>
          <w:szCs w:val="20"/>
          <w:color w:val="auto"/>
        </w:rPr>
      </w:pPr>
      <w:r>
        <w:rPr>
          <w:rFonts w:ascii="Arial" w:cs="Arial" w:eastAsia="Arial" w:hAnsi="Arial"/>
          <w:sz w:val="12"/>
          <w:szCs w:val="12"/>
          <w:color w:val="auto"/>
        </w:rPr>
        <w:t>THE MACERICH COMPANY</w:t>
      </w:r>
    </w:p>
    <w:p>
      <w:pPr>
        <w:spacing w:after="0" w:line="15" w:lineRule="exact"/>
        <w:rPr>
          <w:rFonts w:ascii="Arial" w:cs="Arial" w:eastAsia="Arial" w:hAnsi="Arial"/>
          <w:sz w:val="11"/>
          <w:szCs w:val="11"/>
          <w:i w:val="1"/>
          <w:iCs w:val="1"/>
          <w:color w:val="auto"/>
        </w:rPr>
      </w:pPr>
    </w:p>
    <w:p>
      <w:pPr>
        <w:ind w:left="5040"/>
        <w:spacing w:after="0"/>
        <w:rPr>
          <w:sz w:val="20"/>
          <w:szCs w:val="20"/>
          <w:color w:val="auto"/>
        </w:rPr>
      </w:pPr>
      <w:r>
        <w:rPr>
          <w:rFonts w:ascii="Arial" w:cs="Arial" w:eastAsia="Arial" w:hAnsi="Arial"/>
          <w:sz w:val="12"/>
          <w:szCs w:val="12"/>
          <w:color w:val="auto"/>
        </w:rPr>
        <w:t>By:</w:t>
      </w:r>
    </w:p>
    <w:p>
      <w:pPr>
        <w:spacing w:after="0" w:line="20" w:lineRule="exact"/>
        <w:rPr>
          <w:rFonts w:ascii="Arial" w:cs="Arial" w:eastAsia="Arial" w:hAnsi="Arial"/>
          <w:sz w:val="11"/>
          <w:szCs w:val="11"/>
          <w:i w:val="1"/>
          <w:iCs w:val="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column">
              <wp:posOffset>3321050</wp:posOffset>
            </wp:positionH>
            <wp:positionV relativeFrom="paragraph">
              <wp:posOffset>9525</wp:posOffset>
            </wp:positionV>
            <wp:extent cx="364045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3640455" cy="5715"/>
                    </a:xfrm>
                    <a:prstGeom prst="rect">
                      <a:avLst/>
                    </a:prstGeom>
                    <a:noFill/>
                  </pic:spPr>
                </pic:pic>
              </a:graphicData>
            </a:graphic>
          </wp:anchor>
        </w:drawing>
      </w:r>
    </w:p>
    <w:p>
      <w:pPr>
        <w:spacing w:after="0" w:line="310" w:lineRule="exact"/>
        <w:rPr>
          <w:rFonts w:ascii="Arial" w:cs="Arial" w:eastAsia="Arial" w:hAnsi="Arial"/>
          <w:sz w:val="11"/>
          <w:szCs w:val="11"/>
          <w:i w:val="1"/>
          <w:iCs w:val="1"/>
          <w:color w:val="auto"/>
        </w:rPr>
      </w:pPr>
    </w:p>
    <w:p>
      <w:pPr>
        <w:ind w:left="300"/>
        <w:spacing w:after="0"/>
        <w:tabs>
          <w:tab w:leader="none" w:pos="9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8, 2021</w:t>
      </w:r>
    </w:p>
    <w:p>
      <w:pPr>
        <w:spacing w:after="0" w:line="200" w:lineRule="exact"/>
        <w:rPr>
          <w:rFonts w:ascii="Arial" w:cs="Arial" w:eastAsia="Arial" w:hAnsi="Arial"/>
          <w:sz w:val="11"/>
          <w:szCs w:val="11"/>
          <w:i w:val="1"/>
          <w:iCs w:val="1"/>
          <w:color w:val="auto"/>
        </w:rPr>
      </w:pPr>
    </w:p>
    <w:p>
      <w:pPr>
        <w:spacing w:after="0" w:line="200" w:lineRule="exact"/>
        <w:rPr>
          <w:rFonts w:ascii="Arial" w:cs="Arial" w:eastAsia="Arial" w:hAnsi="Arial"/>
          <w:sz w:val="11"/>
          <w:szCs w:val="11"/>
          <w:i w:val="1"/>
          <w:iCs w:val="1"/>
          <w:color w:val="auto"/>
        </w:rPr>
      </w:pPr>
    </w:p>
    <w:p>
      <w:pPr>
        <w:spacing w:after="0" w:line="299" w:lineRule="exact"/>
        <w:rPr>
          <w:rFonts w:ascii="Arial" w:cs="Arial" w:eastAsia="Arial" w:hAnsi="Arial"/>
          <w:sz w:val="11"/>
          <w:szCs w:val="11"/>
          <w:i w:val="1"/>
          <w:iCs w:val="1"/>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128"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2"/>
          <w:szCs w:val="12"/>
          <w:b w:val="1"/>
          <w:bCs w:val="1"/>
          <w:color w:val="auto"/>
        </w:rPr>
        <w:t>Exhibit 31.1</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I, Thomas E. O'Hern, certify that:</w:t>
      </w:r>
    </w:p>
    <w:p>
      <w:pPr>
        <w:spacing w:after="0" w:line="105"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report on Form 10-Q for the quarter ended September 30, 2021 of The Macerich Company;</w:t>
      </w:r>
    </w:p>
    <w:p>
      <w:pPr>
        <w:spacing w:after="0" w:line="105"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640" w:hanging="216"/>
        <w:spacing w:after="0"/>
        <w:tabs>
          <w:tab w:leader="none" w:pos="6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9525</wp:posOffset>
            </wp:positionV>
            <wp:extent cx="292036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2920365" cy="5715"/>
                    </a:xfrm>
                    <a:prstGeom prst="rect">
                      <a:avLst/>
                    </a:prstGeom>
                    <a:noFill/>
                  </pic:spPr>
                </pic:pic>
              </a:graphicData>
            </a:graphic>
          </wp:anchor>
        </w:drawing>
      </w:r>
    </w:p>
    <w:p>
      <w:pPr>
        <w:spacing w:after="0" w:line="4" w:lineRule="exact"/>
        <w:rPr>
          <w:sz w:val="20"/>
          <w:szCs w:val="20"/>
          <w:color w:val="auto"/>
        </w:rPr>
      </w:pPr>
    </w:p>
    <w:p>
      <w:pPr>
        <w:ind w:left="440"/>
        <w:spacing w:after="0"/>
        <w:tabs>
          <w:tab w:leader="none" w:pos="1200" w:val="left"/>
          <w:tab w:leader="none" w:pos="57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8, 2021</w:t>
      </w:r>
      <w:r>
        <w:rPr>
          <w:sz w:val="20"/>
          <w:szCs w:val="20"/>
          <w:color w:val="auto"/>
        </w:rPr>
        <w:tab/>
      </w:r>
      <w:r>
        <w:rPr>
          <w:rFonts w:ascii="Arial" w:cs="Arial" w:eastAsia="Arial" w:hAnsi="Arial"/>
          <w:sz w:val="11"/>
          <w:szCs w:val="11"/>
          <w:i w:val="1"/>
          <w:iCs w:val="1"/>
          <w:color w:val="auto"/>
        </w:rPr>
        <w:t>Chief Executive Officer</w:t>
      </w:r>
    </w:p>
    <w:p>
      <w:pPr>
        <w:sectPr>
          <w:pgSz w:w="11900" w:h="16838" w:orient="portrait"/>
          <w:cols w:equalWidth="0" w:num="1">
            <w:col w:w="11300"/>
          </w:cols>
          <w:pgMar w:left="300" w:top="703"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2"/>
          <w:szCs w:val="12"/>
          <w:b w:val="1"/>
          <w:bCs w:val="1"/>
          <w:color w:val="auto"/>
        </w:rPr>
        <w:t>Exhibit 31.2</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I, Scott W. Kingsmore, certify that:</w:t>
      </w:r>
    </w:p>
    <w:p>
      <w:pPr>
        <w:spacing w:after="0" w:line="105"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 have reviewed this report on Form 10-Q for the quarter ended September 30, 2021 of The Macerich Company;</w:t>
      </w:r>
    </w:p>
    <w:p>
      <w:pPr>
        <w:spacing w:after="0" w:line="105" w:lineRule="exact"/>
        <w:rPr>
          <w:rFonts w:ascii="Arial" w:cs="Arial" w:eastAsia="Arial" w:hAnsi="Arial"/>
          <w:sz w:val="12"/>
          <w:szCs w:val="12"/>
          <w:color w:val="auto"/>
        </w:rPr>
      </w:pPr>
    </w:p>
    <w:p>
      <w:pPr>
        <w:ind w:left="420" w:right="24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420" w:right="44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640" w:right="440" w:hanging="216"/>
        <w:spacing w:after="0" w:line="276" w:lineRule="auto"/>
        <w:tabs>
          <w:tab w:leader="none" w:pos="638"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640" w:right="200" w:hanging="216"/>
        <w:spacing w:after="0" w:line="276" w:lineRule="auto"/>
        <w:tabs>
          <w:tab w:leader="none" w:pos="636"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640" w:right="240" w:hanging="216"/>
        <w:spacing w:after="0" w:line="276" w:lineRule="auto"/>
        <w:tabs>
          <w:tab w:leader="none" w:pos="638" w:val="left"/>
        </w:tabs>
        <w:numPr>
          <w:ilvl w:val="1"/>
          <w:numId w:val="2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640" w:right="320" w:hanging="216"/>
        <w:spacing w:after="0" w:line="276" w:lineRule="auto"/>
        <w:tabs>
          <w:tab w:leader="none" w:pos="636" w:val="left"/>
        </w:tabs>
        <w:numPr>
          <w:ilvl w:val="1"/>
          <w:numId w:val="2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2"/>
          <w:szCs w:val="12"/>
          <w:color w:val="auto"/>
        </w:rPr>
      </w:pPr>
    </w:p>
    <w:p>
      <w:pPr>
        <w:ind w:left="420" w:right="260" w:hanging="212"/>
        <w:spacing w:after="0" w:line="276"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2"/>
          <w:szCs w:val="12"/>
          <w:color w:val="auto"/>
        </w:rPr>
      </w:pPr>
    </w:p>
    <w:p>
      <w:pPr>
        <w:ind w:left="640" w:right="40" w:hanging="216"/>
        <w:spacing w:after="0" w:line="276" w:lineRule="auto"/>
        <w:tabs>
          <w:tab w:leader="none" w:pos="638" w:val="left"/>
        </w:tabs>
        <w:numPr>
          <w:ilvl w:val="1"/>
          <w:numId w:val="2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640" w:hanging="216"/>
        <w:spacing w:after="0"/>
        <w:tabs>
          <w:tab w:leader="none" w:pos="640" w:val="left"/>
        </w:tabs>
        <w:numPr>
          <w:ilvl w:val="1"/>
          <w:numId w:val="2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9525</wp:posOffset>
            </wp:positionV>
            <wp:extent cx="3314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4" w:lineRule="exact"/>
        <w:rPr>
          <w:sz w:val="20"/>
          <w:szCs w:val="20"/>
          <w:color w:val="auto"/>
        </w:rPr>
      </w:pPr>
    </w:p>
    <w:p>
      <w:pPr>
        <w:ind w:left="440"/>
        <w:spacing w:after="0"/>
        <w:tabs>
          <w:tab w:leader="none" w:pos="1200" w:val="left"/>
          <w:tab w:leader="none" w:pos="52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8, 2021</w:t>
      </w:r>
      <w:r>
        <w:rPr>
          <w:sz w:val="20"/>
          <w:szCs w:val="20"/>
          <w:color w:val="auto"/>
        </w:rPr>
        <w:tab/>
      </w:r>
      <w:r>
        <w:rPr>
          <w:rFonts w:ascii="Arial" w:cs="Arial" w:eastAsia="Arial" w:hAnsi="Arial"/>
          <w:sz w:val="10"/>
          <w:szCs w:val="10"/>
          <w:i w:val="1"/>
          <w:iCs w:val="1"/>
          <w:color w:val="auto"/>
        </w:rPr>
        <w:t>Senior Executive Vice President and Chief Financial Officer</w:t>
      </w:r>
    </w:p>
    <w:p>
      <w:pPr>
        <w:sectPr>
          <w:pgSz w:w="11900" w:h="16838" w:orient="portrait"/>
          <w:cols w:equalWidth="0" w:num="1">
            <w:col w:w="11300"/>
          </w:cols>
          <w:pgMar w:left="300" w:top="703" w:right="299" w:bottom="1440" w:gutter="0" w:footer="0" w:header="0"/>
        </w:sectPr>
      </w:pPr>
    </w:p>
    <w:bookmarkStart w:id="50" w:name="page51"/>
    <w:bookmarkEnd w:id="50"/>
    <w:p>
      <w:pPr>
        <w:jc w:val="right"/>
        <w:spacing w:after="0"/>
        <w:rPr>
          <w:sz w:val="20"/>
          <w:szCs w:val="20"/>
          <w:color w:val="auto"/>
        </w:rPr>
      </w:pPr>
      <w:r>
        <w:rPr>
          <w:rFonts w:ascii="Arial" w:cs="Arial" w:eastAsia="Arial" w:hAnsi="Arial"/>
          <w:sz w:val="12"/>
          <w:szCs w:val="12"/>
          <w:b w:val="1"/>
          <w:bCs w:val="1"/>
          <w:color w:val="auto"/>
        </w:rPr>
        <w:t>Exhibit 32.1</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MACERICH COMPANY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WRITTEN STATEMENT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3"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25" w:lineRule="exact"/>
        <w:rPr>
          <w:sz w:val="20"/>
          <w:szCs w:val="20"/>
          <w:color w:val="auto"/>
        </w:rPr>
      </w:pPr>
    </w:p>
    <w:p>
      <w:pPr>
        <w:ind w:left="640" w:right="240" w:hanging="216"/>
        <w:spacing w:after="0" w:line="276" w:lineRule="auto"/>
        <w:tabs>
          <w:tab w:leader="none" w:pos="636"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Quarterly Report on Form 10-Q for the quarter ended September 30, 2021 of the Company (the "Report") fully complies with the requirements of Section 13(a) and 15(d) of the Securities Exchange Act of 1934, as amended; and</w:t>
      </w:r>
    </w:p>
    <w:p>
      <w:pPr>
        <w:spacing w:after="0" w:line="33" w:lineRule="exact"/>
        <w:rPr>
          <w:rFonts w:ascii="Arial" w:cs="Arial" w:eastAsia="Arial" w:hAnsi="Arial"/>
          <w:sz w:val="12"/>
          <w:szCs w:val="12"/>
          <w:color w:val="auto"/>
        </w:rPr>
      </w:pPr>
    </w:p>
    <w:p>
      <w:pPr>
        <w:ind w:left="640" w:hanging="21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8, 2021</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9525</wp:posOffset>
            </wp:positionV>
            <wp:extent cx="35947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Chief Executive Officer</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9525</wp:posOffset>
            </wp:positionV>
            <wp:extent cx="35947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3594735" cy="571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2"/>
          <w:szCs w:val="12"/>
          <w:i w:val="1"/>
          <w:iCs w:val="1"/>
          <w:color w:val="auto"/>
        </w:rPr>
        <w:t>Senior Executive Vice President and Chief Financial Officer</w:t>
      </w:r>
    </w:p>
    <w:sectPr>
      <w:pgSz w:w="11900" w:h="16838" w:orient="portrait"/>
      <w:cols w:equalWidth="0" w:num="1">
        <w:col w:w="11300"/>
      </w:cols>
      <w:pgMar w:left="300" w:top="70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4"/>
    </w:lvl>
    <w:lvl w:ilvl="1">
      <w:lvlJc w:val="left"/>
      <w:lvlText w:val="%2"/>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0"/>
    </w:lvl>
    <w:lvl w:ilvl="1">
      <w:lvlJc w:val="left"/>
      <w:lvlText w:val="(%2)"/>
      <w:numFmt w:val="decimal"/>
      <w:start w:val="9"/>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62" Type="http://schemas.openxmlformats.org/officeDocument/2006/relationships/hyperlink" Target="http://www.sec.gov/Archives/edgar/data/912242/000110465914081468/a14-24669_1ex2d1.htm" TargetMode="External"/><Relationship Id="rId63" Type="http://schemas.openxmlformats.org/officeDocument/2006/relationships/hyperlink" Target="http://www.sec.gov/Archives/edgar/data/912242/0001047469-99-012492.txt" TargetMode="External"/><Relationship Id="rId64" Type="http://schemas.openxmlformats.org/officeDocument/2006/relationships/hyperlink" Target="http://www.sec.gov/Archives/edgar/data/912242/000091205702030706/a2086079zex-3_1.htm" TargetMode="External"/><Relationship Id="rId65" Type="http://schemas.openxmlformats.org/officeDocument/2006/relationships/hyperlink" Target="http://www.sec.gov/Archives/edgar/data/912242/000091205702021417/a2080342zex-4_6.htm" TargetMode="External"/><Relationship Id="rId66" Type="http://schemas.openxmlformats.org/officeDocument/2006/relationships/hyperlink" Target="http://www.sec.gov/Archives/edgar/data/912242/000104746909001981/a2189901zex-3_15.htm" TargetMode="External"/><Relationship Id="rId67" Type="http://schemas.openxmlformats.org/officeDocument/2006/relationships/hyperlink" Target="http://www.sec.gov/Archives/edgar/data/912242/000110465909008348/a09-5253_1ex3d1.htm" TargetMode="External"/><Relationship Id="rId68" Type="http://schemas.openxmlformats.org/officeDocument/2006/relationships/hyperlink" Target="http://www.sec.gov/Archives/edgar/data/912242/000104746909007391/a2193924zex-3_17.htm" TargetMode="External"/><Relationship Id="rId69" Type="http://schemas.openxmlformats.org/officeDocument/2006/relationships/hyperlink" Target="http://www.sec.gov/Archives/edgar/data/912242/000110465914043330/a14-14485_1ex3d1.htm" TargetMode="External"/><Relationship Id="rId70" Type="http://schemas.openxmlformats.org/officeDocument/2006/relationships/hyperlink" Target="http://www.sec.gov/Archives/edgar/data/912242/000110465915020412/a15-6870_1ex3d1.htm" TargetMode="External"/><Relationship Id="rId71" Type="http://schemas.openxmlformats.org/officeDocument/2006/relationships/hyperlink" Target="http://www.sec.gov/Archives/edgar/data/912242/000110465915020810/a15-6873_1ex3d1.htm" TargetMode="External"/><Relationship Id="rId72" Type="http://schemas.openxmlformats.org/officeDocument/2006/relationships/hyperlink" Target="http://www.sec.gov/Archives/edgar/data/912242/000110465915037228/a15-11185_1ex3d1.htm" TargetMode="External"/><Relationship Id="rId73" Type="http://schemas.openxmlformats.org/officeDocument/2006/relationships/hyperlink" Target="http://www.sec.gov/Archives/edgar/data/912242/000110465915042631/a15-13305_1ex3d1.htm" TargetMode="External"/><Relationship Id="rId74" Type="http://schemas.openxmlformats.org/officeDocument/2006/relationships/hyperlink" Target="http://www.sec.gov/Archives/edgar/data/912242/000119312519129272/d731295dex31.htm" TargetMode="External"/><Relationship Id="rId75" Type="http://schemas.openxmlformats.org/officeDocument/2006/relationships/hyperlink" Target="https://www.sec.gov/Archives/edgar/data/912242/000119312521182973/d417870dex31.htm" TargetMode="External"/><Relationship Id="rId76" Type="http://schemas.openxmlformats.org/officeDocument/2006/relationships/hyperlink" Target="http://www.sec.gov/Archives/edgar/data/912242/000119312519129272/d731295dex32.htm" TargetMode="External"/><Relationship Id="rId77" Type="http://schemas.openxmlformats.org/officeDocument/2006/relationships/hyperlink" Target="https://www.sec.gov/Archives/edgar/data/912242/000091224221000014/mac-20210630x10qexhibit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2021-11-08T11:55:05Z</dcterms:created>
  <dcterms:modified xsi:type="dcterms:W3CDTF">2021-11-08T11:55:05Z</dcterms:modified>
</cp:coreProperties>
</file>