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238125</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 10-K</w:t>
      </w:r>
    </w:p>
    <w:p>
      <w:pPr>
        <w:spacing w:after="0" w:line="104" w:lineRule="exact"/>
        <w:rPr>
          <w:sz w:val="24"/>
          <w:szCs w:val="24"/>
          <w:color w:val="auto"/>
        </w:rPr>
      </w:pPr>
    </w:p>
    <w:p>
      <w:pPr>
        <w:ind w:left="3360" w:hanging="113"/>
        <w:spacing w:after="0"/>
        <w:tabs>
          <w:tab w:leader="none" w:pos="3360" w:val="left"/>
        </w:tabs>
        <w:numPr>
          <w:ilvl w:val="0"/>
          <w:numId w:val="1"/>
        </w:numPr>
        <w:rPr>
          <w:rFonts w:ascii="MS PGothic" w:cs="MS PGothic" w:eastAsia="MS PGothic" w:hAnsi="MS PGothic"/>
          <w:sz w:val="8"/>
          <w:szCs w:val="8"/>
          <w:color w:val="auto"/>
          <w:highlight w:val="black"/>
        </w:rPr>
      </w:pPr>
      <w:r>
        <w:rPr>
          <w:rFonts w:ascii="Arial" w:cs="Arial" w:eastAsia="Arial" w:hAnsi="Arial"/>
          <w:sz w:val="8"/>
          <w:szCs w:val="8"/>
          <w:b w:val="1"/>
          <w:bCs w:val="1"/>
          <w:color w:val="auto"/>
        </w:rPr>
        <w:t>ANNUAL REPORT PURSUANT TO SECTION 13 OR 15(d) OF THE SECURITIES EXCHANGE ACT OF 1934</w:t>
      </w:r>
    </w:p>
    <w:p>
      <w:pPr>
        <w:spacing w:after="0" w:line="304" w:lineRule="exact"/>
        <w:rPr>
          <w:sz w:val="24"/>
          <w:szCs w:val="24"/>
          <w:color w:val="auto"/>
        </w:rPr>
      </w:pPr>
    </w:p>
    <w:p>
      <w:pPr>
        <w:ind w:left="4260" w:right="3160" w:hanging="1114"/>
        <w:spacing w:after="0" w:line="299" w:lineRule="auto"/>
        <w:tabs>
          <w:tab w:leader="none" w:pos="3251" w:val="left"/>
        </w:tabs>
        <w:numPr>
          <w:ilvl w:val="0"/>
          <w:numId w:val="2"/>
        </w:numPr>
        <w:rPr>
          <w:rFonts w:ascii="MS PGothic" w:cs="MS PGothic" w:eastAsia="MS PGothic" w:hAnsi="MS PGothic"/>
          <w:sz w:val="10"/>
          <w:szCs w:val="10"/>
          <w:color w:val="auto"/>
          <w:highlight w:val="black"/>
        </w:rPr>
      </w:pPr>
      <w:r>
        <w:rPr>
          <w:rFonts w:ascii="Arial" w:cs="Arial" w:eastAsia="Arial" w:hAnsi="Arial"/>
          <w:sz w:val="10"/>
          <w:szCs w:val="10"/>
          <w:b w:val="1"/>
          <w:bCs w:val="1"/>
          <w:color w:val="auto"/>
        </w:rPr>
        <w:t>TRANSITION REPORT PURSUANT TO SECTION 13 OR 15(d) OF THE SECURITIES EXCHANGE ACT OF 1934 FOR THE TRANSITION PERIOD FROM ________ TO ________</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Commission File No. 1-12504</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THE MACERICH COMPANY</w:t>
      </w:r>
    </w:p>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10"/>
          <w:szCs w:val="10"/>
          <w:color w:val="auto"/>
        </w:rPr>
        <w:t>(Exact name of registrant as specified in its charter)</w:t>
      </w:r>
    </w:p>
    <w:p>
      <w:pPr>
        <w:sectPr>
          <w:pgSz w:w="11900" w:h="16838" w:orient="portrait"/>
          <w:cols w:equalWidth="0" w:num="1">
            <w:col w:w="11300"/>
          </w:cols>
          <w:pgMar w:left="300" w:top="203" w:right="299" w:bottom="1440" w:gutter="0" w:footer="0" w:header="0"/>
        </w:sectPr>
      </w:pPr>
    </w:p>
    <w:p>
      <w:pPr>
        <w:spacing w:after="0" w:line="18" w:lineRule="exact"/>
        <w:rPr>
          <w:sz w:val="24"/>
          <w:szCs w:val="24"/>
          <w:color w:val="auto"/>
        </w:rPr>
      </w:pPr>
    </w:p>
    <w:p>
      <w:pPr>
        <w:jc w:val="center"/>
        <w:ind w:right="1240"/>
        <w:spacing w:after="0"/>
        <w:rPr>
          <w:sz w:val="20"/>
          <w:szCs w:val="20"/>
          <w:color w:val="auto"/>
        </w:rPr>
      </w:pPr>
      <w:r>
        <w:rPr>
          <w:rFonts w:ascii="Arial" w:cs="Arial" w:eastAsia="Arial" w:hAnsi="Arial"/>
          <w:sz w:val="10"/>
          <w:szCs w:val="10"/>
          <w:b w:val="1"/>
          <w:bCs w:val="1"/>
          <w:color w:val="auto"/>
        </w:rPr>
        <w:t>Maryland</w:t>
      </w:r>
    </w:p>
    <w:p>
      <w:pPr>
        <w:spacing w:after="0" w:line="13" w:lineRule="exact"/>
        <w:rPr>
          <w:sz w:val="24"/>
          <w:szCs w:val="24"/>
          <w:color w:val="auto"/>
        </w:rPr>
      </w:pPr>
    </w:p>
    <w:p>
      <w:pPr>
        <w:jc w:val="center"/>
        <w:ind w:right="1240"/>
        <w:spacing w:after="0"/>
        <w:rPr>
          <w:sz w:val="20"/>
          <w:szCs w:val="20"/>
          <w:color w:val="auto"/>
        </w:rPr>
      </w:pPr>
      <w:r>
        <w:rPr>
          <w:rFonts w:ascii="Arial" w:cs="Arial" w:eastAsia="Arial" w:hAnsi="Arial"/>
          <w:sz w:val="8"/>
          <w:szCs w:val="8"/>
          <w:color w:val="auto"/>
        </w:rPr>
        <w:t>(State or other jurisdiction of</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0"/>
          <w:szCs w:val="10"/>
          <w:b w:val="1"/>
          <w:bCs w:val="1"/>
          <w:color w:val="auto"/>
        </w:rPr>
        <w:t>95-4448705</w:t>
      </w:r>
    </w:p>
    <w:p>
      <w:pPr>
        <w:spacing w:after="0" w:line="13" w:lineRule="exact"/>
        <w:rPr>
          <w:sz w:val="24"/>
          <w:szCs w:val="24"/>
          <w:color w:val="auto"/>
        </w:rPr>
      </w:pPr>
    </w:p>
    <w:p>
      <w:pPr>
        <w:jc w:val="center"/>
        <w:ind w:right="2040"/>
        <w:spacing w:after="0"/>
        <w:rPr>
          <w:sz w:val="20"/>
          <w:szCs w:val="20"/>
          <w:color w:val="auto"/>
        </w:rPr>
      </w:pPr>
      <w:r>
        <w:rPr>
          <w:rFonts w:ascii="Arial" w:cs="Arial" w:eastAsia="Arial" w:hAnsi="Arial"/>
          <w:sz w:val="8"/>
          <w:szCs w:val="8"/>
          <w:color w:val="auto"/>
        </w:rPr>
        <w:t>(I.R.S. Employer Identification Number)</w:t>
      </w:r>
    </w:p>
    <w:p>
      <w:pPr>
        <w:spacing w:after="0" w:line="27" w:lineRule="exact"/>
        <w:rPr>
          <w:sz w:val="24"/>
          <w:szCs w:val="24"/>
          <w:color w:val="auto"/>
        </w:rPr>
      </w:pPr>
    </w:p>
    <w:p>
      <w:pPr>
        <w:sectPr>
          <w:pgSz w:w="11900" w:h="16838" w:orient="portrait"/>
          <w:cols w:equalWidth="0" w:num="2">
            <w:col w:w="6980" w:space="720"/>
            <w:col w:w="3600"/>
          </w:cols>
          <w:pgMar w:left="300" w:top="203" w:right="299" w:bottom="1440" w:gutter="0" w:footer="0" w:header="0"/>
          <w:type w:val="continuous"/>
        </w:sectPr>
      </w:pPr>
    </w:p>
    <w:p>
      <w:pPr>
        <w:ind w:left="2300"/>
        <w:spacing w:after="0"/>
        <w:rPr>
          <w:sz w:val="20"/>
          <w:szCs w:val="20"/>
          <w:color w:val="auto"/>
        </w:rPr>
      </w:pPr>
      <w:r>
        <w:rPr>
          <w:rFonts w:ascii="Arial" w:cs="Arial" w:eastAsia="Arial" w:hAnsi="Arial"/>
          <w:sz w:val="8"/>
          <w:szCs w:val="8"/>
          <w:color w:val="auto"/>
        </w:rPr>
        <w:t>incorporation or organization)</w:t>
      </w:r>
    </w:p>
    <w:p>
      <w:pPr>
        <w:sectPr>
          <w:pgSz w:w="11900" w:h="16838" w:orient="portrait"/>
          <w:cols w:equalWidth="0" w:num="1">
            <w:col w:w="11300"/>
          </w:cols>
          <w:pgMar w:left="300" w:top="203" w:right="299" w:bottom="1440" w:gutter="0" w:footer="0" w:header="0"/>
          <w:type w:val="continuous"/>
        </w:sectPr>
      </w:pPr>
    </w:p>
    <w:p>
      <w:pPr>
        <w:spacing w:after="0" w:line="3" w:lineRule="exact"/>
        <w:rPr>
          <w:sz w:val="24"/>
          <w:szCs w:val="24"/>
          <w:color w:val="auto"/>
        </w:rPr>
      </w:pPr>
    </w:p>
    <w:p>
      <w:pPr>
        <w:ind w:left="1740" w:right="220" w:hanging="475"/>
        <w:spacing w:after="0" w:line="262" w:lineRule="auto"/>
        <w:rPr>
          <w:sz w:val="20"/>
          <w:szCs w:val="20"/>
          <w:color w:val="auto"/>
        </w:rPr>
      </w:pPr>
      <w:r>
        <w:rPr>
          <w:rFonts w:ascii="Arial" w:cs="Arial" w:eastAsia="Arial" w:hAnsi="Arial"/>
          <w:sz w:val="10"/>
          <w:szCs w:val="10"/>
          <w:b w:val="1"/>
          <w:bCs w:val="1"/>
          <w:color w:val="auto"/>
        </w:rPr>
        <w:t>401 Wilshire Boulevard,</w:t>
      </w:r>
      <w:r>
        <w:rPr>
          <w:sz w:val="20"/>
          <w:szCs w:val="20"/>
          <w:color w:val="auto"/>
        </w:rPr>
        <w:t xml:space="preserve"> </w:t>
      </w:r>
      <w:r>
        <w:rPr>
          <w:rFonts w:ascii="Arial" w:cs="Arial" w:eastAsia="Arial" w:hAnsi="Arial"/>
          <w:sz w:val="10"/>
          <w:szCs w:val="10"/>
          <w:b w:val="1"/>
          <w:bCs w:val="1"/>
          <w:color w:val="auto"/>
        </w:rPr>
        <w:t xml:space="preserve">Suite 700, Santa Monica, </w:t>
      </w:r>
      <w:r>
        <w:rPr>
          <w:rFonts w:ascii="Arial" w:cs="Arial" w:eastAsia="Arial" w:hAnsi="Arial"/>
          <w:sz w:val="10"/>
          <w:szCs w:val="10"/>
          <w:color w:val="auto"/>
        </w:rPr>
        <w:t>(Address of principal executive office,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California</w:t>
      </w:r>
    </w:p>
    <w:p>
      <w:pPr>
        <w:spacing w:after="0" w:line="20" w:lineRule="exact"/>
        <w:rPr>
          <w:sz w:val="24"/>
          <w:szCs w:val="24"/>
          <w:color w:val="auto"/>
        </w:rPr>
      </w:pPr>
      <w:r>
        <w:rPr>
          <w:sz w:val="24"/>
          <w:szCs w:val="24"/>
          <w:color w:val="auto"/>
        </w:rPr>
        <w:br w:type="column"/>
      </w:r>
    </w:p>
    <w:p>
      <w:pPr>
        <w:jc w:val="center"/>
        <w:ind w:right="2600"/>
        <w:spacing w:after="0"/>
        <w:rPr>
          <w:sz w:val="20"/>
          <w:szCs w:val="20"/>
          <w:color w:val="auto"/>
        </w:rPr>
      </w:pPr>
      <w:r>
        <w:rPr>
          <w:rFonts w:ascii="Arial" w:cs="Arial" w:eastAsia="Arial" w:hAnsi="Arial"/>
          <w:sz w:val="10"/>
          <w:szCs w:val="10"/>
          <w:b w:val="1"/>
          <w:bCs w:val="1"/>
          <w:color w:val="auto"/>
        </w:rPr>
        <w:t>90401</w:t>
      </w:r>
    </w:p>
    <w:p>
      <w:pPr>
        <w:spacing w:after="0" w:line="13" w:lineRule="exact"/>
        <w:rPr>
          <w:sz w:val="24"/>
          <w:szCs w:val="24"/>
          <w:color w:val="auto"/>
        </w:rPr>
      </w:pPr>
    </w:p>
    <w:p>
      <w:pPr>
        <w:jc w:val="center"/>
        <w:ind w:right="2600"/>
        <w:spacing w:after="0"/>
        <w:rPr>
          <w:sz w:val="20"/>
          <w:szCs w:val="20"/>
          <w:color w:val="auto"/>
        </w:rPr>
      </w:pPr>
      <w:r>
        <w:rPr>
          <w:rFonts w:ascii="Arial" w:cs="Arial" w:eastAsia="Arial" w:hAnsi="Arial"/>
          <w:sz w:val="8"/>
          <w:szCs w:val="8"/>
          <w:color w:val="auto"/>
        </w:rPr>
        <w:t>(Zip Code)</w:t>
      </w:r>
    </w:p>
    <w:p>
      <w:pPr>
        <w:spacing w:after="0" w:line="32" w:lineRule="exact"/>
        <w:rPr>
          <w:sz w:val="24"/>
          <w:szCs w:val="24"/>
          <w:color w:val="auto"/>
        </w:rPr>
      </w:pPr>
    </w:p>
    <w:p>
      <w:pPr>
        <w:sectPr>
          <w:pgSz w:w="11900" w:h="16838" w:orient="portrait"/>
          <w:cols w:equalWidth="0" w:num="3">
            <w:col w:w="4200" w:space="720"/>
            <w:col w:w="2620" w:space="720"/>
            <w:col w:w="3040"/>
          </w:cols>
          <w:pgMar w:left="300" w:top="203" w:right="299" w:bottom="1440" w:gutter="0" w:footer="0" w:header="0"/>
          <w:type w:val="continuous"/>
        </w:sectPr>
      </w:pPr>
    </w:p>
    <w:p>
      <w:pPr>
        <w:ind w:left="5440"/>
        <w:spacing w:after="0"/>
        <w:rPr>
          <w:sz w:val="20"/>
          <w:szCs w:val="20"/>
          <w:color w:val="auto"/>
        </w:rPr>
      </w:pPr>
      <w:r>
        <w:rPr>
          <w:rFonts w:ascii="Arial" w:cs="Arial" w:eastAsia="Arial" w:hAnsi="Arial"/>
          <w:sz w:val="10"/>
          <w:szCs w:val="10"/>
          <w:b w:val="1"/>
          <w:bCs w:val="1"/>
          <w:color w:val="auto"/>
        </w:rPr>
        <w:t>(310) 394-6000</w:t>
      </w:r>
    </w:p>
    <w:p>
      <w:pPr>
        <w:spacing w:after="0" w:line="13" w:lineRule="exact"/>
        <w:rPr>
          <w:sz w:val="24"/>
          <w:szCs w:val="24"/>
          <w:color w:val="auto"/>
        </w:rPr>
      </w:pPr>
    </w:p>
    <w:p>
      <w:pPr>
        <w:ind w:left="4640"/>
        <w:spacing w:after="0"/>
        <w:rPr>
          <w:sz w:val="20"/>
          <w:szCs w:val="20"/>
          <w:color w:val="auto"/>
        </w:rPr>
      </w:pPr>
      <w:r>
        <w:rPr>
          <w:rFonts w:ascii="Arial" w:cs="Arial" w:eastAsia="Arial" w:hAnsi="Arial"/>
          <w:sz w:val="8"/>
          <w:szCs w:val="8"/>
          <w:color w:val="auto"/>
        </w:rPr>
        <w:t>(Registrant's telephone number, including area code)</w:t>
      </w:r>
    </w:p>
    <w:p>
      <w:pPr>
        <w:sectPr>
          <w:pgSz w:w="11900" w:h="16838" w:orient="portrait"/>
          <w:cols w:equalWidth="0" w:num="1">
            <w:col w:w="11300"/>
          </w:cols>
          <w:pgMar w:left="300" w:top="203" w:right="299" w:bottom="1440" w:gutter="0" w:footer="0" w:header="0"/>
          <w:type w:val="continuous"/>
        </w:sectPr>
      </w:pPr>
    </w:p>
    <w:p>
      <w:pPr>
        <w:spacing w:after="0" w:line="182" w:lineRule="exact"/>
        <w:rPr>
          <w:sz w:val="24"/>
          <w:szCs w:val="24"/>
          <w:color w:val="auto"/>
        </w:rPr>
      </w:pPr>
    </w:p>
    <w:p>
      <w:pPr>
        <w:ind w:left="280"/>
        <w:spacing w:after="0"/>
        <w:rPr>
          <w:sz w:val="20"/>
          <w:szCs w:val="20"/>
          <w:color w:val="auto"/>
        </w:rPr>
      </w:pPr>
      <w:r>
        <w:rPr>
          <w:rFonts w:ascii="Arial" w:cs="Arial" w:eastAsia="Arial" w:hAnsi="Arial"/>
          <w:sz w:val="12"/>
          <w:szCs w:val="12"/>
          <w:color w:val="auto"/>
        </w:rPr>
        <w:t>Securities registered pursuant to Section 12(b) of the Securities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3840" w:type="dxa"/>
            <w:vAlign w:val="bottom"/>
            <w:gridSpan w:val="2"/>
          </w:tcPr>
          <w:p>
            <w:pPr>
              <w:jc w:val="center"/>
              <w:ind w:left="192"/>
              <w:spacing w:after="0"/>
              <w:rPr>
                <w:sz w:val="20"/>
                <w:szCs w:val="20"/>
                <w:color w:val="auto"/>
              </w:rPr>
            </w:pPr>
            <w:r>
              <w:rPr>
                <w:rFonts w:ascii="Arial" w:cs="Arial" w:eastAsia="Arial" w:hAnsi="Arial"/>
                <w:sz w:val="10"/>
                <w:szCs w:val="10"/>
                <w:b w:val="1"/>
                <w:bCs w:val="1"/>
                <w:color w:val="auto"/>
                <w:w w:val="83"/>
              </w:rPr>
              <w:t>Title of each class</w:t>
            </w:r>
          </w:p>
        </w:tc>
        <w:tc>
          <w:tcPr>
            <w:tcW w:w="1800" w:type="dxa"/>
            <w:vAlign w:val="bottom"/>
            <w:gridSpan w:val="3"/>
          </w:tcPr>
          <w:p>
            <w:pPr>
              <w:jc w:val="center"/>
              <w:ind w:left="192"/>
              <w:spacing w:after="0"/>
              <w:rPr>
                <w:sz w:val="20"/>
                <w:szCs w:val="20"/>
                <w:color w:val="auto"/>
              </w:rPr>
            </w:pPr>
            <w:r>
              <w:rPr>
                <w:rFonts w:ascii="Arial" w:cs="Arial" w:eastAsia="Arial" w:hAnsi="Arial"/>
                <w:sz w:val="10"/>
                <w:szCs w:val="10"/>
                <w:b w:val="1"/>
                <w:bCs w:val="1"/>
                <w:color w:val="auto"/>
                <w:w w:val="86"/>
              </w:rPr>
              <w:t>Trading Symbol(s)</w:t>
            </w:r>
          </w:p>
        </w:tc>
        <w:tc>
          <w:tcPr>
            <w:tcW w:w="4880" w:type="dxa"/>
            <w:vAlign w:val="bottom"/>
          </w:tcPr>
          <w:p>
            <w:pPr>
              <w:jc w:val="center"/>
              <w:ind w:left="252"/>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14"/>
        </w:trPr>
        <w:tc>
          <w:tcPr>
            <w:tcW w:w="3780" w:type="dxa"/>
            <w:vAlign w:val="bottom"/>
            <w:tcBorders>
              <w:top w:val="single" w:sz="8" w:color="auto"/>
            </w:tcBorders>
          </w:tcPr>
          <w:p>
            <w:pPr>
              <w:jc w:val="center"/>
              <w:ind w:left="232"/>
              <w:spacing w:after="0"/>
              <w:rPr>
                <w:sz w:val="20"/>
                <w:szCs w:val="20"/>
                <w:color w:val="auto"/>
              </w:rPr>
            </w:pPr>
            <w:r>
              <w:rPr>
                <w:rFonts w:ascii="Arial" w:cs="Arial" w:eastAsia="Arial" w:hAnsi="Arial"/>
                <w:sz w:val="10"/>
                <w:szCs w:val="10"/>
                <w:color w:val="auto"/>
                <w:w w:val="86"/>
              </w:rPr>
              <w:t>Common Stock, $0.01 Par Value</w:t>
            </w:r>
          </w:p>
        </w:tc>
        <w:tc>
          <w:tcPr>
            <w:tcW w:w="60" w:type="dxa"/>
            <w:vAlign w:val="bottom"/>
          </w:tcPr>
          <w:p>
            <w:pPr>
              <w:spacing w:after="0"/>
              <w:rPr>
                <w:sz w:val="9"/>
                <w:szCs w:val="9"/>
                <w:color w:val="auto"/>
              </w:rPr>
            </w:pPr>
          </w:p>
        </w:tc>
        <w:tc>
          <w:tcPr>
            <w:tcW w:w="1300" w:type="dxa"/>
            <w:vAlign w:val="bottom"/>
            <w:tcBorders>
              <w:top w:val="single" w:sz="8" w:color="auto"/>
            </w:tcBorders>
          </w:tcPr>
          <w:p>
            <w:pPr>
              <w:jc w:val="center"/>
              <w:ind w:left="672"/>
              <w:spacing w:after="0"/>
              <w:rPr>
                <w:sz w:val="20"/>
                <w:szCs w:val="20"/>
                <w:color w:val="auto"/>
              </w:rPr>
            </w:pPr>
            <w:r>
              <w:rPr>
                <w:rFonts w:ascii="Arial" w:cs="Arial" w:eastAsia="Arial" w:hAnsi="Arial"/>
                <w:sz w:val="10"/>
                <w:szCs w:val="10"/>
                <w:color w:val="auto"/>
                <w:w w:val="98"/>
              </w:rPr>
              <w:t>MAC</w:t>
            </w: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80" w:type="dxa"/>
            <w:vAlign w:val="bottom"/>
            <w:tcBorders>
              <w:top w:val="single" w:sz="8" w:color="auto"/>
            </w:tcBorders>
          </w:tcPr>
          <w:p>
            <w:pPr>
              <w:jc w:val="center"/>
              <w:ind w:left="232"/>
              <w:spacing w:after="0"/>
              <w:rPr>
                <w:sz w:val="20"/>
                <w:szCs w:val="20"/>
                <w:color w:val="auto"/>
              </w:rPr>
            </w:pPr>
            <w:r>
              <w:rPr>
                <w:rFonts w:ascii="Arial" w:cs="Arial" w:eastAsia="Arial" w:hAnsi="Arial"/>
                <w:sz w:val="10"/>
                <w:szCs w:val="10"/>
                <w:color w:val="auto"/>
                <w:w w:val="87"/>
              </w:rPr>
              <w:t>New York Stock Exchange</w:t>
            </w:r>
          </w:p>
        </w:tc>
      </w:tr>
      <w:tr>
        <w:trPr>
          <w:trHeight w:val="267"/>
        </w:trPr>
        <w:tc>
          <w:tcPr>
            <w:tcW w:w="3840" w:type="dxa"/>
            <w:vAlign w:val="bottom"/>
            <w:gridSpan w:val="2"/>
          </w:tcPr>
          <w:p>
            <w:pPr>
              <w:ind w:left="280"/>
              <w:spacing w:after="0"/>
              <w:rPr>
                <w:sz w:val="20"/>
                <w:szCs w:val="20"/>
                <w:color w:val="auto"/>
              </w:rPr>
            </w:pPr>
            <w:r>
              <w:rPr>
                <w:rFonts w:ascii="Arial" w:cs="Arial" w:eastAsia="Arial" w:hAnsi="Arial"/>
                <w:sz w:val="10"/>
                <w:szCs w:val="10"/>
                <w:color w:val="auto"/>
              </w:rPr>
              <w:t xml:space="preserve">Securities registered pursuant to Section 12(g) of the Act: </w:t>
            </w:r>
            <w:r>
              <w:rPr>
                <w:rFonts w:ascii="Arial" w:cs="Arial" w:eastAsia="Arial" w:hAnsi="Arial"/>
                <w:sz w:val="10"/>
                <w:szCs w:val="10"/>
                <w:b w:val="1"/>
                <w:bCs w:val="1"/>
                <w:color w:val="auto"/>
              </w:rPr>
              <w:t>None</w:t>
            </w: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26"/>
        </w:trPr>
        <w:tc>
          <w:tcPr>
            <w:tcW w:w="5140" w:type="dxa"/>
            <w:vAlign w:val="bottom"/>
            <w:gridSpan w:val="3"/>
          </w:tcPr>
          <w:p>
            <w:pPr>
              <w:ind w:left="280"/>
              <w:spacing w:after="0" w:line="115" w:lineRule="exact"/>
              <w:rPr>
                <w:sz w:val="20"/>
                <w:szCs w:val="20"/>
                <w:color w:val="auto"/>
              </w:rPr>
            </w:pPr>
            <w:r>
              <w:rPr>
                <w:rFonts w:ascii="Arial" w:cs="Arial" w:eastAsia="Arial" w:hAnsi="Arial"/>
                <w:sz w:val="10"/>
                <w:szCs w:val="10"/>
                <w:color w:val="auto"/>
                <w:w w:val="88"/>
              </w:rPr>
              <w:t xml:space="preserve">Indicate by check mark if the registrant is a well-known seasoned issuer, as defined in Rule 405 of the Securities Act Yes </w:t>
            </w:r>
            <w:r>
              <w:rPr>
                <w:rFonts w:ascii="MS PGothic" w:cs="MS PGothic" w:eastAsia="MS PGothic" w:hAnsi="MS PGothic"/>
                <w:sz w:val="10"/>
                <w:szCs w:val="10"/>
                <w:color w:val="auto"/>
                <w:w w:val="88"/>
              </w:rPr>
              <w:t>☒</w:t>
            </w:r>
          </w:p>
        </w:tc>
        <w:tc>
          <w:tcPr>
            <w:tcW w:w="500" w:type="dxa"/>
            <w:vAlign w:val="bottom"/>
            <w:gridSpan w:val="2"/>
          </w:tcPr>
          <w:p>
            <w:pPr>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4880" w:type="dxa"/>
            <w:vAlign w:val="bottom"/>
          </w:tcPr>
          <w:p>
            <w:pPr>
              <w:spacing w:after="0"/>
              <w:rPr>
                <w:sz w:val="19"/>
                <w:szCs w:val="19"/>
                <w:color w:val="auto"/>
              </w:rPr>
            </w:pPr>
          </w:p>
        </w:tc>
      </w:tr>
      <w:tr>
        <w:trPr>
          <w:trHeight w:val="216"/>
        </w:trPr>
        <w:tc>
          <w:tcPr>
            <w:tcW w:w="5140" w:type="dxa"/>
            <w:vAlign w:val="bottom"/>
            <w:gridSpan w:val="3"/>
          </w:tcPr>
          <w:p>
            <w:pPr>
              <w:ind w:left="280"/>
              <w:spacing w:after="0" w:line="115" w:lineRule="exact"/>
              <w:rPr>
                <w:sz w:val="20"/>
                <w:szCs w:val="20"/>
                <w:color w:val="auto"/>
              </w:rPr>
            </w:pPr>
            <w:r>
              <w:rPr>
                <w:rFonts w:ascii="Arial" w:cs="Arial" w:eastAsia="Arial" w:hAnsi="Arial"/>
                <w:sz w:val="10"/>
                <w:szCs w:val="10"/>
                <w:color w:val="auto"/>
                <w:w w:val="87"/>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w w:val="87"/>
              </w:rPr>
              <w:t>☐</w:t>
            </w:r>
          </w:p>
        </w:tc>
        <w:tc>
          <w:tcPr>
            <w:tcW w:w="500" w:type="dxa"/>
            <w:vAlign w:val="bottom"/>
            <w:gridSpan w:val="2"/>
          </w:tcPr>
          <w:p>
            <w:pPr>
              <w:ind w:left="8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4880" w:type="dxa"/>
            <w:vAlign w:val="bottom"/>
          </w:tcPr>
          <w:p>
            <w:pPr>
              <w:spacing w:after="0"/>
              <w:rPr>
                <w:sz w:val="18"/>
                <w:szCs w:val="18"/>
                <w:color w:val="auto"/>
              </w:rPr>
            </w:pPr>
          </w:p>
        </w:tc>
      </w:tr>
    </w:tbl>
    <w:p>
      <w:pPr>
        <w:spacing w:after="0" w:line="67" w:lineRule="exact"/>
        <w:rPr>
          <w:sz w:val="24"/>
          <w:szCs w:val="24"/>
          <w:color w:val="auto"/>
        </w:rPr>
      </w:pPr>
    </w:p>
    <w:p>
      <w:pPr>
        <w:ind w:right="260" w:firstLine="297"/>
        <w:spacing w:after="0" w:line="125"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76" w:lineRule="exact"/>
        <w:rPr>
          <w:sz w:val="24"/>
          <w:szCs w:val="24"/>
          <w:color w:val="auto"/>
        </w:rPr>
      </w:pPr>
    </w:p>
    <w:p>
      <w:pPr>
        <w:ind w:right="80" w:firstLine="297"/>
        <w:spacing w:after="0" w:line="125"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ectPr>
          <w:pgSz w:w="11900" w:h="16838" w:orient="portrait"/>
          <w:cols w:equalWidth="0" w:num="1">
            <w:col w:w="11300"/>
          </w:cols>
          <w:pgMar w:left="300" w:top="203" w:right="29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color w:val="auto"/>
        </w:rPr>
        <w:t>"emerging growth company" in Rule 12b-2 of the Exchange Act:</w:t>
      </w:r>
    </w:p>
    <w:p>
      <w:pPr>
        <w:spacing w:after="0" w:line="5" w:lineRule="exact"/>
        <w:rPr>
          <w:sz w:val="24"/>
          <w:szCs w:val="24"/>
          <w:color w:val="auto"/>
        </w:rPr>
      </w:pPr>
    </w:p>
    <w:p>
      <w:pPr>
        <w:ind w:left="800"/>
        <w:spacing w:after="0" w:line="115" w:lineRule="exact"/>
        <w:tabs>
          <w:tab w:leader="none" w:pos="2440" w:val="left"/>
          <w:tab w:leader="none" w:pos="3300" w:val="left"/>
          <w:tab w:leader="none" w:pos="4640" w:val="left"/>
          <w:tab w:leader="none" w:pos="5660" w:val="left"/>
          <w:tab w:leader="none" w:pos="7340" w:val="left"/>
          <w:tab w:leader="none" w:pos="9180"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Non-Accelerated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8"/>
          <w:szCs w:val="8"/>
          <w:color w:val="auto"/>
        </w:rPr>
        <w:t>Smaller Reporting Company</w:t>
      </w:r>
    </w:p>
    <w:p>
      <w:pPr>
        <w:spacing w:after="0" w:line="28" w:lineRule="exact"/>
        <w:rPr>
          <w:sz w:val="24"/>
          <w:szCs w:val="24"/>
          <w:color w:val="auto"/>
        </w:rPr>
      </w:pPr>
    </w:p>
    <w:p>
      <w:pPr>
        <w:ind w:left="9220"/>
        <w:spacing w:after="0"/>
        <w:rPr>
          <w:sz w:val="20"/>
          <w:szCs w:val="20"/>
          <w:color w:val="auto"/>
        </w:rPr>
      </w:pPr>
      <w:r>
        <w:rPr>
          <w:rFonts w:ascii="Arial" w:cs="Arial" w:eastAsia="Arial" w:hAnsi="Arial"/>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57" w:lineRule="exact"/>
        <w:rPr>
          <w:sz w:val="24"/>
          <w:szCs w:val="24"/>
          <w:color w:val="auto"/>
        </w:rPr>
      </w:pPr>
    </w:p>
    <w:p>
      <w:pPr>
        <w:sectPr>
          <w:pgSz w:w="11900" w:h="16838" w:orient="portrait"/>
          <w:cols w:equalWidth="0" w:num="2">
            <w:col w:w="10300" w:space="320"/>
            <w:col w:w="680"/>
          </w:cols>
          <w:pgMar w:left="300" w:top="203" w:right="299" w:bottom="1440" w:gutter="0" w:footer="0" w:header="0"/>
          <w:type w:val="continuous"/>
        </w:sectPr>
      </w:pPr>
    </w:p>
    <w:p>
      <w:pPr>
        <w:ind w:left="280"/>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0"/>
          <w:szCs w:val="10"/>
          <w:color w:val="auto"/>
        </w:rPr>
        <w:t>☐</w:t>
      </w:r>
    </w:p>
    <w:p>
      <w:pPr>
        <w:spacing w:after="0" w:line="101" w:lineRule="exact"/>
        <w:rPr>
          <w:sz w:val="24"/>
          <w:szCs w:val="24"/>
          <w:color w:val="auto"/>
        </w:rPr>
      </w:pPr>
    </w:p>
    <w:p>
      <w:pPr>
        <w:ind w:firstLine="297"/>
        <w:spacing w:after="0" w:line="125"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67" w:lineRule="exact"/>
        <w:rPr>
          <w:sz w:val="24"/>
          <w:szCs w:val="24"/>
          <w:color w:val="auto"/>
        </w:rPr>
      </w:pPr>
    </w:p>
    <w:p>
      <w:pPr>
        <w:ind w:left="280"/>
        <w:spacing w:after="0" w:line="92" w:lineRule="exact"/>
        <w:tabs>
          <w:tab w:leader="none" w:pos="5000" w:val="left"/>
        </w:tabs>
        <w:rPr>
          <w:sz w:val="20"/>
          <w:szCs w:val="20"/>
          <w:color w:val="auto"/>
        </w:rPr>
      </w:pPr>
      <w:r>
        <w:rPr>
          <w:rFonts w:ascii="Arial" w:cs="Arial" w:eastAsia="Arial" w:hAnsi="Arial"/>
          <w:sz w:val="8"/>
          <w:szCs w:val="8"/>
          <w:color w:val="auto"/>
        </w:rPr>
        <w:t xml:space="preserve">Indicate by check mark whether the registrant is a shell company (as defined in Rule 12b-2 of the Exchange Act). Yes </w:t>
      </w:r>
      <w:r>
        <w:rPr>
          <w:rFonts w:ascii="MS PGothic" w:cs="MS PGothic" w:eastAsia="MS PGothic" w:hAnsi="MS PGothic"/>
          <w:sz w:val="8"/>
          <w:szCs w:val="8"/>
          <w:color w:val="auto"/>
        </w:rPr>
        <w:t>☐</w:t>
      </w:r>
      <w:r>
        <w:rPr>
          <w:rFonts w:ascii="Arial" w:cs="Arial" w:eastAsia="Arial" w:hAnsi="Arial"/>
          <w:sz w:val="8"/>
          <w:szCs w:val="8"/>
          <w:color w:val="auto"/>
        </w:rPr>
        <w:tab/>
        <w:t xml:space="preserve">No </w:t>
      </w:r>
      <w:r>
        <w:rPr>
          <w:rFonts w:ascii="MS PGothic" w:cs="MS PGothic" w:eastAsia="MS PGothic" w:hAnsi="MS PGothic"/>
          <w:sz w:val="8"/>
          <w:szCs w:val="8"/>
          <w:color w:val="auto"/>
        </w:rPr>
        <w:t>☒</w:t>
      </w:r>
    </w:p>
    <w:p>
      <w:pPr>
        <w:spacing w:after="0" w:line="133" w:lineRule="exact"/>
        <w:rPr>
          <w:sz w:val="24"/>
          <w:szCs w:val="24"/>
          <w:color w:val="auto"/>
        </w:rPr>
      </w:pPr>
    </w:p>
    <w:p>
      <w:pPr>
        <w:ind w:right="100" w:firstLine="297"/>
        <w:spacing w:after="0" w:line="239" w:lineRule="auto"/>
        <w:rPr>
          <w:sz w:val="20"/>
          <w:szCs w:val="20"/>
          <w:color w:val="auto"/>
        </w:rPr>
      </w:pPr>
      <w:r>
        <w:rPr>
          <w:rFonts w:ascii="Arial" w:cs="Arial" w:eastAsia="Arial" w:hAnsi="Arial"/>
          <w:sz w:val="10"/>
          <w:szCs w:val="10"/>
          <w:color w:val="auto"/>
        </w:rPr>
        <w:t>The aggregate market value of voting and non-voting common equity held by non-affiliates of the registrant was approximately $3.8 billion as of the last business day of the registrant's most recently completed second fiscal quarter based upon the price at which the common stock was last sold on that day.</w:t>
      </w:r>
    </w:p>
    <w:p>
      <w:pPr>
        <w:spacing w:after="0" w:line="77" w:lineRule="exact"/>
        <w:rPr>
          <w:sz w:val="24"/>
          <w:szCs w:val="24"/>
          <w:color w:val="auto"/>
        </w:rPr>
      </w:pPr>
    </w:p>
    <w:p>
      <w:pPr>
        <w:ind w:left="280"/>
        <w:spacing w:after="0"/>
        <w:rPr>
          <w:sz w:val="20"/>
          <w:szCs w:val="20"/>
          <w:color w:val="auto"/>
        </w:rPr>
      </w:pPr>
      <w:r>
        <w:rPr>
          <w:rFonts w:ascii="Arial" w:cs="Arial" w:eastAsia="Arial" w:hAnsi="Arial"/>
          <w:sz w:val="10"/>
          <w:szCs w:val="10"/>
          <w:color w:val="auto"/>
        </w:rPr>
        <w:t>Number of shares outstanding of the registrant's common stock, as of February 24, 2022: 214,519,464 shares</w:t>
      </w:r>
    </w:p>
    <w:p>
      <w:pPr>
        <w:spacing w:after="0" w:line="90" w:lineRule="exact"/>
        <w:rPr>
          <w:sz w:val="24"/>
          <w:szCs w:val="24"/>
          <w:color w:val="auto"/>
        </w:rPr>
      </w:pPr>
    </w:p>
    <w:p>
      <w:pPr>
        <w:ind w:left="4540"/>
        <w:spacing w:after="0"/>
        <w:rPr>
          <w:sz w:val="20"/>
          <w:szCs w:val="20"/>
          <w:color w:val="auto"/>
        </w:rPr>
      </w:pPr>
      <w:r>
        <w:rPr>
          <w:rFonts w:ascii="Arial" w:cs="Arial" w:eastAsia="Arial" w:hAnsi="Arial"/>
          <w:sz w:val="10"/>
          <w:szCs w:val="10"/>
          <w:b w:val="1"/>
          <w:bCs w:val="1"/>
          <w:color w:val="auto"/>
        </w:rPr>
        <w:t>DOCUMENTS INCORPORATED BY REFERENCE</w:t>
      </w:r>
    </w:p>
    <w:p>
      <w:pPr>
        <w:spacing w:after="0" w:line="94" w:lineRule="exact"/>
        <w:rPr>
          <w:sz w:val="24"/>
          <w:szCs w:val="24"/>
          <w:color w:val="auto"/>
        </w:rPr>
      </w:pPr>
    </w:p>
    <w:p>
      <w:pPr>
        <w:ind w:left="280"/>
        <w:spacing w:after="0"/>
        <w:rPr>
          <w:sz w:val="20"/>
          <w:szCs w:val="20"/>
          <w:color w:val="auto"/>
        </w:rPr>
      </w:pPr>
      <w:r>
        <w:rPr>
          <w:rFonts w:ascii="Arial" w:cs="Arial" w:eastAsia="Arial" w:hAnsi="Arial"/>
          <w:sz w:val="10"/>
          <w:szCs w:val="10"/>
          <w:color w:val="auto"/>
        </w:rPr>
        <w:t>Portions of the proxy statement for the annual stockholders meeting to be held in 2022 are incorporated by reference into Part III of this Form 10-K.</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40" w:type="dxa"/>
            <w:vAlign w:val="bottom"/>
            <w:gridSpan w:val="5"/>
          </w:tcPr>
          <w:p>
            <w:pPr>
              <w:jc w:val="center"/>
              <w:ind w:right="3880"/>
              <w:spacing w:after="0"/>
              <w:rPr>
                <w:sz w:val="20"/>
                <w:szCs w:val="20"/>
                <w:color w:val="auto"/>
              </w:rPr>
            </w:pPr>
            <w:r>
              <w:rPr>
                <w:rFonts w:ascii="Arial" w:cs="Arial" w:eastAsia="Arial" w:hAnsi="Arial"/>
                <w:sz w:val="12"/>
                <w:szCs w:val="12"/>
                <w:b w:val="1"/>
                <w:bCs w:val="1"/>
                <w:color w:val="auto"/>
              </w:rPr>
              <w:t>THE MACERICH COMPANY</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40" w:type="dxa"/>
            <w:vAlign w:val="bottom"/>
            <w:gridSpan w:val="5"/>
          </w:tcPr>
          <w:p>
            <w:pPr>
              <w:jc w:val="center"/>
              <w:ind w:right="3880"/>
              <w:spacing w:after="0"/>
              <w:rPr>
                <w:sz w:val="20"/>
                <w:szCs w:val="20"/>
                <w:color w:val="auto"/>
              </w:rPr>
            </w:pPr>
            <w:r>
              <w:rPr>
                <w:rFonts w:ascii="Arial" w:cs="Arial" w:eastAsia="Arial" w:hAnsi="Arial"/>
                <w:sz w:val="12"/>
                <w:szCs w:val="12"/>
                <w:b w:val="1"/>
                <w:bCs w:val="1"/>
                <w:color w:val="auto"/>
                <w:w w:val="99"/>
              </w:rPr>
              <w:t>ANNUAL REPORT ON FORM 10-K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0" w:type="dxa"/>
            <w:vAlign w:val="bottom"/>
            <w:gridSpan w:val="6"/>
          </w:tcPr>
          <w:p>
            <w:pPr>
              <w:jc w:val="center"/>
              <w:ind w:right="3520"/>
              <w:spacing w:after="0"/>
              <w:rPr>
                <w:sz w:val="20"/>
                <w:szCs w:val="20"/>
                <w:color w:val="auto"/>
              </w:rPr>
            </w:pPr>
            <w:r>
              <w:rPr>
                <w:rFonts w:ascii="Arial" w:cs="Arial" w:eastAsia="Arial" w:hAnsi="Arial"/>
                <w:sz w:val="12"/>
                <w:szCs w:val="12"/>
                <w:b w:val="1"/>
                <w:bCs w:val="1"/>
                <w:color w:val="auto"/>
                <w:w w:val="98"/>
              </w:rPr>
              <w:t>FOR THE YEAR ENDED DECEMBER 31, 2021</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60" w:type="dxa"/>
            <w:vAlign w:val="bottom"/>
            <w:gridSpan w:val="4"/>
          </w:tcPr>
          <w:p>
            <w:pPr>
              <w:jc w:val="center"/>
              <w:ind w:right="4240"/>
              <w:spacing w:after="0"/>
              <w:rPr>
                <w:sz w:val="20"/>
                <w:szCs w:val="20"/>
                <w:color w:val="auto"/>
              </w:rPr>
            </w:pPr>
            <w:r>
              <w:rPr>
                <w:rFonts w:ascii="Arial" w:cs="Arial" w:eastAsia="Arial" w:hAnsi="Arial"/>
                <w:sz w:val="12"/>
                <w:szCs w:val="12"/>
                <w:b w:val="1"/>
                <w:bCs w:val="1"/>
                <w:color w:val="auto"/>
              </w:rPr>
              <w:t>INDEX</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gridSpan w:val="4"/>
          </w:tcPr>
          <w:p>
            <w:pPr>
              <w:ind w:left="300"/>
              <w:spacing w:after="0"/>
              <w:rPr>
                <w:sz w:val="20"/>
                <w:szCs w:val="20"/>
                <w:color w:val="auto"/>
              </w:rPr>
            </w:pPr>
            <w:r>
              <w:rPr>
                <w:rFonts w:ascii="Arial" w:cs="Arial" w:eastAsia="Arial" w:hAnsi="Arial"/>
                <w:sz w:val="10"/>
                <w:szCs w:val="10"/>
                <w:b w:val="1"/>
                <w:bCs w:val="1"/>
                <w:color w:val="auto"/>
              </w:rPr>
              <w:t>Page</w:t>
            </w:r>
          </w:p>
        </w:tc>
      </w:tr>
      <w:tr>
        <w:trPr>
          <w:trHeight w:val="114"/>
        </w:trPr>
        <w:tc>
          <w:tcPr>
            <w:tcW w:w="20" w:type="dxa"/>
            <w:vAlign w:val="bottom"/>
          </w:tcPr>
          <w:p>
            <w:pPr>
              <w:spacing w:after="0"/>
              <w:rPr>
                <w:sz w:val="9"/>
                <w:szCs w:val="9"/>
                <w:color w:val="auto"/>
              </w:rPr>
            </w:pPr>
          </w:p>
        </w:tc>
        <w:tc>
          <w:tcPr>
            <w:tcW w:w="340" w:type="dxa"/>
            <w:vAlign w:val="bottom"/>
            <w:tcBorders>
              <w:bottom w:val="single" w:sz="8" w:color="0000FF"/>
            </w:tcBorders>
          </w:tcPr>
          <w:p>
            <w:pPr>
              <w:spacing w:after="0" w:line="114" w:lineRule="exact"/>
              <w:rPr>
                <w:rFonts w:ascii="Arial" w:cs="Arial" w:eastAsia="Arial" w:hAnsi="Arial"/>
                <w:sz w:val="12"/>
                <w:szCs w:val="12"/>
                <w:b w:val="1"/>
                <w:bCs w:val="1"/>
                <w:color w:val="0000FF"/>
                <w:w w:val="99"/>
              </w:rPr>
            </w:pPr>
            <w:hyperlink w:anchor="page2">
              <w:r>
                <w:rPr>
                  <w:rFonts w:ascii="Arial" w:cs="Arial" w:eastAsia="Arial" w:hAnsi="Arial"/>
                  <w:sz w:val="12"/>
                  <w:szCs w:val="12"/>
                  <w:b w:val="1"/>
                  <w:bCs w:val="1"/>
                  <w:color w:val="0000FF"/>
                  <w:w w:val="99"/>
                </w:rPr>
                <w:t>Part I</w:t>
              </w:r>
            </w:hyperlink>
          </w:p>
        </w:tc>
        <w:tc>
          <w:tcPr>
            <w:tcW w:w="1040" w:type="dxa"/>
            <w:vAlign w:val="bottom"/>
            <w:gridSpan w:val="5"/>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rFonts w:ascii="Arial" w:cs="Arial" w:eastAsia="Arial" w:hAnsi="Arial"/>
                <w:sz w:val="12"/>
                <w:szCs w:val="12"/>
                <w:color w:val="0000FF"/>
                <w:w w:val="81"/>
              </w:rPr>
            </w:pPr>
            <w:hyperlink w:anchor="page3">
              <w:r>
                <w:rPr>
                  <w:rFonts w:ascii="Arial" w:cs="Arial" w:eastAsia="Arial" w:hAnsi="Arial"/>
                  <w:sz w:val="12"/>
                  <w:szCs w:val="12"/>
                  <w:color w:val="0000FF"/>
                  <w:w w:val="81"/>
                </w:rPr>
                <w:t>Item 1.</w:t>
              </w:r>
            </w:hyperlink>
          </w:p>
        </w:tc>
        <w:tc>
          <w:tcPr>
            <w:tcW w:w="1040" w:type="dxa"/>
            <w:vAlign w:val="bottom"/>
            <w:gridSpan w:val="5"/>
          </w:tcPr>
          <w:p>
            <w:pPr>
              <w:spacing w:after="0"/>
              <w:rPr>
                <w:sz w:val="12"/>
                <w:szCs w:val="12"/>
                <w:color w:val="auto"/>
              </w:rPr>
            </w:pPr>
          </w:p>
        </w:tc>
        <w:tc>
          <w:tcPr>
            <w:tcW w:w="9100" w:type="dxa"/>
            <w:vAlign w:val="bottom"/>
            <w:gridSpan w:val="19"/>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Business</w:t>
              </w:r>
            </w:hyperlink>
          </w:p>
        </w:tc>
        <w:tc>
          <w:tcPr>
            <w:tcW w:w="780" w:type="dxa"/>
            <w:vAlign w:val="bottom"/>
            <w:gridSpan w:val="3"/>
          </w:tcPr>
          <w:p>
            <w:pPr>
              <w:jc w:val="right"/>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3</w:t>
              </w:r>
            </w:hyperlink>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gridSpan w:val="4"/>
          </w:tcPr>
          <w:p>
            <w:pPr>
              <w:spacing w:after="0" w:line="133" w:lineRule="exact"/>
              <w:rPr>
                <w:rFonts w:ascii="Arial" w:cs="Arial" w:eastAsia="Arial" w:hAnsi="Arial"/>
                <w:sz w:val="12"/>
                <w:szCs w:val="12"/>
                <w:color w:val="0000FF"/>
                <w:w w:val="98"/>
              </w:rPr>
            </w:pPr>
            <w:hyperlink w:anchor="page15">
              <w:r>
                <w:rPr>
                  <w:rFonts w:ascii="Arial" w:cs="Arial" w:eastAsia="Arial" w:hAnsi="Arial"/>
                  <w:sz w:val="12"/>
                  <w:szCs w:val="12"/>
                  <w:color w:val="0000FF"/>
                  <w:w w:val="98"/>
                </w:rPr>
                <w:t>Item 1A.</w:t>
              </w:r>
            </w:hyperlink>
          </w:p>
        </w:tc>
        <w:tc>
          <w:tcPr>
            <w:tcW w:w="920" w:type="dxa"/>
            <w:vAlign w:val="bottom"/>
            <w:gridSpan w:val="2"/>
          </w:tcPr>
          <w:p>
            <w:pPr>
              <w:spacing w:after="0"/>
              <w:rPr>
                <w:sz w:val="11"/>
                <w:szCs w:val="11"/>
                <w:color w:val="auto"/>
              </w:rPr>
            </w:pPr>
          </w:p>
        </w:tc>
        <w:tc>
          <w:tcPr>
            <w:tcW w:w="9100" w:type="dxa"/>
            <w:vAlign w:val="bottom"/>
            <w:gridSpan w:val="19"/>
          </w:tcPr>
          <w:p>
            <w:pPr>
              <w:spacing w:after="0" w:line="133" w:lineRule="exact"/>
              <w:rPr>
                <w:rFonts w:ascii="Arial" w:cs="Arial" w:eastAsia="Arial" w:hAnsi="Arial"/>
                <w:sz w:val="12"/>
                <w:szCs w:val="12"/>
                <w:color w:val="0000FF"/>
              </w:rPr>
            </w:pPr>
            <w:hyperlink w:anchor="page15">
              <w:r>
                <w:rPr>
                  <w:rFonts w:ascii="Arial" w:cs="Arial" w:eastAsia="Arial" w:hAnsi="Arial"/>
                  <w:sz w:val="12"/>
                  <w:szCs w:val="12"/>
                  <w:color w:val="0000FF"/>
                </w:rPr>
                <w:t>Risk Factors</w:t>
              </w:r>
            </w:hyperlink>
          </w:p>
        </w:tc>
        <w:tc>
          <w:tcPr>
            <w:tcW w:w="780" w:type="dxa"/>
            <w:vAlign w:val="bottom"/>
            <w:gridSpan w:val="3"/>
          </w:tcPr>
          <w:p>
            <w:pPr>
              <w:jc w:val="right"/>
              <w:spacing w:after="0" w:line="133" w:lineRule="exact"/>
              <w:rPr>
                <w:rFonts w:ascii="Arial" w:cs="Arial" w:eastAsia="Arial" w:hAnsi="Arial"/>
                <w:sz w:val="12"/>
                <w:szCs w:val="12"/>
                <w:color w:val="0000FF"/>
              </w:rPr>
            </w:pPr>
            <w:hyperlink w:anchor="page15">
              <w:r>
                <w:rPr>
                  <w:rFonts w:ascii="Arial" w:cs="Arial" w:eastAsia="Arial" w:hAnsi="Arial"/>
                  <w:sz w:val="12"/>
                  <w:szCs w:val="12"/>
                  <w:color w:val="0000FF"/>
                </w:rPr>
                <w:t>15</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5"/>
              </w:rPr>
            </w:pPr>
            <w:hyperlink w:anchor="page28">
              <w:r>
                <w:rPr>
                  <w:rFonts w:ascii="Arial" w:cs="Arial" w:eastAsia="Arial" w:hAnsi="Arial"/>
                  <w:sz w:val="12"/>
                  <w:szCs w:val="12"/>
                  <w:color w:val="0000FF"/>
                  <w:w w:val="75"/>
                </w:rPr>
                <w:t>Item 1B.</w:t>
              </w:r>
            </w:hyperlink>
          </w:p>
        </w:tc>
        <w:tc>
          <w:tcPr>
            <w:tcW w:w="8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9100" w:type="dxa"/>
            <w:vAlign w:val="bottom"/>
            <w:gridSpan w:val="19"/>
          </w:tcPr>
          <w:p>
            <w:pPr>
              <w:spacing w:after="0" w:line="133" w:lineRule="exact"/>
              <w:rPr>
                <w:rFonts w:ascii="Arial" w:cs="Arial" w:eastAsia="Arial" w:hAnsi="Arial"/>
                <w:sz w:val="12"/>
                <w:szCs w:val="12"/>
                <w:color w:val="0000FF"/>
              </w:rPr>
            </w:pPr>
            <w:hyperlink w:anchor="page28">
              <w:r>
                <w:rPr>
                  <w:rFonts w:ascii="Arial" w:cs="Arial" w:eastAsia="Arial" w:hAnsi="Arial"/>
                  <w:sz w:val="12"/>
                  <w:szCs w:val="12"/>
                  <w:color w:val="0000FF"/>
                </w:rPr>
                <w:t>Unresolved Staff Comments</w:t>
              </w:r>
            </w:hyperlink>
          </w:p>
        </w:tc>
        <w:tc>
          <w:tcPr>
            <w:tcW w:w="780" w:type="dxa"/>
            <w:vAlign w:val="bottom"/>
            <w:gridSpan w:val="3"/>
          </w:tcPr>
          <w:p>
            <w:pPr>
              <w:jc w:val="right"/>
              <w:spacing w:after="0" w:line="133" w:lineRule="exact"/>
              <w:rPr>
                <w:rFonts w:ascii="Arial" w:cs="Arial" w:eastAsia="Arial" w:hAnsi="Arial"/>
                <w:sz w:val="12"/>
                <w:szCs w:val="12"/>
                <w:color w:val="0000FF"/>
              </w:rPr>
            </w:pPr>
            <w:hyperlink w:anchor="page28">
              <w:r>
                <w:rPr>
                  <w:rFonts w:ascii="Arial" w:cs="Arial" w:eastAsia="Arial" w:hAnsi="Arial"/>
                  <w:sz w:val="12"/>
                  <w:szCs w:val="12"/>
                  <w:color w:val="0000FF"/>
                </w:rPr>
                <w:t>28</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33" w:lineRule="exact"/>
              <w:rPr>
                <w:rFonts w:ascii="Arial" w:cs="Arial" w:eastAsia="Arial" w:hAnsi="Arial"/>
                <w:sz w:val="12"/>
                <w:szCs w:val="12"/>
                <w:color w:val="0000FF"/>
                <w:w w:val="81"/>
              </w:rPr>
            </w:pPr>
            <w:hyperlink w:anchor="page28">
              <w:r>
                <w:rPr>
                  <w:rFonts w:ascii="Arial" w:cs="Arial" w:eastAsia="Arial" w:hAnsi="Arial"/>
                  <w:sz w:val="12"/>
                  <w:szCs w:val="12"/>
                  <w:color w:val="0000FF"/>
                  <w:w w:val="81"/>
                </w:rPr>
                <w:t>Item 2.</w:t>
              </w:r>
            </w:hyperlink>
          </w:p>
        </w:tc>
        <w:tc>
          <w:tcPr>
            <w:tcW w:w="40" w:type="dxa"/>
            <w:vAlign w:val="bottom"/>
            <w:gridSpan w:val="2"/>
          </w:tcPr>
          <w:p>
            <w:pPr>
              <w:spacing w:after="0"/>
              <w:rPr>
                <w:sz w:val="11"/>
                <w:szCs w:val="11"/>
                <w:color w:val="auto"/>
              </w:rPr>
            </w:pPr>
          </w:p>
        </w:tc>
        <w:tc>
          <w:tcPr>
            <w:tcW w:w="1000" w:type="dxa"/>
            <w:vAlign w:val="bottom"/>
            <w:gridSpan w:val="3"/>
          </w:tcPr>
          <w:p>
            <w:pPr>
              <w:spacing w:after="0"/>
              <w:rPr>
                <w:sz w:val="11"/>
                <w:szCs w:val="11"/>
                <w:color w:val="auto"/>
              </w:rPr>
            </w:pPr>
          </w:p>
        </w:tc>
        <w:tc>
          <w:tcPr>
            <w:tcW w:w="1360" w:type="dxa"/>
            <w:vAlign w:val="bottom"/>
            <w:gridSpan w:val="8"/>
          </w:tcPr>
          <w:p>
            <w:pPr>
              <w:spacing w:after="0" w:line="133" w:lineRule="exact"/>
              <w:rPr>
                <w:rFonts w:ascii="Arial" w:cs="Arial" w:eastAsia="Arial" w:hAnsi="Arial"/>
                <w:sz w:val="12"/>
                <w:szCs w:val="12"/>
                <w:color w:val="0000FF"/>
              </w:rPr>
            </w:pPr>
            <w:hyperlink w:anchor="page28">
              <w:r>
                <w:rPr>
                  <w:rFonts w:ascii="Arial" w:cs="Arial" w:eastAsia="Arial" w:hAnsi="Arial"/>
                  <w:sz w:val="12"/>
                  <w:szCs w:val="12"/>
                  <w:color w:val="0000FF"/>
                </w:rPr>
                <w:t>Properties</w:t>
              </w:r>
            </w:hyperlink>
          </w:p>
        </w:tc>
        <w:tc>
          <w:tcPr>
            <w:tcW w:w="7740" w:type="dxa"/>
            <w:vAlign w:val="bottom"/>
            <w:gridSpan w:val="11"/>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28">
              <w:r>
                <w:rPr>
                  <w:rFonts w:ascii="Arial" w:cs="Arial" w:eastAsia="Arial" w:hAnsi="Arial"/>
                  <w:sz w:val="12"/>
                  <w:szCs w:val="12"/>
                  <w:color w:val="0000FF"/>
                </w:rPr>
                <w:t>29</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33" w:lineRule="exact"/>
              <w:rPr>
                <w:rFonts w:ascii="Arial" w:cs="Arial" w:eastAsia="Arial" w:hAnsi="Arial"/>
                <w:sz w:val="12"/>
                <w:szCs w:val="12"/>
                <w:color w:val="0000FF"/>
                <w:w w:val="81"/>
              </w:rPr>
            </w:pPr>
            <w:hyperlink w:anchor="page35">
              <w:r>
                <w:rPr>
                  <w:rFonts w:ascii="Arial" w:cs="Arial" w:eastAsia="Arial" w:hAnsi="Arial"/>
                  <w:sz w:val="12"/>
                  <w:szCs w:val="12"/>
                  <w:color w:val="0000FF"/>
                  <w:w w:val="81"/>
                </w:rPr>
                <w:t>Item 3.</w:t>
              </w:r>
            </w:hyperlink>
          </w:p>
        </w:tc>
        <w:tc>
          <w:tcPr>
            <w:tcW w:w="1040" w:type="dxa"/>
            <w:vAlign w:val="bottom"/>
            <w:gridSpan w:val="5"/>
          </w:tcPr>
          <w:p>
            <w:pPr>
              <w:spacing w:after="0"/>
              <w:rPr>
                <w:sz w:val="11"/>
                <w:szCs w:val="11"/>
                <w:color w:val="auto"/>
              </w:rPr>
            </w:pPr>
          </w:p>
        </w:tc>
        <w:tc>
          <w:tcPr>
            <w:tcW w:w="880" w:type="dxa"/>
            <w:vAlign w:val="bottom"/>
            <w:gridSpan w:val="4"/>
          </w:tcPr>
          <w:p>
            <w:pPr>
              <w:spacing w:after="0" w:line="133" w:lineRule="exact"/>
              <w:rPr>
                <w:rFonts w:ascii="Arial" w:cs="Arial" w:eastAsia="Arial" w:hAnsi="Arial"/>
                <w:sz w:val="12"/>
                <w:szCs w:val="12"/>
                <w:color w:val="0000FF"/>
                <w:w w:val="84"/>
              </w:rPr>
            </w:pPr>
            <w:hyperlink w:anchor="page35">
              <w:r>
                <w:rPr>
                  <w:rFonts w:ascii="Arial" w:cs="Arial" w:eastAsia="Arial" w:hAnsi="Arial"/>
                  <w:sz w:val="12"/>
                  <w:szCs w:val="12"/>
                  <w:color w:val="0000FF"/>
                  <w:w w:val="84"/>
                </w:rPr>
                <w:t>Legal Proceedings</w:t>
              </w:r>
            </w:hyperlink>
          </w:p>
        </w:tc>
        <w:tc>
          <w:tcPr>
            <w:tcW w:w="8220" w:type="dxa"/>
            <w:vAlign w:val="bottom"/>
            <w:gridSpan w:val="15"/>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35">
              <w:r>
                <w:rPr>
                  <w:rFonts w:ascii="Arial" w:cs="Arial" w:eastAsia="Arial" w:hAnsi="Arial"/>
                  <w:sz w:val="12"/>
                  <w:szCs w:val="12"/>
                  <w:color w:val="0000FF"/>
                </w:rPr>
                <w:t>35</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33" w:lineRule="exact"/>
              <w:rPr>
                <w:rFonts w:ascii="Arial" w:cs="Arial" w:eastAsia="Arial" w:hAnsi="Arial"/>
                <w:sz w:val="12"/>
                <w:szCs w:val="12"/>
                <w:color w:val="0000FF"/>
                <w:w w:val="81"/>
              </w:rPr>
            </w:pPr>
            <w:hyperlink w:anchor="page35">
              <w:r>
                <w:rPr>
                  <w:rFonts w:ascii="Arial" w:cs="Arial" w:eastAsia="Arial" w:hAnsi="Arial"/>
                  <w:sz w:val="12"/>
                  <w:szCs w:val="12"/>
                  <w:color w:val="0000FF"/>
                  <w:w w:val="81"/>
                </w:rPr>
                <w:t>Item 4.</w:t>
              </w:r>
            </w:hyperlink>
          </w:p>
        </w:tc>
        <w:tc>
          <w:tcPr>
            <w:tcW w:w="1040" w:type="dxa"/>
            <w:vAlign w:val="bottom"/>
            <w:gridSpan w:val="5"/>
          </w:tcPr>
          <w:p>
            <w:pPr>
              <w:spacing w:after="0"/>
              <w:rPr>
                <w:sz w:val="11"/>
                <w:szCs w:val="11"/>
                <w:color w:val="auto"/>
              </w:rPr>
            </w:pPr>
          </w:p>
        </w:tc>
        <w:tc>
          <w:tcPr>
            <w:tcW w:w="1180" w:type="dxa"/>
            <w:vAlign w:val="bottom"/>
            <w:gridSpan w:val="6"/>
          </w:tcPr>
          <w:p>
            <w:pPr>
              <w:spacing w:after="0" w:line="133" w:lineRule="exact"/>
              <w:rPr>
                <w:rFonts w:ascii="Arial" w:cs="Arial" w:eastAsia="Arial" w:hAnsi="Arial"/>
                <w:sz w:val="12"/>
                <w:szCs w:val="12"/>
                <w:color w:val="0000FF"/>
                <w:w w:val="90"/>
              </w:rPr>
            </w:pPr>
            <w:hyperlink w:anchor="page35">
              <w:r>
                <w:rPr>
                  <w:rFonts w:ascii="Arial" w:cs="Arial" w:eastAsia="Arial" w:hAnsi="Arial"/>
                  <w:sz w:val="12"/>
                  <w:szCs w:val="12"/>
                  <w:color w:val="0000FF"/>
                  <w:w w:val="90"/>
                </w:rPr>
                <w:t>Mine Safety Disclosures</w:t>
              </w:r>
            </w:hyperlink>
          </w:p>
        </w:tc>
        <w:tc>
          <w:tcPr>
            <w:tcW w:w="7920" w:type="dxa"/>
            <w:vAlign w:val="bottom"/>
            <w:gridSpan w:val="13"/>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35">
              <w:r>
                <w:rPr>
                  <w:rFonts w:ascii="Arial" w:cs="Arial" w:eastAsia="Arial" w:hAnsi="Arial"/>
                  <w:sz w:val="12"/>
                  <w:szCs w:val="12"/>
                  <w:color w:val="0000FF"/>
                </w:rPr>
                <w:t>35</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60" w:type="dxa"/>
            <w:vAlign w:val="bottom"/>
            <w:tcBorders>
              <w:bottom w:val="single" w:sz="8" w:color="0000FF"/>
            </w:tcBorders>
            <w:gridSpan w:val="2"/>
          </w:tcPr>
          <w:p>
            <w:pPr>
              <w:spacing w:after="0" w:line="133" w:lineRule="exact"/>
              <w:rPr>
                <w:rFonts w:ascii="Arial" w:cs="Arial" w:eastAsia="Arial" w:hAnsi="Arial"/>
                <w:sz w:val="12"/>
                <w:szCs w:val="12"/>
                <w:b w:val="1"/>
                <w:bCs w:val="1"/>
                <w:color w:val="0000FF"/>
              </w:rPr>
            </w:pPr>
            <w:hyperlink w:anchor="page35">
              <w:r>
                <w:rPr>
                  <w:rFonts w:ascii="Arial" w:cs="Arial" w:eastAsia="Arial" w:hAnsi="Arial"/>
                  <w:sz w:val="12"/>
                  <w:szCs w:val="12"/>
                  <w:b w:val="1"/>
                  <w:bCs w:val="1"/>
                  <w:color w:val="0000FF"/>
                </w:rPr>
                <w:t>Part II</w:t>
              </w:r>
            </w:hyperlink>
          </w:p>
        </w:tc>
        <w:tc>
          <w:tcPr>
            <w:tcW w:w="1020" w:type="dxa"/>
            <w:vAlign w:val="bottom"/>
            <w:gridSpan w:val="4"/>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33" w:lineRule="exact"/>
              <w:rPr>
                <w:rFonts w:ascii="Arial" w:cs="Arial" w:eastAsia="Arial" w:hAnsi="Arial"/>
                <w:sz w:val="12"/>
                <w:szCs w:val="12"/>
                <w:color w:val="0000FF"/>
                <w:w w:val="81"/>
              </w:rPr>
            </w:pPr>
            <w:hyperlink w:anchor="page36">
              <w:r>
                <w:rPr>
                  <w:rFonts w:ascii="Arial" w:cs="Arial" w:eastAsia="Arial" w:hAnsi="Arial"/>
                  <w:sz w:val="12"/>
                  <w:szCs w:val="12"/>
                  <w:color w:val="0000FF"/>
                  <w:w w:val="81"/>
                </w:rPr>
                <w:t>Item 5.</w:t>
              </w:r>
            </w:hyperlink>
          </w:p>
        </w:tc>
        <w:tc>
          <w:tcPr>
            <w:tcW w:w="1040" w:type="dxa"/>
            <w:vAlign w:val="bottom"/>
            <w:gridSpan w:val="5"/>
          </w:tcPr>
          <w:p>
            <w:pPr>
              <w:spacing w:after="0"/>
              <w:rPr>
                <w:sz w:val="11"/>
                <w:szCs w:val="11"/>
                <w:color w:val="auto"/>
              </w:rPr>
            </w:pPr>
          </w:p>
        </w:tc>
        <w:tc>
          <w:tcPr>
            <w:tcW w:w="9100" w:type="dxa"/>
            <w:vAlign w:val="bottom"/>
            <w:gridSpan w:val="19"/>
          </w:tcPr>
          <w:p>
            <w:pPr>
              <w:spacing w:after="0" w:line="133" w:lineRule="exact"/>
              <w:rPr>
                <w:rFonts w:ascii="Arial" w:cs="Arial" w:eastAsia="Arial" w:hAnsi="Arial"/>
                <w:sz w:val="12"/>
                <w:szCs w:val="12"/>
                <w:color w:val="0000FF"/>
              </w:rPr>
            </w:pPr>
            <w:hyperlink w:anchor="page36">
              <w:r>
                <w:rPr>
                  <w:rFonts w:ascii="Arial" w:cs="Arial" w:eastAsia="Arial" w:hAnsi="Arial"/>
                  <w:sz w:val="12"/>
                  <w:szCs w:val="12"/>
                  <w:color w:val="0000FF"/>
                </w:rPr>
                <w:t>Market for Registrant's Common Equity, Related Stockholder Matters and Issuer Purchases of Equity Securities</w:t>
              </w:r>
            </w:hyperlink>
          </w:p>
        </w:tc>
        <w:tc>
          <w:tcPr>
            <w:tcW w:w="780" w:type="dxa"/>
            <w:vAlign w:val="bottom"/>
            <w:gridSpan w:val="3"/>
          </w:tcPr>
          <w:p>
            <w:pPr>
              <w:jc w:val="right"/>
              <w:spacing w:after="0" w:line="133" w:lineRule="exact"/>
              <w:rPr>
                <w:rFonts w:ascii="Arial" w:cs="Arial" w:eastAsia="Arial" w:hAnsi="Arial"/>
                <w:sz w:val="12"/>
                <w:szCs w:val="12"/>
                <w:color w:val="0000FF"/>
              </w:rPr>
            </w:pPr>
            <w:hyperlink w:anchor="page36">
              <w:r>
                <w:rPr>
                  <w:rFonts w:ascii="Arial" w:cs="Arial" w:eastAsia="Arial" w:hAnsi="Arial"/>
                  <w:sz w:val="12"/>
                  <w:szCs w:val="12"/>
                  <w:color w:val="0000FF"/>
                </w:rPr>
                <w:t>36</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33" w:lineRule="exact"/>
              <w:rPr>
                <w:rFonts w:ascii="Arial" w:cs="Arial" w:eastAsia="Arial" w:hAnsi="Arial"/>
                <w:sz w:val="12"/>
                <w:szCs w:val="12"/>
                <w:color w:val="0000FF"/>
                <w:w w:val="81"/>
              </w:rPr>
            </w:pPr>
            <w:hyperlink w:anchor="page38">
              <w:r>
                <w:rPr>
                  <w:rFonts w:ascii="Arial" w:cs="Arial" w:eastAsia="Arial" w:hAnsi="Arial"/>
                  <w:sz w:val="12"/>
                  <w:szCs w:val="12"/>
                  <w:color w:val="0000FF"/>
                  <w:w w:val="81"/>
                </w:rPr>
                <w:t>Item 6.</w:t>
              </w:r>
            </w:hyperlink>
          </w:p>
        </w:tc>
        <w:tc>
          <w:tcPr>
            <w:tcW w:w="1040" w:type="dxa"/>
            <w:vAlign w:val="bottom"/>
            <w:gridSpan w:val="5"/>
          </w:tcPr>
          <w:p>
            <w:pPr>
              <w:spacing w:after="0"/>
              <w:rPr>
                <w:sz w:val="11"/>
                <w:szCs w:val="11"/>
                <w:color w:val="auto"/>
              </w:rPr>
            </w:pPr>
          </w:p>
        </w:tc>
        <w:tc>
          <w:tcPr>
            <w:tcW w:w="5360" w:type="dxa"/>
            <w:vAlign w:val="bottom"/>
            <w:gridSpan w:val="18"/>
          </w:tcPr>
          <w:p>
            <w:pPr>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Reserved</w:t>
              </w:r>
            </w:hyperlink>
          </w:p>
        </w:tc>
        <w:tc>
          <w:tcPr>
            <w:tcW w:w="3740" w:type="dxa"/>
            <w:vAlign w:val="bottom"/>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39</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33" w:lineRule="exact"/>
              <w:rPr>
                <w:rFonts w:ascii="Arial" w:cs="Arial" w:eastAsia="Arial" w:hAnsi="Arial"/>
                <w:sz w:val="12"/>
                <w:szCs w:val="12"/>
                <w:color w:val="0000FF"/>
                <w:w w:val="81"/>
              </w:rPr>
            </w:pPr>
            <w:hyperlink w:anchor="page39">
              <w:r>
                <w:rPr>
                  <w:rFonts w:ascii="Arial" w:cs="Arial" w:eastAsia="Arial" w:hAnsi="Arial"/>
                  <w:sz w:val="12"/>
                  <w:szCs w:val="12"/>
                  <w:color w:val="0000FF"/>
                  <w:w w:val="81"/>
                </w:rPr>
                <w:t>Item 7.</w:t>
              </w:r>
            </w:hyperlink>
          </w:p>
        </w:tc>
        <w:tc>
          <w:tcPr>
            <w:tcW w:w="1040" w:type="dxa"/>
            <w:vAlign w:val="bottom"/>
            <w:gridSpan w:val="5"/>
          </w:tcPr>
          <w:p>
            <w:pPr>
              <w:spacing w:after="0"/>
              <w:rPr>
                <w:sz w:val="11"/>
                <w:szCs w:val="11"/>
                <w:color w:val="auto"/>
              </w:rPr>
            </w:pPr>
          </w:p>
        </w:tc>
        <w:tc>
          <w:tcPr>
            <w:tcW w:w="4300" w:type="dxa"/>
            <w:vAlign w:val="bottom"/>
            <w:gridSpan w:val="16"/>
          </w:tcPr>
          <w:p>
            <w:pPr>
              <w:spacing w:after="0" w:line="133" w:lineRule="exact"/>
              <w:rPr>
                <w:rFonts w:ascii="Arial" w:cs="Arial" w:eastAsia="Arial" w:hAnsi="Arial"/>
                <w:sz w:val="12"/>
                <w:szCs w:val="12"/>
                <w:color w:val="0000FF"/>
                <w:w w:val="90"/>
              </w:rPr>
            </w:pPr>
            <w:hyperlink w:anchor="page39">
              <w:r>
                <w:rPr>
                  <w:rFonts w:ascii="Arial" w:cs="Arial" w:eastAsia="Arial" w:hAnsi="Arial"/>
                  <w:sz w:val="12"/>
                  <w:szCs w:val="12"/>
                  <w:color w:val="0000FF"/>
                  <w:w w:val="90"/>
                </w:rPr>
                <w:t>Management's Discussion and Analysis of Financial Condition and Results of Operations</w:t>
              </w:r>
            </w:hyperlink>
          </w:p>
        </w:tc>
        <w:tc>
          <w:tcPr>
            <w:tcW w:w="4800" w:type="dxa"/>
            <w:vAlign w:val="bottom"/>
            <w:gridSpan w:val="3"/>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39">
              <w:r>
                <w:rPr>
                  <w:rFonts w:ascii="Arial" w:cs="Arial" w:eastAsia="Arial" w:hAnsi="Arial"/>
                  <w:sz w:val="12"/>
                  <w:szCs w:val="12"/>
                  <w:color w:val="0000FF"/>
                </w:rPr>
                <w:t>39</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gridSpan w:val="4"/>
          </w:tcPr>
          <w:p>
            <w:pPr>
              <w:spacing w:after="0" w:line="133" w:lineRule="exact"/>
              <w:rPr>
                <w:rFonts w:ascii="Arial" w:cs="Arial" w:eastAsia="Arial" w:hAnsi="Arial"/>
                <w:sz w:val="12"/>
                <w:szCs w:val="12"/>
                <w:color w:val="0000FF"/>
                <w:w w:val="98"/>
              </w:rPr>
            </w:pPr>
            <w:hyperlink w:anchor="page57">
              <w:r>
                <w:rPr>
                  <w:rFonts w:ascii="Arial" w:cs="Arial" w:eastAsia="Arial" w:hAnsi="Arial"/>
                  <w:sz w:val="12"/>
                  <w:szCs w:val="12"/>
                  <w:color w:val="0000FF"/>
                  <w:w w:val="98"/>
                </w:rPr>
                <w:t>Item 7A.</w:t>
              </w:r>
            </w:hyperlink>
          </w:p>
        </w:tc>
        <w:tc>
          <w:tcPr>
            <w:tcW w:w="920" w:type="dxa"/>
            <w:vAlign w:val="bottom"/>
            <w:gridSpan w:val="2"/>
          </w:tcPr>
          <w:p>
            <w:pPr>
              <w:spacing w:after="0"/>
              <w:rPr>
                <w:sz w:val="11"/>
                <w:szCs w:val="11"/>
                <w:color w:val="auto"/>
              </w:rPr>
            </w:pPr>
          </w:p>
        </w:tc>
        <w:tc>
          <w:tcPr>
            <w:tcW w:w="9100" w:type="dxa"/>
            <w:vAlign w:val="bottom"/>
            <w:gridSpan w:val="19"/>
          </w:tcPr>
          <w:p>
            <w:pPr>
              <w:spacing w:after="0" w:line="133" w:lineRule="exact"/>
              <w:rPr>
                <w:rFonts w:ascii="Arial" w:cs="Arial" w:eastAsia="Arial" w:hAnsi="Arial"/>
                <w:sz w:val="12"/>
                <w:szCs w:val="12"/>
                <w:color w:val="0000FF"/>
              </w:rPr>
            </w:pPr>
            <w:hyperlink w:anchor="page57">
              <w:r>
                <w:rPr>
                  <w:rFonts w:ascii="Arial" w:cs="Arial" w:eastAsia="Arial" w:hAnsi="Arial"/>
                  <w:sz w:val="12"/>
                  <w:szCs w:val="12"/>
                  <w:color w:val="0000FF"/>
                </w:rPr>
                <w:t>Quantitative and Qualitative Disclosures About Market Risk</w:t>
              </w:r>
            </w:hyperlink>
          </w:p>
        </w:tc>
        <w:tc>
          <w:tcPr>
            <w:tcW w:w="780" w:type="dxa"/>
            <w:vAlign w:val="bottom"/>
            <w:gridSpan w:val="3"/>
          </w:tcPr>
          <w:p>
            <w:pPr>
              <w:jc w:val="right"/>
              <w:spacing w:after="0" w:line="133" w:lineRule="exact"/>
              <w:rPr>
                <w:rFonts w:ascii="Arial" w:cs="Arial" w:eastAsia="Arial" w:hAnsi="Arial"/>
                <w:sz w:val="12"/>
                <w:szCs w:val="12"/>
                <w:color w:val="0000FF"/>
              </w:rPr>
            </w:pPr>
            <w:hyperlink w:anchor="page57">
              <w:r>
                <w:rPr>
                  <w:rFonts w:ascii="Arial" w:cs="Arial" w:eastAsia="Arial" w:hAnsi="Arial"/>
                  <w:sz w:val="12"/>
                  <w:szCs w:val="12"/>
                  <w:color w:val="0000FF"/>
                </w:rPr>
                <w:t>57</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33" w:lineRule="exact"/>
              <w:rPr>
                <w:rFonts w:ascii="Arial" w:cs="Arial" w:eastAsia="Arial" w:hAnsi="Arial"/>
                <w:sz w:val="12"/>
                <w:szCs w:val="12"/>
                <w:color w:val="0000FF"/>
                <w:w w:val="81"/>
              </w:rPr>
            </w:pPr>
            <w:hyperlink w:anchor="page58">
              <w:r>
                <w:rPr>
                  <w:rFonts w:ascii="Arial" w:cs="Arial" w:eastAsia="Arial" w:hAnsi="Arial"/>
                  <w:sz w:val="12"/>
                  <w:szCs w:val="12"/>
                  <w:color w:val="0000FF"/>
                  <w:w w:val="81"/>
                </w:rPr>
                <w:t>Item 8.</w:t>
              </w:r>
            </w:hyperlink>
          </w:p>
        </w:tc>
        <w:tc>
          <w:tcPr>
            <w:tcW w:w="120" w:type="dxa"/>
            <w:vAlign w:val="bottom"/>
            <w:gridSpan w:val="3"/>
          </w:tcPr>
          <w:p>
            <w:pPr>
              <w:spacing w:after="0"/>
              <w:rPr>
                <w:sz w:val="11"/>
                <w:szCs w:val="11"/>
                <w:color w:val="auto"/>
              </w:rPr>
            </w:pPr>
          </w:p>
        </w:tc>
        <w:tc>
          <w:tcPr>
            <w:tcW w:w="920" w:type="dxa"/>
            <w:vAlign w:val="bottom"/>
            <w:gridSpan w:val="2"/>
          </w:tcPr>
          <w:p>
            <w:pPr>
              <w:spacing w:after="0"/>
              <w:rPr>
                <w:sz w:val="11"/>
                <w:szCs w:val="11"/>
                <w:color w:val="auto"/>
              </w:rPr>
            </w:pPr>
          </w:p>
        </w:tc>
        <w:tc>
          <w:tcPr>
            <w:tcW w:w="2220" w:type="dxa"/>
            <w:vAlign w:val="bottom"/>
            <w:gridSpan w:val="11"/>
          </w:tcPr>
          <w:p>
            <w:pPr>
              <w:spacing w:after="0" w:line="133" w:lineRule="exact"/>
              <w:rPr>
                <w:rFonts w:ascii="Arial" w:cs="Arial" w:eastAsia="Arial" w:hAnsi="Arial"/>
                <w:sz w:val="12"/>
                <w:szCs w:val="12"/>
                <w:color w:val="0000FF"/>
                <w:w w:val="88"/>
              </w:rPr>
            </w:pPr>
            <w:hyperlink w:anchor="page58">
              <w:r>
                <w:rPr>
                  <w:rFonts w:ascii="Arial" w:cs="Arial" w:eastAsia="Arial" w:hAnsi="Arial"/>
                  <w:sz w:val="12"/>
                  <w:szCs w:val="12"/>
                  <w:color w:val="0000FF"/>
                  <w:w w:val="88"/>
                </w:rPr>
                <w:t>Financial Statements and Supplementary Data</w:t>
              </w:r>
            </w:hyperlink>
          </w:p>
        </w:tc>
        <w:tc>
          <w:tcPr>
            <w:tcW w:w="680" w:type="dxa"/>
            <w:vAlign w:val="bottom"/>
            <w:gridSpan w:val="2"/>
          </w:tcPr>
          <w:p>
            <w:pPr>
              <w:spacing w:after="0"/>
              <w:rPr>
                <w:sz w:val="11"/>
                <w:szCs w:val="11"/>
                <w:color w:val="auto"/>
              </w:rPr>
            </w:pPr>
          </w:p>
        </w:tc>
        <w:tc>
          <w:tcPr>
            <w:tcW w:w="6200" w:type="dxa"/>
            <w:vAlign w:val="bottom"/>
            <w:gridSpan w:val="6"/>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58">
              <w:r>
                <w:rPr>
                  <w:rFonts w:ascii="Arial" w:cs="Arial" w:eastAsia="Arial" w:hAnsi="Arial"/>
                  <w:sz w:val="12"/>
                  <w:szCs w:val="12"/>
                  <w:color w:val="0000FF"/>
                </w:rPr>
                <w:t>58</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33" w:lineRule="exact"/>
              <w:rPr>
                <w:rFonts w:ascii="Arial" w:cs="Arial" w:eastAsia="Arial" w:hAnsi="Arial"/>
                <w:sz w:val="12"/>
                <w:szCs w:val="12"/>
                <w:color w:val="0000FF"/>
                <w:w w:val="81"/>
              </w:rPr>
            </w:pPr>
            <w:hyperlink w:anchor="page58">
              <w:r>
                <w:rPr>
                  <w:rFonts w:ascii="Arial" w:cs="Arial" w:eastAsia="Arial" w:hAnsi="Arial"/>
                  <w:sz w:val="12"/>
                  <w:szCs w:val="12"/>
                  <w:color w:val="0000FF"/>
                  <w:w w:val="81"/>
                </w:rPr>
                <w:t>Item 9.</w:t>
              </w:r>
            </w:hyperlink>
          </w:p>
        </w:tc>
        <w:tc>
          <w:tcPr>
            <w:tcW w:w="1040" w:type="dxa"/>
            <w:vAlign w:val="bottom"/>
            <w:gridSpan w:val="5"/>
          </w:tcPr>
          <w:p>
            <w:pPr>
              <w:spacing w:after="0"/>
              <w:rPr>
                <w:sz w:val="11"/>
                <w:szCs w:val="11"/>
                <w:color w:val="auto"/>
              </w:rPr>
            </w:pPr>
          </w:p>
        </w:tc>
        <w:tc>
          <w:tcPr>
            <w:tcW w:w="4300" w:type="dxa"/>
            <w:vAlign w:val="bottom"/>
            <w:gridSpan w:val="16"/>
          </w:tcPr>
          <w:p>
            <w:pPr>
              <w:spacing w:after="0" w:line="133" w:lineRule="exact"/>
              <w:rPr>
                <w:rFonts w:ascii="Arial" w:cs="Arial" w:eastAsia="Arial" w:hAnsi="Arial"/>
                <w:sz w:val="12"/>
                <w:szCs w:val="12"/>
                <w:color w:val="0000FF"/>
                <w:w w:val="89"/>
              </w:rPr>
            </w:pPr>
            <w:hyperlink w:anchor="page58">
              <w:r>
                <w:rPr>
                  <w:rFonts w:ascii="Arial" w:cs="Arial" w:eastAsia="Arial" w:hAnsi="Arial"/>
                  <w:sz w:val="12"/>
                  <w:szCs w:val="12"/>
                  <w:color w:val="0000FF"/>
                  <w:w w:val="89"/>
                </w:rPr>
                <w:t>Changes in and Disagreements with Accountants on Accounting and Financial Disclosure</w:t>
              </w:r>
            </w:hyperlink>
          </w:p>
        </w:tc>
        <w:tc>
          <w:tcPr>
            <w:tcW w:w="4800" w:type="dxa"/>
            <w:vAlign w:val="bottom"/>
            <w:gridSpan w:val="3"/>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58">
              <w:r>
                <w:rPr>
                  <w:rFonts w:ascii="Arial" w:cs="Arial" w:eastAsia="Arial" w:hAnsi="Arial"/>
                  <w:sz w:val="12"/>
                  <w:szCs w:val="12"/>
                  <w:color w:val="0000FF"/>
                </w:rPr>
                <w:t>58</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gridSpan w:val="4"/>
          </w:tcPr>
          <w:p>
            <w:pPr>
              <w:spacing w:after="0" w:line="133" w:lineRule="exact"/>
              <w:rPr>
                <w:rFonts w:ascii="Arial" w:cs="Arial" w:eastAsia="Arial" w:hAnsi="Arial"/>
                <w:sz w:val="12"/>
                <w:szCs w:val="12"/>
                <w:color w:val="0000FF"/>
                <w:w w:val="98"/>
              </w:rPr>
            </w:pPr>
            <w:hyperlink w:anchor="page58">
              <w:r>
                <w:rPr>
                  <w:rFonts w:ascii="Arial" w:cs="Arial" w:eastAsia="Arial" w:hAnsi="Arial"/>
                  <w:sz w:val="12"/>
                  <w:szCs w:val="12"/>
                  <w:color w:val="0000FF"/>
                  <w:w w:val="98"/>
                </w:rPr>
                <w:t>Item 9A.</w:t>
              </w:r>
            </w:hyperlink>
          </w:p>
        </w:tc>
        <w:tc>
          <w:tcPr>
            <w:tcW w:w="920" w:type="dxa"/>
            <w:vAlign w:val="bottom"/>
            <w:gridSpan w:val="2"/>
          </w:tcPr>
          <w:p>
            <w:pPr>
              <w:spacing w:after="0"/>
              <w:rPr>
                <w:sz w:val="11"/>
                <w:szCs w:val="11"/>
                <w:color w:val="auto"/>
              </w:rPr>
            </w:pPr>
          </w:p>
        </w:tc>
        <w:tc>
          <w:tcPr>
            <w:tcW w:w="1180" w:type="dxa"/>
            <w:vAlign w:val="bottom"/>
            <w:gridSpan w:val="6"/>
          </w:tcPr>
          <w:p>
            <w:pPr>
              <w:spacing w:after="0" w:line="133" w:lineRule="exact"/>
              <w:rPr>
                <w:rFonts w:ascii="Arial" w:cs="Arial" w:eastAsia="Arial" w:hAnsi="Arial"/>
                <w:sz w:val="12"/>
                <w:szCs w:val="12"/>
                <w:color w:val="0000FF"/>
                <w:w w:val="87"/>
              </w:rPr>
            </w:pPr>
            <w:hyperlink w:anchor="page58">
              <w:r>
                <w:rPr>
                  <w:rFonts w:ascii="Arial" w:cs="Arial" w:eastAsia="Arial" w:hAnsi="Arial"/>
                  <w:sz w:val="12"/>
                  <w:szCs w:val="12"/>
                  <w:color w:val="0000FF"/>
                  <w:w w:val="87"/>
                </w:rPr>
                <w:t>Controls and Procedures</w:t>
              </w:r>
            </w:hyperlink>
          </w:p>
        </w:tc>
        <w:tc>
          <w:tcPr>
            <w:tcW w:w="7920" w:type="dxa"/>
            <w:vAlign w:val="bottom"/>
            <w:gridSpan w:val="13"/>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58">
              <w:r>
                <w:rPr>
                  <w:rFonts w:ascii="Arial" w:cs="Arial" w:eastAsia="Arial" w:hAnsi="Arial"/>
                  <w:sz w:val="12"/>
                  <w:szCs w:val="12"/>
                  <w:color w:val="0000FF"/>
                </w:rPr>
                <w:t>58</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5"/>
              </w:rPr>
            </w:pPr>
            <w:hyperlink w:anchor="page60">
              <w:r>
                <w:rPr>
                  <w:rFonts w:ascii="Arial" w:cs="Arial" w:eastAsia="Arial" w:hAnsi="Arial"/>
                  <w:sz w:val="12"/>
                  <w:szCs w:val="12"/>
                  <w:color w:val="0000FF"/>
                  <w:w w:val="75"/>
                </w:rPr>
                <w:t>Item 9B.</w:t>
              </w:r>
            </w:hyperlink>
          </w:p>
        </w:tc>
        <w:tc>
          <w:tcPr>
            <w:tcW w:w="8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880" w:type="dxa"/>
            <w:vAlign w:val="bottom"/>
            <w:gridSpan w:val="4"/>
          </w:tcPr>
          <w:p>
            <w:pPr>
              <w:spacing w:after="0" w:line="133" w:lineRule="exact"/>
              <w:rPr>
                <w:rFonts w:ascii="Arial" w:cs="Arial" w:eastAsia="Arial" w:hAnsi="Arial"/>
                <w:sz w:val="12"/>
                <w:szCs w:val="12"/>
                <w:color w:val="0000FF"/>
                <w:w w:val="89"/>
              </w:rPr>
            </w:pPr>
            <w:hyperlink w:anchor="page60">
              <w:r>
                <w:rPr>
                  <w:rFonts w:ascii="Arial" w:cs="Arial" w:eastAsia="Arial" w:hAnsi="Arial"/>
                  <w:sz w:val="12"/>
                  <w:szCs w:val="12"/>
                  <w:color w:val="0000FF"/>
                  <w:w w:val="89"/>
                </w:rPr>
                <w:t>Other Information</w:t>
              </w:r>
            </w:hyperlink>
          </w:p>
        </w:tc>
        <w:tc>
          <w:tcPr>
            <w:tcW w:w="300" w:type="dxa"/>
            <w:vAlign w:val="bottom"/>
            <w:gridSpan w:val="2"/>
          </w:tcPr>
          <w:p>
            <w:pPr>
              <w:spacing w:after="0"/>
              <w:rPr>
                <w:sz w:val="11"/>
                <w:szCs w:val="11"/>
                <w:color w:val="auto"/>
              </w:rPr>
            </w:pPr>
          </w:p>
        </w:tc>
        <w:tc>
          <w:tcPr>
            <w:tcW w:w="7920" w:type="dxa"/>
            <w:vAlign w:val="bottom"/>
            <w:gridSpan w:val="13"/>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60">
              <w:r>
                <w:rPr>
                  <w:rFonts w:ascii="Arial" w:cs="Arial" w:eastAsia="Arial" w:hAnsi="Arial"/>
                  <w:sz w:val="12"/>
                  <w:szCs w:val="12"/>
                  <w:color w:val="0000FF"/>
                </w:rPr>
                <w:t>61</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sz w:val="20"/>
                <w:szCs w:val="20"/>
                <w:color w:val="auto"/>
              </w:rPr>
            </w:pPr>
            <w:r>
              <w:rPr>
                <w:rFonts w:ascii="Arial" w:cs="Arial" w:eastAsia="Arial" w:hAnsi="Arial"/>
                <w:sz w:val="12"/>
                <w:szCs w:val="12"/>
                <w:color w:val="0000FF"/>
                <w:w w:val="74"/>
              </w:rPr>
              <w:t>Item 9C.</w:t>
            </w:r>
          </w:p>
        </w:tc>
        <w:tc>
          <w:tcPr>
            <w:tcW w:w="1000" w:type="dxa"/>
            <w:vAlign w:val="bottom"/>
            <w:gridSpan w:val="3"/>
          </w:tcPr>
          <w:p>
            <w:pPr>
              <w:spacing w:after="0"/>
              <w:rPr>
                <w:sz w:val="11"/>
                <w:szCs w:val="11"/>
                <w:color w:val="auto"/>
              </w:rPr>
            </w:pPr>
          </w:p>
        </w:tc>
        <w:tc>
          <w:tcPr>
            <w:tcW w:w="9100" w:type="dxa"/>
            <w:vAlign w:val="bottom"/>
            <w:gridSpan w:val="19"/>
          </w:tcPr>
          <w:p>
            <w:pPr>
              <w:spacing w:after="0" w:line="133" w:lineRule="exact"/>
              <w:rPr>
                <w:sz w:val="20"/>
                <w:szCs w:val="20"/>
                <w:color w:val="auto"/>
              </w:rPr>
            </w:pPr>
            <w:r>
              <w:rPr>
                <w:rFonts w:ascii="Arial" w:cs="Arial" w:eastAsia="Arial" w:hAnsi="Arial"/>
                <w:sz w:val="12"/>
                <w:szCs w:val="12"/>
                <w:color w:val="0000FF"/>
              </w:rPr>
              <w:t>Disclosure Regarding Foreign Jurisdictions that Prevent Inspections</w:t>
            </w:r>
          </w:p>
        </w:tc>
        <w:tc>
          <w:tcPr>
            <w:tcW w:w="780" w:type="dxa"/>
            <w:vAlign w:val="bottom"/>
            <w:gridSpan w:val="3"/>
          </w:tcPr>
          <w:p>
            <w:pPr>
              <w:jc w:val="right"/>
              <w:spacing w:after="0" w:line="133" w:lineRule="exact"/>
              <w:rPr>
                <w:rFonts w:ascii="Arial" w:cs="Arial" w:eastAsia="Arial" w:hAnsi="Arial"/>
                <w:sz w:val="12"/>
                <w:szCs w:val="12"/>
                <w:color w:val="0000FF"/>
              </w:rPr>
            </w:pPr>
            <w:hyperlink w:anchor="page60">
              <w:r>
                <w:rPr>
                  <w:rFonts w:ascii="Arial" w:cs="Arial" w:eastAsia="Arial" w:hAnsi="Arial"/>
                  <w:sz w:val="12"/>
                  <w:szCs w:val="12"/>
                  <w:color w:val="0000FF"/>
                </w:rPr>
                <w:t>61</w:t>
              </w:r>
            </w:hyperlink>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80" w:type="dxa"/>
            <w:vAlign w:val="bottom"/>
            <w:tcBorders>
              <w:top w:val="single" w:sz="8" w:color="0000FF"/>
              <w:bottom w:val="single" w:sz="8" w:color="0000FF"/>
            </w:tcBorders>
            <w:gridSpan w:val="3"/>
          </w:tcPr>
          <w:p>
            <w:pPr>
              <w:spacing w:after="0" w:line="133" w:lineRule="exact"/>
              <w:rPr>
                <w:rFonts w:ascii="Arial" w:cs="Arial" w:eastAsia="Arial" w:hAnsi="Arial"/>
                <w:sz w:val="12"/>
                <w:szCs w:val="12"/>
                <w:b w:val="1"/>
                <w:bCs w:val="1"/>
                <w:color w:val="0000FF"/>
                <w:w w:val="92"/>
              </w:rPr>
            </w:pPr>
            <w:hyperlink w:anchor="page61">
              <w:r>
                <w:rPr>
                  <w:rFonts w:ascii="Arial" w:cs="Arial" w:eastAsia="Arial" w:hAnsi="Arial"/>
                  <w:sz w:val="12"/>
                  <w:szCs w:val="12"/>
                  <w:b w:val="1"/>
                  <w:bCs w:val="1"/>
                  <w:color w:val="0000FF"/>
                  <w:w w:val="92"/>
                </w:rPr>
                <w:t>Part III</w:t>
              </w:r>
            </w:hyperlink>
          </w:p>
        </w:tc>
        <w:tc>
          <w:tcPr>
            <w:tcW w:w="1000" w:type="dxa"/>
            <w:vAlign w:val="bottom"/>
            <w:gridSpan w:val="3"/>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8"/>
              </w:rPr>
            </w:pPr>
            <w:hyperlink w:anchor="page61">
              <w:r>
                <w:rPr>
                  <w:rFonts w:ascii="Arial" w:cs="Arial" w:eastAsia="Arial" w:hAnsi="Arial"/>
                  <w:sz w:val="12"/>
                  <w:szCs w:val="12"/>
                  <w:color w:val="0000FF"/>
                  <w:w w:val="78"/>
                </w:rPr>
                <w:t>Item 10.</w:t>
              </w:r>
            </w:hyperlink>
          </w:p>
        </w:tc>
        <w:tc>
          <w:tcPr>
            <w:tcW w:w="1000" w:type="dxa"/>
            <w:vAlign w:val="bottom"/>
            <w:gridSpan w:val="3"/>
          </w:tcPr>
          <w:p>
            <w:pPr>
              <w:spacing w:after="0"/>
              <w:rPr>
                <w:sz w:val="11"/>
                <w:szCs w:val="11"/>
                <w:color w:val="auto"/>
              </w:rPr>
            </w:pPr>
          </w:p>
        </w:tc>
        <w:tc>
          <w:tcPr>
            <w:tcW w:w="9100" w:type="dxa"/>
            <w:vAlign w:val="bottom"/>
            <w:gridSpan w:val="19"/>
          </w:tcPr>
          <w:p>
            <w:pPr>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Directors, Executive Officers and Corporate Governance</w:t>
              </w:r>
            </w:hyperlink>
          </w:p>
        </w:tc>
        <w:tc>
          <w:tcPr>
            <w:tcW w:w="780" w:type="dxa"/>
            <w:vAlign w:val="bottom"/>
            <w:gridSpan w:val="3"/>
          </w:tcPr>
          <w:p>
            <w:pPr>
              <w:jc w:val="right"/>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61</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8"/>
              </w:rPr>
            </w:pPr>
            <w:hyperlink w:anchor="page61">
              <w:r>
                <w:rPr>
                  <w:rFonts w:ascii="Arial" w:cs="Arial" w:eastAsia="Arial" w:hAnsi="Arial"/>
                  <w:sz w:val="12"/>
                  <w:szCs w:val="12"/>
                  <w:color w:val="0000FF"/>
                  <w:w w:val="78"/>
                </w:rPr>
                <w:t>Item 11.</w:t>
              </w:r>
            </w:hyperlink>
          </w:p>
        </w:tc>
        <w:tc>
          <w:tcPr>
            <w:tcW w:w="1000" w:type="dxa"/>
            <w:vAlign w:val="bottom"/>
            <w:gridSpan w:val="3"/>
          </w:tcPr>
          <w:p>
            <w:pPr>
              <w:spacing w:after="0"/>
              <w:rPr>
                <w:sz w:val="11"/>
                <w:szCs w:val="11"/>
                <w:color w:val="auto"/>
              </w:rPr>
            </w:pPr>
          </w:p>
        </w:tc>
        <w:tc>
          <w:tcPr>
            <w:tcW w:w="2720" w:type="dxa"/>
            <w:vAlign w:val="bottom"/>
            <w:gridSpan w:val="12"/>
          </w:tcPr>
          <w:p>
            <w:pPr>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Executive Compensation</w:t>
              </w:r>
            </w:hyperlink>
          </w:p>
        </w:tc>
        <w:tc>
          <w:tcPr>
            <w:tcW w:w="6380" w:type="dxa"/>
            <w:vAlign w:val="bottom"/>
            <w:gridSpan w:val="7"/>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61</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8"/>
              </w:rPr>
            </w:pPr>
            <w:hyperlink w:anchor="page61">
              <w:r>
                <w:rPr>
                  <w:rFonts w:ascii="Arial" w:cs="Arial" w:eastAsia="Arial" w:hAnsi="Arial"/>
                  <w:sz w:val="12"/>
                  <w:szCs w:val="12"/>
                  <w:color w:val="0000FF"/>
                  <w:w w:val="78"/>
                </w:rPr>
                <w:t>Item 12.</w:t>
              </w:r>
            </w:hyperlink>
          </w:p>
        </w:tc>
        <w:tc>
          <w:tcPr>
            <w:tcW w:w="1000" w:type="dxa"/>
            <w:vAlign w:val="bottom"/>
            <w:gridSpan w:val="3"/>
          </w:tcPr>
          <w:p>
            <w:pPr>
              <w:spacing w:after="0"/>
              <w:rPr>
                <w:sz w:val="11"/>
                <w:szCs w:val="11"/>
                <w:color w:val="auto"/>
              </w:rPr>
            </w:pPr>
          </w:p>
        </w:tc>
        <w:tc>
          <w:tcPr>
            <w:tcW w:w="4860" w:type="dxa"/>
            <w:vAlign w:val="bottom"/>
            <w:gridSpan w:val="17"/>
          </w:tcPr>
          <w:p>
            <w:pPr>
              <w:spacing w:after="0" w:line="133" w:lineRule="exact"/>
              <w:rPr>
                <w:rFonts w:ascii="Arial" w:cs="Arial" w:eastAsia="Arial" w:hAnsi="Arial"/>
                <w:sz w:val="12"/>
                <w:szCs w:val="12"/>
                <w:color w:val="0000FF"/>
                <w:w w:val="90"/>
              </w:rPr>
            </w:pPr>
            <w:hyperlink w:anchor="page61">
              <w:r>
                <w:rPr>
                  <w:rFonts w:ascii="Arial" w:cs="Arial" w:eastAsia="Arial" w:hAnsi="Arial"/>
                  <w:sz w:val="12"/>
                  <w:szCs w:val="12"/>
                  <w:color w:val="0000FF"/>
                  <w:w w:val="90"/>
                </w:rPr>
                <w:t>Security Ownership of Certain Beneficial Owners and Management and Related Stockholder Matters</w:t>
              </w:r>
            </w:hyperlink>
          </w:p>
        </w:tc>
        <w:tc>
          <w:tcPr>
            <w:tcW w:w="4240" w:type="dxa"/>
            <w:vAlign w:val="bottom"/>
            <w:gridSpan w:val="2"/>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61</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8"/>
              </w:rPr>
            </w:pPr>
            <w:hyperlink w:anchor="page61">
              <w:r>
                <w:rPr>
                  <w:rFonts w:ascii="Arial" w:cs="Arial" w:eastAsia="Arial" w:hAnsi="Arial"/>
                  <w:sz w:val="12"/>
                  <w:szCs w:val="12"/>
                  <w:color w:val="0000FF"/>
                  <w:w w:val="78"/>
                </w:rPr>
                <w:t>Item 13.</w:t>
              </w:r>
            </w:hyperlink>
          </w:p>
        </w:tc>
        <w:tc>
          <w:tcPr>
            <w:tcW w:w="1000" w:type="dxa"/>
            <w:vAlign w:val="bottom"/>
            <w:gridSpan w:val="3"/>
          </w:tcPr>
          <w:p>
            <w:pPr>
              <w:spacing w:after="0"/>
              <w:rPr>
                <w:sz w:val="11"/>
                <w:szCs w:val="11"/>
                <w:color w:val="auto"/>
              </w:rPr>
            </w:pPr>
          </w:p>
        </w:tc>
        <w:tc>
          <w:tcPr>
            <w:tcW w:w="3640" w:type="dxa"/>
            <w:vAlign w:val="bottom"/>
            <w:gridSpan w:val="15"/>
          </w:tcPr>
          <w:p>
            <w:pPr>
              <w:spacing w:after="0" w:line="133" w:lineRule="exact"/>
              <w:rPr>
                <w:rFonts w:ascii="Arial" w:cs="Arial" w:eastAsia="Arial" w:hAnsi="Arial"/>
                <w:sz w:val="12"/>
                <w:szCs w:val="12"/>
                <w:color w:val="0000FF"/>
                <w:w w:val="89"/>
              </w:rPr>
            </w:pPr>
            <w:hyperlink w:anchor="page61">
              <w:r>
                <w:rPr>
                  <w:rFonts w:ascii="Arial" w:cs="Arial" w:eastAsia="Arial" w:hAnsi="Arial"/>
                  <w:sz w:val="12"/>
                  <w:szCs w:val="12"/>
                  <w:color w:val="0000FF"/>
                  <w:w w:val="89"/>
                </w:rPr>
                <w:t>Certain Relationships and Related Transactions, and Director Independence</w:t>
              </w:r>
            </w:hyperlink>
          </w:p>
        </w:tc>
        <w:tc>
          <w:tcPr>
            <w:tcW w:w="1220" w:type="dxa"/>
            <w:vAlign w:val="bottom"/>
            <w:gridSpan w:val="2"/>
          </w:tcPr>
          <w:p>
            <w:pPr>
              <w:spacing w:after="0"/>
              <w:rPr>
                <w:sz w:val="11"/>
                <w:szCs w:val="11"/>
                <w:color w:val="auto"/>
              </w:rPr>
            </w:pPr>
          </w:p>
        </w:tc>
        <w:tc>
          <w:tcPr>
            <w:tcW w:w="4240" w:type="dxa"/>
            <w:vAlign w:val="bottom"/>
            <w:gridSpan w:val="2"/>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61</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8"/>
              </w:rPr>
            </w:pPr>
            <w:hyperlink w:anchor="page61">
              <w:r>
                <w:rPr>
                  <w:rFonts w:ascii="Arial" w:cs="Arial" w:eastAsia="Arial" w:hAnsi="Arial"/>
                  <w:sz w:val="12"/>
                  <w:szCs w:val="12"/>
                  <w:color w:val="0000FF"/>
                  <w:w w:val="78"/>
                </w:rPr>
                <w:t>Item 14.</w:t>
              </w:r>
            </w:hyperlink>
          </w:p>
        </w:tc>
        <w:tc>
          <w:tcPr>
            <w:tcW w:w="1000" w:type="dxa"/>
            <w:vAlign w:val="bottom"/>
            <w:gridSpan w:val="3"/>
          </w:tcPr>
          <w:p>
            <w:pPr>
              <w:spacing w:after="0"/>
              <w:rPr>
                <w:sz w:val="11"/>
                <w:szCs w:val="11"/>
                <w:color w:val="auto"/>
              </w:rPr>
            </w:pPr>
          </w:p>
        </w:tc>
        <w:tc>
          <w:tcPr>
            <w:tcW w:w="3640" w:type="dxa"/>
            <w:vAlign w:val="bottom"/>
            <w:gridSpan w:val="15"/>
          </w:tcPr>
          <w:p>
            <w:pPr>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Principal Accountant Fees and Services</w:t>
              </w:r>
            </w:hyperlink>
          </w:p>
        </w:tc>
        <w:tc>
          <w:tcPr>
            <w:tcW w:w="5460" w:type="dxa"/>
            <w:vAlign w:val="bottom"/>
            <w:gridSpan w:val="4"/>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61</w:t>
              </w:r>
            </w:hyperlink>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80" w:type="dxa"/>
            <w:vAlign w:val="bottom"/>
            <w:tcBorders>
              <w:top w:val="single" w:sz="8" w:color="0000FF"/>
            </w:tcBorders>
            <w:gridSpan w:val="3"/>
          </w:tcPr>
          <w:p>
            <w:pPr>
              <w:spacing w:after="0" w:line="133" w:lineRule="exact"/>
              <w:rPr>
                <w:rFonts w:ascii="Arial" w:cs="Arial" w:eastAsia="Arial" w:hAnsi="Arial"/>
                <w:sz w:val="12"/>
                <w:szCs w:val="12"/>
                <w:b w:val="1"/>
                <w:bCs w:val="1"/>
                <w:color w:val="0000FF"/>
                <w:w w:val="89"/>
              </w:rPr>
            </w:pPr>
            <w:hyperlink w:anchor="page61">
              <w:r>
                <w:rPr>
                  <w:rFonts w:ascii="Arial" w:cs="Arial" w:eastAsia="Arial" w:hAnsi="Arial"/>
                  <w:sz w:val="12"/>
                  <w:szCs w:val="12"/>
                  <w:b w:val="1"/>
                  <w:bCs w:val="1"/>
                  <w:color w:val="0000FF"/>
                  <w:w w:val="89"/>
                </w:rPr>
                <w:t>Part IV</w:t>
              </w:r>
            </w:hyperlink>
          </w:p>
        </w:tc>
        <w:tc>
          <w:tcPr>
            <w:tcW w:w="1000" w:type="dxa"/>
            <w:vAlign w:val="bottom"/>
            <w:gridSpan w:val="3"/>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8"/>
              </w:rPr>
            </w:pPr>
            <w:hyperlink w:anchor="page62">
              <w:r>
                <w:rPr>
                  <w:rFonts w:ascii="Arial" w:cs="Arial" w:eastAsia="Arial" w:hAnsi="Arial"/>
                  <w:sz w:val="12"/>
                  <w:szCs w:val="12"/>
                  <w:color w:val="0000FF"/>
                  <w:w w:val="78"/>
                </w:rPr>
                <w:t>Item 15.</w:t>
              </w:r>
            </w:hyperlink>
          </w:p>
        </w:tc>
        <w:tc>
          <w:tcPr>
            <w:tcW w:w="1000" w:type="dxa"/>
            <w:vAlign w:val="bottom"/>
            <w:gridSpan w:val="3"/>
          </w:tcPr>
          <w:p>
            <w:pPr>
              <w:spacing w:after="0"/>
              <w:rPr>
                <w:sz w:val="11"/>
                <w:szCs w:val="11"/>
                <w:color w:val="auto"/>
              </w:rPr>
            </w:pPr>
          </w:p>
        </w:tc>
        <w:tc>
          <w:tcPr>
            <w:tcW w:w="9100" w:type="dxa"/>
            <w:vAlign w:val="bottom"/>
            <w:gridSpan w:val="19"/>
          </w:tcPr>
          <w:p>
            <w:pPr>
              <w:spacing w:after="0" w:line="133" w:lineRule="exact"/>
              <w:rPr>
                <w:rFonts w:ascii="Arial" w:cs="Arial" w:eastAsia="Arial" w:hAnsi="Arial"/>
                <w:sz w:val="12"/>
                <w:szCs w:val="12"/>
                <w:color w:val="0000FF"/>
              </w:rPr>
            </w:pPr>
            <w:hyperlink w:anchor="page62">
              <w:r>
                <w:rPr>
                  <w:rFonts w:ascii="Arial" w:cs="Arial" w:eastAsia="Arial" w:hAnsi="Arial"/>
                  <w:sz w:val="12"/>
                  <w:szCs w:val="12"/>
                  <w:color w:val="0000FF"/>
                </w:rPr>
                <w:t>Exhibits and Financial Statement Schedules</w:t>
              </w:r>
            </w:hyperlink>
          </w:p>
        </w:tc>
        <w:tc>
          <w:tcPr>
            <w:tcW w:w="780" w:type="dxa"/>
            <w:vAlign w:val="bottom"/>
            <w:gridSpan w:val="3"/>
          </w:tcPr>
          <w:p>
            <w:pPr>
              <w:jc w:val="right"/>
              <w:spacing w:after="0" w:line="133" w:lineRule="exact"/>
              <w:rPr>
                <w:rFonts w:ascii="Arial" w:cs="Arial" w:eastAsia="Arial" w:hAnsi="Arial"/>
                <w:sz w:val="12"/>
                <w:szCs w:val="12"/>
                <w:color w:val="0000FF"/>
              </w:rPr>
            </w:pPr>
            <w:hyperlink w:anchor="page62">
              <w:r>
                <w:rPr>
                  <w:rFonts w:ascii="Arial" w:cs="Arial" w:eastAsia="Arial" w:hAnsi="Arial"/>
                  <w:sz w:val="12"/>
                  <w:szCs w:val="12"/>
                  <w:color w:val="0000FF"/>
                </w:rPr>
                <w:t>62</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gridSpan w:val="3"/>
          </w:tcPr>
          <w:p>
            <w:pPr>
              <w:spacing w:after="0" w:line="133" w:lineRule="exact"/>
              <w:rPr>
                <w:rFonts w:ascii="Arial" w:cs="Arial" w:eastAsia="Arial" w:hAnsi="Arial"/>
                <w:sz w:val="12"/>
                <w:szCs w:val="12"/>
                <w:color w:val="0000FF"/>
                <w:w w:val="78"/>
              </w:rPr>
            </w:pPr>
            <w:hyperlink w:anchor="page62">
              <w:r>
                <w:rPr>
                  <w:rFonts w:ascii="Arial" w:cs="Arial" w:eastAsia="Arial" w:hAnsi="Arial"/>
                  <w:sz w:val="12"/>
                  <w:szCs w:val="12"/>
                  <w:color w:val="0000FF"/>
                  <w:w w:val="78"/>
                </w:rPr>
                <w:t>Item 16.</w:t>
              </w:r>
            </w:hyperlink>
          </w:p>
        </w:tc>
        <w:tc>
          <w:tcPr>
            <w:tcW w:w="1000" w:type="dxa"/>
            <w:vAlign w:val="bottom"/>
            <w:gridSpan w:val="3"/>
          </w:tcPr>
          <w:p>
            <w:pPr>
              <w:spacing w:after="0"/>
              <w:rPr>
                <w:sz w:val="11"/>
                <w:szCs w:val="11"/>
                <w:color w:val="auto"/>
              </w:rPr>
            </w:pPr>
          </w:p>
        </w:tc>
        <w:tc>
          <w:tcPr>
            <w:tcW w:w="1040" w:type="dxa"/>
            <w:vAlign w:val="bottom"/>
            <w:gridSpan w:val="5"/>
          </w:tcPr>
          <w:p>
            <w:pPr>
              <w:spacing w:after="0" w:line="133" w:lineRule="exact"/>
              <w:rPr>
                <w:rFonts w:ascii="Arial" w:cs="Arial" w:eastAsia="Arial" w:hAnsi="Arial"/>
                <w:sz w:val="12"/>
                <w:szCs w:val="12"/>
                <w:color w:val="0000FF"/>
                <w:w w:val="91"/>
              </w:rPr>
            </w:pPr>
            <w:hyperlink w:anchor="page62">
              <w:r>
                <w:rPr>
                  <w:rFonts w:ascii="Arial" w:cs="Arial" w:eastAsia="Arial" w:hAnsi="Arial"/>
                  <w:sz w:val="12"/>
                  <w:szCs w:val="12"/>
                  <w:color w:val="0000FF"/>
                  <w:w w:val="91"/>
                </w:rPr>
                <w:t>Form 10-K Summary</w:t>
              </w:r>
            </w:hyperlink>
          </w:p>
        </w:tc>
        <w:tc>
          <w:tcPr>
            <w:tcW w:w="1060" w:type="dxa"/>
            <w:vAlign w:val="bottom"/>
            <w:gridSpan w:val="5"/>
          </w:tcPr>
          <w:p>
            <w:pPr>
              <w:spacing w:after="0"/>
              <w:rPr>
                <w:sz w:val="11"/>
                <w:szCs w:val="11"/>
                <w:color w:val="auto"/>
              </w:rPr>
            </w:pPr>
          </w:p>
        </w:tc>
        <w:tc>
          <w:tcPr>
            <w:tcW w:w="7000" w:type="dxa"/>
            <w:vAlign w:val="bottom"/>
            <w:gridSpan w:val="9"/>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62">
              <w:r>
                <w:rPr>
                  <w:rFonts w:ascii="Arial" w:cs="Arial" w:eastAsia="Arial" w:hAnsi="Arial"/>
                  <w:sz w:val="12"/>
                  <w:szCs w:val="12"/>
                  <w:color w:val="0000FF"/>
                </w:rPr>
                <w:t>62</w:t>
              </w:r>
            </w:hyperlink>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380" w:type="dxa"/>
            <w:vAlign w:val="bottom"/>
            <w:gridSpan w:val="6"/>
          </w:tcPr>
          <w:p>
            <w:pPr>
              <w:spacing w:after="0" w:line="133" w:lineRule="exact"/>
              <w:rPr>
                <w:rFonts w:ascii="Arial" w:cs="Arial" w:eastAsia="Arial" w:hAnsi="Arial"/>
                <w:sz w:val="12"/>
                <w:szCs w:val="12"/>
                <w:b w:val="1"/>
                <w:bCs w:val="1"/>
                <w:color w:val="0000FF"/>
              </w:rPr>
            </w:pPr>
            <w:hyperlink w:anchor="page114">
              <w:r>
                <w:rPr>
                  <w:rFonts w:ascii="Arial" w:cs="Arial" w:eastAsia="Arial" w:hAnsi="Arial"/>
                  <w:sz w:val="12"/>
                  <w:szCs w:val="12"/>
                  <w:b w:val="1"/>
                  <w:bCs w:val="1"/>
                  <w:color w:val="0000FF"/>
                </w:rPr>
                <w:t>Signatures</w:t>
              </w:r>
            </w:hyperlink>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80" w:type="dxa"/>
            <w:vAlign w:val="bottom"/>
            <w:gridSpan w:val="3"/>
          </w:tcPr>
          <w:p>
            <w:pPr>
              <w:jc w:val="right"/>
              <w:spacing w:after="0" w:line="133" w:lineRule="exact"/>
              <w:rPr>
                <w:rFonts w:ascii="Arial" w:cs="Arial" w:eastAsia="Arial" w:hAnsi="Arial"/>
                <w:sz w:val="12"/>
                <w:szCs w:val="12"/>
                <w:color w:val="0000FF"/>
              </w:rPr>
            </w:pPr>
            <w:hyperlink w:anchor="page114">
              <w:r>
                <w:rPr>
                  <w:rFonts w:ascii="Arial" w:cs="Arial" w:eastAsia="Arial" w:hAnsi="Arial"/>
                  <w:sz w:val="12"/>
                  <w:szCs w:val="12"/>
                  <w:color w:val="0000FF"/>
                </w:rPr>
                <w:t>115</w:t>
              </w:r>
            </w:hyperlink>
          </w:p>
        </w:tc>
        <w:tc>
          <w:tcPr>
            <w:tcW w:w="20" w:type="dxa"/>
            <w:vAlign w:val="bottom"/>
          </w:tcPr>
          <w:p>
            <w:pPr>
              <w:spacing w:after="0"/>
              <w:rPr>
                <w:sz w:val="11"/>
                <w:szCs w:val="11"/>
                <w:color w:val="auto"/>
              </w:rPr>
            </w:pPr>
          </w:p>
        </w:tc>
      </w:tr>
      <w:tr>
        <w:trPr>
          <w:trHeight w:val="745"/>
        </w:trPr>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4300" w:type="dxa"/>
            <w:vAlign w:val="bottom"/>
            <w:gridSpan w:val="16"/>
          </w:tcPr>
          <w:p>
            <w:pPr>
              <w:jc w:val="center"/>
              <w:ind w:left="4140"/>
              <w:spacing w:after="0"/>
              <w:rPr>
                <w:sz w:val="20"/>
                <w:szCs w:val="20"/>
                <w:color w:val="auto"/>
              </w:rPr>
            </w:pPr>
            <w:r>
              <w:rPr>
                <w:rFonts w:ascii="Arial" w:cs="Arial" w:eastAsia="Arial" w:hAnsi="Arial"/>
                <w:sz w:val="12"/>
                <w:szCs w:val="12"/>
                <w:color w:val="auto"/>
                <w:w w:val="89"/>
              </w:rPr>
              <w:t>2</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7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PART I</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IMPORTANT FACTORS RELATED TO FORWARD-LOOKING STATEMENTS</w:t>
      </w:r>
    </w:p>
    <w:p>
      <w:pPr>
        <w:spacing w:after="0" w:line="109" w:lineRule="exact"/>
        <w:rPr>
          <w:sz w:val="20"/>
          <w:szCs w:val="20"/>
          <w:color w:val="auto"/>
        </w:rPr>
      </w:pPr>
    </w:p>
    <w:p>
      <w:pPr>
        <w:ind w:firstLine="297"/>
        <w:spacing w:after="0" w:line="289" w:lineRule="auto"/>
        <w:rPr>
          <w:sz w:val="20"/>
          <w:szCs w:val="20"/>
          <w:color w:val="auto"/>
        </w:rPr>
      </w:pPr>
      <w:r>
        <w:rPr>
          <w:rFonts w:ascii="Arial" w:cs="Arial" w:eastAsia="Arial" w:hAnsi="Arial"/>
          <w:sz w:val="11"/>
          <w:szCs w:val="11"/>
          <w:color w:val="auto"/>
        </w:rPr>
        <w:t>This Annual Report on Form 10-K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66" w:lineRule="exact"/>
        <w:rPr>
          <w:sz w:val="20"/>
          <w:szCs w:val="20"/>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expectations regarding the Company's growth;</w:t>
      </w:r>
    </w:p>
    <w:p>
      <w:pPr>
        <w:spacing w:after="0" w:line="96"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beliefs regarding its acquisition, redevelopment, development, leasing and operational activities and opportunities, including the performance and financial stability of its retailers;</w:t>
      </w:r>
    </w:p>
    <w:p>
      <w:pPr>
        <w:spacing w:after="0" w:line="105"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acquisition, disposition and other strategies;</w:t>
      </w:r>
    </w:p>
    <w:p>
      <w:pPr>
        <w:spacing w:after="0" w:line="105"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regulatory matters pertaining to compliance with governmental regulations;</w:t>
      </w:r>
    </w:p>
    <w:p>
      <w:pPr>
        <w:spacing w:after="0" w:line="96"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capital expenditure plans and expectations for obtaining capital for expenditures;</w:t>
      </w:r>
    </w:p>
    <w:p>
      <w:pPr>
        <w:spacing w:after="0" w:line="105"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expectations regarding income tax benefits;</w:t>
      </w:r>
    </w:p>
    <w:p>
      <w:pPr>
        <w:spacing w:after="0" w:line="105"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expectations regarding its financial condition or results of operations; and</w:t>
      </w:r>
    </w:p>
    <w:p>
      <w:pPr>
        <w:spacing w:after="0" w:line="96"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expectations for refinancing its indebtedness, entering into and servicing debt obligations and entering into joint venture arrangements.</w:t>
      </w:r>
    </w:p>
    <w:p>
      <w:pPr>
        <w:spacing w:after="0" w:line="105" w:lineRule="exact"/>
        <w:rPr>
          <w:sz w:val="20"/>
          <w:szCs w:val="20"/>
          <w:color w:val="auto"/>
        </w:rPr>
      </w:pPr>
    </w:p>
    <w:p>
      <w:pPr>
        <w:ind w:right="20" w:firstLine="297"/>
        <w:spacing w:after="0" w:line="261" w:lineRule="auto"/>
        <w:rPr>
          <w:sz w:val="20"/>
          <w:szCs w:val="20"/>
          <w:color w:val="auto"/>
        </w:rPr>
      </w:pPr>
      <w:r>
        <w:rPr>
          <w:rFonts w:ascii="Arial" w:cs="Arial" w:eastAsia="Arial" w:hAnsi="Arial"/>
          <w:sz w:val="11"/>
          <w:szCs w:val="11"/>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continuing adverse impact of the coronavirus (“COVID-19”)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Annual Report on Form 10-K, as well as our other reports filed with the Securities and Exchange Commission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67"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18" w:lineRule="exact"/>
        <w:rPr>
          <w:sz w:val="20"/>
          <w:szCs w:val="20"/>
          <w:color w:val="auto"/>
        </w:rPr>
      </w:pPr>
    </w:p>
    <w:p>
      <w:pPr>
        <w:ind w:right="60" w:firstLine="297"/>
        <w:spacing w:after="0" w:line="256" w:lineRule="auto"/>
        <w:rPr>
          <w:sz w:val="20"/>
          <w:szCs w:val="20"/>
          <w:color w:val="auto"/>
        </w:rPr>
      </w:pPr>
      <w:r>
        <w:rPr>
          <w:rFonts w:ascii="Arial" w:cs="Arial" w:eastAsia="Arial" w:hAnsi="Arial"/>
          <w:sz w:val="12"/>
          <w:szCs w:val="12"/>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a Delaware limited partnership (the "Operating Partnership"). As of December 31, 2021, the Operating Partnership owned or had an ownership interest in 44 regional town centers and five community/power shopping centers. These 49 regional town centers and community/power shopping centers (which include any adjoining mixed-use improvements) consist of approximately 48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2" w:right="319" w:bottom="1440" w:gutter="0" w:footer="0" w:header="0"/>
        </w:sectPr>
      </w:pPr>
    </w:p>
    <w:bookmarkStart w:id="3" w:name="page4"/>
    <w:bookmarkEnd w:id="3"/>
    <w:p>
      <w:pPr>
        <w:ind w:right="160" w:firstLine="297"/>
        <w:spacing w:after="0" w:line="256" w:lineRule="auto"/>
        <w:rPr>
          <w:sz w:val="20"/>
          <w:szCs w:val="20"/>
          <w:color w:val="auto"/>
        </w:rPr>
      </w:pPr>
      <w:r>
        <w:rPr>
          <w:rFonts w:ascii="Arial" w:cs="Arial" w:eastAsia="Arial" w:hAnsi="Arial"/>
          <w:sz w:val="12"/>
          <w:szCs w:val="12"/>
          <w:color w:val="auto"/>
        </w:rPr>
        <w:t>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74" w:lineRule="exact"/>
        <w:rPr>
          <w:sz w:val="20"/>
          <w:szCs w:val="20"/>
          <w:color w:val="auto"/>
        </w:rPr>
      </w:pPr>
    </w:p>
    <w:p>
      <w:pPr>
        <w:ind w:right="220" w:firstLine="297"/>
        <w:spacing w:after="0" w:line="276" w:lineRule="auto"/>
        <w:rPr>
          <w:sz w:val="20"/>
          <w:szCs w:val="20"/>
          <w:color w:val="auto"/>
        </w:rPr>
      </w:pPr>
      <w:r>
        <w:rPr>
          <w:rFonts w:ascii="Arial" w:cs="Arial" w:eastAsia="Arial" w:hAnsi="Arial"/>
          <w:sz w:val="12"/>
          <w:szCs w:val="12"/>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Financial information regarding the Company for each of the last three fiscal years is contained in the Company's Consolidated Financial Statements included in "Item 15. Exhibits and Financial Statement Schedules."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Dispositions:</w:t>
      </w:r>
    </w:p>
    <w:p>
      <w:pPr>
        <w:spacing w:after="0" w:line="105"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On March 29, 2021, the Company sold Paradise Valley Mall in Phoenix, Arizona to a newly formed joint venture for $100 million, resulting in a gain on sale of assets of approximately $5.6 million. Concurrent with the sale, the Company elected to reinvest into the new joint venture at a 5% ownership interest. The Company used the $95.3 million of net proceeds from the sale to pay down its line of credit (See “Item 7. Management’s Discussion and Analysis of Financial Condition and Results of Operations—Liquidity and Capital Resources”).</w:t>
      </w:r>
    </w:p>
    <w:p>
      <w:pPr>
        <w:spacing w:after="0" w:line="77" w:lineRule="exact"/>
        <w:rPr>
          <w:sz w:val="20"/>
          <w:szCs w:val="20"/>
          <w:color w:val="auto"/>
        </w:rPr>
      </w:pPr>
    </w:p>
    <w:p>
      <w:pPr>
        <w:ind w:right="460" w:firstLine="297"/>
        <w:spacing w:after="0" w:line="323" w:lineRule="auto"/>
        <w:rPr>
          <w:sz w:val="20"/>
          <w:szCs w:val="20"/>
          <w:color w:val="auto"/>
        </w:rPr>
      </w:pPr>
      <w:r>
        <w:rPr>
          <w:rFonts w:ascii="Arial" w:cs="Arial" w:eastAsia="Arial" w:hAnsi="Arial"/>
          <w:sz w:val="11"/>
          <w:szCs w:val="11"/>
          <w:color w:val="auto"/>
        </w:rPr>
        <w:t>On September 17, 2021, the Company sold Tucson La Encantada in Tucson, Arizona for $165.3 million, resulting in a gain on sale of assets of approximately $117.2 million. The Company used the net cash proceeds of approximately $100.1 million to pay down debt (See “Item 7. Management’s Discussion and Analysis of Financial Condition and Results of Operations—Liquidity and Capital Resources”).</w:t>
      </w:r>
    </w:p>
    <w:p>
      <w:pPr>
        <w:spacing w:after="0" w:line="38" w:lineRule="exact"/>
        <w:rPr>
          <w:sz w:val="20"/>
          <w:szCs w:val="20"/>
          <w:color w:val="auto"/>
        </w:rPr>
      </w:pPr>
    </w:p>
    <w:p>
      <w:pPr>
        <w:ind w:right="40" w:firstLine="297"/>
        <w:spacing w:after="0" w:line="323" w:lineRule="auto"/>
        <w:rPr>
          <w:sz w:val="20"/>
          <w:szCs w:val="20"/>
          <w:color w:val="auto"/>
        </w:rPr>
      </w:pPr>
      <w:r>
        <w:rPr>
          <w:rFonts w:ascii="Arial" w:cs="Arial" w:eastAsia="Arial" w:hAnsi="Arial"/>
          <w:sz w:val="11"/>
          <w:szCs w:val="11"/>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$28.3 million in connection with the assignment.</w:t>
      </w:r>
    </w:p>
    <w:p>
      <w:pPr>
        <w:spacing w:after="0" w:line="47" w:lineRule="exact"/>
        <w:rPr>
          <w:sz w:val="20"/>
          <w:szCs w:val="20"/>
          <w:color w:val="auto"/>
        </w:rPr>
      </w:pPr>
    </w:p>
    <w:p>
      <w:pPr>
        <w:ind w:right="80" w:firstLine="297"/>
        <w:spacing w:after="0" w:line="276" w:lineRule="auto"/>
        <w:rPr>
          <w:sz w:val="20"/>
          <w:szCs w:val="20"/>
          <w:color w:val="auto"/>
        </w:rPr>
      </w:pPr>
      <w:r>
        <w:rPr>
          <w:rFonts w:ascii="Arial" w:cs="Arial" w:eastAsia="Arial" w:hAnsi="Arial"/>
          <w:sz w:val="12"/>
          <w:szCs w:val="12"/>
          <w:color w:val="auto"/>
        </w:rPr>
        <w:t>On December 31, 2021, the Company sold its joint venture interest in the undeveloped property at 443 North Wabash Avenue in Chicago, Illinois to its partner in the joint venture for $21.0 million. The Company recognized an immaterial gain in connection with the sale.</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For the twelve months ended December 31, 2021, the Company and certain joint venture partners sold various land parcels in separate transactions, resulting in the Company’s share of the gain on sale of land of $19.6 million.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 Company used its share of the proceeds from these sales of $46.5 million to pay down debt and for other general corporate purposes.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Financing Activities:</w:t>
      </w:r>
    </w:p>
    <w:p>
      <w:pPr>
        <w:spacing w:after="0" w:line="105" w:lineRule="exact"/>
        <w:rPr>
          <w:sz w:val="20"/>
          <w:szCs w:val="20"/>
          <w:color w:val="auto"/>
        </w:rPr>
      </w:pPr>
    </w:p>
    <w:p>
      <w:pPr>
        <w:ind w:right="420" w:firstLine="297"/>
        <w:spacing w:after="0" w:line="276" w:lineRule="auto"/>
        <w:rPr>
          <w:sz w:val="20"/>
          <w:szCs w:val="20"/>
          <w:color w:val="auto"/>
        </w:rPr>
      </w:pPr>
      <w:r>
        <w:rPr>
          <w:rFonts w:ascii="Arial" w:cs="Arial" w:eastAsia="Arial" w:hAnsi="Arial"/>
          <w:sz w:val="12"/>
          <w:szCs w:val="12"/>
          <w:color w:val="auto"/>
        </w:rPr>
        <w:t>On January 22, 2021, the Company closed on a one-year extension for the Green Acres Mall $258.2 million loan to February 3, 2022, which also included a one-year extension option to February 3, 2023 which has been exercised. The interest rate remained unchanged, and the Company repaid $9 million of the outstanding loan balance at closing.</w:t>
      </w:r>
    </w:p>
    <w:p>
      <w:pPr>
        <w:spacing w:after="0" w:line="70" w:lineRule="exact"/>
        <w:rPr>
          <w:sz w:val="20"/>
          <w:szCs w:val="20"/>
          <w:color w:val="auto"/>
        </w:rPr>
      </w:pPr>
    </w:p>
    <w:p>
      <w:pPr>
        <w:ind w:right="340" w:firstLine="297"/>
        <w:spacing w:after="0" w:line="276" w:lineRule="auto"/>
        <w:rPr>
          <w:sz w:val="20"/>
          <w:szCs w:val="20"/>
          <w:color w:val="auto"/>
        </w:rPr>
      </w:pPr>
      <w:r>
        <w:rPr>
          <w:rFonts w:ascii="Arial" w:cs="Arial" w:eastAsia="Arial" w:hAnsi="Arial"/>
          <w:sz w:val="12"/>
          <w:szCs w:val="12"/>
          <w:color w:val="auto"/>
        </w:rPr>
        <w:t>On March 25, 2021, the Company closed on a two-year extension for the Green Acres Commons $124.6 million loan to March 29, 2023. The interest rate is LIBOR plus 2.75% and the Company repaid $4.7 million of the outstanding loan balance at closing.</w:t>
      </w:r>
    </w:p>
    <w:p>
      <w:pPr>
        <w:spacing w:after="0" w:line="61" w:lineRule="exact"/>
        <w:rPr>
          <w:sz w:val="20"/>
          <w:szCs w:val="20"/>
          <w:color w:val="auto"/>
        </w:rPr>
      </w:pPr>
    </w:p>
    <w:p>
      <w:pPr>
        <w:ind w:right="60" w:firstLine="297"/>
        <w:spacing w:after="0" w:line="263" w:lineRule="auto"/>
        <w:rPr>
          <w:sz w:val="20"/>
          <w:szCs w:val="20"/>
          <w:color w:val="auto"/>
        </w:rPr>
      </w:pPr>
      <w:r>
        <w:rPr>
          <w:rFonts w:ascii="Arial" w:cs="Arial" w:eastAsia="Arial" w:hAnsi="Arial"/>
          <w:sz w:val="12"/>
          <w:szCs w:val="12"/>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(See "Item 7. Management’s Discussion and Analysis of Financial Condition and Results of Operations— Liquidity and Capital Resources”).</w:t>
      </w:r>
    </w:p>
    <w:p>
      <w:pPr>
        <w:spacing w:after="0" w:line="77" w:lineRule="exact"/>
        <w:rPr>
          <w:sz w:val="20"/>
          <w:szCs w:val="20"/>
          <w:color w:val="auto"/>
        </w:rPr>
      </w:pPr>
    </w:p>
    <w:p>
      <w:pPr>
        <w:ind w:right="260" w:firstLine="297"/>
        <w:spacing w:after="0" w:line="323" w:lineRule="auto"/>
        <w:rPr>
          <w:sz w:val="20"/>
          <w:szCs w:val="20"/>
          <w:color w:val="auto"/>
        </w:rPr>
      </w:pPr>
      <w:r>
        <w:rPr>
          <w:rFonts w:ascii="Arial" w:cs="Arial" w:eastAsia="Arial" w:hAnsi="Arial"/>
          <w:sz w:val="11"/>
          <w:szCs w:val="11"/>
          <w:color w:val="auto"/>
        </w:rPr>
        <w:t>On October 26, 2021, the Company's joint venture in The Shops at Atlas Park replaced the existing loan on the property with a new $65 million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16" w:right="379" w:bottom="1440" w:gutter="0" w:footer="0" w:header="0"/>
        </w:sectPr>
      </w:pPr>
    </w:p>
    <w:bookmarkStart w:id="4" w:name="page5"/>
    <w:bookmarkEnd w:id="4"/>
    <w:p>
      <w:pPr>
        <w:ind w:right="240" w:firstLine="297"/>
        <w:spacing w:after="0" w:line="276" w:lineRule="auto"/>
        <w:rPr>
          <w:sz w:val="20"/>
          <w:szCs w:val="20"/>
          <w:color w:val="auto"/>
        </w:rPr>
      </w:pPr>
      <w:r>
        <w:rPr>
          <w:rFonts w:ascii="Arial" w:cs="Arial" w:eastAsia="Arial" w:hAnsi="Arial"/>
          <w:sz w:val="12"/>
          <w:szCs w:val="12"/>
          <w:color w:val="auto"/>
        </w:rPr>
        <w:t>On February 2, 2022, the Company’s joint venture in FlatIron Crossing replaced the existing $197 million loan on the property with a new $175 million loan that bears interest at SOFR plus 3.45% and matures on February 9, 2027, including extension options. The loan is covered by an interest rate cap agreement that effectively prevents SOFR from exceeding 4.0% through February 15, 2024.</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Redevelopment and Development Activities:</w:t>
      </w:r>
    </w:p>
    <w:p>
      <w:pPr>
        <w:spacing w:after="0" w:line="105" w:lineRule="exact"/>
        <w:rPr>
          <w:sz w:val="20"/>
          <w:szCs w:val="20"/>
          <w:color w:val="auto"/>
        </w:rPr>
      </w:pPr>
    </w:p>
    <w:p>
      <w:pPr>
        <w:ind w:right="40" w:firstLine="297"/>
        <w:spacing w:after="0" w:line="289" w:lineRule="auto"/>
        <w:rPr>
          <w:sz w:val="20"/>
          <w:szCs w:val="20"/>
          <w:color w:val="auto"/>
        </w:rPr>
      </w:pPr>
      <w:r>
        <w:rPr>
          <w:rFonts w:ascii="Arial" w:cs="Arial" w:eastAsia="Arial" w:hAnsi="Arial"/>
          <w:sz w:val="11"/>
          <w:szCs w:val="11"/>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During the fourth quarter of 2021, the joint venture delivered the office space to Google for tenant improvement work, which Google has commenced. The total cost of the project is estimated to be between $500.0 million and $550.0 million, with $125.0 million to $137.5 million estimated to be the Company's pro rata share. The Company has incurred $106.9 million of the total $427.7 million incurred by the joint venture as of December 31, 2021. The joint venture expects to fund the remaining costs of the development with its $414.6 million construction loan.</w:t>
      </w:r>
    </w:p>
    <w:p>
      <w:pPr>
        <w:spacing w:after="0" w:line="66" w:lineRule="exact"/>
        <w:rPr>
          <w:sz w:val="20"/>
          <w:szCs w:val="20"/>
          <w:color w:val="auto"/>
        </w:rPr>
      </w:pPr>
    </w:p>
    <w:p>
      <w:pPr>
        <w:ind w:right="40" w:firstLine="297"/>
        <w:spacing w:after="0" w:line="276" w:lineRule="auto"/>
        <w:rPr>
          <w:sz w:val="20"/>
          <w:szCs w:val="20"/>
          <w:color w:val="auto"/>
        </w:rPr>
      </w:pPr>
      <w:r>
        <w:rPr>
          <w:rFonts w:ascii="Arial" w:cs="Arial" w:eastAsia="Arial" w:hAnsi="Arial"/>
          <w:sz w:val="12"/>
          <w:szCs w:val="12"/>
          <w:color w:val="auto"/>
        </w:rPr>
        <w:t>The Company has a 50/50 joint venture with Simon Property Group, which was initially formed to develop Los Angeles Premium Outlets, a premium outlet center in Carson, California. The Company has funded $41.4 million of the total $82.8 million incurred by the joint venture as of December 31, 2021.</w:t>
      </w:r>
    </w:p>
    <w:p>
      <w:pPr>
        <w:spacing w:after="0" w:line="61" w:lineRule="exact"/>
        <w:rPr>
          <w:sz w:val="20"/>
          <w:szCs w:val="20"/>
          <w:color w:val="auto"/>
        </w:rPr>
      </w:pPr>
    </w:p>
    <w:p>
      <w:pPr>
        <w:jc w:val="both"/>
        <w:ind w:right="80" w:firstLine="297"/>
        <w:spacing w:after="0" w:line="263" w:lineRule="auto"/>
        <w:rPr>
          <w:sz w:val="20"/>
          <w:szCs w:val="20"/>
          <w:color w:val="auto"/>
        </w:rPr>
      </w:pPr>
      <w:r>
        <w:rPr>
          <w:rFonts w:ascii="Arial" w:cs="Arial" w:eastAsia="Arial" w:hAnsi="Arial"/>
          <w:sz w:val="12"/>
          <w:szCs w:val="12"/>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$40.9 million at its pro rata share as of December 31, 2021.</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Other Transactions and Events:</w:t>
      </w:r>
    </w:p>
    <w:p>
      <w:pPr>
        <w:spacing w:after="0" w:line="105" w:lineRule="exact"/>
        <w:rPr>
          <w:sz w:val="20"/>
          <w:szCs w:val="20"/>
          <w:color w:val="auto"/>
        </w:rPr>
      </w:pPr>
    </w:p>
    <w:p>
      <w:pPr>
        <w:ind w:right="40" w:firstLine="297"/>
        <w:spacing w:after="0" w:line="255" w:lineRule="auto"/>
        <w:rPr>
          <w:sz w:val="20"/>
          <w:szCs w:val="20"/>
          <w:color w:val="auto"/>
        </w:rPr>
      </w:pPr>
      <w:r>
        <w:rPr>
          <w:rFonts w:ascii="Arial" w:cs="Arial" w:eastAsia="Arial" w:hAnsi="Arial"/>
          <w:sz w:val="12"/>
          <w:szCs w:val="12"/>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As of the date of this Annual Report on Form 10-K, government-imposed capacity restrictions resulting from COVID-19 have been essentially eliminated across the Company’s markets. Although overall fundamentals at the Centers continued to improve during 2021, the Company expects that the COVID-19 pandemic, including the emergence of new variants, will continue to negatively impact its results for 2022 due, in part, to reduced occupancy relative to pre-COVID levels and additional Anchor closures, among other factors. See “Outlook” in Results of Operations for a further discussion of the forward-looking impact of COVID-19 and the Company’s strategic plan to mitigate the anticipated negative impact on its financial condition and results of operations.</w:t>
      </w:r>
    </w:p>
    <w:p>
      <w:pPr>
        <w:spacing w:after="0" w:line="74"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Company declared a cash dividend of $0.15 per share of its common stock for each quarter in the year ended December 31, 2021. On January 27, 2022, the Company declared a first quarter cash dividend of $0.15 per share of its common stock, which will be paid on March 3, 2022 to stockholders of record on February 18, 2022. The dividend amount will be reviewed by the Board on a quarterly basis.</w:t>
      </w:r>
    </w:p>
    <w:p>
      <w:pPr>
        <w:spacing w:after="0" w:line="70" w:lineRule="exact"/>
        <w:rPr>
          <w:sz w:val="20"/>
          <w:szCs w:val="20"/>
          <w:color w:val="auto"/>
        </w:rPr>
      </w:pPr>
    </w:p>
    <w:p>
      <w:pPr>
        <w:ind w:right="280" w:firstLine="297"/>
        <w:spacing w:after="0" w:line="326" w:lineRule="auto"/>
        <w:rPr>
          <w:sz w:val="20"/>
          <w:szCs w:val="20"/>
          <w:color w:val="auto"/>
        </w:rPr>
      </w:pPr>
      <w:r>
        <w:rPr>
          <w:rFonts w:ascii="Arial" w:cs="Arial" w:eastAsia="Arial" w:hAnsi="Arial"/>
          <w:sz w:val="10"/>
          <w:szCs w:val="10"/>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December 31, 2021, the Company had approximately $151.7 million of gross sales of its common stock available under the March 2021 ATM Program. The February 2021 ATM Program was fully utilized as of June 30, 2021 and is no longer active.</w:t>
      </w:r>
    </w:p>
    <w:p>
      <w:pPr>
        <w:spacing w:after="0" w:line="50"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Shopping Center Industry</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General:</w:t>
      </w:r>
    </w:p>
    <w:p>
      <w:pPr>
        <w:spacing w:after="0" w:line="105" w:lineRule="exact"/>
        <w:rPr>
          <w:sz w:val="20"/>
          <w:szCs w:val="20"/>
          <w:color w:val="auto"/>
        </w:rPr>
      </w:pPr>
    </w:p>
    <w:p>
      <w:pPr>
        <w:ind w:right="180" w:firstLine="297"/>
        <w:spacing w:after="0" w:line="276" w:lineRule="auto"/>
        <w:rPr>
          <w:sz w:val="20"/>
          <w:szCs w:val="20"/>
          <w:color w:val="auto"/>
        </w:rPr>
      </w:pPr>
      <w:r>
        <w:rPr>
          <w:rFonts w:ascii="Arial" w:cs="Arial" w:eastAsia="Arial" w:hAnsi="Arial"/>
          <w:sz w:val="12"/>
          <w:szCs w:val="12"/>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Town Centers" or "Malls." Regional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6" w:right="29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2"/>
          <w:szCs w:val="12"/>
          <w:color w:val="auto"/>
        </w:rPr>
        <w:t>Town Centers also typically contain numerous diversified retail stores ("Mall Stores"), most of which are national or regional retailers typically located along corridors connecting the Anchors. "Strip centers", "urban villages" or "specialty centers" ("Community/Power Shopping Centers") are retail shopping centers that are designed to attract local or neighborhood customers and are typically anchored by one or more supermarkets, discount department stores and/or drug stores. Community/Power Shopping Centers typically contain 100,000 to 400,000 square feet of GLA. Outlet Centers generally contain a wide variety of designer and manufacturer stores, often located in an open-air center, and typically range in size from 200,000 to 850,000 square feet of GLA ("Outlet Centers"). In addition, freestanding retail stores are located along the perimeter of the shopping centers ("Freestanding Stores"). Mall Stores and Freestanding Stores over 10,000 square feet of GLA are also referred to as "Big Box." Anchors, Mall Stores, Freestanding Stores and other tenants typically contribute funds for the maintenance of the common areas, property taxes, insurance, advertising and other expenditures related to the operation of the shopping center.</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Regional Town Centers:</w:t>
      </w:r>
    </w:p>
    <w:p>
      <w:pPr>
        <w:spacing w:after="0" w:line="105" w:lineRule="exact"/>
        <w:rPr>
          <w:sz w:val="20"/>
          <w:szCs w:val="20"/>
          <w:color w:val="auto"/>
        </w:rPr>
      </w:pPr>
    </w:p>
    <w:p>
      <w:pPr>
        <w:ind w:right="20" w:firstLine="297"/>
        <w:spacing w:after="0" w:line="276" w:lineRule="auto"/>
        <w:rPr>
          <w:sz w:val="20"/>
          <w:szCs w:val="20"/>
          <w:color w:val="auto"/>
        </w:rPr>
      </w:pPr>
      <w:r>
        <w:rPr>
          <w:rFonts w:ascii="Arial" w:cs="Arial" w:eastAsia="Arial" w:hAnsi="Arial"/>
          <w:sz w:val="12"/>
          <w:szCs w:val="12"/>
          <w:color w:val="auto"/>
        </w:rPr>
        <w:t>A Regional Town Center draws from its trade area by offering a variety of fashion merchandise, hard goods and services and entertainment, often in an enclosed, climate controlled environment with convenient parking. Regional Town Centers provide an array of retail shops and entertainment facilities and often serve as the town center and a gathering place for community, charity and promotional events.</w:t>
      </w:r>
    </w:p>
    <w:p>
      <w:pPr>
        <w:spacing w:after="0" w:line="70" w:lineRule="exact"/>
        <w:rPr>
          <w:sz w:val="20"/>
          <w:szCs w:val="20"/>
          <w:color w:val="auto"/>
        </w:rPr>
      </w:pPr>
    </w:p>
    <w:p>
      <w:pPr>
        <w:ind w:right="80" w:firstLine="297"/>
        <w:spacing w:after="0" w:line="276" w:lineRule="auto"/>
        <w:rPr>
          <w:sz w:val="20"/>
          <w:szCs w:val="20"/>
          <w:color w:val="auto"/>
        </w:rPr>
      </w:pPr>
      <w:r>
        <w:rPr>
          <w:rFonts w:ascii="Arial" w:cs="Arial" w:eastAsia="Arial" w:hAnsi="Arial"/>
          <w:sz w:val="12"/>
          <w:szCs w:val="12"/>
          <w:color w:val="auto"/>
        </w:rPr>
        <w:t>Regional Town Centers have generally provided owners with relatively stable income despite the cyclical nature of the retail business. This stability is due both to the diversity of tenants and to the typical dominance of Regional Town Centers in their trade areas.</w:t>
      </w:r>
    </w:p>
    <w:p>
      <w:pPr>
        <w:spacing w:after="0" w:line="61"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Regional Town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Town Center.</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of the Company</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Strategy:</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has a long-term four-pronged business strategy that focuses on the acquisition, leasing and management, redevelopment and development of Regional Town Centers.</w:t>
      </w:r>
    </w:p>
    <w:p>
      <w:pPr>
        <w:spacing w:after="0" w:line="105" w:lineRule="exact"/>
        <w:rPr>
          <w:sz w:val="20"/>
          <w:szCs w:val="20"/>
          <w:color w:val="auto"/>
        </w:rPr>
      </w:pPr>
    </w:p>
    <w:p>
      <w:pPr>
        <w:ind w:right="120" w:firstLine="297"/>
        <w:spacing w:after="0" w:line="259" w:lineRule="auto"/>
        <w:rPr>
          <w:sz w:val="20"/>
          <w:szCs w:val="20"/>
          <w:color w:val="auto"/>
        </w:rPr>
      </w:pPr>
      <w:r>
        <w:rPr>
          <w:rFonts w:ascii="Arial" w:cs="Arial" w:eastAsia="Arial" w:hAnsi="Arial"/>
          <w:sz w:val="12"/>
          <w:szCs w:val="12"/>
          <w:i w:val="1"/>
          <w:iCs w:val="1"/>
          <w:color w:val="auto"/>
        </w:rPr>
        <w:t xml:space="preserve">Acquisitions. </w:t>
      </w:r>
      <w:r>
        <w:rPr>
          <w:rFonts w:ascii="Arial" w:cs="Arial" w:eastAsia="Arial" w:hAnsi="Arial"/>
          <w:sz w:val="12"/>
          <w:szCs w:val="12"/>
          <w:color w:val="auto"/>
        </w:rPr>
        <w:t>The Company principally focuses on well-located, quality Regional Town Centers that can be dominant in their trade area and have strong revenue enhancement potential. In addition, the Company pursues other</w:t>
      </w:r>
      <w:r>
        <w:rPr>
          <w:rFonts w:ascii="Arial" w:cs="Arial" w:eastAsia="Arial" w:hAnsi="Arial"/>
          <w:sz w:val="12"/>
          <w:szCs w:val="12"/>
          <w:i w:val="1"/>
          <w:iCs w:val="1"/>
          <w:color w:val="auto"/>
        </w:rPr>
        <w:t xml:space="preserve"> </w:t>
      </w:r>
      <w:r>
        <w:rPr>
          <w:rFonts w:ascii="Arial" w:cs="Arial" w:eastAsia="Arial" w:hAnsi="Arial"/>
          <w:sz w:val="12"/>
          <w:szCs w:val="12"/>
          <w:color w:val="auto"/>
        </w:rPr>
        <w:t>opportunistic acquisitions of property that include retail and will complement the Company's portfolio such as Outlet Centers. The Company subsequently seeks to improve operating performance and returns from these properties through leasing, 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w:t>
      </w:r>
    </w:p>
    <w:p>
      <w:pPr>
        <w:spacing w:after="0" w:line="79" w:lineRule="exact"/>
        <w:rPr>
          <w:sz w:val="20"/>
          <w:szCs w:val="20"/>
          <w:color w:val="auto"/>
        </w:rPr>
      </w:pPr>
    </w:p>
    <w:p>
      <w:pPr>
        <w:ind w:right="160" w:firstLine="297"/>
        <w:spacing w:after="0" w:line="259" w:lineRule="auto"/>
        <w:rPr>
          <w:sz w:val="20"/>
          <w:szCs w:val="20"/>
          <w:color w:val="auto"/>
        </w:rPr>
      </w:pPr>
      <w:r>
        <w:rPr>
          <w:rFonts w:ascii="Arial" w:cs="Arial" w:eastAsia="Arial" w:hAnsi="Arial"/>
          <w:sz w:val="12"/>
          <w:szCs w:val="12"/>
          <w:i w:val="1"/>
          <w:iCs w:val="1"/>
          <w:color w:val="auto"/>
        </w:rPr>
        <w:t xml:space="preserve">Leasing and Management. </w:t>
      </w:r>
      <w:r>
        <w:rPr>
          <w:rFonts w:ascii="Arial" w:cs="Arial" w:eastAsia="Arial" w:hAnsi="Arial"/>
          <w:sz w:val="12"/>
          <w:szCs w:val="12"/>
          <w:color w:val="auto"/>
        </w:rPr>
        <w:t>The Company believes that the shopping center business requires specialized skills across a broad array of disciplines for effective and profitable operations. For this reason, the Company has</w:t>
      </w:r>
      <w:r>
        <w:rPr>
          <w:rFonts w:ascii="Arial" w:cs="Arial" w:eastAsia="Arial" w:hAnsi="Arial"/>
          <w:sz w:val="12"/>
          <w:szCs w:val="12"/>
          <w:i w:val="1"/>
          <w:iCs w:val="1"/>
          <w:color w:val="auto"/>
        </w:rPr>
        <w:t xml:space="preserve"> </w:t>
      </w:r>
      <w:r>
        <w:rPr>
          <w:rFonts w:ascii="Arial" w:cs="Arial" w:eastAsia="Arial" w:hAnsi="Arial"/>
          <w:sz w:val="12"/>
          <w:szCs w:val="12"/>
          <w:color w:val="auto"/>
        </w:rPr>
        <w:t>developed a fully integrated real estate organization with in-house acquisition, accounting, development, finance, information technology, leasing, legal, marketing, property management and redevelopment expertise. In addition, the Company emphasizes a philosophy of 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70" w:lineRule="exact"/>
        <w:rPr>
          <w:sz w:val="20"/>
          <w:szCs w:val="20"/>
          <w:color w:val="auto"/>
        </w:rPr>
      </w:pPr>
    </w:p>
    <w:p>
      <w:pPr>
        <w:ind w:right="140" w:firstLine="297"/>
        <w:spacing w:after="0" w:line="323" w:lineRule="auto"/>
        <w:rPr>
          <w:sz w:val="20"/>
          <w:szCs w:val="20"/>
          <w:color w:val="auto"/>
        </w:rPr>
      </w:pPr>
      <w:r>
        <w:rPr>
          <w:rFonts w:ascii="Arial" w:cs="Arial" w:eastAsia="Arial" w:hAnsi="Arial"/>
          <w:sz w:val="11"/>
          <w:szCs w:val="11"/>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47" w:lineRule="exact"/>
        <w:rPr>
          <w:sz w:val="20"/>
          <w:szCs w:val="20"/>
          <w:color w:val="auto"/>
        </w:rPr>
      </w:pPr>
    </w:p>
    <w:p>
      <w:pPr>
        <w:ind w:right="180" w:firstLine="297"/>
        <w:spacing w:after="0" w:line="276" w:lineRule="auto"/>
        <w:rPr>
          <w:sz w:val="20"/>
          <w:szCs w:val="20"/>
          <w:color w:val="auto"/>
        </w:rPr>
      </w:pPr>
      <w:r>
        <w:rPr>
          <w:rFonts w:ascii="Arial" w:cs="Arial" w:eastAsia="Arial" w:hAnsi="Arial"/>
          <w:sz w:val="12"/>
          <w:szCs w:val="12"/>
          <w:color w:val="auto"/>
        </w:rPr>
        <w:t>The Company generally utilizes regionally located leasing managers to better understand the market and the community in which a Center is located. The Company continually assesses and fine tunes each Center's tenant mix, identifies and replaces underperforming tenants and seeks to optimize existing tenant sizes and configurations.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On a selective basis, the Company provides property management and leasing services for third parties. The Company currently manages two regional town centers and two community centers for third party owners on a fee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basis.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6" w:right="319" w:bottom="1440" w:gutter="0" w:footer="0" w:header="0"/>
        </w:sectPr>
      </w:pPr>
    </w:p>
    <w:bookmarkStart w:id="6" w:name="page7"/>
    <w:bookmarkEnd w:id="6"/>
    <w:p>
      <w:pPr>
        <w:ind w:right="60" w:firstLine="297"/>
        <w:spacing w:after="0" w:line="326" w:lineRule="auto"/>
        <w:rPr>
          <w:sz w:val="20"/>
          <w:szCs w:val="20"/>
          <w:color w:val="auto"/>
        </w:rPr>
      </w:pPr>
      <w:r>
        <w:rPr>
          <w:rFonts w:ascii="Arial" w:cs="Arial" w:eastAsia="Arial" w:hAnsi="Arial"/>
          <w:sz w:val="10"/>
          <w:szCs w:val="10"/>
          <w:i w:val="1"/>
          <w:iCs w:val="1"/>
          <w:color w:val="auto"/>
        </w:rPr>
        <w:t xml:space="preserve">Redevelopment. </w:t>
      </w:r>
      <w:r>
        <w:rPr>
          <w:rFonts w:ascii="Arial" w:cs="Arial" w:eastAsia="Arial" w:hAnsi="Arial"/>
          <w:sz w:val="10"/>
          <w:szCs w:val="10"/>
          <w:color w:val="auto"/>
        </w:rPr>
        <w:t>One of the major components of the Company's growth strategy is its ability to redevelop acquired properties. On a selective basis, the Company's business strategy may include mixed-use densification to</w:t>
      </w:r>
      <w:r>
        <w:rPr>
          <w:rFonts w:ascii="Arial" w:cs="Arial" w:eastAsia="Arial" w:hAnsi="Arial"/>
          <w:sz w:val="10"/>
          <w:szCs w:val="10"/>
          <w:i w:val="1"/>
          <w:iCs w:val="1"/>
          <w:color w:val="auto"/>
        </w:rPr>
        <w:t xml:space="preserve"> </w:t>
      </w:r>
      <w:r>
        <w:rPr>
          <w:rFonts w:ascii="Arial" w:cs="Arial" w:eastAsia="Arial" w:hAnsi="Arial"/>
          <w:sz w:val="10"/>
          <w:szCs w:val="10"/>
          <w:color w:val="auto"/>
        </w:rPr>
        <w:t>maximize space at the Company’s Regional Town Centers, including by developing available land at the Regional Town Centers or by demolishing underperforming department store boxes and redeveloping the land. For this reason, the Company has built a staff of redevelopment 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"Redevelopment and Development Activities" in Recent Developments).</w:t>
      </w:r>
    </w:p>
    <w:p>
      <w:pPr>
        <w:spacing w:after="0" w:line="41"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i w:val="1"/>
          <w:iCs w:val="1"/>
          <w:color w:val="auto"/>
        </w:rPr>
        <w:t xml:space="preserve">Development. </w:t>
      </w:r>
      <w:r>
        <w:rPr>
          <w:rFonts w:ascii="Arial" w:cs="Arial" w:eastAsia="Arial" w:hAnsi="Arial"/>
          <w:sz w:val="12"/>
          <w:szCs w:val="12"/>
          <w:color w:val="auto"/>
        </w:rPr>
        <w:t>The Company pursues ground-up development projects on a selective basis. The Company has supplemented its strong acquisition, operations and redevelopment skills with its ground-up development expertise to</w:t>
      </w:r>
      <w:r>
        <w:rPr>
          <w:rFonts w:ascii="Arial" w:cs="Arial" w:eastAsia="Arial" w:hAnsi="Arial"/>
          <w:sz w:val="12"/>
          <w:szCs w:val="12"/>
          <w:i w:val="1"/>
          <w:iCs w:val="1"/>
          <w:color w:val="auto"/>
        </w:rPr>
        <w:t xml:space="preserve"> </w:t>
      </w:r>
      <w:r>
        <w:rPr>
          <w:rFonts w:ascii="Arial" w:cs="Arial" w:eastAsia="Arial" w:hAnsi="Arial"/>
          <w:sz w:val="12"/>
          <w:szCs w:val="12"/>
          <w:color w:val="auto"/>
        </w:rPr>
        <w:t>further increase growth opportunities.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The Centers:</w:t>
      </w:r>
    </w:p>
    <w:p>
      <w:pPr>
        <w:spacing w:after="0" w:line="105" w:lineRule="exact"/>
        <w:rPr>
          <w:sz w:val="20"/>
          <w:szCs w:val="20"/>
          <w:color w:val="auto"/>
        </w:rPr>
      </w:pPr>
    </w:p>
    <w:p>
      <w:pPr>
        <w:ind w:right="60" w:firstLine="297"/>
        <w:spacing w:after="0" w:line="298" w:lineRule="auto"/>
        <w:rPr>
          <w:sz w:val="20"/>
          <w:szCs w:val="20"/>
          <w:color w:val="auto"/>
        </w:rPr>
      </w:pPr>
      <w:r>
        <w:rPr>
          <w:rFonts w:ascii="Arial" w:cs="Arial" w:eastAsia="Arial" w:hAnsi="Arial"/>
          <w:sz w:val="11"/>
          <w:szCs w:val="11"/>
          <w:color w:val="auto"/>
        </w:rPr>
        <w:t>As of December 31, 2021, the Centers primarily included 44 Regional Town Centers and five Community/Power Shopping Centers totaling approximately 48 million square feet of GLA. These 49 Centers average approximately 911,000 square feet of GLA and range in size from 3.3 million square feet of GLA at Tysons Corner Center to 185,000 square feet of GLA at Boulevard Shops. As of December 31, 2021, the Centers primarily included 163 Anchors totaling approximately 21.8 million square feet of GLA and approximately 5,000 Mall Stores and Freestanding Stores totaling approximately 23.6 million square feet of GLA.</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Competition:</w:t>
      </w:r>
    </w:p>
    <w:p>
      <w:pPr>
        <w:spacing w:after="0" w:line="105" w:lineRule="exact"/>
        <w:rPr>
          <w:sz w:val="20"/>
          <w:szCs w:val="20"/>
          <w:color w:val="auto"/>
        </w:rPr>
      </w:pPr>
    </w:p>
    <w:p>
      <w:pPr>
        <w:ind w:right="20" w:firstLine="297"/>
        <w:spacing w:after="0" w:line="283" w:lineRule="auto"/>
        <w:rPr>
          <w:sz w:val="20"/>
          <w:szCs w:val="20"/>
          <w:color w:val="auto"/>
        </w:rPr>
      </w:pPr>
      <w:r>
        <w:rPr>
          <w:rFonts w:ascii="Arial" w:cs="Arial" w:eastAsia="Arial" w:hAnsi="Arial"/>
          <w:sz w:val="11"/>
          <w:szCs w:val="11"/>
          <w:color w:val="auto"/>
        </w:rPr>
        <w:t>Numerous owners, developers and managers of malls, shopping centers and other retail-oriented real estate compete with the Company for the acquisition of properties and in attracting tenants or Anchors to occupy space. There are a number of other publicly traded mall companies and several large private mall companies in the United States, any of which under certain circumstances could compete against the Company for an Anchor or a tenant. In addition, these companies, as well as other REITs, private real estate companies or investors compete with the Company in terms of property acquisitions. This results in competition both for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outlet centers and online retail shopping that could adversely affect the Company's revenues.</w:t>
      </w:r>
    </w:p>
    <w:p>
      <w:pPr>
        <w:spacing w:after="0" w:line="68"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 effectively for retail tenants in its local markets based on these criteria in light of the overall size, quality and diversity of its Centers.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Major Tenants: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0"/>
          <w:szCs w:val="10"/>
          <w:color w:val="auto"/>
        </w:rPr>
        <w:t>For the year ended December 31, 2021, the Centers derived approximately 72% of their total rents from Mall Stores and Freestanding Stores under 10,000 square feet and 28% of their total rents from Big Box and Anchor tenants.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Total rents as set forth in "Item 1. Business" include minimum rents and percentage rents.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6" w:right="299" w:bottom="1440" w:gutter="0" w:footer="0" w:header="0"/>
        </w:sectPr>
      </w:pPr>
    </w:p>
    <w:bookmarkStart w:id="7" w:name="page8"/>
    <w:bookmarkEnd w:id="7"/>
    <w:p>
      <w:pPr>
        <w:ind w:left="280"/>
        <w:spacing w:after="0"/>
        <w:rPr>
          <w:sz w:val="20"/>
          <w:szCs w:val="20"/>
          <w:color w:val="auto"/>
        </w:rPr>
      </w:pPr>
      <w:r>
        <w:rPr>
          <w:rFonts w:ascii="Arial" w:cs="Arial" w:eastAsia="Arial" w:hAnsi="Arial"/>
          <w:sz w:val="12"/>
          <w:szCs w:val="12"/>
          <w:color w:val="auto"/>
        </w:rPr>
        <w:t>The following retailers (including their subsidiaries) represent the 10 largest tenants in the Centers based upon total rents in place as of December 31,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ind w:left="440"/>
              <w:spacing w:after="0"/>
              <w:rPr>
                <w:sz w:val="20"/>
                <w:szCs w:val="20"/>
                <w:color w:val="auto"/>
              </w:rPr>
            </w:pPr>
            <w:r>
              <w:rPr>
                <w:rFonts w:ascii="Arial" w:cs="Arial" w:eastAsia="Arial" w:hAnsi="Arial"/>
                <w:sz w:val="10"/>
                <w:szCs w:val="10"/>
                <w:b w:val="1"/>
                <w:bCs w:val="1"/>
                <w:color w:val="auto"/>
              </w:rPr>
              <w:t>Number of</w:t>
            </w: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780" w:type="dxa"/>
            <w:vAlign w:val="bottom"/>
          </w:tcPr>
          <w:p>
            <w:pPr>
              <w:spacing w:after="0"/>
              <w:rPr>
                <w:sz w:val="7"/>
                <w:szCs w:val="7"/>
                <w:color w:val="auto"/>
              </w:rPr>
            </w:pPr>
          </w:p>
        </w:tc>
        <w:tc>
          <w:tcPr>
            <w:tcW w:w="80" w:type="dxa"/>
            <w:vAlign w:val="bottom"/>
          </w:tcPr>
          <w:p>
            <w:pPr>
              <w:spacing w:after="0"/>
              <w:rPr>
                <w:sz w:val="7"/>
                <w:szCs w:val="7"/>
                <w:color w:val="auto"/>
              </w:rPr>
            </w:pPr>
          </w:p>
        </w:tc>
        <w:tc>
          <w:tcPr>
            <w:tcW w:w="5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4"/>
              </w:rPr>
              <w:t>Locations</w:t>
            </w:r>
          </w:p>
        </w:tc>
        <w:tc>
          <w:tcPr>
            <w:tcW w:w="1060" w:type="dxa"/>
            <w:vAlign w:val="bottom"/>
            <w:vMerge w:val="restart"/>
          </w:tcPr>
          <w:p>
            <w:pPr>
              <w:jc w:val="right"/>
              <w:ind w:right="22"/>
              <w:spacing w:after="0"/>
              <w:rPr>
                <w:sz w:val="20"/>
                <w:szCs w:val="20"/>
                <w:color w:val="auto"/>
              </w:rPr>
            </w:pPr>
            <w:r>
              <w:rPr>
                <w:rFonts w:ascii="Arial" w:cs="Arial" w:eastAsia="Arial" w:hAnsi="Arial"/>
                <w:sz w:val="10"/>
                <w:szCs w:val="10"/>
                <w:b w:val="1"/>
                <w:bCs w:val="1"/>
                <w:color w:val="auto"/>
              </w:rPr>
              <w:t>% of Total</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78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Tenant</w:t>
            </w:r>
          </w:p>
        </w:tc>
        <w:tc>
          <w:tcPr>
            <w:tcW w:w="80" w:type="dxa"/>
            <w:vAlign w:val="bottom"/>
            <w:vMerge w:val="restart"/>
          </w:tcPr>
          <w:p>
            <w:pPr>
              <w:spacing w:after="0"/>
              <w:rPr>
                <w:sz w:val="7"/>
                <w:szCs w:val="7"/>
                <w:color w:val="auto"/>
              </w:rPr>
            </w:pPr>
          </w:p>
        </w:tc>
        <w:tc>
          <w:tcPr>
            <w:tcW w:w="5100" w:type="dxa"/>
            <w:vAlign w:val="bottom"/>
            <w:vMerge w:val="restart"/>
          </w:tcPr>
          <w:p>
            <w:pPr>
              <w:ind w:left="2400"/>
              <w:spacing w:after="0"/>
              <w:rPr>
                <w:sz w:val="20"/>
                <w:szCs w:val="20"/>
                <w:color w:val="auto"/>
              </w:rPr>
            </w:pPr>
            <w:r>
              <w:rPr>
                <w:rFonts w:ascii="Arial" w:cs="Arial" w:eastAsia="Arial" w:hAnsi="Arial"/>
                <w:sz w:val="10"/>
                <w:szCs w:val="10"/>
                <w:b w:val="1"/>
                <w:bCs w:val="1"/>
                <w:color w:val="auto"/>
              </w:rPr>
              <w:t>Primary DBAs</w:t>
            </w:r>
          </w:p>
        </w:tc>
        <w:tc>
          <w:tcPr>
            <w:tcW w:w="80" w:type="dxa"/>
            <w:vAlign w:val="bottom"/>
            <w:vMerge w:val="restart"/>
          </w:tcPr>
          <w:p>
            <w:pPr>
              <w:spacing w:after="0"/>
              <w:rPr>
                <w:sz w:val="7"/>
                <w:szCs w:val="7"/>
                <w:color w:val="auto"/>
              </w:rPr>
            </w:pPr>
          </w:p>
        </w:tc>
        <w:tc>
          <w:tcPr>
            <w:tcW w:w="112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9"/>
              </w:rPr>
              <w:t>in the</w:t>
            </w:r>
          </w:p>
        </w:tc>
        <w:tc>
          <w:tcPr>
            <w:tcW w:w="10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7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1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Portfolio</w:t>
            </w: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Rents</w:t>
            </w: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8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Best Buy Co., Inc.</w:t>
            </w:r>
          </w:p>
        </w:tc>
        <w:tc>
          <w:tcPr>
            <w:tcW w:w="51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Best Buy</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2.4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60" w:type="dxa"/>
            <w:vAlign w:val="bottom"/>
            <w:gridSpan w:val="2"/>
          </w:tcPr>
          <w:p>
            <w:pPr>
              <w:ind w:left="300"/>
              <w:spacing w:after="0"/>
              <w:rPr>
                <w:sz w:val="20"/>
                <w:szCs w:val="20"/>
                <w:color w:val="auto"/>
              </w:rPr>
            </w:pPr>
            <w:r>
              <w:rPr>
                <w:rFonts w:ascii="Arial" w:cs="Arial" w:eastAsia="Arial" w:hAnsi="Arial"/>
                <w:sz w:val="12"/>
                <w:szCs w:val="12"/>
                <w:color w:val="auto"/>
              </w:rPr>
              <w:t>H &amp; M Hennes &amp; Mauritz L.P.</w:t>
            </w:r>
          </w:p>
        </w:tc>
        <w:tc>
          <w:tcPr>
            <w:tcW w:w="5180" w:type="dxa"/>
            <w:vAlign w:val="bottom"/>
            <w:gridSpan w:val="2"/>
          </w:tcPr>
          <w:p>
            <w:pPr>
              <w:ind w:left="320"/>
              <w:spacing w:after="0"/>
              <w:rPr>
                <w:sz w:val="20"/>
                <w:szCs w:val="20"/>
                <w:color w:val="auto"/>
              </w:rPr>
            </w:pPr>
            <w:r>
              <w:rPr>
                <w:rFonts w:ascii="Arial" w:cs="Arial" w:eastAsia="Arial" w:hAnsi="Arial"/>
                <w:sz w:val="12"/>
                <w:szCs w:val="12"/>
                <w:color w:val="auto"/>
              </w:rPr>
              <w:t>H&amp;M</w:t>
            </w:r>
          </w:p>
        </w:tc>
        <w:tc>
          <w:tcPr>
            <w:tcW w:w="102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1060" w:type="dxa"/>
            <w:vAlign w:val="bottom"/>
          </w:tcPr>
          <w:p>
            <w:pPr>
              <w:jc w:val="right"/>
              <w:ind w:right="202"/>
              <w:spacing w:after="0"/>
              <w:rPr>
                <w:sz w:val="20"/>
                <w:szCs w:val="20"/>
                <w:color w:val="auto"/>
              </w:rPr>
            </w:pPr>
            <w:r>
              <w:rPr>
                <w:rFonts w:ascii="Arial" w:cs="Arial" w:eastAsia="Arial" w:hAnsi="Arial"/>
                <w:sz w:val="12"/>
                <w:szCs w:val="12"/>
                <w:color w:val="auto"/>
              </w:rPr>
              <w:t>2.4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2860" w:type="dxa"/>
            <w:vAlign w:val="bottom"/>
            <w:gridSpan w:val="2"/>
            <w:shd w:val="clear" w:color="auto" w:fill="CCEEFF"/>
          </w:tcPr>
          <w:p>
            <w:pPr>
              <w:ind w:left="300"/>
              <w:spacing w:after="0" w:line="117" w:lineRule="exact"/>
              <w:rPr>
                <w:sz w:val="20"/>
                <w:szCs w:val="20"/>
                <w:color w:val="auto"/>
              </w:rPr>
            </w:pPr>
            <w:r>
              <w:rPr>
                <w:rFonts w:ascii="Arial" w:cs="Arial" w:eastAsia="Arial" w:hAnsi="Arial"/>
                <w:sz w:val="12"/>
                <w:szCs w:val="12"/>
                <w:color w:val="auto"/>
              </w:rPr>
              <w:t>Foot Locker, Inc.</w:t>
            </w:r>
          </w:p>
        </w:tc>
        <w:tc>
          <w:tcPr>
            <w:tcW w:w="5180" w:type="dxa"/>
            <w:vAlign w:val="bottom"/>
            <w:gridSpan w:val="2"/>
            <w:shd w:val="clear" w:color="auto" w:fill="CCEEFF"/>
          </w:tcPr>
          <w:p>
            <w:pPr>
              <w:ind w:left="320"/>
              <w:spacing w:after="0" w:line="117" w:lineRule="exact"/>
              <w:rPr>
                <w:sz w:val="20"/>
                <w:szCs w:val="20"/>
                <w:color w:val="auto"/>
              </w:rPr>
            </w:pPr>
            <w:r>
              <w:rPr>
                <w:rFonts w:ascii="Arial" w:cs="Arial" w:eastAsia="Arial" w:hAnsi="Arial"/>
                <w:sz w:val="12"/>
                <w:szCs w:val="12"/>
                <w:color w:val="auto"/>
                <w:w w:val="94"/>
              </w:rPr>
              <w:t>Champs Sports, Foot Locker, Kids Foot Locker, Lady Foot Locker, Foot Action, House of Hoops,</w:t>
            </w:r>
          </w:p>
        </w:tc>
        <w:tc>
          <w:tcPr>
            <w:tcW w:w="102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71</w:t>
            </w: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202"/>
              <w:spacing w:after="0" w:line="117" w:lineRule="exact"/>
              <w:rPr>
                <w:sz w:val="20"/>
                <w:szCs w:val="20"/>
                <w:color w:val="auto"/>
              </w:rPr>
            </w:pPr>
            <w:r>
              <w:rPr>
                <w:rFonts w:ascii="Arial" w:cs="Arial" w:eastAsia="Arial" w:hAnsi="Arial"/>
                <w:sz w:val="12"/>
                <w:szCs w:val="12"/>
                <w:color w:val="auto"/>
              </w:rPr>
              <w:t>2.3</w:t>
            </w:r>
          </w:p>
        </w:tc>
        <w:tc>
          <w:tcPr>
            <w:tcW w:w="1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and others</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300"/>
              <w:spacing w:after="0"/>
              <w:rPr>
                <w:sz w:val="20"/>
                <w:szCs w:val="20"/>
                <w:color w:val="auto"/>
              </w:rPr>
            </w:pPr>
            <w:r>
              <w:rPr>
                <w:rFonts w:ascii="Arial" w:cs="Arial" w:eastAsia="Arial" w:hAnsi="Arial"/>
                <w:sz w:val="12"/>
                <w:szCs w:val="12"/>
                <w:color w:val="auto"/>
              </w:rPr>
              <w:t>SPARC Group</w:t>
            </w:r>
          </w:p>
        </w:tc>
        <w:tc>
          <w:tcPr>
            <w:tcW w:w="5180" w:type="dxa"/>
            <w:vAlign w:val="bottom"/>
            <w:gridSpan w:val="2"/>
          </w:tcPr>
          <w:p>
            <w:pPr>
              <w:ind w:left="320"/>
              <w:spacing w:after="0"/>
              <w:rPr>
                <w:sz w:val="20"/>
                <w:szCs w:val="20"/>
                <w:color w:val="auto"/>
              </w:rPr>
            </w:pPr>
            <w:r>
              <w:rPr>
                <w:rFonts w:ascii="Arial" w:cs="Arial" w:eastAsia="Arial" w:hAnsi="Arial"/>
                <w:sz w:val="12"/>
                <w:szCs w:val="12"/>
                <w:color w:val="auto"/>
              </w:rPr>
              <w:t>Aeropostale, Brooks Brothers, Eddie Bauer, Forever 21, Lucky Brands, Nautica</w:t>
            </w:r>
          </w:p>
        </w:tc>
        <w:tc>
          <w:tcPr>
            <w:tcW w:w="102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1060" w:type="dxa"/>
            <w:vAlign w:val="bottom"/>
          </w:tcPr>
          <w:p>
            <w:pPr>
              <w:jc w:val="right"/>
              <w:ind w:right="202"/>
              <w:spacing w:after="0"/>
              <w:rPr>
                <w:sz w:val="20"/>
                <w:szCs w:val="20"/>
                <w:color w:val="auto"/>
              </w:rPr>
            </w:pPr>
            <w:r>
              <w:rPr>
                <w:rFonts w:ascii="Arial" w:cs="Arial" w:eastAsia="Arial" w:hAnsi="Arial"/>
                <w:sz w:val="12"/>
                <w:szCs w:val="12"/>
                <w:color w:val="auto"/>
              </w:rPr>
              <w:t>2.1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Victoria's Secret &amp; Co.</w:t>
            </w:r>
          </w:p>
        </w:tc>
        <w:tc>
          <w:tcPr>
            <w:tcW w:w="51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Victoria's Secret, PINK</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2.1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60" w:type="dxa"/>
            <w:vAlign w:val="bottom"/>
            <w:gridSpan w:val="2"/>
          </w:tcPr>
          <w:p>
            <w:pPr>
              <w:ind w:left="300"/>
              <w:spacing w:after="0"/>
              <w:rPr>
                <w:sz w:val="20"/>
                <w:szCs w:val="20"/>
                <w:color w:val="auto"/>
              </w:rPr>
            </w:pPr>
            <w:r>
              <w:rPr>
                <w:rFonts w:ascii="Arial" w:cs="Arial" w:eastAsia="Arial" w:hAnsi="Arial"/>
                <w:sz w:val="12"/>
                <w:szCs w:val="12"/>
                <w:color w:val="auto"/>
              </w:rPr>
              <w:t>Gap, Inc., The</w:t>
            </w:r>
          </w:p>
        </w:tc>
        <w:tc>
          <w:tcPr>
            <w:tcW w:w="5180" w:type="dxa"/>
            <w:vAlign w:val="bottom"/>
            <w:gridSpan w:val="2"/>
          </w:tcPr>
          <w:p>
            <w:pPr>
              <w:ind w:left="320"/>
              <w:spacing w:after="0"/>
              <w:rPr>
                <w:sz w:val="20"/>
                <w:szCs w:val="20"/>
                <w:color w:val="auto"/>
              </w:rPr>
            </w:pPr>
            <w:r>
              <w:rPr>
                <w:rFonts w:ascii="Arial" w:cs="Arial" w:eastAsia="Arial" w:hAnsi="Arial"/>
                <w:sz w:val="12"/>
                <w:szCs w:val="12"/>
                <w:color w:val="auto"/>
              </w:rPr>
              <w:t>Athleta, Banana Republic, Gap, Gap Kids, Old Navy, and others</w:t>
            </w:r>
          </w:p>
        </w:tc>
        <w:tc>
          <w:tcPr>
            <w:tcW w:w="1020" w:type="dxa"/>
            <w:vAlign w:val="bottom"/>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1060" w:type="dxa"/>
            <w:vAlign w:val="bottom"/>
          </w:tcPr>
          <w:p>
            <w:pPr>
              <w:jc w:val="right"/>
              <w:ind w:right="202"/>
              <w:spacing w:after="0"/>
              <w:rPr>
                <w:sz w:val="20"/>
                <w:szCs w:val="20"/>
                <w:color w:val="auto"/>
              </w:rPr>
            </w:pPr>
            <w:r>
              <w:rPr>
                <w:rFonts w:ascii="Arial" w:cs="Arial" w:eastAsia="Arial" w:hAnsi="Arial"/>
                <w:sz w:val="12"/>
                <w:szCs w:val="12"/>
                <w:color w:val="auto"/>
              </w:rPr>
              <w:t>1.9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Signet Jewelers Limited</w:t>
            </w:r>
          </w:p>
        </w:tc>
        <w:tc>
          <w:tcPr>
            <w:tcW w:w="51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Kay Jewelers, Jared, Piercing Pagoda, Zales, and others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60" w:type="dxa"/>
            <w:vAlign w:val="bottom"/>
            <w:gridSpan w:val="2"/>
          </w:tcPr>
          <w:p>
            <w:pPr>
              <w:ind w:left="300"/>
              <w:spacing w:after="0"/>
              <w:rPr>
                <w:sz w:val="20"/>
                <w:szCs w:val="20"/>
                <w:color w:val="auto"/>
              </w:rPr>
            </w:pPr>
            <w:r>
              <w:rPr>
                <w:rFonts w:ascii="Arial" w:cs="Arial" w:eastAsia="Arial" w:hAnsi="Arial"/>
                <w:sz w:val="12"/>
                <w:szCs w:val="12"/>
                <w:color w:val="auto"/>
              </w:rPr>
              <w:t>Dick's Sporting Goods, Inc.</w:t>
            </w:r>
          </w:p>
        </w:tc>
        <w:tc>
          <w:tcPr>
            <w:tcW w:w="5180" w:type="dxa"/>
            <w:vAlign w:val="bottom"/>
            <w:gridSpan w:val="2"/>
          </w:tcPr>
          <w:p>
            <w:pPr>
              <w:ind w:left="320"/>
              <w:spacing w:after="0"/>
              <w:rPr>
                <w:sz w:val="20"/>
                <w:szCs w:val="20"/>
                <w:color w:val="auto"/>
              </w:rPr>
            </w:pPr>
            <w:r>
              <w:rPr>
                <w:rFonts w:ascii="Arial" w:cs="Arial" w:eastAsia="Arial" w:hAnsi="Arial"/>
                <w:sz w:val="12"/>
                <w:szCs w:val="12"/>
                <w:color w:val="auto"/>
              </w:rPr>
              <w:t>Dick's Sporting Goods</w:t>
            </w:r>
          </w:p>
        </w:tc>
        <w:tc>
          <w:tcPr>
            <w:tcW w:w="102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060" w:type="dxa"/>
            <w:vAlign w:val="bottom"/>
          </w:tcPr>
          <w:p>
            <w:pPr>
              <w:jc w:val="right"/>
              <w:ind w:right="202"/>
              <w:spacing w:after="0"/>
              <w:rPr>
                <w:sz w:val="20"/>
                <w:szCs w:val="20"/>
                <w:color w:val="auto"/>
              </w:rPr>
            </w:pPr>
            <w:r>
              <w:rPr>
                <w:rFonts w:ascii="Arial" w:cs="Arial" w:eastAsia="Arial" w:hAnsi="Arial"/>
                <w:sz w:val="12"/>
                <w:szCs w:val="12"/>
                <w:color w:val="auto"/>
              </w:rPr>
              <w:t>1.7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American Eagle Outfitters, Inc.</w:t>
            </w:r>
          </w:p>
        </w:tc>
        <w:tc>
          <w:tcPr>
            <w:tcW w:w="51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American Eagle Outfitters, Aerie</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60" w:type="dxa"/>
            <w:vAlign w:val="bottom"/>
            <w:gridSpan w:val="2"/>
          </w:tcPr>
          <w:p>
            <w:pPr>
              <w:ind w:left="300"/>
              <w:spacing w:after="0"/>
              <w:rPr>
                <w:sz w:val="20"/>
                <w:szCs w:val="20"/>
                <w:color w:val="auto"/>
              </w:rPr>
            </w:pPr>
            <w:r>
              <w:rPr>
                <w:rFonts w:ascii="Arial" w:cs="Arial" w:eastAsia="Arial" w:hAnsi="Arial"/>
                <w:sz w:val="12"/>
                <w:szCs w:val="12"/>
                <w:color w:val="auto"/>
              </w:rPr>
              <w:t>Abercrombie &amp; Fitch Co.</w:t>
            </w:r>
          </w:p>
        </w:tc>
        <w:tc>
          <w:tcPr>
            <w:tcW w:w="5180" w:type="dxa"/>
            <w:vAlign w:val="bottom"/>
            <w:gridSpan w:val="2"/>
          </w:tcPr>
          <w:p>
            <w:pPr>
              <w:ind w:left="320"/>
              <w:spacing w:after="0"/>
              <w:rPr>
                <w:sz w:val="20"/>
                <w:szCs w:val="20"/>
                <w:color w:val="auto"/>
              </w:rPr>
            </w:pPr>
            <w:r>
              <w:rPr>
                <w:rFonts w:ascii="Arial" w:cs="Arial" w:eastAsia="Arial" w:hAnsi="Arial"/>
                <w:sz w:val="12"/>
                <w:szCs w:val="12"/>
                <w:color w:val="auto"/>
              </w:rPr>
              <w:t>Abercrombie &amp; Fitch, Hollister Co.</w:t>
            </w:r>
          </w:p>
        </w:tc>
        <w:tc>
          <w:tcPr>
            <w:tcW w:w="102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1060" w:type="dxa"/>
            <w:vAlign w:val="bottom"/>
          </w:tcPr>
          <w:p>
            <w:pPr>
              <w:jc w:val="right"/>
              <w:ind w:right="202"/>
              <w:spacing w:after="0"/>
              <w:rPr>
                <w:sz w:val="20"/>
                <w:szCs w:val="20"/>
                <w:color w:val="auto"/>
              </w:rPr>
            </w:pPr>
            <w:r>
              <w:rPr>
                <w:rFonts w:ascii="Arial" w:cs="Arial" w:eastAsia="Arial" w:hAnsi="Arial"/>
                <w:sz w:val="12"/>
                <w:szCs w:val="12"/>
                <w:color w:val="auto"/>
              </w:rPr>
              <w:t>1.2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Mall Stores and Freestanding Stores:</w:t>
      </w:r>
    </w:p>
    <w:p>
      <w:pPr>
        <w:spacing w:after="0" w:line="96" w:lineRule="exact"/>
        <w:rPr>
          <w:sz w:val="20"/>
          <w:szCs w:val="20"/>
          <w:color w:val="auto"/>
        </w:rPr>
      </w:pPr>
    </w:p>
    <w:p>
      <w:pPr>
        <w:ind w:right="80" w:firstLine="297"/>
        <w:spacing w:after="0" w:line="259" w:lineRule="auto"/>
        <w:rPr>
          <w:sz w:val="20"/>
          <w:szCs w:val="20"/>
          <w:color w:val="auto"/>
        </w:rPr>
      </w:pPr>
      <w:r>
        <w:rPr>
          <w:rFonts w:ascii="Arial" w:cs="Arial" w:eastAsia="Arial" w:hAnsi="Arial"/>
          <w:sz w:val="12"/>
          <w:szCs w:val="12"/>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generally enters into leases for Mall Stores and Freestanding Stores that also require tenants to pay a stated amount for operating expenses, generally excluding property taxes, regardless of the expenses the Company actually incurs at any Center. However, certain leases for Mall Stores and Freestanding Stores contain provisions that only require tenants to pay their pro rata share of maintenance of the common areas, property taxes, insurance, advertising and other expenditures related to the operations of the Center.</w:t>
      </w:r>
    </w:p>
    <w:p>
      <w:pPr>
        <w:spacing w:after="0" w:line="79" w:lineRule="exact"/>
        <w:rPr>
          <w:sz w:val="20"/>
          <w:szCs w:val="20"/>
          <w:color w:val="auto"/>
        </w:rPr>
      </w:pPr>
    </w:p>
    <w:p>
      <w:pPr>
        <w:ind w:firstLine="297"/>
        <w:spacing w:after="0" w:line="285" w:lineRule="auto"/>
        <w:rPr>
          <w:sz w:val="20"/>
          <w:szCs w:val="20"/>
          <w:color w:val="auto"/>
        </w:rPr>
      </w:pPr>
      <w:r>
        <w:rPr>
          <w:rFonts w:ascii="Arial" w:cs="Arial" w:eastAsia="Arial" w:hAnsi="Arial"/>
          <w:sz w:val="11"/>
          <w:szCs w:val="11"/>
          <w:color w:val="auto"/>
        </w:rPr>
        <w:t>Tenant space of 10,000 square feet and under in the Company's portfolio at December 31, 2021 comprises approximately 63%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Much of the non-Anchor space over 10,000 square feet is not physically connected to the mall, does not share the same common area amenities and does not benefit from the foot traffic in the mall. As a result, space greater than 10,000 square feet has a unique rent structure that is inconsistent with mall space under 10,000 square feet.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6" w:right="299" w:bottom="1440" w:gutter="0" w:footer="0" w:header="0"/>
        </w:sectPr>
      </w:pPr>
    </w:p>
    <w:bookmarkStart w:id="8" w:name="page9"/>
    <w:bookmarkEnd w:id="8"/>
    <w:p>
      <w:pPr>
        <w:ind w:left="280"/>
        <w:spacing w:after="0"/>
        <w:rPr>
          <w:sz w:val="20"/>
          <w:szCs w:val="20"/>
          <w:color w:val="auto"/>
        </w:rPr>
      </w:pPr>
      <w:r>
        <w:rPr>
          <w:rFonts w:ascii="Arial" w:cs="Arial" w:eastAsia="Arial" w:hAnsi="Arial"/>
          <w:sz w:val="12"/>
          <w:szCs w:val="12"/>
          <w:color w:val="auto"/>
        </w:rPr>
        <w:t>The following tables set forth the average base rent per square foot for the Centers, as of December 31 for each of the past five years: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Mall Stores and Freestanding Stores under 10,000 square feet: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82"/>
              </w:rPr>
              <w:t>Avg. Base</w:t>
            </w:r>
          </w:p>
        </w:tc>
        <w:tc>
          <w:tcPr>
            <w:tcW w:w="280" w:type="dxa"/>
            <w:vAlign w:val="bottom"/>
          </w:tcPr>
          <w:p>
            <w:pPr>
              <w:spacing w:after="0"/>
              <w:rPr>
                <w:sz w:val="10"/>
                <w:szCs w:val="1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4"/>
              </w:rPr>
              <w:t>Avg. Base Rent</w:t>
            </w:r>
          </w:p>
        </w:tc>
        <w:tc>
          <w:tcPr>
            <w:tcW w:w="300" w:type="dxa"/>
            <w:vAlign w:val="bottom"/>
          </w:tcPr>
          <w:p>
            <w:pPr>
              <w:spacing w:after="0"/>
              <w:rPr>
                <w:sz w:val="10"/>
                <w:szCs w:val="10"/>
                <w:color w:val="auto"/>
              </w:rPr>
            </w:pPr>
          </w:p>
        </w:tc>
        <w:tc>
          <w:tcPr>
            <w:tcW w:w="1600" w:type="dxa"/>
            <w:vAlign w:val="bottom"/>
          </w:tcPr>
          <w:p>
            <w:pPr>
              <w:jc w:val="center"/>
              <w:ind w:right="243"/>
              <w:spacing w:after="0"/>
              <w:rPr>
                <w:sz w:val="20"/>
                <w:szCs w:val="20"/>
                <w:color w:val="auto"/>
              </w:rPr>
            </w:pPr>
            <w:r>
              <w:rPr>
                <w:rFonts w:ascii="Arial" w:cs="Arial" w:eastAsia="Arial" w:hAnsi="Arial"/>
                <w:sz w:val="10"/>
                <w:szCs w:val="10"/>
                <w:b w:val="1"/>
                <w:bCs w:val="1"/>
                <w:color w:val="auto"/>
                <w:w w:val="84"/>
              </w:rPr>
              <w:t>Avg. Base Rent</w:t>
            </w:r>
          </w:p>
        </w:tc>
        <w:tc>
          <w:tcPr>
            <w:tcW w:w="0" w:type="dxa"/>
            <w:vAlign w:val="bottom"/>
          </w:tcPr>
          <w:p>
            <w:pPr>
              <w:spacing w:after="0"/>
              <w:rPr>
                <w:sz w:val="1"/>
                <w:szCs w:val="1"/>
                <w:color w:val="auto"/>
              </w:rPr>
            </w:pPr>
          </w:p>
        </w:tc>
      </w:tr>
      <w:tr>
        <w:trPr>
          <w:trHeight w:val="90"/>
        </w:trPr>
        <w:tc>
          <w:tcPr>
            <w:tcW w:w="1420" w:type="dxa"/>
            <w:vAlign w:val="bottom"/>
          </w:tcPr>
          <w:p>
            <w:pPr>
              <w:spacing w:after="0"/>
              <w:rPr>
                <w:sz w:val="7"/>
                <w:szCs w:val="7"/>
                <w:color w:val="auto"/>
              </w:rPr>
            </w:pPr>
          </w:p>
        </w:tc>
        <w:tc>
          <w:tcPr>
            <w:tcW w:w="4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70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86"/>
              </w:rPr>
              <w:t>Per Sq. Ft. on</w:t>
            </w:r>
          </w:p>
        </w:tc>
        <w:tc>
          <w:tcPr>
            <w:tcW w:w="300" w:type="dxa"/>
            <w:vAlign w:val="bottom"/>
          </w:tcPr>
          <w:p>
            <w:pPr>
              <w:spacing w:after="0"/>
              <w:rPr>
                <w:sz w:val="7"/>
                <w:szCs w:val="7"/>
                <w:color w:val="auto"/>
              </w:rPr>
            </w:pPr>
          </w:p>
        </w:tc>
        <w:tc>
          <w:tcPr>
            <w:tcW w:w="1600" w:type="dxa"/>
            <w:vAlign w:val="bottom"/>
          </w:tcPr>
          <w:p>
            <w:pPr>
              <w:jc w:val="center"/>
              <w:ind w:right="243"/>
              <w:spacing w:after="0" w:line="90" w:lineRule="exact"/>
              <w:rPr>
                <w:sz w:val="20"/>
                <w:szCs w:val="20"/>
                <w:color w:val="auto"/>
              </w:rPr>
            </w:pPr>
            <w:r>
              <w:rPr>
                <w:rFonts w:ascii="Arial" w:cs="Arial" w:eastAsia="Arial" w:hAnsi="Arial"/>
                <w:sz w:val="10"/>
                <w:szCs w:val="10"/>
                <w:b w:val="1"/>
                <w:bCs w:val="1"/>
                <w:color w:val="auto"/>
                <w:w w:val="84"/>
              </w:rPr>
              <w:t>Per Sq. Ft.</w:t>
            </w:r>
          </w:p>
        </w:tc>
        <w:tc>
          <w:tcPr>
            <w:tcW w:w="0" w:type="dxa"/>
            <w:vAlign w:val="bottom"/>
          </w:tcPr>
          <w:p>
            <w:pPr>
              <w:spacing w:after="0"/>
              <w:rPr>
                <w:sz w:val="1"/>
                <w:szCs w:val="1"/>
                <w:color w:val="auto"/>
              </w:rPr>
            </w:pPr>
          </w:p>
        </w:tc>
      </w:tr>
      <w:tr>
        <w:trPr>
          <w:trHeight w:val="90"/>
        </w:trPr>
        <w:tc>
          <w:tcPr>
            <w:tcW w:w="5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For the Years Ended December 31,</w:t>
            </w:r>
          </w:p>
        </w:tc>
        <w:tc>
          <w:tcPr>
            <w:tcW w:w="260" w:type="dxa"/>
            <w:vAlign w:val="bottom"/>
          </w:tcPr>
          <w:p>
            <w:pPr>
              <w:spacing w:after="0"/>
              <w:rPr>
                <w:sz w:val="7"/>
                <w:szCs w:val="7"/>
                <w:color w:val="auto"/>
              </w:rPr>
            </w:pPr>
          </w:p>
        </w:tc>
        <w:tc>
          <w:tcPr>
            <w:tcW w:w="11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87"/>
              </w:rPr>
              <w:t>Rent Per</w:t>
            </w:r>
          </w:p>
        </w:tc>
        <w:tc>
          <w:tcPr>
            <w:tcW w:w="280" w:type="dxa"/>
            <w:vAlign w:val="bottom"/>
          </w:tcPr>
          <w:p>
            <w:pPr>
              <w:spacing w:after="0"/>
              <w:rPr>
                <w:sz w:val="7"/>
                <w:szCs w:val="7"/>
                <w:color w:val="auto"/>
              </w:rPr>
            </w:pPr>
          </w:p>
        </w:tc>
        <w:tc>
          <w:tcPr>
            <w:tcW w:w="170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83"/>
              </w:rPr>
              <w:t>Leases Executed</w:t>
            </w:r>
          </w:p>
        </w:tc>
        <w:tc>
          <w:tcPr>
            <w:tcW w:w="300" w:type="dxa"/>
            <w:vAlign w:val="bottom"/>
          </w:tcPr>
          <w:p>
            <w:pPr>
              <w:spacing w:after="0"/>
              <w:rPr>
                <w:sz w:val="7"/>
                <w:szCs w:val="7"/>
                <w:color w:val="auto"/>
              </w:rPr>
            </w:pPr>
          </w:p>
        </w:tc>
        <w:tc>
          <w:tcPr>
            <w:tcW w:w="1600" w:type="dxa"/>
            <w:vAlign w:val="bottom"/>
          </w:tcPr>
          <w:p>
            <w:pPr>
              <w:jc w:val="center"/>
              <w:ind w:right="243"/>
              <w:spacing w:after="0" w:line="90" w:lineRule="exact"/>
              <w:rPr>
                <w:sz w:val="20"/>
                <w:szCs w:val="20"/>
                <w:color w:val="auto"/>
              </w:rPr>
            </w:pPr>
            <w:r>
              <w:rPr>
                <w:rFonts w:ascii="Arial" w:cs="Arial" w:eastAsia="Arial" w:hAnsi="Arial"/>
                <w:sz w:val="10"/>
                <w:szCs w:val="10"/>
                <w:b w:val="1"/>
                <w:bCs w:val="1"/>
                <w:color w:val="auto"/>
                <w:w w:val="85"/>
              </w:rPr>
              <w:t>on Leases Expiring</w:t>
            </w:r>
          </w:p>
        </w:tc>
        <w:tc>
          <w:tcPr>
            <w:tcW w:w="0" w:type="dxa"/>
            <w:vAlign w:val="bottom"/>
          </w:tcPr>
          <w:p>
            <w:pPr>
              <w:spacing w:after="0"/>
              <w:rPr>
                <w:sz w:val="1"/>
                <w:szCs w:val="1"/>
                <w:color w:val="auto"/>
              </w:rPr>
            </w:pPr>
          </w:p>
        </w:tc>
      </w:tr>
      <w:tr>
        <w:trPr>
          <w:trHeight w:val="99"/>
        </w:trPr>
        <w:tc>
          <w:tcPr>
            <w:tcW w:w="59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0"/>
              </w:rPr>
              <w:t>Sq. Ft.(1)(2)</w:t>
            </w:r>
          </w:p>
        </w:tc>
        <w:tc>
          <w:tcPr>
            <w:tcW w:w="280" w:type="dxa"/>
            <w:vAlign w:val="bottom"/>
          </w:tcPr>
          <w:p>
            <w:pPr>
              <w:spacing w:after="0"/>
              <w:rPr>
                <w:sz w:val="8"/>
                <w:szCs w:val="8"/>
                <w:color w:val="auto"/>
              </w:rPr>
            </w:pPr>
          </w:p>
        </w:tc>
        <w:tc>
          <w:tcPr>
            <w:tcW w:w="170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8"/>
              </w:rPr>
              <w:t>During the Year(2)(3)</w:t>
            </w:r>
          </w:p>
        </w:tc>
        <w:tc>
          <w:tcPr>
            <w:tcW w:w="300" w:type="dxa"/>
            <w:vAlign w:val="bottom"/>
          </w:tcPr>
          <w:p>
            <w:pPr>
              <w:spacing w:after="0"/>
              <w:rPr>
                <w:sz w:val="8"/>
                <w:szCs w:val="8"/>
                <w:color w:val="auto"/>
              </w:rPr>
            </w:pPr>
          </w:p>
        </w:tc>
        <w:tc>
          <w:tcPr>
            <w:tcW w:w="1600" w:type="dxa"/>
            <w:vAlign w:val="bottom"/>
          </w:tcPr>
          <w:p>
            <w:pPr>
              <w:jc w:val="center"/>
              <w:ind w:right="243"/>
              <w:spacing w:after="0" w:line="99" w:lineRule="exact"/>
              <w:rPr>
                <w:sz w:val="20"/>
                <w:szCs w:val="20"/>
                <w:color w:val="auto"/>
              </w:rPr>
            </w:pPr>
            <w:r>
              <w:rPr>
                <w:rFonts w:ascii="Arial" w:cs="Arial" w:eastAsia="Arial" w:hAnsi="Arial"/>
                <w:sz w:val="10"/>
                <w:szCs w:val="10"/>
                <w:b w:val="1"/>
                <w:bCs w:val="1"/>
                <w:color w:val="auto"/>
                <w:w w:val="90"/>
              </w:rPr>
              <w:t>During the Year(2)(4)</w:t>
            </w: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Consolidated Centers (at the Company's pro rata share):</w:t>
            </w: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2021</w:t>
            </w:r>
          </w:p>
        </w:tc>
        <w:tc>
          <w:tcPr>
            <w:tcW w:w="45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59.86</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56.39</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55.91</w:t>
            </w: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45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48.06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52.60</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2019</w:t>
            </w:r>
          </w:p>
        </w:tc>
        <w:tc>
          <w:tcPr>
            <w:tcW w:w="45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58.76</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53.29</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53.20</w:t>
            </w: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45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54.00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49.07</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2017</w:t>
            </w:r>
          </w:p>
        </w:tc>
        <w:tc>
          <w:tcPr>
            <w:tcW w:w="45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55.08</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57.36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49.61</w:t>
            </w:r>
          </w:p>
        </w:tc>
        <w:tc>
          <w:tcPr>
            <w:tcW w:w="0" w:type="dxa"/>
            <w:vAlign w:val="bottom"/>
          </w:tcPr>
          <w:p>
            <w:pPr>
              <w:spacing w:after="0"/>
              <w:rPr>
                <w:sz w:val="1"/>
                <w:szCs w:val="1"/>
                <w:color w:val="auto"/>
              </w:rPr>
            </w:pPr>
          </w:p>
        </w:tc>
      </w:tr>
      <w:tr>
        <w:trPr>
          <w:trHeight w:val="153"/>
        </w:trPr>
        <w:tc>
          <w:tcPr>
            <w:tcW w:w="5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Unconsolidated Joint Venture Centers (at the Company's pro rata share):</w:t>
            </w: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2021</w:t>
            </w:r>
          </w:p>
        </w:tc>
        <w:tc>
          <w:tcPr>
            <w:tcW w:w="45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66.12</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66.98</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60.48</w:t>
            </w: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45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57.23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52.62</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2019</w:t>
            </w:r>
          </w:p>
        </w:tc>
        <w:tc>
          <w:tcPr>
            <w:tcW w:w="45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65.67</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73.05</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65.22</w:t>
            </w: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45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66.95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59.49</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2017</w:t>
            </w:r>
          </w:p>
        </w:tc>
        <w:tc>
          <w:tcPr>
            <w:tcW w:w="45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60.99</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63.50</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55.50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Big Box and Anchors: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vMerge w:val="restart"/>
          </w:tcPr>
          <w:p>
            <w:pPr>
              <w:jc w:val="center"/>
              <w:ind w:left="343"/>
              <w:spacing w:after="0"/>
              <w:rPr>
                <w:sz w:val="20"/>
                <w:szCs w:val="20"/>
                <w:color w:val="auto"/>
              </w:rPr>
            </w:pPr>
            <w:r>
              <w:rPr>
                <w:rFonts w:ascii="Arial" w:cs="Arial" w:eastAsia="Arial" w:hAnsi="Arial"/>
                <w:sz w:val="10"/>
                <w:szCs w:val="10"/>
                <w:b w:val="1"/>
                <w:bCs w:val="1"/>
                <w:color w:val="auto"/>
                <w:w w:val="84"/>
              </w:rPr>
              <w:t>Avg. Base Rent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Number of</w:t>
            </w:r>
          </w:p>
        </w:tc>
        <w:tc>
          <w:tcPr>
            <w:tcW w:w="280" w:type="dxa"/>
            <w:vAlign w:val="bottom"/>
          </w:tcPr>
          <w:p>
            <w:pPr>
              <w:spacing w:after="0"/>
              <w:rPr>
                <w:sz w:val="10"/>
                <w:szCs w:val="10"/>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84"/>
              </w:rPr>
              <w:t>Avg. Base Rent</w:t>
            </w: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90"/>
        </w:trPr>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20" w:type="dxa"/>
            <w:vAlign w:val="bottom"/>
            <w:vMerge w:val="restart"/>
          </w:tcPr>
          <w:p>
            <w:pPr>
              <w:jc w:val="center"/>
              <w:ind w:left="243"/>
              <w:spacing w:after="0"/>
              <w:rPr>
                <w:sz w:val="20"/>
                <w:szCs w:val="20"/>
                <w:color w:val="auto"/>
              </w:rPr>
            </w:pPr>
            <w:r>
              <w:rPr>
                <w:rFonts w:ascii="Arial" w:cs="Arial" w:eastAsia="Arial" w:hAnsi="Arial"/>
                <w:sz w:val="10"/>
                <w:szCs w:val="10"/>
                <w:b w:val="1"/>
                <w:bCs w:val="1"/>
                <w:color w:val="auto"/>
                <w:w w:val="82"/>
              </w:rPr>
              <w:t>Avg. Base</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2"/>
              </w:rPr>
              <w:t>Leases</w:t>
            </w:r>
          </w:p>
        </w:tc>
        <w:tc>
          <w:tcPr>
            <w:tcW w:w="28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1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76"/>
              </w:rPr>
              <w:t>Leases</w:t>
            </w:r>
          </w:p>
        </w:tc>
        <w:tc>
          <w:tcPr>
            <w:tcW w:w="0" w:type="dxa"/>
            <w:vAlign w:val="bottom"/>
          </w:tcPr>
          <w:p>
            <w:pPr>
              <w:spacing w:after="0"/>
              <w:rPr>
                <w:sz w:val="1"/>
                <w:szCs w:val="1"/>
                <w:color w:val="auto"/>
              </w:rPr>
            </w:pPr>
          </w:p>
        </w:tc>
      </w:tr>
      <w:tr>
        <w:trPr>
          <w:trHeight w:val="90"/>
        </w:trPr>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jc w:val="center"/>
              <w:ind w:left="363"/>
              <w:spacing w:after="0" w:line="90" w:lineRule="exact"/>
              <w:rPr>
                <w:sz w:val="20"/>
                <w:szCs w:val="20"/>
                <w:color w:val="auto"/>
              </w:rPr>
            </w:pPr>
            <w:r>
              <w:rPr>
                <w:rFonts w:ascii="Arial" w:cs="Arial" w:eastAsia="Arial" w:hAnsi="Arial"/>
                <w:sz w:val="10"/>
                <w:szCs w:val="10"/>
                <w:b w:val="1"/>
                <w:bCs w:val="1"/>
                <w:color w:val="auto"/>
                <w:w w:val="86"/>
              </w:rPr>
              <w:t>Per Sq. Ft. on</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0"/>
              </w:rPr>
              <w:t>Executed</w:t>
            </w:r>
          </w:p>
        </w:tc>
        <w:tc>
          <w:tcPr>
            <w:tcW w:w="280" w:type="dxa"/>
            <w:vAlign w:val="bottom"/>
          </w:tcPr>
          <w:p>
            <w:pPr>
              <w:spacing w:after="0"/>
              <w:rPr>
                <w:sz w:val="7"/>
                <w:szCs w:val="7"/>
                <w:color w:val="auto"/>
              </w:rPr>
            </w:pPr>
          </w:p>
        </w:tc>
        <w:tc>
          <w:tcPr>
            <w:tcW w:w="170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88"/>
              </w:rPr>
              <w:t>Per Sq. Ft.</w:t>
            </w:r>
          </w:p>
        </w:tc>
        <w:tc>
          <w:tcPr>
            <w:tcW w:w="11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9"/>
              </w:rPr>
              <w:t>Expiring</w:t>
            </w:r>
          </w:p>
        </w:tc>
        <w:tc>
          <w:tcPr>
            <w:tcW w:w="0" w:type="dxa"/>
            <w:vAlign w:val="bottom"/>
          </w:tcPr>
          <w:p>
            <w:pPr>
              <w:spacing w:after="0"/>
              <w:rPr>
                <w:sz w:val="1"/>
                <w:szCs w:val="1"/>
                <w:color w:val="auto"/>
              </w:rPr>
            </w:pPr>
          </w:p>
        </w:tc>
      </w:tr>
      <w:tr>
        <w:trPr>
          <w:trHeight w:val="90"/>
        </w:trPr>
        <w:tc>
          <w:tcPr>
            <w:tcW w:w="3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For the Years Ended December 31,</w:t>
            </w:r>
          </w:p>
        </w:tc>
        <w:tc>
          <w:tcPr>
            <w:tcW w:w="820" w:type="dxa"/>
            <w:vAlign w:val="bottom"/>
          </w:tcPr>
          <w:p>
            <w:pPr>
              <w:jc w:val="center"/>
              <w:ind w:left="243"/>
              <w:spacing w:after="0" w:line="90" w:lineRule="exact"/>
              <w:rPr>
                <w:sz w:val="20"/>
                <w:szCs w:val="20"/>
                <w:color w:val="auto"/>
              </w:rPr>
            </w:pPr>
            <w:r>
              <w:rPr>
                <w:rFonts w:ascii="Arial" w:cs="Arial" w:eastAsia="Arial" w:hAnsi="Arial"/>
                <w:sz w:val="10"/>
                <w:szCs w:val="10"/>
                <w:b w:val="1"/>
                <w:bCs w:val="1"/>
                <w:color w:val="auto"/>
                <w:w w:val="87"/>
              </w:rPr>
              <w:t>Rent Per</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jc w:val="center"/>
              <w:ind w:left="363"/>
              <w:spacing w:after="0" w:line="90" w:lineRule="exact"/>
              <w:rPr>
                <w:sz w:val="20"/>
                <w:szCs w:val="20"/>
                <w:color w:val="auto"/>
              </w:rPr>
            </w:pPr>
            <w:r>
              <w:rPr>
                <w:rFonts w:ascii="Arial" w:cs="Arial" w:eastAsia="Arial" w:hAnsi="Arial"/>
                <w:sz w:val="10"/>
                <w:szCs w:val="10"/>
                <w:b w:val="1"/>
                <w:bCs w:val="1"/>
                <w:color w:val="auto"/>
                <w:w w:val="83"/>
              </w:rPr>
              <w:t>Leases Executed</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6"/>
              </w:rPr>
              <w:t>During</w:t>
            </w:r>
          </w:p>
        </w:tc>
        <w:tc>
          <w:tcPr>
            <w:tcW w:w="280" w:type="dxa"/>
            <w:vAlign w:val="bottom"/>
          </w:tcPr>
          <w:p>
            <w:pPr>
              <w:spacing w:after="0"/>
              <w:rPr>
                <w:sz w:val="7"/>
                <w:szCs w:val="7"/>
                <w:color w:val="auto"/>
              </w:rPr>
            </w:pPr>
          </w:p>
        </w:tc>
        <w:tc>
          <w:tcPr>
            <w:tcW w:w="170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85"/>
              </w:rPr>
              <w:t>on Leases Expiring</w:t>
            </w:r>
          </w:p>
        </w:tc>
        <w:tc>
          <w:tcPr>
            <w:tcW w:w="11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2"/>
              </w:rPr>
              <w:t>During</w:t>
            </w:r>
          </w:p>
        </w:tc>
        <w:tc>
          <w:tcPr>
            <w:tcW w:w="0" w:type="dxa"/>
            <w:vAlign w:val="bottom"/>
          </w:tcPr>
          <w:p>
            <w:pPr>
              <w:spacing w:after="0"/>
              <w:rPr>
                <w:sz w:val="1"/>
                <w:szCs w:val="1"/>
                <w:color w:val="auto"/>
              </w:rPr>
            </w:pPr>
          </w:p>
        </w:tc>
      </w:tr>
      <w:tr>
        <w:trPr>
          <w:trHeight w:val="99"/>
        </w:trPr>
        <w:tc>
          <w:tcPr>
            <w:tcW w:w="3700" w:type="dxa"/>
            <w:vAlign w:val="bottom"/>
            <w:gridSpan w:val="2"/>
            <w:vMerge w:val="continue"/>
          </w:tcPr>
          <w:p>
            <w:pPr>
              <w:spacing w:after="0"/>
              <w:rPr>
                <w:sz w:val="8"/>
                <w:szCs w:val="8"/>
                <w:color w:val="auto"/>
              </w:rPr>
            </w:pPr>
          </w:p>
        </w:tc>
        <w:tc>
          <w:tcPr>
            <w:tcW w:w="820" w:type="dxa"/>
            <w:vAlign w:val="bottom"/>
          </w:tcPr>
          <w:p>
            <w:pPr>
              <w:jc w:val="center"/>
              <w:ind w:left="263"/>
              <w:spacing w:after="0" w:line="99" w:lineRule="exact"/>
              <w:rPr>
                <w:sz w:val="20"/>
                <w:szCs w:val="20"/>
                <w:color w:val="auto"/>
              </w:rPr>
            </w:pPr>
            <w:r>
              <w:rPr>
                <w:rFonts w:ascii="Arial" w:cs="Arial" w:eastAsia="Arial" w:hAnsi="Arial"/>
                <w:sz w:val="10"/>
                <w:szCs w:val="10"/>
                <w:b w:val="1"/>
                <w:bCs w:val="1"/>
                <w:color w:val="auto"/>
                <w:w w:val="90"/>
              </w:rPr>
              <w:t>Sq. Ft.(1)(2)</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jc w:val="center"/>
              <w:ind w:left="363"/>
              <w:spacing w:after="0" w:line="99" w:lineRule="exact"/>
              <w:rPr>
                <w:sz w:val="20"/>
                <w:szCs w:val="20"/>
                <w:color w:val="auto"/>
              </w:rPr>
            </w:pPr>
            <w:r>
              <w:rPr>
                <w:rFonts w:ascii="Arial" w:cs="Arial" w:eastAsia="Arial" w:hAnsi="Arial"/>
                <w:sz w:val="10"/>
                <w:szCs w:val="10"/>
                <w:b w:val="1"/>
                <w:bCs w:val="1"/>
                <w:color w:val="auto"/>
                <w:w w:val="88"/>
              </w:rPr>
              <w:t>During the Year(2)(3)</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the Year</w:t>
            </w:r>
          </w:p>
        </w:tc>
        <w:tc>
          <w:tcPr>
            <w:tcW w:w="280" w:type="dxa"/>
            <w:vAlign w:val="bottom"/>
          </w:tcPr>
          <w:p>
            <w:pPr>
              <w:spacing w:after="0"/>
              <w:rPr>
                <w:sz w:val="8"/>
                <w:szCs w:val="8"/>
                <w:color w:val="auto"/>
              </w:rPr>
            </w:pPr>
          </w:p>
        </w:tc>
        <w:tc>
          <w:tcPr>
            <w:tcW w:w="170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8"/>
              </w:rPr>
              <w:t>During the Year(2)(4)</w:t>
            </w:r>
          </w:p>
        </w:tc>
        <w:tc>
          <w:tcPr>
            <w:tcW w:w="11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the Year</w:t>
            </w: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Consolidated Centers (at the Company's pro rata share):</w:t>
            </w: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2021</w:t>
            </w:r>
          </w:p>
        </w:tc>
        <w:tc>
          <w:tcPr>
            <w:tcW w:w="22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79"/>
              </w:rPr>
              <w:t>17.26</w:t>
            </w:r>
          </w:p>
        </w:tc>
        <w:tc>
          <w:tcPr>
            <w:tcW w:w="80" w:type="dxa"/>
            <w:vAlign w:val="bottom"/>
          </w:tcPr>
          <w:p>
            <w:pPr>
              <w:spacing w:after="0"/>
              <w:rPr>
                <w:sz w:val="13"/>
                <w:szCs w:val="13"/>
                <w:color w:val="auto"/>
              </w:rPr>
            </w:pPr>
          </w:p>
        </w:tc>
        <w:tc>
          <w:tcPr>
            <w:tcW w:w="1500" w:type="dxa"/>
            <w:vAlign w:val="bottom"/>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11.08</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8.57</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2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17.58</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24.14</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11.03</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2019</w:t>
            </w:r>
          </w:p>
        </w:tc>
        <w:tc>
          <w:tcPr>
            <w:tcW w:w="22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79"/>
              </w:rPr>
              <w:t>16.51</w:t>
            </w:r>
          </w:p>
        </w:tc>
        <w:tc>
          <w:tcPr>
            <w:tcW w:w="80" w:type="dxa"/>
            <w:vAlign w:val="bottom"/>
          </w:tcPr>
          <w:p>
            <w:pPr>
              <w:spacing w:after="0"/>
              <w:rPr>
                <w:sz w:val="13"/>
                <w:szCs w:val="13"/>
                <w:color w:val="auto"/>
              </w:rPr>
            </w:pPr>
          </w:p>
        </w:tc>
        <w:tc>
          <w:tcPr>
            <w:tcW w:w="1500" w:type="dxa"/>
            <w:vAlign w:val="bottom"/>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15.47</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10.37</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2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15.29</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16.83</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2017</w:t>
            </w:r>
          </w:p>
        </w:tc>
        <w:tc>
          <w:tcPr>
            <w:tcW w:w="22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79"/>
              </w:rPr>
              <w:t>14.13</w:t>
            </w:r>
          </w:p>
        </w:tc>
        <w:tc>
          <w:tcPr>
            <w:tcW w:w="80" w:type="dxa"/>
            <w:vAlign w:val="bottom"/>
          </w:tcPr>
          <w:p>
            <w:pPr>
              <w:spacing w:after="0"/>
              <w:rPr>
                <w:sz w:val="13"/>
                <w:szCs w:val="13"/>
                <w:color w:val="auto"/>
              </w:rPr>
            </w:pPr>
          </w:p>
        </w:tc>
        <w:tc>
          <w:tcPr>
            <w:tcW w:w="1500" w:type="dxa"/>
            <w:vAlign w:val="bottom"/>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18.19</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14.85</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53"/>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Unconsolidated Joint Venture Centers (at the Company's pro rata share):</w:t>
            </w: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2021</w:t>
            </w:r>
          </w:p>
        </w:tc>
        <w:tc>
          <w:tcPr>
            <w:tcW w:w="22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79"/>
              </w:rPr>
              <w:t>16.72</w:t>
            </w:r>
          </w:p>
        </w:tc>
        <w:tc>
          <w:tcPr>
            <w:tcW w:w="80" w:type="dxa"/>
            <w:vAlign w:val="bottom"/>
          </w:tcPr>
          <w:p>
            <w:pPr>
              <w:spacing w:after="0"/>
              <w:rPr>
                <w:sz w:val="13"/>
                <w:szCs w:val="13"/>
                <w:color w:val="auto"/>
              </w:rPr>
            </w:pPr>
          </w:p>
        </w:tc>
        <w:tc>
          <w:tcPr>
            <w:tcW w:w="1500" w:type="dxa"/>
            <w:vAlign w:val="bottom"/>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27.71</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37.45</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2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17.18</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39.81</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27.31</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2019</w:t>
            </w:r>
          </w:p>
        </w:tc>
        <w:tc>
          <w:tcPr>
            <w:tcW w:w="22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79"/>
              </w:rPr>
              <w:t>17.20</w:t>
            </w:r>
          </w:p>
        </w:tc>
        <w:tc>
          <w:tcPr>
            <w:tcW w:w="80" w:type="dxa"/>
            <w:vAlign w:val="bottom"/>
          </w:tcPr>
          <w:p>
            <w:pPr>
              <w:spacing w:after="0"/>
              <w:rPr>
                <w:sz w:val="13"/>
                <w:szCs w:val="13"/>
                <w:color w:val="auto"/>
              </w:rPr>
            </w:pPr>
          </w:p>
        </w:tc>
        <w:tc>
          <w:tcPr>
            <w:tcW w:w="1500" w:type="dxa"/>
            <w:vAlign w:val="bottom"/>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25.62</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19.28</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2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17.40</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38.98</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38.20</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1420" w:type="dxa"/>
            <w:vAlign w:val="bottom"/>
          </w:tcPr>
          <w:p>
            <w:pPr>
              <w:spacing w:after="0"/>
              <w:rPr>
                <w:sz w:val="20"/>
                <w:szCs w:val="20"/>
                <w:color w:val="auto"/>
              </w:rPr>
            </w:pPr>
            <w:r>
              <w:rPr>
                <w:rFonts w:ascii="Arial" w:cs="Arial" w:eastAsia="Arial" w:hAnsi="Arial"/>
                <w:sz w:val="12"/>
                <w:szCs w:val="12"/>
                <w:color w:val="auto"/>
              </w:rPr>
              <w:t>2017</w:t>
            </w:r>
          </w:p>
        </w:tc>
        <w:tc>
          <w:tcPr>
            <w:tcW w:w="22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79"/>
              </w:rPr>
              <w:t>16.87</w:t>
            </w:r>
          </w:p>
        </w:tc>
        <w:tc>
          <w:tcPr>
            <w:tcW w:w="80" w:type="dxa"/>
            <w:vAlign w:val="bottom"/>
          </w:tcPr>
          <w:p>
            <w:pPr>
              <w:spacing w:after="0"/>
              <w:rPr>
                <w:sz w:val="13"/>
                <w:szCs w:val="13"/>
                <w:color w:val="auto"/>
              </w:rPr>
            </w:pPr>
          </w:p>
        </w:tc>
        <w:tc>
          <w:tcPr>
            <w:tcW w:w="1500" w:type="dxa"/>
            <w:vAlign w:val="bottom"/>
          </w:tcPr>
          <w:p>
            <w:pPr>
              <w:jc w:val="right"/>
              <w:ind w:right="1363"/>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26.33</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3"/>
              <w:spacing w:after="0"/>
              <w:rPr>
                <w:sz w:val="20"/>
                <w:szCs w:val="20"/>
                <w:color w:val="auto"/>
              </w:rPr>
            </w:pPr>
            <w:r>
              <w:rPr>
                <w:rFonts w:ascii="Arial" w:cs="Arial" w:eastAsia="Arial" w:hAnsi="Arial"/>
                <w:sz w:val="12"/>
                <w:szCs w:val="12"/>
                <w:color w:val="auto"/>
              </w:rPr>
              <w:t>33.25</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w:t>
      </w:r>
    </w:p>
    <w:p>
      <w:pPr>
        <w:spacing w:after="0" w:line="252" w:lineRule="exact"/>
        <w:rPr>
          <w:sz w:val="20"/>
          <w:szCs w:val="20"/>
          <w:color w:val="auto"/>
        </w:rPr>
      </w:pPr>
    </w:p>
    <w:p>
      <w:pPr>
        <w:ind w:left="800" w:right="200" w:hanging="376"/>
        <w:spacing w:after="0" w:line="257" w:lineRule="auto"/>
        <w:tabs>
          <w:tab w:leader="none" w:pos="800" w:val="left"/>
        </w:tabs>
        <w:numPr>
          <w:ilvl w:val="0"/>
          <w:numId w:val="4"/>
        </w:numPr>
        <w:rPr>
          <w:rFonts w:ascii="Arial" w:cs="Arial" w:eastAsia="Arial" w:hAnsi="Arial"/>
          <w:sz w:val="11"/>
          <w:szCs w:val="11"/>
          <w:color w:val="auto"/>
        </w:rPr>
      </w:pPr>
      <w:r>
        <w:rPr>
          <w:rFonts w:ascii="Arial" w:cs="Arial" w:eastAsia="Arial" w:hAnsi="Arial"/>
          <w:sz w:val="11"/>
          <w:szCs w:val="11"/>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80" w:lineRule="exact"/>
        <w:rPr>
          <w:rFonts w:ascii="Arial" w:cs="Arial" w:eastAsia="Arial" w:hAnsi="Arial"/>
          <w:sz w:val="11"/>
          <w:szCs w:val="11"/>
          <w:color w:val="auto"/>
        </w:rPr>
      </w:pPr>
    </w:p>
    <w:p>
      <w:pPr>
        <w:ind w:left="800" w:hanging="376"/>
        <w:spacing w:after="0" w:line="257" w:lineRule="auto"/>
        <w:tabs>
          <w:tab w:leader="none" w:pos="800" w:val="left"/>
        </w:tabs>
        <w:numPr>
          <w:ilvl w:val="0"/>
          <w:numId w:val="4"/>
        </w:numPr>
        <w:rPr>
          <w:rFonts w:ascii="Arial" w:cs="Arial" w:eastAsia="Arial" w:hAnsi="Arial"/>
          <w:sz w:val="11"/>
          <w:szCs w:val="11"/>
          <w:color w:val="auto"/>
        </w:rPr>
      </w:pPr>
      <w:r>
        <w:rPr>
          <w:rFonts w:ascii="Arial" w:cs="Arial" w:eastAsia="Arial" w:hAnsi="Arial"/>
          <w:sz w:val="11"/>
          <w:szCs w:val="11"/>
          <w:color w:val="auto"/>
        </w:rPr>
        <w:t>Centers under development and redevelopment are excluded from average base rents. As a result, the leases for Fashion District Philadelphia, Paradise Valley Mall and One Westside are excluded for the years ended December 31, 2020, 2019, 2018 and 2017. Also, the leases for Paradise Valley Mall and One Westside are excluded for the year ended December 31, 2021.</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6" w:right="339" w:bottom="1440" w:gutter="0" w:footer="0" w:header="0"/>
        </w:sectPr>
      </w:pPr>
    </w:p>
    <w:bookmarkStart w:id="9" w:name="page10"/>
    <w:bookmarkEnd w:id="9"/>
    <w:p>
      <w:pPr>
        <w:ind w:left="800" w:hanging="376"/>
        <w:spacing w:after="0"/>
        <w:tabs>
          <w:tab w:leader="none" w:pos="80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average base rent per square foot on leases executed during the year represents the actual rent paid on a per square foot basis during the first twelve months of the lease.</w:t>
      </w:r>
    </w:p>
    <w:p>
      <w:pPr>
        <w:spacing w:after="0" w:line="89" w:lineRule="exact"/>
        <w:rPr>
          <w:rFonts w:ascii="Arial" w:cs="Arial" w:eastAsia="Arial" w:hAnsi="Arial"/>
          <w:sz w:val="11"/>
          <w:szCs w:val="11"/>
          <w:color w:val="auto"/>
        </w:rPr>
      </w:pPr>
    </w:p>
    <w:p>
      <w:pPr>
        <w:ind w:left="800" w:hanging="376"/>
        <w:spacing w:after="0"/>
        <w:tabs>
          <w:tab w:leader="none" w:pos="80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average base rent per square foot on leases expiring during the year represents the actual rent to be paid on a per square foot basis during the final twelve months of the lease.</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Lease Expirations: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tables show scheduled lease expirations for Centers owned as of December 31, 2021 for the next ten years, assuming that none of the tenants exercise renewal options: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Mall Stores and Freestanding Stores under 10,000 square feet: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left="212"/>
              <w:spacing w:after="0"/>
              <w:rPr>
                <w:sz w:val="20"/>
                <w:szCs w:val="20"/>
                <w:color w:val="auto"/>
              </w:rPr>
            </w:pPr>
            <w:r>
              <w:rPr>
                <w:rFonts w:ascii="Arial" w:cs="Arial" w:eastAsia="Arial" w:hAnsi="Arial"/>
                <w:sz w:val="10"/>
                <w:szCs w:val="10"/>
                <w:b w:val="1"/>
                <w:bCs w:val="1"/>
                <w:color w:val="auto"/>
                <w:w w:val="87"/>
              </w:rPr>
              <w:t>Number of</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8"/>
              </w:rPr>
              <w:t>Approximate</w:t>
            </w:r>
          </w:p>
        </w:tc>
        <w:tc>
          <w:tcPr>
            <w:tcW w:w="1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 of Total Leased</w:t>
            </w:r>
          </w:p>
        </w:tc>
        <w:tc>
          <w:tcPr>
            <w:tcW w:w="220" w:type="dxa"/>
            <w:vAlign w:val="bottom"/>
          </w:tcPr>
          <w:p>
            <w:pPr>
              <w:spacing w:after="0"/>
              <w:rPr>
                <w:sz w:val="10"/>
                <w:szCs w:val="10"/>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86"/>
              </w:rPr>
              <w:t>Ending Base Rent</w:t>
            </w:r>
          </w:p>
        </w:tc>
        <w:tc>
          <w:tcPr>
            <w:tcW w:w="14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 of Base Rent</w:t>
            </w:r>
          </w:p>
        </w:tc>
        <w:tc>
          <w:tcPr>
            <w:tcW w:w="0" w:type="dxa"/>
            <w:vAlign w:val="bottom"/>
          </w:tcPr>
          <w:p>
            <w:pPr>
              <w:spacing w:after="0"/>
              <w:rPr>
                <w:sz w:val="1"/>
                <w:szCs w:val="1"/>
                <w:color w:val="auto"/>
              </w:rPr>
            </w:pPr>
          </w:p>
        </w:tc>
      </w:tr>
      <w:tr>
        <w:trPr>
          <w:trHeight w:val="90"/>
        </w:trPr>
        <w:tc>
          <w:tcPr>
            <w:tcW w:w="3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70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7"/>
              </w:rPr>
              <w:t>GLA Represented</w:t>
            </w: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80" w:type="dxa"/>
            <w:vAlign w:val="bottom"/>
            <w:gridSpan w:val="2"/>
          </w:tcPr>
          <w:p>
            <w:pPr>
              <w:jc w:val="center"/>
              <w:ind w:right="40"/>
              <w:spacing w:after="0" w:line="90" w:lineRule="exact"/>
              <w:rPr>
                <w:sz w:val="20"/>
                <w:szCs w:val="20"/>
                <w:color w:val="auto"/>
              </w:rPr>
            </w:pPr>
            <w:r>
              <w:rPr>
                <w:rFonts w:ascii="Arial" w:cs="Arial" w:eastAsia="Arial" w:hAnsi="Arial"/>
                <w:sz w:val="10"/>
                <w:szCs w:val="10"/>
                <w:b w:val="1"/>
                <w:bCs w:val="1"/>
                <w:color w:val="auto"/>
                <w:w w:val="85"/>
              </w:rPr>
              <w:t>Represented</w:t>
            </w:r>
          </w:p>
        </w:tc>
        <w:tc>
          <w:tcPr>
            <w:tcW w:w="0" w:type="dxa"/>
            <w:vAlign w:val="bottom"/>
          </w:tcPr>
          <w:p>
            <w:pPr>
              <w:spacing w:after="0"/>
              <w:rPr>
                <w:sz w:val="1"/>
                <w:szCs w:val="1"/>
                <w:color w:val="auto"/>
              </w:rPr>
            </w:pPr>
          </w:p>
        </w:tc>
      </w:tr>
      <w:tr>
        <w:trPr>
          <w:trHeight w:val="90"/>
        </w:trPr>
        <w:tc>
          <w:tcPr>
            <w:tcW w:w="3840" w:type="dxa"/>
            <w:vAlign w:val="bottom"/>
            <w:vMerge w:val="restart"/>
          </w:tcPr>
          <w:p>
            <w:pPr>
              <w:spacing w:after="0"/>
              <w:rPr>
                <w:sz w:val="20"/>
                <w:szCs w:val="20"/>
                <w:color w:val="auto"/>
              </w:rPr>
            </w:pPr>
            <w:r>
              <w:rPr>
                <w:rFonts w:ascii="Arial" w:cs="Arial" w:eastAsia="Arial" w:hAnsi="Arial"/>
                <w:sz w:val="10"/>
                <w:szCs w:val="10"/>
                <w:b w:val="1"/>
                <w:bCs w:val="1"/>
                <w:color w:val="auto"/>
              </w:rPr>
              <w:t>Year Ending December 31,</w:t>
            </w:r>
          </w:p>
        </w:tc>
        <w:tc>
          <w:tcPr>
            <w:tcW w:w="100" w:type="dxa"/>
            <w:vAlign w:val="bottom"/>
            <w:vMerge w:val="restart"/>
          </w:tcPr>
          <w:p>
            <w:pPr>
              <w:spacing w:after="0"/>
              <w:rPr>
                <w:sz w:val="7"/>
                <w:szCs w:val="7"/>
                <w:color w:val="auto"/>
              </w:rPr>
            </w:pPr>
          </w:p>
        </w:tc>
        <w:tc>
          <w:tcPr>
            <w:tcW w:w="780" w:type="dxa"/>
            <w:vAlign w:val="bottom"/>
          </w:tcPr>
          <w:p>
            <w:pPr>
              <w:jc w:val="center"/>
              <w:ind w:left="212"/>
              <w:spacing w:after="0" w:line="90" w:lineRule="exact"/>
              <w:rPr>
                <w:sz w:val="20"/>
                <w:szCs w:val="20"/>
                <w:color w:val="auto"/>
              </w:rPr>
            </w:pPr>
            <w:r>
              <w:rPr>
                <w:rFonts w:ascii="Arial" w:cs="Arial" w:eastAsia="Arial" w:hAnsi="Arial"/>
                <w:sz w:val="10"/>
                <w:szCs w:val="10"/>
                <w:b w:val="1"/>
                <w:bCs w:val="1"/>
                <w:color w:val="auto"/>
                <w:w w:val="82"/>
              </w:rPr>
              <w:t>Leases</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8"/>
              </w:rPr>
              <w:t>GLA of Leases</w:t>
            </w:r>
          </w:p>
        </w:tc>
        <w:tc>
          <w:tcPr>
            <w:tcW w:w="170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8"/>
              </w:rPr>
              <w:t>by Expiring</w:t>
            </w:r>
          </w:p>
        </w:tc>
        <w:tc>
          <w:tcPr>
            <w:tcW w:w="220" w:type="dxa"/>
            <w:vAlign w:val="bottom"/>
          </w:tcPr>
          <w:p>
            <w:pPr>
              <w:spacing w:after="0"/>
              <w:rPr>
                <w:sz w:val="7"/>
                <w:szCs w:val="7"/>
                <w:color w:val="auto"/>
              </w:rPr>
            </w:pPr>
          </w:p>
        </w:tc>
        <w:tc>
          <w:tcPr>
            <w:tcW w:w="1380" w:type="dxa"/>
            <w:vAlign w:val="bottom"/>
            <w:gridSpan w:val="2"/>
          </w:tcPr>
          <w:p>
            <w:pPr>
              <w:jc w:val="center"/>
              <w:ind w:right="320"/>
              <w:spacing w:after="0" w:line="90" w:lineRule="exact"/>
              <w:rPr>
                <w:sz w:val="20"/>
                <w:szCs w:val="20"/>
                <w:color w:val="auto"/>
              </w:rPr>
            </w:pPr>
            <w:r>
              <w:rPr>
                <w:rFonts w:ascii="Arial" w:cs="Arial" w:eastAsia="Arial" w:hAnsi="Arial"/>
                <w:sz w:val="10"/>
                <w:szCs w:val="10"/>
                <w:b w:val="1"/>
                <w:bCs w:val="1"/>
                <w:color w:val="auto"/>
                <w:w w:val="87"/>
              </w:rPr>
              <w:t>per Square Foot of</w:t>
            </w:r>
          </w:p>
        </w:tc>
        <w:tc>
          <w:tcPr>
            <w:tcW w:w="1480" w:type="dxa"/>
            <w:vAlign w:val="bottom"/>
            <w:gridSpan w:val="2"/>
          </w:tcPr>
          <w:p>
            <w:pPr>
              <w:jc w:val="center"/>
              <w:ind w:right="40"/>
              <w:spacing w:after="0" w:line="90" w:lineRule="exact"/>
              <w:rPr>
                <w:sz w:val="20"/>
                <w:szCs w:val="20"/>
                <w:color w:val="auto"/>
              </w:rPr>
            </w:pPr>
            <w:r>
              <w:rPr>
                <w:rFonts w:ascii="Arial" w:cs="Arial" w:eastAsia="Arial" w:hAnsi="Arial"/>
                <w:sz w:val="10"/>
                <w:szCs w:val="10"/>
                <w:b w:val="1"/>
                <w:bCs w:val="1"/>
                <w:color w:val="auto"/>
                <w:w w:val="88"/>
              </w:rPr>
              <w:t>by Expiring</w:t>
            </w:r>
          </w:p>
        </w:tc>
        <w:tc>
          <w:tcPr>
            <w:tcW w:w="0" w:type="dxa"/>
            <w:vAlign w:val="bottom"/>
          </w:tcPr>
          <w:p>
            <w:pPr>
              <w:spacing w:after="0"/>
              <w:rPr>
                <w:sz w:val="1"/>
                <w:szCs w:val="1"/>
                <w:color w:val="auto"/>
              </w:rPr>
            </w:pPr>
          </w:p>
        </w:tc>
      </w:tr>
      <w:tr>
        <w:trPr>
          <w:trHeight w:val="125"/>
        </w:trPr>
        <w:tc>
          <w:tcPr>
            <w:tcW w:w="38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780" w:type="dxa"/>
            <w:vAlign w:val="bottom"/>
            <w:tcBorders>
              <w:bottom w:val="single" w:sz="8" w:color="auto"/>
            </w:tcBorders>
          </w:tcPr>
          <w:p>
            <w:pPr>
              <w:jc w:val="center"/>
              <w:ind w:left="212"/>
              <w:spacing w:after="0"/>
              <w:rPr>
                <w:sz w:val="20"/>
                <w:szCs w:val="20"/>
                <w:color w:val="auto"/>
              </w:rPr>
            </w:pPr>
            <w:r>
              <w:rPr>
                <w:rFonts w:ascii="Arial" w:cs="Arial" w:eastAsia="Arial" w:hAnsi="Arial"/>
                <w:sz w:val="10"/>
                <w:szCs w:val="10"/>
                <w:b w:val="1"/>
                <w:bCs w:val="1"/>
                <w:color w:val="auto"/>
                <w:w w:val="89"/>
              </w:rPr>
              <w:t>Expiring</w:t>
            </w: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Expiring(1)</w:t>
            </w:r>
          </w:p>
        </w:tc>
        <w:tc>
          <w:tcPr>
            <w:tcW w:w="100" w:type="dxa"/>
            <w:vAlign w:val="bottom"/>
            <w:tcBorders>
              <w:bottom w:val="single" w:sz="8" w:color="CCEEFF"/>
            </w:tcBorders>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Leases(1)</w:t>
            </w: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0"/>
                <w:szCs w:val="10"/>
                <w:b w:val="1"/>
                <w:bCs w:val="1"/>
                <w:color w:val="auto"/>
                <w:w w:val="87"/>
              </w:rPr>
              <w:t>Expiring Leases(1)</w:t>
            </w:r>
          </w:p>
        </w:tc>
        <w:tc>
          <w:tcPr>
            <w:tcW w:w="10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Leases(1)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Consolidated Centers (at the Company's pro rata share):</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2022</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367</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695,067</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18.39 %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57.87</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16.21 %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295</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592,688</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15.68 %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53.98</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12.89 %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278</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612,556</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16.20 %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65.95</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16.28 %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188</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407,217</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10.77 %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73.48</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156</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437,482</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11.57 %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71.20</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12.55 %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108</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259,836</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76.32</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2028</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191,970</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5.08 %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73.06</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5.65 %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2029</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253,132</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6.70 %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72.63</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2030</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187,583</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4.96 %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60.89</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4.60 %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2031</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94,495</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63.14</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40" w:type="dxa"/>
            <w:vAlign w:val="bottom"/>
            <w:gridSpan w:val="2"/>
          </w:tcPr>
          <w:p>
            <w:pPr>
              <w:spacing w:after="0"/>
              <w:rPr>
                <w:sz w:val="20"/>
                <w:szCs w:val="20"/>
                <w:color w:val="auto"/>
              </w:rPr>
            </w:pPr>
            <w:r>
              <w:rPr>
                <w:rFonts w:ascii="Arial" w:cs="Arial" w:eastAsia="Arial" w:hAnsi="Arial"/>
                <w:sz w:val="12"/>
                <w:szCs w:val="12"/>
                <w:color w:val="auto"/>
              </w:rPr>
              <w:t>Unconsolidated Joint Venture Centers (at the Company's pro rata share):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233</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263,995</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63.61</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2023</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179</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276,752</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14.68 %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60.31</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11.99 %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188</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252,397</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69.24</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12.55 %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156</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215,375</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11.42 %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74.89</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11.58 %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176</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250,251</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13.27 %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79.86</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14.35 %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2027</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111</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177,893</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9.44 %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80.52</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10.29 %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2028</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103</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166,510</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8.83 %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85.76</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89,764</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4.76 %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83.41</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5.38 %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2030</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80,683</w:t>
            </w: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91.83</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2031</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68,514</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3.63 %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73.26</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3.61 %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0"/>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662"/>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Big Boxes and Anchors: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ind w:left="172"/>
              <w:spacing w:after="0"/>
              <w:rPr>
                <w:sz w:val="20"/>
                <w:szCs w:val="20"/>
                <w:color w:val="auto"/>
              </w:rPr>
            </w:pPr>
            <w:r>
              <w:rPr>
                <w:rFonts w:ascii="Arial" w:cs="Arial" w:eastAsia="Arial" w:hAnsi="Arial"/>
                <w:sz w:val="10"/>
                <w:szCs w:val="10"/>
                <w:b w:val="1"/>
                <w:bCs w:val="1"/>
                <w:color w:val="auto"/>
                <w:w w:val="87"/>
              </w:rPr>
              <w:t>Number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8"/>
              </w:rPr>
              <w:t>Approximate</w:t>
            </w:r>
          </w:p>
        </w:tc>
        <w:tc>
          <w:tcPr>
            <w:tcW w:w="1180" w:type="dxa"/>
            <w:vAlign w:val="bottom"/>
          </w:tcPr>
          <w:p>
            <w:pPr>
              <w:jc w:val="center"/>
              <w:ind w:left="392"/>
              <w:spacing w:after="0"/>
              <w:rPr>
                <w:sz w:val="20"/>
                <w:szCs w:val="20"/>
                <w:color w:val="auto"/>
              </w:rPr>
            </w:pPr>
            <w:r>
              <w:rPr>
                <w:rFonts w:ascii="Arial" w:cs="Arial" w:eastAsia="Arial" w:hAnsi="Arial"/>
                <w:sz w:val="10"/>
                <w:szCs w:val="10"/>
                <w:b w:val="1"/>
                <w:bCs w:val="1"/>
                <w:color w:val="auto"/>
                <w:w w:val="86"/>
              </w:rPr>
              <w:t>% of Total Leased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86"/>
              </w:rPr>
              <w:t>Ending Base Rent</w:t>
            </w:r>
          </w:p>
        </w:tc>
        <w:tc>
          <w:tcPr>
            <w:tcW w:w="1440" w:type="dxa"/>
            <w:vAlign w:val="bottom"/>
          </w:tcPr>
          <w:p>
            <w:pPr>
              <w:jc w:val="center"/>
              <w:spacing w:after="0"/>
              <w:rPr>
                <w:sz w:val="20"/>
                <w:szCs w:val="20"/>
                <w:color w:val="auto"/>
              </w:rPr>
            </w:pPr>
            <w:r>
              <w:rPr>
                <w:rFonts w:ascii="Arial" w:cs="Arial" w:eastAsia="Arial" w:hAnsi="Arial"/>
                <w:sz w:val="10"/>
                <w:szCs w:val="10"/>
                <w:b w:val="1"/>
                <w:bCs w:val="1"/>
                <w:color w:val="auto"/>
                <w:w w:val="87"/>
              </w:rPr>
              <w:t>% of Base Rent</w:t>
            </w:r>
          </w:p>
        </w:tc>
        <w:tc>
          <w:tcPr>
            <w:tcW w:w="0" w:type="dxa"/>
            <w:vAlign w:val="bottom"/>
          </w:tcPr>
          <w:p>
            <w:pPr>
              <w:spacing w:after="0"/>
              <w:rPr>
                <w:sz w:val="1"/>
                <w:szCs w:val="1"/>
                <w:color w:val="auto"/>
              </w:rPr>
            </w:pPr>
          </w:p>
        </w:tc>
      </w:tr>
      <w:tr>
        <w:trPr>
          <w:trHeight w:val="90"/>
        </w:trPr>
        <w:tc>
          <w:tcPr>
            <w:tcW w:w="3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18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87"/>
              </w:rPr>
              <w:t>GLA Represented</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5"/>
              </w:rPr>
              <w:t>Represented</w:t>
            </w:r>
          </w:p>
        </w:tc>
        <w:tc>
          <w:tcPr>
            <w:tcW w:w="0" w:type="dxa"/>
            <w:vAlign w:val="bottom"/>
          </w:tcPr>
          <w:p>
            <w:pPr>
              <w:spacing w:after="0"/>
              <w:rPr>
                <w:sz w:val="1"/>
                <w:szCs w:val="1"/>
                <w:color w:val="auto"/>
              </w:rPr>
            </w:pPr>
          </w:p>
        </w:tc>
      </w:tr>
      <w:tr>
        <w:trPr>
          <w:trHeight w:val="90"/>
        </w:trPr>
        <w:tc>
          <w:tcPr>
            <w:tcW w:w="3840" w:type="dxa"/>
            <w:vAlign w:val="bottom"/>
            <w:vMerge w:val="restart"/>
          </w:tcPr>
          <w:p>
            <w:pPr>
              <w:spacing w:after="0"/>
              <w:rPr>
                <w:sz w:val="20"/>
                <w:szCs w:val="20"/>
                <w:color w:val="auto"/>
              </w:rPr>
            </w:pPr>
            <w:r>
              <w:rPr>
                <w:rFonts w:ascii="Arial" w:cs="Arial" w:eastAsia="Arial" w:hAnsi="Arial"/>
                <w:sz w:val="10"/>
                <w:szCs w:val="10"/>
                <w:b w:val="1"/>
                <w:bCs w:val="1"/>
                <w:color w:val="auto"/>
              </w:rPr>
              <w:t>Year Ending December 31,</w:t>
            </w:r>
          </w:p>
        </w:tc>
        <w:tc>
          <w:tcPr>
            <w:tcW w:w="100" w:type="dxa"/>
            <w:vAlign w:val="bottom"/>
            <w:vMerge w:val="restart"/>
          </w:tcPr>
          <w:p>
            <w:pPr>
              <w:spacing w:after="0"/>
              <w:rPr>
                <w:sz w:val="7"/>
                <w:szCs w:val="7"/>
                <w:color w:val="auto"/>
              </w:rPr>
            </w:pPr>
          </w:p>
        </w:tc>
        <w:tc>
          <w:tcPr>
            <w:tcW w:w="820" w:type="dxa"/>
            <w:vAlign w:val="bottom"/>
          </w:tcPr>
          <w:p>
            <w:pPr>
              <w:jc w:val="center"/>
              <w:ind w:left="172"/>
              <w:spacing w:after="0" w:line="90" w:lineRule="exact"/>
              <w:rPr>
                <w:sz w:val="20"/>
                <w:szCs w:val="20"/>
                <w:color w:val="auto"/>
              </w:rPr>
            </w:pPr>
            <w:r>
              <w:rPr>
                <w:rFonts w:ascii="Arial" w:cs="Arial" w:eastAsia="Arial" w:hAnsi="Arial"/>
                <w:sz w:val="10"/>
                <w:szCs w:val="10"/>
                <w:b w:val="1"/>
                <w:bCs w:val="1"/>
                <w:color w:val="auto"/>
                <w:w w:val="82"/>
              </w:rPr>
              <w:t>Leases</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8"/>
              </w:rPr>
              <w:t>GLA of Leases</w:t>
            </w:r>
          </w:p>
        </w:tc>
        <w:tc>
          <w:tcPr>
            <w:tcW w:w="1180" w:type="dxa"/>
            <w:vAlign w:val="bottom"/>
          </w:tcPr>
          <w:p>
            <w:pPr>
              <w:jc w:val="center"/>
              <w:ind w:left="372"/>
              <w:spacing w:after="0" w:line="90" w:lineRule="exact"/>
              <w:rPr>
                <w:sz w:val="20"/>
                <w:szCs w:val="20"/>
                <w:color w:val="auto"/>
              </w:rPr>
            </w:pPr>
            <w:r>
              <w:rPr>
                <w:rFonts w:ascii="Arial" w:cs="Arial" w:eastAsia="Arial" w:hAnsi="Arial"/>
                <w:sz w:val="10"/>
                <w:szCs w:val="10"/>
                <w:b w:val="1"/>
                <w:bCs w:val="1"/>
                <w:color w:val="auto"/>
                <w:w w:val="88"/>
              </w:rPr>
              <w:t>by Expiring</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tcPr>
          <w:p>
            <w:pPr>
              <w:jc w:val="center"/>
              <w:ind w:right="320"/>
              <w:spacing w:after="0" w:line="90" w:lineRule="exact"/>
              <w:rPr>
                <w:sz w:val="20"/>
                <w:szCs w:val="20"/>
                <w:color w:val="auto"/>
              </w:rPr>
            </w:pPr>
            <w:r>
              <w:rPr>
                <w:rFonts w:ascii="Arial" w:cs="Arial" w:eastAsia="Arial" w:hAnsi="Arial"/>
                <w:sz w:val="10"/>
                <w:szCs w:val="10"/>
                <w:b w:val="1"/>
                <w:bCs w:val="1"/>
                <w:color w:val="auto"/>
                <w:w w:val="87"/>
              </w:rPr>
              <w:t>per Square Foot of</w:t>
            </w:r>
          </w:p>
        </w:tc>
        <w:tc>
          <w:tcPr>
            <w:tcW w:w="14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8"/>
              </w:rPr>
              <w:t>by Expiring</w:t>
            </w:r>
          </w:p>
        </w:tc>
        <w:tc>
          <w:tcPr>
            <w:tcW w:w="0" w:type="dxa"/>
            <w:vAlign w:val="bottom"/>
          </w:tcPr>
          <w:p>
            <w:pPr>
              <w:spacing w:after="0"/>
              <w:rPr>
                <w:sz w:val="1"/>
                <w:szCs w:val="1"/>
                <w:color w:val="auto"/>
              </w:rPr>
            </w:pPr>
          </w:p>
        </w:tc>
      </w:tr>
      <w:tr>
        <w:trPr>
          <w:trHeight w:val="125"/>
        </w:trPr>
        <w:tc>
          <w:tcPr>
            <w:tcW w:w="38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20" w:type="dxa"/>
            <w:vAlign w:val="bottom"/>
            <w:tcBorders>
              <w:bottom w:val="single" w:sz="8" w:color="auto"/>
            </w:tcBorders>
          </w:tcPr>
          <w:p>
            <w:pPr>
              <w:jc w:val="center"/>
              <w:ind w:left="172"/>
              <w:spacing w:after="0"/>
              <w:rPr>
                <w:sz w:val="20"/>
                <w:szCs w:val="20"/>
                <w:color w:val="auto"/>
              </w:rPr>
            </w:pPr>
            <w:r>
              <w:rPr>
                <w:rFonts w:ascii="Arial" w:cs="Arial" w:eastAsia="Arial" w:hAnsi="Arial"/>
                <w:sz w:val="10"/>
                <w:szCs w:val="10"/>
                <w:b w:val="1"/>
                <w:bCs w:val="1"/>
                <w:color w:val="auto"/>
                <w:w w:val="89"/>
              </w:rPr>
              <w:t>Expiring</w:t>
            </w: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Expiring(1)</w:t>
            </w:r>
          </w:p>
        </w:tc>
        <w:tc>
          <w:tcPr>
            <w:tcW w:w="100" w:type="dxa"/>
            <w:vAlign w:val="bottom"/>
            <w:tcBorders>
              <w:bottom w:val="single" w:sz="8" w:color="CCEEFF"/>
            </w:tcBorders>
          </w:tcPr>
          <w:p>
            <w:pPr>
              <w:spacing w:after="0"/>
              <w:rPr>
                <w:sz w:val="10"/>
                <w:szCs w:val="10"/>
                <w:color w:val="auto"/>
              </w:rPr>
            </w:pPr>
          </w:p>
        </w:tc>
        <w:tc>
          <w:tcPr>
            <w:tcW w:w="1180" w:type="dxa"/>
            <w:vAlign w:val="bottom"/>
            <w:tcBorders>
              <w:bottom w:val="single" w:sz="8" w:color="auto"/>
            </w:tcBorders>
          </w:tcPr>
          <w:p>
            <w:pPr>
              <w:jc w:val="center"/>
              <w:ind w:left="392"/>
              <w:spacing w:after="0"/>
              <w:rPr>
                <w:sz w:val="20"/>
                <w:szCs w:val="20"/>
                <w:color w:val="auto"/>
              </w:rPr>
            </w:pPr>
            <w:r>
              <w:rPr>
                <w:rFonts w:ascii="Arial" w:cs="Arial" w:eastAsia="Arial" w:hAnsi="Arial"/>
                <w:sz w:val="10"/>
                <w:szCs w:val="10"/>
                <w:b w:val="1"/>
                <w:bCs w:val="1"/>
                <w:color w:val="auto"/>
                <w:w w:val="82"/>
              </w:rPr>
              <w:t>Leases(1)</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0"/>
                <w:szCs w:val="10"/>
                <w:b w:val="1"/>
                <w:bCs w:val="1"/>
                <w:color w:val="auto"/>
                <w:w w:val="87"/>
              </w:rPr>
              <w:t>Expiring Leases(1)</w:t>
            </w:r>
          </w:p>
        </w:tc>
        <w:tc>
          <w:tcPr>
            <w:tcW w:w="10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Leases(1)</w:t>
            </w:r>
          </w:p>
        </w:tc>
        <w:tc>
          <w:tcPr>
            <w:tcW w:w="0" w:type="dxa"/>
            <w:vAlign w:val="bottom"/>
          </w:tcPr>
          <w:p>
            <w:pPr>
              <w:spacing w:after="0"/>
              <w:rPr>
                <w:sz w:val="1"/>
                <w:szCs w:val="1"/>
                <w:color w:val="auto"/>
              </w:rPr>
            </w:pPr>
          </w:p>
        </w:tc>
      </w:tr>
      <w:tr>
        <w:trPr>
          <w:trHeight w:val="143"/>
        </w:trPr>
        <w:tc>
          <w:tcPr>
            <w:tcW w:w="3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Consolidated Centers (at the Company's pro rata share):</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2022</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413,323</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5.05 %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32.15</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8.58 %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648,519</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18.65</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2024</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673,305</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8.22 %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25.45</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11.06 %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1,154,741</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14.10 %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13.38</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2026</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1,573,930</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0"/>
              </w:rPr>
              <w:t>19.21 %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10.83 %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892,515</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10.90 %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24.72</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14.24 %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2028</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794,611</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9.70 %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16.67</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8.55 %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2029</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199,553</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23.11</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2030</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291,507</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3.56 %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19.24</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3.62 %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2031</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411,117</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22.39</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5.94 %</w:t>
            </w:r>
          </w:p>
        </w:tc>
        <w:tc>
          <w:tcPr>
            <w:tcW w:w="0" w:type="dxa"/>
            <w:vAlign w:val="bottom"/>
          </w:tcPr>
          <w:p>
            <w:pPr>
              <w:spacing w:after="0"/>
              <w:rPr>
                <w:sz w:val="1"/>
                <w:szCs w:val="1"/>
                <w:color w:val="auto"/>
              </w:rPr>
            </w:pPr>
          </w:p>
        </w:tc>
      </w:tr>
      <w:tr>
        <w:trPr>
          <w:trHeight w:val="153"/>
        </w:trPr>
        <w:tc>
          <w:tcPr>
            <w:tcW w:w="3940" w:type="dxa"/>
            <w:vAlign w:val="bottom"/>
            <w:gridSpan w:val="2"/>
          </w:tcPr>
          <w:p>
            <w:pPr>
              <w:spacing w:after="0"/>
              <w:rPr>
                <w:sz w:val="20"/>
                <w:szCs w:val="20"/>
                <w:color w:val="auto"/>
              </w:rPr>
            </w:pPr>
            <w:r>
              <w:rPr>
                <w:rFonts w:ascii="Arial" w:cs="Arial" w:eastAsia="Arial" w:hAnsi="Arial"/>
                <w:sz w:val="12"/>
                <w:szCs w:val="12"/>
                <w:color w:val="auto"/>
              </w:rPr>
              <w:t>Unconsolidated Joint Venture Centers (at the Company's pro rata share):</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311,535</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15.81</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2023</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239,180</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6.58 %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27.50</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9.88 %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297,123</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36.03</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16.08 %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2025</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747,922</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0"/>
              </w:rPr>
              <w:t>20.57 %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10.92</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12.27 %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324,360</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30.82</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15.02 %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2027</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222,406</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6.12 %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25.71</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8.59 %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2028</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462,853</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12.73 %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8.58 %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2029</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284,559</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7.82 %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13.07</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5.59 %</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2030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251,601</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2.12 %</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2031</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295,933</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8.14 %</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11.21</w:t>
            </w:r>
          </w:p>
        </w:tc>
        <w:tc>
          <w:tcPr>
            <w:tcW w:w="1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4.98 %</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261" w:lineRule="exact"/>
        <w:rPr>
          <w:sz w:val="20"/>
          <w:szCs w:val="20"/>
          <w:color w:val="auto"/>
        </w:rPr>
      </w:pPr>
    </w:p>
    <w:p>
      <w:pPr>
        <w:ind w:left="800" w:hanging="376"/>
        <w:spacing w:after="0"/>
        <w:tabs>
          <w:tab w:leader="none" w:pos="80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ending base rent per square foot on leases expiring during the period represents the final year minimum rent, on a cash basis, for tenant leases expiring during the year.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Anchors:</w:t>
      </w:r>
    </w:p>
    <w:p>
      <w:pPr>
        <w:spacing w:after="0" w:line="105"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Anchors have traditionally been a major factor in the public's identification with Regional Town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77" w:lineRule="exact"/>
        <w:rPr>
          <w:sz w:val="20"/>
          <w:szCs w:val="20"/>
          <w:color w:val="auto"/>
        </w:rPr>
      </w:pPr>
    </w:p>
    <w:p>
      <w:pPr>
        <w:jc w:val="both"/>
        <w:ind w:right="60" w:firstLine="297"/>
        <w:spacing w:after="0" w:line="263" w:lineRule="auto"/>
        <w:rPr>
          <w:sz w:val="20"/>
          <w:szCs w:val="20"/>
          <w:color w:val="auto"/>
        </w:rPr>
      </w:pPr>
      <w:r>
        <w:rPr>
          <w:rFonts w:ascii="Arial" w:cs="Arial" w:eastAsia="Arial" w:hAnsi="Arial"/>
          <w:sz w:val="12"/>
          <w:szCs w:val="12"/>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Anchors accounted for approximately 6.4% of the Company's total rents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2" w:right="339" w:bottom="1440" w:gutter="0" w:footer="0" w:header="0"/>
        </w:sectPr>
      </w:pPr>
    </w:p>
    <w:bookmarkStart w:id="11" w:name="page12"/>
    <w:bookmarkEnd w:id="11"/>
    <w:p>
      <w:pPr>
        <w:ind w:left="280"/>
        <w:spacing w:after="0"/>
        <w:rPr>
          <w:sz w:val="20"/>
          <w:szCs w:val="20"/>
          <w:color w:val="auto"/>
        </w:rPr>
      </w:pPr>
      <w:r>
        <w:rPr>
          <w:rFonts w:ascii="Arial" w:cs="Arial" w:eastAsia="Arial" w:hAnsi="Arial"/>
          <w:sz w:val="10"/>
          <w:szCs w:val="10"/>
          <w:color w:val="auto"/>
        </w:rPr>
        <w:t>The following table identifies each Anchor, each parent company that owns multiple Anchors and the number of square feet owned or leased by each such Anchor or parent company in the Company's portfolio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2021.</w:t>
      </w:r>
    </w:p>
    <w:tbl>
      <w:tblPr>
        <w:tblLayout w:type="fixed"/>
        <w:tblInd w:w="0" w:type="dxa"/>
        <w:tblCellMar>
          <w:top w:w="0" w:type="dxa"/>
          <w:left w:w="0" w:type="dxa"/>
          <w:bottom w:w="0" w:type="dxa"/>
          <w:right w:w="0" w:type="dxa"/>
        </w:tblCellMar>
      </w:tblPr>
      <w:tr>
        <w:trPr>
          <w:trHeight w:val="114"/>
        </w:trPr>
        <w:tc>
          <w:tcPr>
            <w:tcW w:w="5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ind w:left="560"/>
              <w:spacing w:after="0"/>
              <w:rPr>
                <w:sz w:val="20"/>
                <w:szCs w:val="20"/>
                <w:color w:val="auto"/>
              </w:rPr>
            </w:pPr>
            <w:r>
              <w:rPr>
                <w:rFonts w:ascii="Arial" w:cs="Arial" w:eastAsia="Arial" w:hAnsi="Arial"/>
                <w:sz w:val="10"/>
                <w:szCs w:val="10"/>
                <w:b w:val="1"/>
                <w:bCs w:val="1"/>
                <w:color w:val="auto"/>
              </w:rPr>
              <w:t>Number of</w:t>
            </w:r>
          </w:p>
        </w:tc>
        <w:tc>
          <w:tcPr>
            <w:tcW w:w="1360" w:type="dxa"/>
            <w:vAlign w:val="bottom"/>
            <w:gridSpan w:val="2"/>
            <w:vMerge w:val="restart"/>
          </w:tcPr>
          <w:p>
            <w:pPr>
              <w:ind w:left="520"/>
              <w:spacing w:after="0"/>
              <w:rPr>
                <w:sz w:val="20"/>
                <w:szCs w:val="20"/>
                <w:color w:val="auto"/>
              </w:rPr>
            </w:pPr>
            <w:r>
              <w:rPr>
                <w:rFonts w:ascii="Arial" w:cs="Arial" w:eastAsia="Arial" w:hAnsi="Arial"/>
                <w:sz w:val="10"/>
                <w:szCs w:val="10"/>
                <w:b w:val="1"/>
                <w:bCs w:val="1"/>
                <w:color w:val="auto"/>
              </w:rPr>
              <w:t>GLA Owned</w:t>
            </w:r>
          </w:p>
        </w:tc>
        <w:tc>
          <w:tcPr>
            <w:tcW w:w="1360" w:type="dxa"/>
            <w:vAlign w:val="bottom"/>
            <w:gridSpan w:val="2"/>
            <w:vMerge w:val="restart"/>
          </w:tcPr>
          <w:p>
            <w:pPr>
              <w:ind w:left="520"/>
              <w:spacing w:after="0"/>
              <w:rPr>
                <w:sz w:val="20"/>
                <w:szCs w:val="20"/>
                <w:color w:val="auto"/>
              </w:rPr>
            </w:pPr>
            <w:r>
              <w:rPr>
                <w:rFonts w:ascii="Arial" w:cs="Arial" w:eastAsia="Arial" w:hAnsi="Arial"/>
                <w:sz w:val="10"/>
                <w:szCs w:val="10"/>
                <w:b w:val="1"/>
                <w:bCs w:val="1"/>
                <w:color w:val="auto"/>
              </w:rPr>
              <w:t>GLA Leased</w:t>
            </w:r>
          </w:p>
        </w:tc>
        <w:tc>
          <w:tcPr>
            <w:tcW w:w="1260" w:type="dxa"/>
            <w:vAlign w:val="bottom"/>
          </w:tcPr>
          <w:p>
            <w:pPr>
              <w:jc w:val="right"/>
              <w:ind w:right="212"/>
              <w:spacing w:after="0"/>
              <w:rPr>
                <w:sz w:val="20"/>
                <w:szCs w:val="20"/>
                <w:color w:val="auto"/>
              </w:rPr>
            </w:pPr>
            <w:r>
              <w:rPr>
                <w:rFonts w:ascii="Arial" w:cs="Arial" w:eastAsia="Arial" w:hAnsi="Arial"/>
                <w:sz w:val="10"/>
                <w:szCs w:val="10"/>
                <w:b w:val="1"/>
                <w:bCs w:val="1"/>
                <w:color w:val="auto"/>
              </w:rPr>
              <w:t>Total GLA</w:t>
            </w:r>
          </w:p>
        </w:tc>
        <w:tc>
          <w:tcPr>
            <w:tcW w:w="0" w:type="dxa"/>
            <w:vAlign w:val="bottom"/>
          </w:tcPr>
          <w:p>
            <w:pPr>
              <w:spacing w:after="0"/>
              <w:rPr>
                <w:sz w:val="1"/>
                <w:szCs w:val="1"/>
                <w:color w:val="auto"/>
              </w:rPr>
            </w:pPr>
          </w:p>
        </w:tc>
      </w:tr>
      <w:tr>
        <w:trPr>
          <w:trHeight w:val="90"/>
        </w:trPr>
        <w:tc>
          <w:tcPr>
            <w:tcW w:w="590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Name</w:t>
            </w:r>
          </w:p>
        </w:tc>
        <w:tc>
          <w:tcPr>
            <w:tcW w:w="136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85"/>
              </w:rPr>
              <w:t>Anchor</w:t>
            </w:r>
          </w:p>
        </w:tc>
        <w:tc>
          <w:tcPr>
            <w:tcW w:w="136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60" w:type="dxa"/>
            <w:vAlign w:val="bottom"/>
          </w:tcPr>
          <w:p>
            <w:pPr>
              <w:jc w:val="right"/>
              <w:ind w:right="332"/>
              <w:spacing w:after="0" w:line="90" w:lineRule="exact"/>
              <w:rPr>
                <w:sz w:val="20"/>
                <w:szCs w:val="20"/>
                <w:color w:val="auto"/>
              </w:rPr>
            </w:pPr>
            <w:r>
              <w:rPr>
                <w:rFonts w:ascii="Arial" w:cs="Arial" w:eastAsia="Arial" w:hAnsi="Arial"/>
                <w:sz w:val="10"/>
                <w:szCs w:val="10"/>
                <w:b w:val="1"/>
                <w:bCs w:val="1"/>
                <w:color w:val="auto"/>
              </w:rPr>
              <w:t>Occupied by</w:t>
            </w:r>
          </w:p>
        </w:tc>
        <w:tc>
          <w:tcPr>
            <w:tcW w:w="0" w:type="dxa"/>
            <w:vAlign w:val="bottom"/>
          </w:tcPr>
          <w:p>
            <w:pPr>
              <w:spacing w:after="0"/>
              <w:rPr>
                <w:sz w:val="1"/>
                <w:szCs w:val="1"/>
                <w:color w:val="auto"/>
              </w:rPr>
            </w:pPr>
          </w:p>
        </w:tc>
      </w:tr>
      <w:tr>
        <w:trPr>
          <w:trHeight w:val="125"/>
        </w:trPr>
        <w:tc>
          <w:tcPr>
            <w:tcW w:w="590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Stores</w:t>
            </w:r>
          </w:p>
        </w:tc>
        <w:tc>
          <w:tcPr>
            <w:tcW w:w="1360" w:type="dxa"/>
            <w:vAlign w:val="bottom"/>
            <w:gridSpan w:val="2"/>
          </w:tcPr>
          <w:p>
            <w:pPr>
              <w:ind w:left="420"/>
              <w:spacing w:after="0"/>
              <w:rPr>
                <w:sz w:val="20"/>
                <w:szCs w:val="20"/>
                <w:color w:val="auto"/>
              </w:rPr>
            </w:pPr>
            <w:r>
              <w:rPr>
                <w:rFonts w:ascii="Arial" w:cs="Arial" w:eastAsia="Arial" w:hAnsi="Arial"/>
                <w:sz w:val="10"/>
                <w:szCs w:val="10"/>
                <w:b w:val="1"/>
                <w:bCs w:val="1"/>
                <w:color w:val="auto"/>
              </w:rPr>
              <w:t>by Anchor</w:t>
            </w:r>
          </w:p>
        </w:tc>
        <w:tc>
          <w:tcPr>
            <w:tcW w:w="1360" w:type="dxa"/>
            <w:vAlign w:val="bottom"/>
            <w:gridSpan w:val="2"/>
          </w:tcPr>
          <w:p>
            <w:pPr>
              <w:ind w:left="420"/>
              <w:spacing w:after="0"/>
              <w:rPr>
                <w:sz w:val="20"/>
                <w:szCs w:val="20"/>
                <w:color w:val="auto"/>
              </w:rPr>
            </w:pPr>
            <w:r>
              <w:rPr>
                <w:rFonts w:ascii="Arial" w:cs="Arial" w:eastAsia="Arial" w:hAnsi="Arial"/>
                <w:sz w:val="10"/>
                <w:szCs w:val="10"/>
                <w:b w:val="1"/>
                <w:bCs w:val="1"/>
                <w:color w:val="auto"/>
              </w:rPr>
              <w:t>by Anchor</w:t>
            </w:r>
          </w:p>
        </w:tc>
        <w:tc>
          <w:tcPr>
            <w:tcW w:w="1260" w:type="dxa"/>
            <w:vAlign w:val="bottom"/>
          </w:tcPr>
          <w:p>
            <w:pPr>
              <w:jc w:val="right"/>
              <w:ind w:right="432"/>
              <w:spacing w:after="0"/>
              <w:rPr>
                <w:sz w:val="20"/>
                <w:szCs w:val="20"/>
                <w:color w:val="auto"/>
              </w:rPr>
            </w:pPr>
            <w:r>
              <w:rPr>
                <w:rFonts w:ascii="Arial" w:cs="Arial" w:eastAsia="Arial" w:hAnsi="Arial"/>
                <w:sz w:val="10"/>
                <w:szCs w:val="10"/>
                <w:b w:val="1"/>
                <w:bCs w:val="1"/>
                <w:color w:val="auto"/>
              </w:rPr>
              <w:t>Anchor</w:t>
            </w:r>
          </w:p>
        </w:tc>
        <w:tc>
          <w:tcPr>
            <w:tcW w:w="0" w:type="dxa"/>
            <w:vAlign w:val="bottom"/>
          </w:tcPr>
          <w:p>
            <w:pPr>
              <w:spacing w:after="0"/>
              <w:rPr>
                <w:sz w:val="1"/>
                <w:szCs w:val="1"/>
                <w:color w:val="auto"/>
              </w:rPr>
            </w:pPr>
          </w:p>
        </w:tc>
      </w:tr>
      <w:tr>
        <w:trPr>
          <w:trHeight w:val="116"/>
        </w:trPr>
        <w:tc>
          <w:tcPr>
            <w:tcW w:w="58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0"/>
                <w:szCs w:val="10"/>
                <w:color w:val="auto"/>
              </w:rPr>
              <w:t>Macy's Inc.</w:t>
            </w:r>
          </w:p>
        </w:tc>
        <w:tc>
          <w:tcPr>
            <w:tcW w:w="1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900" w:type="dxa"/>
            <w:vAlign w:val="bottom"/>
            <w:gridSpan w:val="2"/>
          </w:tcPr>
          <w:p>
            <w:pPr>
              <w:ind w:left="380"/>
              <w:spacing w:after="0"/>
              <w:rPr>
                <w:sz w:val="20"/>
                <w:szCs w:val="20"/>
                <w:color w:val="auto"/>
              </w:rPr>
            </w:pPr>
            <w:r>
              <w:rPr>
                <w:rFonts w:ascii="Arial" w:cs="Arial" w:eastAsia="Arial" w:hAnsi="Arial"/>
                <w:sz w:val="10"/>
                <w:szCs w:val="10"/>
                <w:color w:val="auto"/>
              </w:rPr>
              <w:t>Macy's</w:t>
            </w:r>
          </w:p>
        </w:tc>
        <w:tc>
          <w:tcPr>
            <w:tcW w:w="1260" w:type="dxa"/>
            <w:vAlign w:val="bottom"/>
          </w:tcPr>
          <w:p>
            <w:pPr>
              <w:jc w:val="right"/>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4,402,000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1,931,000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6,333,000</w:t>
            </w:r>
          </w:p>
        </w:tc>
        <w:tc>
          <w:tcPr>
            <w:tcW w:w="0" w:type="dxa"/>
            <w:vAlign w:val="bottom"/>
          </w:tcPr>
          <w:p>
            <w:pPr>
              <w:spacing w:after="0"/>
              <w:rPr>
                <w:sz w:val="1"/>
                <w:szCs w:val="1"/>
                <w:color w:val="auto"/>
              </w:rPr>
            </w:pPr>
          </w:p>
        </w:tc>
      </w:tr>
      <w:tr>
        <w:trPr>
          <w:trHeight w:val="126"/>
        </w:trPr>
        <w:tc>
          <w:tcPr>
            <w:tcW w:w="5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Bloomingdale's</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253,000</w:t>
            </w: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253,000</w:t>
            </w:r>
          </w:p>
        </w:tc>
        <w:tc>
          <w:tcPr>
            <w:tcW w:w="0" w:type="dxa"/>
            <w:vAlign w:val="bottom"/>
          </w:tcPr>
          <w:p>
            <w:pPr>
              <w:spacing w:after="0"/>
              <w:rPr>
                <w:sz w:val="1"/>
                <w:szCs w:val="1"/>
                <w:color w:val="auto"/>
              </w:rPr>
            </w:pPr>
          </w:p>
        </w:tc>
      </w:tr>
      <w:tr>
        <w:trPr>
          <w:trHeight w:val="115"/>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0"/>
                <w:szCs w:val="1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4,402,000</w:t>
            </w:r>
          </w:p>
        </w:tc>
        <w:tc>
          <w:tcPr>
            <w:tcW w:w="100" w:type="dxa"/>
            <w:vAlign w:val="bottom"/>
          </w:tcPr>
          <w:p>
            <w:pPr>
              <w:spacing w:after="0"/>
              <w:rPr>
                <w:sz w:val="10"/>
                <w:szCs w:val="1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2,184,000</w:t>
            </w:r>
          </w:p>
        </w:tc>
        <w:tc>
          <w:tcPr>
            <w:tcW w:w="100" w:type="dxa"/>
            <w:vAlign w:val="bottom"/>
          </w:tcPr>
          <w:p>
            <w:pPr>
              <w:spacing w:after="0"/>
              <w:rPr>
                <w:sz w:val="10"/>
                <w:szCs w:val="1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6,586,000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JCPenney</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1,641,000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2,090,000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3,731,000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Dillard's</w:t>
            </w:r>
          </w:p>
        </w:tc>
        <w:tc>
          <w:tcPr>
            <w:tcW w:w="126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1,915,000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257,000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2,172,000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Nordstrom</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1,079,000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1,346,000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Dick's Sporting Goods</w:t>
            </w:r>
          </w:p>
        </w:tc>
        <w:tc>
          <w:tcPr>
            <w:tcW w:w="1260" w:type="dxa"/>
            <w:vAlign w:val="bottom"/>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1,048,000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1,048,000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Target(1)</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304,000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672,000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Forever 21</w:t>
            </w:r>
          </w:p>
        </w:tc>
        <w:tc>
          <w:tcPr>
            <w:tcW w:w="126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469,000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469,000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Home Depot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Primark(2)</w:t>
            </w:r>
          </w:p>
        </w:tc>
        <w:tc>
          <w:tcPr>
            <w:tcW w:w="126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348,000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348,000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Burlington</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Costco</w:t>
            </w:r>
          </w:p>
        </w:tc>
        <w:tc>
          <w:tcPr>
            <w:tcW w:w="12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321,000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321,000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Von Maur</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187,000</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Walmart</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173,000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173,000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Shoppers World</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La Curacao</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165,000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165,000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Boscov's</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Scheels All Sports(3)</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144,000</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144,000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Belk</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BJ's Wholesale Club</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123,000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123,000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Lowe's</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Neiman Marcus</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100,000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100,000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Hudson Bay Company</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900" w:type="dxa"/>
            <w:vAlign w:val="bottom"/>
            <w:gridSpan w:val="2"/>
          </w:tcPr>
          <w:p>
            <w:pPr>
              <w:ind w:left="380"/>
              <w:spacing w:after="0"/>
              <w:rPr>
                <w:sz w:val="20"/>
                <w:szCs w:val="20"/>
                <w:color w:val="auto"/>
              </w:rPr>
            </w:pPr>
            <w:r>
              <w:rPr>
                <w:rFonts w:ascii="Arial" w:cs="Arial" w:eastAsia="Arial" w:hAnsi="Arial"/>
                <w:sz w:val="10"/>
                <w:szCs w:val="10"/>
                <w:color w:val="auto"/>
              </w:rPr>
              <w:t>Saks Fifth Avenue</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92,000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92,000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Kohl's</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84,000</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Mercado de los Cielos</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78,000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78,000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Best Buy</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66,000</w:t>
            </w: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66,000</w:t>
            </w: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Des Moines Area Community College</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64,000</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64,000</w:t>
            </w:r>
          </w:p>
        </w:tc>
        <w:tc>
          <w:tcPr>
            <w:tcW w:w="0" w:type="dxa"/>
            <w:vAlign w:val="bottom"/>
          </w:tcPr>
          <w:p>
            <w:pPr>
              <w:spacing w:after="0"/>
              <w:rPr>
                <w:sz w:val="1"/>
                <w:szCs w:val="1"/>
                <w:color w:val="auto"/>
              </w:rPr>
            </w:pPr>
          </w:p>
        </w:tc>
      </w:tr>
      <w:tr>
        <w:trPr>
          <w:trHeight w:val="126"/>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Vacant Anchors(4)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100" w:type="dxa"/>
            <w:vAlign w:val="bottom"/>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149,000</w:t>
            </w:r>
          </w:p>
        </w:tc>
        <w:tc>
          <w:tcPr>
            <w:tcW w:w="100" w:type="dxa"/>
            <w:vAlign w:val="bottom"/>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2,249,000</w:t>
            </w:r>
          </w:p>
        </w:tc>
        <w:tc>
          <w:tcPr>
            <w:tcW w:w="100" w:type="dxa"/>
            <w:vAlign w:val="bottom"/>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2,398,000</w:t>
            </w:r>
          </w:p>
        </w:tc>
        <w:tc>
          <w:tcPr>
            <w:tcW w:w="0" w:type="dxa"/>
            <w:vAlign w:val="bottom"/>
          </w:tcPr>
          <w:p>
            <w:pPr>
              <w:spacing w:after="0"/>
              <w:rPr>
                <w:sz w:val="1"/>
                <w:szCs w:val="1"/>
                <w:color w:val="auto"/>
              </w:rPr>
            </w:pPr>
          </w:p>
        </w:tc>
      </w:tr>
      <w:tr>
        <w:trPr>
          <w:trHeight w:val="115"/>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162</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9,326,000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12,347,000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21,673,000</w:t>
            </w:r>
          </w:p>
        </w:tc>
        <w:tc>
          <w:tcPr>
            <w:tcW w:w="0" w:type="dxa"/>
            <w:vAlign w:val="bottom"/>
          </w:tcPr>
          <w:p>
            <w:pPr>
              <w:spacing w:after="0"/>
              <w:rPr>
                <w:sz w:val="1"/>
                <w:szCs w:val="1"/>
                <w:color w:val="auto"/>
              </w:rPr>
            </w:pPr>
          </w:p>
        </w:tc>
      </w:tr>
      <w:tr>
        <w:trPr>
          <w:trHeight w:val="128"/>
        </w:trPr>
        <w:tc>
          <w:tcPr>
            <w:tcW w:w="59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Anchors at Centers not owned by the Company(5):</w:t>
            </w: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900" w:type="dxa"/>
            <w:vAlign w:val="bottom"/>
            <w:gridSpan w:val="2"/>
          </w:tcPr>
          <w:p>
            <w:pPr>
              <w:ind w:left="300"/>
              <w:spacing w:after="0"/>
              <w:rPr>
                <w:sz w:val="20"/>
                <w:szCs w:val="20"/>
                <w:color w:val="auto"/>
              </w:rPr>
            </w:pPr>
            <w:r>
              <w:rPr>
                <w:rFonts w:ascii="Arial" w:cs="Arial" w:eastAsia="Arial" w:hAnsi="Arial"/>
                <w:sz w:val="10"/>
                <w:szCs w:val="10"/>
                <w:color w:val="auto"/>
              </w:rPr>
              <w:t>Kohl's</w:t>
            </w:r>
          </w:p>
        </w:tc>
        <w:tc>
          <w:tcPr>
            <w:tcW w:w="12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83,000</w:t>
            </w:r>
          </w:p>
        </w:tc>
        <w:tc>
          <w:tcPr>
            <w:tcW w:w="1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83,000</w:t>
            </w:r>
          </w:p>
        </w:tc>
        <w:tc>
          <w:tcPr>
            <w:tcW w:w="0" w:type="dxa"/>
            <w:vAlign w:val="bottom"/>
          </w:tcPr>
          <w:p>
            <w:pPr>
              <w:spacing w:after="0"/>
              <w:rPr>
                <w:sz w:val="1"/>
                <w:szCs w:val="1"/>
                <w:color w:val="auto"/>
              </w:rPr>
            </w:pPr>
          </w:p>
        </w:tc>
      </w:tr>
      <w:tr>
        <w:trPr>
          <w:trHeight w:val="133"/>
        </w:trPr>
        <w:tc>
          <w:tcPr>
            <w:tcW w:w="590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0"/>
                <w:szCs w:val="10"/>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9,326,000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12,430,000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21,756,000</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w:t>
      </w:r>
    </w:p>
    <w:p>
      <w:pPr>
        <w:spacing w:after="0" w:line="261" w:lineRule="exact"/>
        <w:rPr>
          <w:sz w:val="20"/>
          <w:szCs w:val="20"/>
          <w:color w:val="auto"/>
        </w:rPr>
      </w:pPr>
    </w:p>
    <w:p>
      <w:pPr>
        <w:ind w:left="800" w:hanging="376"/>
        <w:spacing w:after="0"/>
        <w:tabs>
          <w:tab w:leader="none" w:pos="800" w:val="left"/>
        </w:tabs>
        <w:numPr>
          <w:ilvl w:val="0"/>
          <w:numId w:val="7"/>
        </w:numPr>
        <w:rPr>
          <w:rFonts w:ascii="Arial" w:cs="Arial" w:eastAsia="Arial" w:hAnsi="Arial"/>
          <w:sz w:val="11"/>
          <w:szCs w:val="11"/>
          <w:color w:val="auto"/>
        </w:rPr>
      </w:pPr>
      <w:r>
        <w:rPr>
          <w:rFonts w:ascii="Arial" w:cs="Arial" w:eastAsia="Arial" w:hAnsi="Arial"/>
          <w:sz w:val="11"/>
          <w:szCs w:val="11"/>
          <w:color w:val="auto"/>
        </w:rPr>
        <w:t>Target has announced plans to open a three-level 90,000 square foot store at Kings Plaza.</w:t>
      </w:r>
    </w:p>
    <w:p>
      <w:pPr>
        <w:spacing w:after="0" w:line="89" w:lineRule="exact"/>
        <w:rPr>
          <w:rFonts w:ascii="Arial" w:cs="Arial" w:eastAsia="Arial" w:hAnsi="Arial"/>
          <w:sz w:val="11"/>
          <w:szCs w:val="11"/>
          <w:color w:val="auto"/>
        </w:rPr>
      </w:pPr>
    </w:p>
    <w:p>
      <w:pPr>
        <w:ind w:left="800" w:hanging="376"/>
        <w:spacing w:after="0"/>
        <w:tabs>
          <w:tab w:leader="none" w:pos="800" w:val="left"/>
        </w:tabs>
        <w:numPr>
          <w:ilvl w:val="0"/>
          <w:numId w:val="7"/>
        </w:numPr>
        <w:rPr>
          <w:rFonts w:ascii="Arial" w:cs="Arial" w:eastAsia="Arial" w:hAnsi="Arial"/>
          <w:sz w:val="11"/>
          <w:szCs w:val="11"/>
          <w:color w:val="auto"/>
        </w:rPr>
      </w:pPr>
      <w:r>
        <w:rPr>
          <w:rFonts w:ascii="Arial" w:cs="Arial" w:eastAsia="Arial" w:hAnsi="Arial"/>
          <w:sz w:val="11"/>
          <w:szCs w:val="11"/>
          <w:color w:val="auto"/>
        </w:rPr>
        <w:t>Primark has announced plans to open two new two-level stores at Green Acres Mall and Tysons Corner Center.</w:t>
      </w:r>
    </w:p>
    <w:p>
      <w:pPr>
        <w:spacing w:after="0" w:line="98" w:lineRule="exact"/>
        <w:rPr>
          <w:rFonts w:ascii="Arial" w:cs="Arial" w:eastAsia="Arial" w:hAnsi="Arial"/>
          <w:sz w:val="11"/>
          <w:szCs w:val="11"/>
          <w:color w:val="auto"/>
        </w:rPr>
      </w:pPr>
    </w:p>
    <w:p>
      <w:pPr>
        <w:ind w:left="800" w:hanging="376"/>
        <w:spacing w:after="0" w:line="257" w:lineRule="auto"/>
        <w:tabs>
          <w:tab w:leader="none" w:pos="800" w:val="left"/>
        </w:tabs>
        <w:numPr>
          <w:ilvl w:val="0"/>
          <w:numId w:val="7"/>
        </w:numPr>
        <w:rPr>
          <w:rFonts w:ascii="Arial" w:cs="Arial" w:eastAsia="Arial" w:hAnsi="Arial"/>
          <w:sz w:val="11"/>
          <w:szCs w:val="11"/>
          <w:color w:val="auto"/>
        </w:rPr>
      </w:pPr>
      <w:r>
        <w:rPr>
          <w:rFonts w:ascii="Arial" w:cs="Arial" w:eastAsia="Arial" w:hAnsi="Arial"/>
          <w:sz w:val="11"/>
          <w:szCs w:val="11"/>
          <w:color w:val="auto"/>
        </w:rPr>
        <w:t>Scheels All Sports has announced plans to expand and build a two-level, 222,000 square foot store at Chandler Fashion Center utilizing the vacant 144,000 square foot location formerly occupied by Nordstrom. The store is anticipated to open in fall 2023.</w:t>
      </w:r>
    </w:p>
    <w:p>
      <w:pPr>
        <w:spacing w:after="0" w:line="80" w:lineRule="exact"/>
        <w:rPr>
          <w:rFonts w:ascii="Arial" w:cs="Arial" w:eastAsia="Arial" w:hAnsi="Arial"/>
          <w:sz w:val="11"/>
          <w:szCs w:val="11"/>
          <w:color w:val="auto"/>
        </w:rPr>
      </w:pPr>
    </w:p>
    <w:p>
      <w:pPr>
        <w:ind w:left="800" w:right="340" w:hanging="376"/>
        <w:spacing w:after="0" w:line="257" w:lineRule="auto"/>
        <w:tabs>
          <w:tab w:leader="none" w:pos="80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Company is actively seeking replacement tenants or has entered into replacement leases for many of these vacant sites and/or is currently executing on or considering redevelopment opportunities for these locations. The Company continues to collect rent under the terms of an agreement regarding four of these vacant Anchors.</w:t>
      </w:r>
    </w:p>
    <w:p>
      <w:pPr>
        <w:spacing w:after="0" w:line="71" w:lineRule="exact"/>
        <w:rPr>
          <w:rFonts w:ascii="Arial" w:cs="Arial" w:eastAsia="Arial" w:hAnsi="Arial"/>
          <w:sz w:val="11"/>
          <w:szCs w:val="11"/>
          <w:color w:val="auto"/>
        </w:rPr>
      </w:pPr>
    </w:p>
    <w:p>
      <w:pPr>
        <w:ind w:left="800" w:hanging="376"/>
        <w:spacing w:after="0"/>
        <w:tabs>
          <w:tab w:leader="none" w:pos="80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Company owns an office building and four stores located at shopping centers not owned by the Company. Of these four stores, one is leased to Kohl's, and three have been leased for non-Anchor usage.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6" w:right="33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Governmental Regulations</w:t>
      </w:r>
    </w:p>
    <w:p>
      <w:pPr>
        <w:spacing w:after="0" w:line="100" w:lineRule="exact"/>
        <w:rPr>
          <w:sz w:val="20"/>
          <w:szCs w:val="20"/>
          <w:color w:val="auto"/>
        </w:rPr>
      </w:pPr>
    </w:p>
    <w:p>
      <w:pPr>
        <w:ind w:right="60" w:firstLine="297"/>
        <w:spacing w:after="0" w:line="340" w:lineRule="auto"/>
        <w:rPr>
          <w:sz w:val="20"/>
          <w:szCs w:val="20"/>
          <w:color w:val="auto"/>
        </w:rPr>
      </w:pPr>
      <w:r>
        <w:rPr>
          <w:rFonts w:ascii="Arial" w:cs="Arial" w:eastAsia="Arial" w:hAnsi="Arial"/>
          <w:sz w:val="10"/>
          <w:szCs w:val="10"/>
          <w:color w:val="auto"/>
        </w:rPr>
        <w:t>Compliance with various governmental regulations has an impact on the Company’s business, including its capital expenditures, earnings and competitive position, which can be material. The Company incurs costs to monitor, and takes actions to comply with, governmental regulations that are applicable to its business, which include, among others, federal securities laws and regulations, applicable stock exchange requirements, REIT and other tax laws and regulations, environmental and health and safety laws and regulations, local zoning, usage and other regulations relating to real property, the Americans with Disabilities Act of 1990 (the "ADA") and related laws and regulations.</w:t>
      </w:r>
    </w:p>
    <w:p>
      <w:pPr>
        <w:spacing w:after="0" w:line="42" w:lineRule="exact"/>
        <w:rPr>
          <w:sz w:val="20"/>
          <w:szCs w:val="20"/>
          <w:color w:val="auto"/>
        </w:rPr>
      </w:pPr>
    </w:p>
    <w:p>
      <w:pPr>
        <w:ind w:right="200" w:firstLine="297"/>
        <w:spacing w:after="0" w:line="298" w:lineRule="auto"/>
        <w:rPr>
          <w:sz w:val="20"/>
          <w:szCs w:val="20"/>
          <w:color w:val="auto"/>
        </w:rPr>
      </w:pPr>
      <w:r>
        <w:rPr>
          <w:rFonts w:ascii="Arial" w:cs="Arial" w:eastAsia="Arial" w:hAnsi="Arial"/>
          <w:sz w:val="11"/>
          <w:szCs w:val="11"/>
          <w:color w:val="auto"/>
        </w:rPr>
        <w:t>See “Item 1A. Risk Factors” for a discussion of material risks to the Company, including, to the extent material, to its competitive position, relating to governmental regulations, and see “Item 7. Management’s Discussion and Analysis of Financial Condition and Results of Operations” together with the Company’s Consolidated Financial Statements, including the related notes included therein, for a discussion of material information relevant to an assessment of the Company’s financial condition and results of operations, including, to the extent material, the effects that compliance with governmental regulations may have upon its capital expenditures and earnings.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Insurance</w:t>
      </w:r>
    </w:p>
    <w:p>
      <w:pPr>
        <w:spacing w:after="0" w:line="100"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Each of the Centers has comprehensive liability, fire, extended coverage and rental loss insurance with insured limits customarily carried for similar properties. The Company does not insure certain types of losses (such as losses from wars), because they are either uninsurable or not economically insurable. In addition, while the Company or the relevant joint venture, as applicable, carry specific earthquake insurance on the Centers located in California, the policies are subject to a deductible equal to 5% of the total insured value of each Center, a $148,000 per occurrence minimum and a combined annual aggregate loss limit of $100 million on these Centers. The Company or the relevant joint venture, as applicable, carry specific earthquake insurance on the Centers located in the Pacific Northwest and in the New Madrid Seismic Zone. However, the policies are subject to a deductible equal to 2% of the total insured value of each Center, a $114,000 per occurrence minimum and a combined annual aggregate loss limit of $100 million on these Centers. While the Company or the relevant joint venture also carry standalone terrorism insurance on the Centers, the policies are subject to a $25,000 deductible and a combined annual aggregate loss limit of $1.0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and another Center, which has a $20 million ten-year aggregate loss limit. Some environmental losses are not covered by this insurance because they are uninsurable or not economically insurable. Furthermore, the Company carries title insurance on substantially all of the Centers for generally less than their full value.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Qualification as a Real Estate Investment Trust</w:t>
      </w:r>
    </w:p>
    <w:p>
      <w:pPr>
        <w:spacing w:after="0" w:line="109" w:lineRule="exact"/>
        <w:rPr>
          <w:sz w:val="20"/>
          <w:szCs w:val="20"/>
          <w:color w:val="auto"/>
        </w:rPr>
      </w:pPr>
    </w:p>
    <w:p>
      <w:pPr>
        <w:ind w:right="40" w:firstLine="297"/>
        <w:spacing w:after="0" w:line="298" w:lineRule="auto"/>
        <w:rPr>
          <w:sz w:val="20"/>
          <w:szCs w:val="20"/>
          <w:color w:val="auto"/>
        </w:rPr>
      </w:pPr>
      <w:r>
        <w:rPr>
          <w:rFonts w:ascii="Arial" w:cs="Arial" w:eastAsia="Arial" w:hAnsi="Arial"/>
          <w:sz w:val="11"/>
          <w:szCs w:val="11"/>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 and Human Capital</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2021, the Company had approximately 640 employees, of which 639 were full-time and one was part-time. The Company believes that relations with its employees are good.</w:t>
      </w:r>
    </w:p>
    <w:p>
      <w:pPr>
        <w:spacing w:after="0" w:line="105" w:lineRule="exact"/>
        <w:rPr>
          <w:sz w:val="20"/>
          <w:szCs w:val="20"/>
          <w:color w:val="auto"/>
        </w:rPr>
      </w:pPr>
    </w:p>
    <w:p>
      <w:pPr>
        <w:ind w:right="20" w:firstLine="297"/>
        <w:spacing w:after="0" w:line="298" w:lineRule="auto"/>
        <w:rPr>
          <w:sz w:val="20"/>
          <w:szCs w:val="20"/>
          <w:color w:val="auto"/>
        </w:rPr>
      </w:pPr>
      <w:r>
        <w:rPr>
          <w:rFonts w:ascii="Arial" w:cs="Arial" w:eastAsia="Arial" w:hAnsi="Arial"/>
          <w:sz w:val="11"/>
          <w:szCs w:val="11"/>
          <w:color w:val="auto"/>
        </w:rPr>
        <w:t>The Company, with oversight from senior management and its Board of Directors, puts great effort into cultivating an inclusive company culture that attracts top talent and creates an environment that fosters collaboration, innovation and diversity, while providing professional development opportunities and training. The Company’s human capital objectives include, as applicable, identifying, recruiting, retaining, developing, incentivizing and integrating the Company’s existing and prospective employees. To further these objectives, the Company has established a number of policies and programs and undertaken various initiatives, including:</w:t>
      </w:r>
    </w:p>
    <w:p>
      <w:pPr>
        <w:spacing w:after="0" w:line="60" w:lineRule="exact"/>
        <w:rPr>
          <w:sz w:val="20"/>
          <w:szCs w:val="20"/>
          <w:color w:val="auto"/>
        </w:rPr>
      </w:pPr>
    </w:p>
    <w:p>
      <w:pPr>
        <w:ind w:right="200" w:firstLine="297"/>
        <w:spacing w:after="0" w:line="259" w:lineRule="auto"/>
        <w:rPr>
          <w:sz w:val="20"/>
          <w:szCs w:val="20"/>
          <w:color w:val="auto"/>
        </w:rPr>
      </w:pPr>
      <w:r>
        <w:rPr>
          <w:rFonts w:ascii="Arial" w:cs="Arial" w:eastAsia="Arial" w:hAnsi="Arial"/>
          <w:sz w:val="12"/>
          <w:szCs w:val="12"/>
          <w:i w:val="1"/>
          <w:iCs w:val="1"/>
          <w:color w:val="auto"/>
        </w:rPr>
        <w:t xml:space="preserve">Diversity and Inclusion: </w:t>
      </w:r>
      <w:r>
        <w:rPr>
          <w:rFonts w:ascii="Arial" w:cs="Arial" w:eastAsia="Arial" w:hAnsi="Arial"/>
          <w:sz w:val="12"/>
          <w:szCs w:val="12"/>
          <w:color w:val="auto"/>
        </w:rPr>
        <w:t>The Company recognizes the value in strengthening its workforce with diverse thought, ideas and people and maintains employment policies that comply with federal, state and local labor laws. As an</w:t>
      </w:r>
      <w:r>
        <w:rPr>
          <w:rFonts w:ascii="Arial" w:cs="Arial" w:eastAsia="Arial" w:hAnsi="Arial"/>
          <w:sz w:val="12"/>
          <w:szCs w:val="12"/>
          <w:i w:val="1"/>
          <w:iCs w:val="1"/>
          <w:color w:val="auto"/>
        </w:rPr>
        <w:t xml:space="preserve"> </w:t>
      </w:r>
      <w:r>
        <w:rPr>
          <w:rFonts w:ascii="Arial" w:cs="Arial" w:eastAsia="Arial" w:hAnsi="Arial"/>
          <w:sz w:val="12"/>
          <w:szCs w:val="12"/>
          <w:color w:val="auto"/>
        </w:rPr>
        <w:t>equal opportunity employer, it is committed to diversity, recognition and inclusion and rewards its employees based on merit and their contributions in accordance with the principles and requirements of the Equal Employment Opportunities Commission and the principles and requirements of the ADA. The Company’s policies set forth its commitment to provide equal employment opportunity and to recruit, hire and promote at all levels without regard to race, national origin, religion, age, color, sex, sexual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2" w:right="319" w:bottom="1440" w:gutter="0" w:footer="0" w:header="0"/>
        </w:sectPr>
      </w:pPr>
    </w:p>
    <w:bookmarkStart w:id="13" w:name="page14"/>
    <w:bookmarkEnd w:id="13"/>
    <w:p>
      <w:pPr>
        <w:ind w:right="80"/>
        <w:spacing w:after="0" w:line="276" w:lineRule="auto"/>
        <w:rPr>
          <w:sz w:val="20"/>
          <w:szCs w:val="20"/>
          <w:color w:val="auto"/>
        </w:rPr>
      </w:pPr>
      <w:r>
        <w:rPr>
          <w:rFonts w:ascii="Arial" w:cs="Arial" w:eastAsia="Arial" w:hAnsi="Arial"/>
          <w:sz w:val="12"/>
          <w:szCs w:val="12"/>
          <w:color w:val="auto"/>
        </w:rPr>
        <w:t>orientation, gender identity, disability, protected veteran status or any other characteristic protected by local, state or federal laws. As of December 31, 2021, approximately 58% and 28% of the Company’s employees were female and non-white, respectively.</w:t>
      </w:r>
    </w:p>
    <w:p>
      <w:pPr>
        <w:spacing w:after="0" w:line="61" w:lineRule="exact"/>
        <w:rPr>
          <w:sz w:val="20"/>
          <w:szCs w:val="20"/>
          <w:color w:val="auto"/>
        </w:rPr>
      </w:pPr>
    </w:p>
    <w:p>
      <w:pPr>
        <w:ind w:right="120" w:firstLine="297"/>
        <w:spacing w:after="0" w:line="276" w:lineRule="auto"/>
        <w:rPr>
          <w:sz w:val="20"/>
          <w:szCs w:val="20"/>
          <w:color w:val="auto"/>
        </w:rPr>
      </w:pPr>
      <w:r>
        <w:rPr>
          <w:rFonts w:ascii="Arial" w:cs="Arial" w:eastAsia="Arial" w:hAnsi="Arial"/>
          <w:sz w:val="12"/>
          <w:szCs w:val="12"/>
          <w:i w:val="1"/>
          <w:iCs w:val="1"/>
          <w:color w:val="auto"/>
        </w:rPr>
        <w:t xml:space="preserve">Employee Compensation and Benefits: </w:t>
      </w:r>
      <w:r>
        <w:rPr>
          <w:rFonts w:ascii="Arial" w:cs="Arial" w:eastAsia="Arial" w:hAnsi="Arial"/>
          <w:sz w:val="12"/>
          <w:szCs w:val="12"/>
          <w:color w:val="auto"/>
        </w:rPr>
        <w:t>The Company maintains cash- and equity-based compensation programs designed to attract, retain and motivate its employees. The Company offers full-time employees a strong benefits</w:t>
      </w:r>
      <w:r>
        <w:rPr>
          <w:rFonts w:ascii="Arial" w:cs="Arial" w:eastAsia="Arial" w:hAnsi="Arial"/>
          <w:sz w:val="12"/>
          <w:szCs w:val="12"/>
          <w:i w:val="1"/>
          <w:iCs w:val="1"/>
          <w:color w:val="auto"/>
        </w:rPr>
        <w:t xml:space="preserve"> </w:t>
      </w:r>
      <w:r>
        <w:rPr>
          <w:rFonts w:ascii="Arial" w:cs="Arial" w:eastAsia="Arial" w:hAnsi="Arial"/>
          <w:sz w:val="12"/>
          <w:szCs w:val="12"/>
          <w:color w:val="auto"/>
        </w:rPr>
        <w:t>package, including:</w:t>
      </w:r>
    </w:p>
    <w:p>
      <w:pPr>
        <w:spacing w:after="0" w:line="70" w:lineRule="exact"/>
        <w:rPr>
          <w:sz w:val="20"/>
          <w:szCs w:val="20"/>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Company-matched retirement savings through tax-advantaged 401(k) plans;</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basic life and long-term disability insurance, as well as medical, dental and vision insurance;</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critical illness coverage and supplemental accident insurance;</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paid vacation, sick time and company observed holidays;</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healthcare and dependent care flexible spending accounts;</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referral bonus awards;</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financial, legal, family or personal assistance through the employee assistance program;</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an employee stock purchase program;</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tax-advantaged 529 educational savings program;</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scholarship program to help fund post high-school education for dependents of employees;</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Company-sponsored donor advised fund to support philanthropic efforts of employees, which provides a Company matching program and paid time off program for philanthropic volunteerism;</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paid time off for volunteer efforts; and</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paid time off for employees to bond with a new child.</w:t>
      </w:r>
    </w:p>
    <w:p>
      <w:pPr>
        <w:spacing w:after="0" w:line="105" w:lineRule="exact"/>
        <w:rPr>
          <w:sz w:val="20"/>
          <w:szCs w:val="20"/>
          <w:color w:val="auto"/>
        </w:rPr>
      </w:pPr>
    </w:p>
    <w:p>
      <w:pPr>
        <w:ind w:right="120" w:firstLine="297"/>
        <w:spacing w:after="0" w:line="256" w:lineRule="auto"/>
        <w:rPr>
          <w:sz w:val="20"/>
          <w:szCs w:val="20"/>
          <w:color w:val="auto"/>
        </w:rPr>
      </w:pPr>
      <w:r>
        <w:rPr>
          <w:rFonts w:ascii="Arial" w:cs="Arial" w:eastAsia="Arial" w:hAnsi="Arial"/>
          <w:sz w:val="12"/>
          <w:szCs w:val="12"/>
          <w:i w:val="1"/>
          <w:iCs w:val="1"/>
          <w:color w:val="auto"/>
        </w:rPr>
        <w:t xml:space="preserve">Employee Training and Professional Development: </w:t>
      </w:r>
      <w:r>
        <w:rPr>
          <w:rFonts w:ascii="Arial" w:cs="Arial" w:eastAsia="Arial" w:hAnsi="Arial"/>
          <w:sz w:val="12"/>
          <w:szCs w:val="12"/>
          <w:color w:val="auto"/>
        </w:rPr>
        <w:t>The Company values the professional development of its employees and seeks to foster their talent and growth by providing training and education at all levels. In addition to</w:t>
      </w:r>
      <w:r>
        <w:rPr>
          <w:rFonts w:ascii="Arial" w:cs="Arial" w:eastAsia="Arial" w:hAnsi="Arial"/>
          <w:sz w:val="12"/>
          <w:szCs w:val="12"/>
          <w:i w:val="1"/>
          <w:iCs w:val="1"/>
          <w:color w:val="auto"/>
        </w:rPr>
        <w:t xml:space="preserve"> </w:t>
      </w:r>
      <w:r>
        <w:rPr>
          <w:rFonts w:ascii="Arial" w:cs="Arial" w:eastAsia="Arial" w:hAnsi="Arial"/>
          <w:sz w:val="12"/>
          <w:szCs w:val="12"/>
          <w:color w:val="auto"/>
        </w:rPr>
        <w:t>training programs geared towards specific job functions, the Company offers training related to company policies, diversity, skill development, privacy and cybersecurity. In 2020, the Company launched its first-ever diversity, equity and inclusion (“DE&amp;I”) training module designed to broaden employee understanding of DE&amp;I and how embracing of diversity furthers organizational goals. The Company believes these training and development opportunities support workforce retention. As of December 31, 2021, the average tenure of the Company’s employees is approximately 11.6 years and that of the Company’s senior management is 20 years. In 2021, the Company’s workforce turnover rate was 13%, which includes all employees.</w:t>
      </w:r>
    </w:p>
    <w:p>
      <w:pPr>
        <w:spacing w:after="0" w:line="74" w:lineRule="exact"/>
        <w:rPr>
          <w:sz w:val="20"/>
          <w:szCs w:val="20"/>
          <w:color w:val="auto"/>
        </w:rPr>
      </w:pPr>
    </w:p>
    <w:p>
      <w:pPr>
        <w:ind w:right="100" w:firstLine="297"/>
        <w:spacing w:after="0" w:line="283" w:lineRule="auto"/>
        <w:rPr>
          <w:sz w:val="20"/>
          <w:szCs w:val="20"/>
          <w:color w:val="auto"/>
        </w:rPr>
      </w:pPr>
      <w:r>
        <w:rPr>
          <w:rFonts w:ascii="Arial" w:cs="Arial" w:eastAsia="Arial" w:hAnsi="Arial"/>
          <w:sz w:val="11"/>
          <w:szCs w:val="11"/>
          <w:i w:val="1"/>
          <w:iCs w:val="1"/>
          <w:color w:val="auto"/>
        </w:rPr>
        <w:t xml:space="preserve">Employee Health and Safety: </w:t>
      </w:r>
      <w:r>
        <w:rPr>
          <w:rFonts w:ascii="Arial" w:cs="Arial" w:eastAsia="Arial" w:hAnsi="Arial"/>
          <w:sz w:val="11"/>
          <w:szCs w:val="11"/>
          <w:color w:val="auto"/>
        </w:rPr>
        <w:t>The Company is also committed to ensuring that the operations at all of its Centers and corporate offices are conducted in a manner that safeguards the health and safety of employees, tenants,</w:t>
      </w:r>
      <w:r>
        <w:rPr>
          <w:rFonts w:ascii="Arial" w:cs="Arial" w:eastAsia="Arial" w:hAnsi="Arial"/>
          <w:sz w:val="11"/>
          <w:szCs w:val="11"/>
          <w:i w:val="1"/>
          <w:iCs w:val="1"/>
          <w:color w:val="auto"/>
        </w:rPr>
        <w:t xml:space="preserve"> </w:t>
      </w:r>
      <w:r>
        <w:rPr>
          <w:rFonts w:ascii="Arial" w:cs="Arial" w:eastAsia="Arial" w:hAnsi="Arial"/>
          <w:sz w:val="11"/>
          <w:szCs w:val="11"/>
          <w:color w:val="auto"/>
        </w:rPr>
        <w:t>contractors, customers and members of the public who are either present at, or affected by, its operations. This commitment became supremely important as a result of the unique challenges posed by the COVID-19 pandemic and the Company continues to work with all stakeholders to mitigate the pandemic’s impact. The Company has developed and implemented a long list of operational protocols at each of its Centers and its offices that meet or exceed recommendations from the Centers for Disease Control and Prevention and are designed to ensure the safety of its employees, tenants, service providers and shoppers. All of the Company’s retail properties achieved SafeGuard certification from Bureau Veritas, an internationally recognized testing and certification board. This program is considered to be the gold standard audit for disinfection, cleaning and COVID-19 safety protocols. See “Item 7. Management’s Discussion And Analysis of Financial Condition And Results of Operations—Management’s Overview and Summary—Other Transactions and Events.”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00" w:lineRule="exact"/>
        <w:rPr>
          <w:sz w:val="20"/>
          <w:szCs w:val="20"/>
          <w:color w:val="auto"/>
        </w:rPr>
      </w:pPr>
    </w:p>
    <w:p>
      <w:pPr>
        <w:ind w:firstLine="297"/>
        <w:spacing w:after="0" w:line="379" w:lineRule="auto"/>
        <w:rPr>
          <w:sz w:val="20"/>
          <w:szCs w:val="20"/>
          <w:color w:val="auto"/>
        </w:rPr>
      </w:pPr>
      <w:r>
        <w:rPr>
          <w:rFonts w:ascii="Arial" w:cs="Arial" w:eastAsia="Arial" w:hAnsi="Arial"/>
          <w:sz w:val="10"/>
          <w:szCs w:val="10"/>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Sustainability</w:t>
      </w:r>
    </w:p>
    <w:p>
      <w:pPr>
        <w:spacing w:after="0" w:line="109" w:lineRule="exact"/>
        <w:rPr>
          <w:sz w:val="20"/>
          <w:szCs w:val="20"/>
          <w:color w:val="auto"/>
        </w:rPr>
      </w:pPr>
    </w:p>
    <w:p>
      <w:pPr>
        <w:ind w:right="180" w:firstLine="297"/>
        <w:spacing w:after="0" w:line="276" w:lineRule="auto"/>
        <w:rPr>
          <w:sz w:val="20"/>
          <w:szCs w:val="20"/>
          <w:color w:val="auto"/>
        </w:rPr>
      </w:pPr>
      <w:r>
        <w:rPr>
          <w:rFonts w:ascii="Arial" w:cs="Arial" w:eastAsia="Arial" w:hAnsi="Arial"/>
          <w:sz w:val="12"/>
          <w:szCs w:val="12"/>
          <w:color w:val="auto"/>
        </w:rPr>
        <w:t>A recognized leader in sustainability, the Company has achieved the #1 GRESB ranking in the North American Retail Sector for seven straight years 2015 – 2021. Additional information about the Company’s Environmental, Social and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16" w:right="359" w:bottom="1440" w:gutter="0" w:footer="0" w:header="0"/>
        </w:sectPr>
      </w:pPr>
    </w:p>
    <w:bookmarkStart w:id="14" w:name="page15"/>
    <w:bookmarkEnd w:id="14"/>
    <w:p>
      <w:pPr>
        <w:ind w:right="2000"/>
        <w:spacing w:after="0" w:line="414" w:lineRule="auto"/>
        <w:rPr>
          <w:sz w:val="20"/>
          <w:szCs w:val="20"/>
          <w:color w:val="auto"/>
        </w:rPr>
      </w:pPr>
      <w:r>
        <w:rPr>
          <w:rFonts w:ascii="Arial" w:cs="Arial" w:eastAsia="Arial" w:hAnsi="Arial"/>
          <w:sz w:val="12"/>
          <w:szCs w:val="12"/>
          <w:color w:val="auto"/>
        </w:rPr>
        <w:t xml:space="preserve">Governance programs can be obtained from the Company's website at </w:t>
      </w:r>
      <w:r>
        <w:rPr>
          <w:rFonts w:ascii="Arial" w:cs="Arial" w:eastAsia="Arial" w:hAnsi="Arial"/>
          <w:sz w:val="12"/>
          <w:szCs w:val="12"/>
          <w:u w:val="single" w:color="auto"/>
          <w:color w:val="auto"/>
        </w:rPr>
        <w:t>w</w:t>
      </w:r>
      <w:r>
        <w:rPr>
          <w:rFonts w:ascii="Arial" w:cs="Arial" w:eastAsia="Arial" w:hAnsi="Arial"/>
          <w:sz w:val="12"/>
          <w:szCs w:val="12"/>
          <w:i w:val="1"/>
          <w:iCs w:val="1"/>
          <w:u w:val="single" w:color="auto"/>
          <w:color w:val="auto"/>
        </w:rPr>
        <w:t>ww.macerich.com</w:t>
      </w:r>
      <w:r>
        <w:rPr>
          <w:rFonts w:ascii="Arial" w:cs="Arial" w:eastAsia="Arial" w:hAnsi="Arial"/>
          <w:sz w:val="12"/>
          <w:szCs w:val="12"/>
          <w:color w:val="auto"/>
        </w:rPr>
        <w:t xml:space="preserve">. Information provided on the Company's website is not incorporated by reference into this Form 10-K. </w:t>
      </w:r>
      <w:r>
        <w:rPr>
          <w:rFonts w:ascii="Arial" w:cs="Arial" w:eastAsia="Arial" w:hAnsi="Arial"/>
          <w:sz w:val="12"/>
          <w:szCs w:val="12"/>
          <w:b w:val="1"/>
          <w:bCs w:val="1"/>
          <w:color w:val="auto"/>
        </w:rPr>
        <w:t>Available Information; Website Disclosure; Corporate Governance Documents</w:t>
      </w:r>
    </w:p>
    <w:p>
      <w:pPr>
        <w:spacing w:after="0" w:line="1" w:lineRule="exact"/>
        <w:rPr>
          <w:sz w:val="20"/>
          <w:szCs w:val="20"/>
          <w:color w:val="auto"/>
        </w:rPr>
      </w:pPr>
    </w:p>
    <w:p>
      <w:pPr>
        <w:ind w:right="100" w:firstLine="297"/>
        <w:spacing w:after="0" w:line="259" w:lineRule="auto"/>
        <w:rPr>
          <w:sz w:val="20"/>
          <w:szCs w:val="20"/>
          <w:color w:val="auto"/>
        </w:rPr>
      </w:pPr>
      <w:r>
        <w:rPr>
          <w:rFonts w:ascii="Arial" w:cs="Arial" w:eastAsia="Arial" w:hAnsi="Arial"/>
          <w:sz w:val="12"/>
          <w:szCs w:val="12"/>
          <w:color w:val="auto"/>
        </w:rPr>
        <w:t xml:space="preserve">The Company's corporate website address is </w:t>
      </w:r>
      <w:r>
        <w:rPr>
          <w:rFonts w:ascii="Arial" w:cs="Arial" w:eastAsia="Arial" w:hAnsi="Arial"/>
          <w:sz w:val="12"/>
          <w:szCs w:val="12"/>
          <w:i w:val="1"/>
          <w:iCs w:val="1"/>
          <w:u w:val="single" w:color="auto"/>
          <w:color w:val="auto"/>
        </w:rPr>
        <w:t>www.macerich.com</w:t>
      </w:r>
      <w:r>
        <w:rPr>
          <w:rFonts w:ascii="Arial" w:cs="Arial" w:eastAsia="Arial" w:hAnsi="Arial"/>
          <w:sz w:val="12"/>
          <w:szCs w:val="12"/>
          <w:color w:val="auto"/>
        </w:rPr>
        <w:t xml:space="preserve">. The Company makes available free-of-charge through this website its reports on Forms 10-K, 10-Q and 8-K and all amendments thereto, as soon as reasonably practicable after the reports have been filed with, or furnished to, the SEC. These reports are available under the heading "Investors—Financial Information—SEC Filings", through a free hyperlink to a third-party service. Information provided on the Company's website is not incorporated by reference into this Form 10-K. The following documents relating to Corporate Governance are available on the Company's website at </w:t>
      </w:r>
      <w:r>
        <w:rPr>
          <w:rFonts w:ascii="Arial" w:cs="Arial" w:eastAsia="Arial" w:hAnsi="Arial"/>
          <w:sz w:val="12"/>
          <w:szCs w:val="12"/>
          <w:i w:val="1"/>
          <w:iCs w:val="1"/>
          <w:u w:val="single" w:color="auto"/>
          <w:color w:val="auto"/>
        </w:rPr>
        <w:t>www.macerich.com</w:t>
      </w:r>
      <w:r>
        <w:rPr>
          <w:rFonts w:ascii="Arial" w:cs="Arial" w:eastAsia="Arial" w:hAnsi="Arial"/>
          <w:sz w:val="12"/>
          <w:szCs w:val="12"/>
          <w:color w:val="auto"/>
        </w:rPr>
        <w:t xml:space="preserve"> under "Investors— Corporate Governance":</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Guidelines on Corporate Governance</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Code of Business Conduct and Ethics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Code of Ethics for CEO and Senior Financial Officers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Audit Committee Charter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Compensation Committee Charter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Executive Committee Charter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Nominating and Corporate Governance Committee Charter</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You may also request copies of any of these documents by writing to:</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Attention: Corporate Secretary</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Macerich Company</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401 Wilshire Blvd., Suite 700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Santa Monica, CA 90401</w:t>
      </w:r>
    </w:p>
    <w:p>
      <w:pPr>
        <w:spacing w:after="0" w:line="25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00" w:lineRule="exact"/>
        <w:rPr>
          <w:sz w:val="20"/>
          <w:szCs w:val="20"/>
          <w:color w:val="auto"/>
        </w:rPr>
      </w:pPr>
    </w:p>
    <w:p>
      <w:pPr>
        <w:ind w:right="100" w:firstLine="432"/>
        <w:spacing w:after="0" w:line="243" w:lineRule="auto"/>
        <w:rPr>
          <w:sz w:val="20"/>
          <w:szCs w:val="20"/>
          <w:color w:val="auto"/>
        </w:rPr>
      </w:pPr>
      <w:r>
        <w:rPr>
          <w:rFonts w:ascii="Arial" w:cs="Arial" w:eastAsia="Arial" w:hAnsi="Arial"/>
          <w:sz w:val="12"/>
          <w:szCs w:val="12"/>
          <w:i w:val="1"/>
          <w:iCs w:val="1"/>
          <w:color w:val="auto"/>
        </w:rPr>
        <w:t>Set forth below are the risks that we believe are material to our investors and they should be carefully considered. Those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in “Important Factors Related To Forward-Looking Statements.” For purposes of this “Risk Factor” section, Centers wholly owned by us are referred to as “Wholly Owned Centers” and Centers that are partly but not wholly owned by us are referred to as “Joint Venture Centers.”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OUR BUSINESS AND PROPERTIES</w:t>
      </w:r>
    </w:p>
    <w:p>
      <w:pPr>
        <w:spacing w:after="0" w:line="33"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i w:val="1"/>
          <w:iCs w:val="1"/>
          <w:color w:val="auto"/>
        </w:rPr>
        <w:t>The novel coronavirus (“COVID-19”) has caused, and could continue to cause, disruptions in the U.S., regional and global economies and has impacted, and could continue to materially and adversely impact, the Company’s financial condition and results of operations and the financial condition and results of operations of its tenants.</w:t>
      </w:r>
    </w:p>
    <w:p>
      <w:pPr>
        <w:spacing w:after="0" w:line="7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COVID-19 pandemic, including the emergence of various variants, has caused, and could continue to cause, widespread disruptions to the United States and global economy and has contributed, and may continue to contribute, to significant volatility and negative pressure in financial markets. The extent to which COVID-19, or any future pandemic, epidemic or outbreak of any other highly infectious disease, impacts the Company’s operations will depend on future developments, which are highly uncertain and cannot be predicted with confidence, including the scope, severity and duration of such pandemic, the emergence and characteristics of new variants, the actions taken to contain the pandemic or mitigate its impact, including the adoption, administration and effectiveness of available COVID-19 vaccines, and the direct and indirect economic effects of the pandemic and containment measures, among others. Nevertheless, COVID-19 has, and may continue to, adversely affect our business, financial condition and results of operations, and it may also have the effect of heightening many of the risks described in this “Risk Factors” section, including:</w:t>
      </w:r>
    </w:p>
    <w:p>
      <w:pPr>
        <w:spacing w:after="0" w:line="74" w:lineRule="exact"/>
        <w:rPr>
          <w:sz w:val="20"/>
          <w:szCs w:val="20"/>
          <w:color w:val="auto"/>
        </w:rPr>
      </w:pPr>
    </w:p>
    <w:p>
      <w:pPr>
        <w:ind w:left="640" w:right="260" w:hanging="216"/>
        <w:spacing w:after="0" w:line="276" w:lineRule="auto"/>
        <w:tabs>
          <w:tab w:leader="none" w:pos="637" w:val="left"/>
        </w:tabs>
        <w:numPr>
          <w:ilvl w:val="0"/>
          <w:numId w:val="9"/>
        </w:numPr>
        <w:rPr>
          <w:rFonts w:ascii="Arial" w:cs="Arial" w:eastAsia="Arial" w:hAnsi="Arial"/>
          <w:sz w:val="12"/>
          <w:szCs w:val="12"/>
          <w:color w:val="auto"/>
        </w:rPr>
      </w:pPr>
      <w:r>
        <w:rPr>
          <w:rFonts w:ascii="Arial" w:cs="Arial" w:eastAsia="Arial" w:hAnsi="Arial"/>
          <w:sz w:val="12"/>
          <w:szCs w:val="12"/>
          <w:color w:val="auto"/>
        </w:rPr>
        <w:t>a complete or partial closure of, or other operational issues at, one or more of our Centers resulting from government or tenant action, which has caused or could continue to cause subsequent closures of previously re-opened Centers, which has adversely affected, and could continue to adversely effect, our operations and those of our tenants;</w:t>
      </w:r>
    </w:p>
    <w:p>
      <w:pPr>
        <w:spacing w:after="0" w:line="69" w:lineRule="exact"/>
        <w:rPr>
          <w:rFonts w:ascii="Arial" w:cs="Arial" w:eastAsia="Arial" w:hAnsi="Arial"/>
          <w:sz w:val="12"/>
          <w:szCs w:val="12"/>
          <w:color w:val="auto"/>
        </w:rPr>
      </w:pPr>
    </w:p>
    <w:p>
      <w:pPr>
        <w:ind w:left="640" w:right="100" w:hanging="216"/>
        <w:spacing w:after="0" w:line="323" w:lineRule="auto"/>
        <w:tabs>
          <w:tab w:leader="none" w:pos="637" w:val="left"/>
        </w:tabs>
        <w:numPr>
          <w:ilvl w:val="0"/>
          <w:numId w:val="9"/>
        </w:numPr>
        <w:rPr>
          <w:rFonts w:ascii="Arial" w:cs="Arial" w:eastAsia="Arial" w:hAnsi="Arial"/>
          <w:sz w:val="11"/>
          <w:szCs w:val="11"/>
          <w:color w:val="auto"/>
        </w:rPr>
      </w:pPr>
      <w:r>
        <w:rPr>
          <w:rFonts w:ascii="Arial" w:cs="Arial" w:eastAsia="Arial" w:hAnsi="Arial"/>
          <w:sz w:val="11"/>
          <w:szCs w:val="11"/>
          <w:color w:val="auto"/>
        </w:rPr>
        <w:t>reduced economic activity impacting the businesses, financial condition and liquidity of our tenants, which has caused and could continue to cause, one or more of our tenants, including one or more of our Anchors, to be unable to meet their obligations to us in full, or at all, to otherwise seek modifications of such obligations, including, deferrals or reductions of rental payments, or to declare bankruptcy;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6" w:right="319" w:bottom="1440" w:gutter="0" w:footer="0" w:header="0"/>
        </w:sectPr>
      </w:pPr>
    </w:p>
    <w:bookmarkStart w:id="15" w:name="page16"/>
    <w:bookmarkEnd w:id="15"/>
    <w:p>
      <w:pPr>
        <w:jc w:val="both"/>
        <w:ind w:left="640" w:right="140" w:hanging="216"/>
        <w:spacing w:after="0" w:line="263" w:lineRule="auto"/>
        <w:tabs>
          <w:tab w:leader="none" w:pos="637"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decreased levels of consumer spending and consumer confidence during the pandemic, as well as a decrease in traffic at our Centers, which has affected, and could continue to affect, the ability of the Centers to generate sufficient revenues to meet operating and other expenses in the short-term and could also accelerate a shift to online retail shopping, which, if sustained could result in prolonged decreases in revenue at the Centers even after the immediate impact of the pandemic is resolved;</w:t>
      </w:r>
    </w:p>
    <w:p>
      <w:pPr>
        <w:spacing w:after="0" w:line="77" w:lineRule="exact"/>
        <w:rPr>
          <w:rFonts w:ascii="Arial" w:cs="Arial" w:eastAsia="Arial" w:hAnsi="Arial"/>
          <w:sz w:val="12"/>
          <w:szCs w:val="12"/>
          <w:color w:val="auto"/>
        </w:rPr>
      </w:pPr>
    </w:p>
    <w:p>
      <w:pPr>
        <w:ind w:left="640" w:right="380" w:hanging="216"/>
        <w:spacing w:after="0" w:line="276" w:lineRule="auto"/>
        <w:tabs>
          <w:tab w:leader="none" w:pos="637"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inability to renew leases, lease vacant space, including vacant space from tenant bankruptcies and defaults, or re-let space as leases expire on favorable terms, or at all, which could result in lower rental payments or reduced occupancy levels, or could cause interruptions or delays in the receipt of rental payments;</w:t>
      </w:r>
    </w:p>
    <w:p>
      <w:pPr>
        <w:spacing w:after="0" w:line="60"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closure of Anchors at one or more of our properties, has triggered, and future closures could trigger, co-tenancy lease clauses within one or more of our leases at such properties and any future closures could potentially lead to a decline in revenue and occupancy;</w:t>
      </w:r>
    </w:p>
    <w:p>
      <w:pPr>
        <w:spacing w:after="0" w:line="69" w:lineRule="exact"/>
        <w:rPr>
          <w:rFonts w:ascii="Arial" w:cs="Arial" w:eastAsia="Arial" w:hAnsi="Arial"/>
          <w:sz w:val="12"/>
          <w:szCs w:val="12"/>
          <w:color w:val="auto"/>
        </w:rPr>
      </w:pPr>
    </w:p>
    <w:p>
      <w:pPr>
        <w:ind w:left="640" w:right="300" w:hanging="216"/>
        <w:spacing w:after="0" w:line="276" w:lineRule="auto"/>
        <w:tabs>
          <w:tab w:leader="none" w:pos="637" w:val="left"/>
        </w:tabs>
        <w:numPr>
          <w:ilvl w:val="0"/>
          <w:numId w:val="10"/>
        </w:numPr>
        <w:rPr>
          <w:rFonts w:ascii="Arial" w:cs="Arial" w:eastAsia="Arial" w:hAnsi="Arial"/>
          <w:sz w:val="12"/>
          <w:szCs w:val="12"/>
          <w:color w:val="auto"/>
        </w:rPr>
      </w:pPr>
      <w:r>
        <w:rPr>
          <w:rFonts w:ascii="Arial" w:cs="Arial" w:eastAsia="Arial" w:hAnsi="Arial"/>
          <w:sz w:val="12"/>
          <w:szCs w:val="12"/>
          <w:color w:val="auto"/>
        </w:rPr>
        <w:t>state, local or industry-initiated efforts, such as a rent freeze for tenants or a suspension of a landlord’s ability to enforce evictions, which has affected, and could continue to affect, our ability to collect rent or enforce remedies for the failure to pay rent;</w:t>
      </w:r>
    </w:p>
    <w:p>
      <w:pPr>
        <w:spacing w:after="0" w:line="69" w:lineRule="exact"/>
        <w:rPr>
          <w:rFonts w:ascii="Arial" w:cs="Arial" w:eastAsia="Arial" w:hAnsi="Arial"/>
          <w:sz w:val="12"/>
          <w:szCs w:val="12"/>
          <w:color w:val="auto"/>
        </w:rPr>
      </w:pPr>
    </w:p>
    <w:p>
      <w:pPr>
        <w:ind w:left="640" w:right="160" w:hanging="216"/>
        <w:spacing w:after="0" w:line="379" w:lineRule="auto"/>
        <w:tabs>
          <w:tab w:leader="none" w:pos="637" w:val="left"/>
        </w:tabs>
        <w:numPr>
          <w:ilvl w:val="0"/>
          <w:numId w:val="10"/>
        </w:numPr>
        <w:rPr>
          <w:rFonts w:ascii="Arial" w:cs="Arial" w:eastAsia="Arial" w:hAnsi="Arial"/>
          <w:sz w:val="10"/>
          <w:szCs w:val="10"/>
          <w:color w:val="auto"/>
        </w:rPr>
      </w:pPr>
      <w:r>
        <w:rPr>
          <w:rFonts w:ascii="Arial" w:cs="Arial" w:eastAsia="Arial" w:hAnsi="Arial"/>
          <w:sz w:val="10"/>
          <w:szCs w:val="10"/>
          <w:color w:val="auto"/>
        </w:rPr>
        <w:t>disruption and instability in the global financial markets or deteriorations in credit and financing conditions, which has made, and could continue to make, it difficult for us to access debt and equity capital on attractive terms, or at all, and could also impact our ability to fund business activities, repay debt on a timely basis and renew, extend or replace our credit facility prior to its maturity date at all or on terms that are favorable to us;</w:t>
      </w:r>
    </w:p>
    <w:p>
      <w:pPr>
        <w:spacing w:after="0" w:line="14" w:lineRule="exact"/>
        <w:rPr>
          <w:rFonts w:ascii="Arial" w:cs="Arial" w:eastAsia="Arial" w:hAnsi="Arial"/>
          <w:sz w:val="10"/>
          <w:szCs w:val="10"/>
          <w:color w:val="auto"/>
        </w:rPr>
      </w:pPr>
    </w:p>
    <w:p>
      <w:pPr>
        <w:ind w:left="640" w:right="420" w:hanging="216"/>
        <w:spacing w:after="0" w:line="323" w:lineRule="auto"/>
        <w:tabs>
          <w:tab w:leader="none" w:pos="637" w:val="left"/>
        </w:tabs>
        <w:numPr>
          <w:ilvl w:val="0"/>
          <w:numId w:val="10"/>
        </w:numPr>
        <w:rPr>
          <w:rFonts w:ascii="Arial" w:cs="Arial" w:eastAsia="Arial" w:hAnsi="Arial"/>
          <w:sz w:val="11"/>
          <w:szCs w:val="11"/>
          <w:color w:val="auto"/>
        </w:rPr>
      </w:pPr>
      <w:r>
        <w:rPr>
          <w:rFonts w:ascii="Arial" w:cs="Arial" w:eastAsia="Arial" w:hAnsi="Arial"/>
          <w:sz w:val="11"/>
          <w:szCs w:val="11"/>
          <w:color w:val="auto"/>
        </w:rPr>
        <w:t>a potential negative impact on our financial results could adversely impact our compliance with the financial covenants within our credit facility and other debt agreements or cause a failure to meet certain of these financial covenants, which could cause an event of default, which, if not cured or waived, could accelerate some or all of such indebtedness and could have a material adverse effect on us;</w:t>
      </w:r>
    </w:p>
    <w:p>
      <w:pPr>
        <w:spacing w:after="0" w:line="46" w:lineRule="exact"/>
        <w:rPr>
          <w:rFonts w:ascii="Arial" w:cs="Arial" w:eastAsia="Arial" w:hAnsi="Arial"/>
          <w:sz w:val="11"/>
          <w:szCs w:val="11"/>
          <w:color w:val="auto"/>
        </w:rPr>
      </w:pPr>
    </w:p>
    <w:p>
      <w:pPr>
        <w:ind w:left="640" w:hanging="216"/>
        <w:spacing w:after="0" w:line="276" w:lineRule="auto"/>
        <w:tabs>
          <w:tab w:leader="none" w:pos="637"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potential decline in asset values at one or more of our properties encumbered by mortgage debt, which could inhibit our ability to successfully refinance one or more such properties, result in a default under the applicable mortgage debt agreement and potentially cause the acceleration of such indebtedness;</w:t>
      </w:r>
    </w:p>
    <w:p>
      <w:pPr>
        <w:spacing w:after="0" w:line="69" w:lineRule="exact"/>
        <w:rPr>
          <w:rFonts w:ascii="Arial" w:cs="Arial" w:eastAsia="Arial" w:hAnsi="Arial"/>
          <w:sz w:val="12"/>
          <w:szCs w:val="12"/>
          <w:color w:val="auto"/>
        </w:rPr>
      </w:pPr>
    </w:p>
    <w:p>
      <w:pPr>
        <w:ind w:left="640" w:hanging="216"/>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general decline in business activity and demand for real estate transactions, which could adversely affect our ability or desire to make strategic acquisitions or dispositions; and</w:t>
      </w:r>
    </w:p>
    <w:p>
      <w:pPr>
        <w:spacing w:after="0" w:line="96" w:lineRule="exact"/>
        <w:rPr>
          <w:rFonts w:ascii="Arial" w:cs="Arial" w:eastAsia="Arial" w:hAnsi="Arial"/>
          <w:sz w:val="12"/>
          <w:szCs w:val="12"/>
          <w:color w:val="auto"/>
        </w:rPr>
      </w:pPr>
    </w:p>
    <w:p>
      <w:pPr>
        <w:ind w:left="640" w:right="60" w:hanging="216"/>
        <w:spacing w:after="0" w:line="263" w:lineRule="auto"/>
        <w:tabs>
          <w:tab w:leader="none" w:pos="637" w:val="left"/>
        </w:tabs>
        <w:numPr>
          <w:ilvl w:val="0"/>
          <w:numId w:val="10"/>
        </w:numPr>
        <w:rPr>
          <w:rFonts w:ascii="Arial" w:cs="Arial" w:eastAsia="Arial" w:hAnsi="Arial"/>
          <w:sz w:val="12"/>
          <w:szCs w:val="12"/>
          <w:color w:val="auto"/>
        </w:rPr>
      </w:pPr>
      <w:r>
        <w:rPr>
          <w:rFonts w:ascii="Arial" w:cs="Arial" w:eastAsia="Arial" w:hAnsi="Arial"/>
          <w:sz w:val="12"/>
          <w:szCs w:val="12"/>
          <w:color w:val="auto"/>
        </w:rPr>
        <w:t>uncertainty as to whether government authorities will maintain the relaxation of current restrictions on businesses in the regions in which our properties are located, if such restrictions have been relaxed at all, and whether government authorities will impose (or suggest) requirements on landlords, such as us, to further enhance health and safety protocols, or whether we will voluntarily adopt any such requirements ourselves, which could result in increased operating costs and demands on our property management teams to ensure compliance with any such requirements.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these and potential other disruptions caused by COVID-19 continue, our business could continue to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invest primarily in shopping centers, which are subject to a number of significant risks that are beyond our control.</w:t>
      </w:r>
    </w:p>
    <w:p>
      <w:pPr>
        <w:spacing w:after="0" w:line="123"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A number of factors, some of which may be heightened as a result of the COVID-19 pandemic, as further discussed in the risk factor above, may decrease the income generated by the Centers, including:</w:t>
      </w:r>
    </w:p>
    <w:p>
      <w:pPr>
        <w:spacing w:after="0" w:line="77" w:lineRule="exact"/>
        <w:rPr>
          <w:sz w:val="20"/>
          <w:szCs w:val="20"/>
          <w:color w:val="auto"/>
        </w:rPr>
      </w:pPr>
    </w:p>
    <w:p>
      <w:pPr>
        <w:ind w:left="640" w:hanging="216"/>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national economic climate;</w:t>
      </w:r>
    </w:p>
    <w:p>
      <w:pPr>
        <w:spacing w:after="0" w:line="96" w:lineRule="exact"/>
        <w:rPr>
          <w:rFonts w:ascii="Arial" w:cs="Arial" w:eastAsia="Arial" w:hAnsi="Arial"/>
          <w:sz w:val="12"/>
          <w:szCs w:val="12"/>
          <w:color w:val="auto"/>
        </w:rPr>
      </w:pPr>
    </w:p>
    <w:p>
      <w:pPr>
        <w:ind w:left="640" w:right="180" w:hanging="216"/>
        <w:spacing w:after="0" w:line="276" w:lineRule="auto"/>
        <w:tabs>
          <w:tab w:leader="none" w:pos="637"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regional and local economy (which may be negatively impacted by rising unemployment, declining real estate values, increased foreclosures, higher taxes, plant closings, industry slowdowns, union activity, adverse weather conditions, natural disasters and other factors);</w:t>
      </w:r>
    </w:p>
    <w:p>
      <w:pPr>
        <w:spacing w:after="0" w:line="69" w:lineRule="exact"/>
        <w:rPr>
          <w:rFonts w:ascii="Arial" w:cs="Arial" w:eastAsia="Arial" w:hAnsi="Arial"/>
          <w:sz w:val="12"/>
          <w:szCs w:val="12"/>
          <w:color w:val="auto"/>
        </w:rPr>
      </w:pPr>
    </w:p>
    <w:p>
      <w:pPr>
        <w:ind w:left="640" w:right="120" w:hanging="216"/>
        <w:spacing w:after="0" w:line="276" w:lineRule="auto"/>
        <w:tabs>
          <w:tab w:leader="none" w:pos="637"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7" w:right="319" w:bottom="1440" w:gutter="0" w:footer="0" w:header="0"/>
        </w:sectPr>
      </w:pPr>
    </w:p>
    <w:bookmarkStart w:id="16" w:name="page17"/>
    <w:bookmarkEnd w:id="16"/>
    <w:p>
      <w:pPr>
        <w:ind w:left="640" w:hanging="216"/>
        <w:spacing w:after="0"/>
        <w:tabs>
          <w:tab w:leader="none" w:pos="6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decreased levels of consumer spending, consumer confidence, and seasonal spending (especially during the holiday season when many retailers generate a disproportionate amount of their annual sales);</w:t>
      </w:r>
    </w:p>
    <w:p>
      <w:pPr>
        <w:spacing w:after="0" w:line="116" w:lineRule="exact"/>
        <w:rPr>
          <w:rFonts w:ascii="Arial" w:cs="Arial" w:eastAsia="Arial" w:hAnsi="Arial"/>
          <w:sz w:val="11"/>
          <w:szCs w:val="11"/>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increasing use by customers of e-commerce and online store sites and the impact of internet sales on the demand for retail space;</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negative perceptions by retailers or shoppers of the safety, convenience and attractiveness of a Center;</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acts of violence, including terrorist activities; and</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increased costs of maintenance, insurance and operations (including real estate taxes).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Income from shopping center properties and shopping center values are also affected by applicable laws and regulations, including tax, environmental, safety and zoning laws.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significant percentage of our Centers are geographically concentrated and, as a result, are sensitive to local economic and real estate conditions.</w:t>
      </w:r>
    </w:p>
    <w:p>
      <w:pPr>
        <w:spacing w:after="0" w:line="123"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A significant percentage of our Centers are located in California, New York and Arizona. To the extent that weak economic or real estate conditions or other factors affect California, New York and Arizona or any region in which we have a high concentration of properties more severely than other areas of the country, our financial performance could be negatively impacted.</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in a competitive business.</w:t>
      </w:r>
    </w:p>
    <w:p>
      <w:pPr>
        <w:spacing w:after="0" w:line="123"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Numerous owners, developers and managers of malls, shopping centers and other retail-oriented real estate compete with us for the acquisition of properties and in attracting tenants or Anchors to occupy space. There are a number of other publicly traded mall companies and several large private mall companies in the United States, any of which under certain circumstances could compete against us for an Anchor or a tenant. In addition, these companies, as well as other REITs, private real estate companies or investors compete with us in terms of property acquisitions. This results in competition both for the acquisition of properties or centers and for tenants or Anchors to occupy space. Competition for property acquisitions may result in increased purchase prices and may adversely affect our ability to make suitable property acquisitions on favorable terms or at all. The existence of competing shopping centers could have a material adverse impact on our ability to lease space and on the rental rates that can be achieved.</w:t>
      </w:r>
    </w:p>
    <w:p>
      <w:pPr>
        <w:spacing w:after="0" w:line="83"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There is also increasing competition for tenants and shoppers from other retail formats and technologies, such as lifestyle centers, power centers, outlet centers and online retail shopping that could adversely affect our revenues. The increased popularity of digital and mobile technologies has accelerated the transition of a percentage of market share from shopping at physical stores to web-based shopping, and the ongoing COVID-19 pandemic and restrictions intended to prevent its spread have significantly increased the utilization of e-commerce and may, particularly in certain market segments, accelerate the sustained shift to online retail shopping. If we are unsuccessful in adapting our business to evolving consumer purchasing habits it may have a material adverse impact on our financial condition and results of operations. Further, the increased utilization of online retail shopping, if sustained, may lead to the closure of underperforming stores by retailers, which could impact our occupancy levels and the rates that tenants are willing to pay to lease our space.</w:t>
      </w:r>
    </w:p>
    <w:p>
      <w:pPr>
        <w:spacing w:after="0" w:line="6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b w:val="1"/>
          <w:bCs w:val="1"/>
          <w:i w:val="1"/>
          <w:iCs w:val="1"/>
          <w:color w:val="auto"/>
        </w:rPr>
        <w:t>We may be unable to renew leases, lease vacant space or re-let space as leases expire on favorable terms or at all, or to the appropriate mix of tenants for the Centers, which could adversely affect our financial condition and results of operations.</w:t>
      </w:r>
    </w:p>
    <w:p>
      <w:pPr>
        <w:spacing w:after="0" w:line="133" w:lineRule="exact"/>
        <w:rPr>
          <w:sz w:val="20"/>
          <w:szCs w:val="20"/>
          <w:color w:val="auto"/>
        </w:rPr>
      </w:pPr>
    </w:p>
    <w:p>
      <w:pPr>
        <w:ind w:right="260" w:firstLine="432"/>
        <w:spacing w:after="0" w:line="298" w:lineRule="auto"/>
        <w:rPr>
          <w:sz w:val="20"/>
          <w:szCs w:val="20"/>
          <w:color w:val="auto"/>
        </w:rPr>
      </w:pPr>
      <w:r>
        <w:rPr>
          <w:rFonts w:ascii="Arial" w:cs="Arial" w:eastAsia="Arial" w:hAnsi="Arial"/>
          <w:sz w:val="11"/>
          <w:szCs w:val="11"/>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below-market renewal options will not be offered to attract new tenants or retain existing tenants. If the rental rates at our Centers decrease, if our existing tenants do not renew their leases or if we do not re-let a significant portion of our available space and space for which leases will expire, our financial condition and results of operations could be adversely affected.</w:t>
      </w:r>
    </w:p>
    <w:p>
      <w:pPr>
        <w:spacing w:after="0" w:line="51"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Additionally, if we fail to identify and secure the right blend of tenants at our retail and mixed-use properties, including our properties under development or redevelopment, our Centers may not appeal to the communities they are intended to serve, which could reduce customer traffic and the operations of our tenants and adversely affect our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17" w:right="299" w:bottom="1440" w:gutter="0" w:footer="0" w:header="0"/>
        </w:sectPr>
      </w:pPr>
    </w:p>
    <w:bookmarkStart w:id="17" w:name="page18"/>
    <w:bookmarkEnd w:id="17"/>
    <w:p>
      <w:pPr>
        <w:spacing w:after="0"/>
        <w:rPr>
          <w:sz w:val="20"/>
          <w:szCs w:val="20"/>
          <w:color w:val="auto"/>
        </w:rPr>
      </w:pPr>
      <w:r>
        <w:rPr>
          <w:rFonts w:ascii="Arial" w:cs="Arial" w:eastAsia="Arial" w:hAnsi="Arial"/>
          <w:sz w:val="11"/>
          <w:szCs w:val="11"/>
          <w:b w:val="1"/>
          <w:bCs w:val="1"/>
          <w:i w:val="1"/>
          <w:iCs w:val="1"/>
          <w:color w:val="auto"/>
        </w:rPr>
        <w:t>If Anchors or other significant tenants experience a downturn in their business, close or sell stores or declare bankruptcy, our financial condition and results of operations could be adversely affected.</w:t>
      </w:r>
    </w:p>
    <w:p>
      <w:pPr>
        <w:spacing w:after="0" w:line="135"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including as a result of the general conditions caused by COVID-19, a number of companies in the retail industry, including some of our tenants, have declared bankruptcy, have gone out of business, have significantly reduced their brick-and-mortar presence or failed to comply with their contractual obligations to us and others. If one of our tenants files for bankruptcy, we may not be able to collect amounts owed by that party prior to filing for bankruptcy. We may make lease modifications either pre- or post-bankruptcy for certain tenants undergoing significant financial distress in order for them to continue as a going concern. In addition, after filing for bankruptcy, a tenant may terminate any or all of its leases with us, in which event we would have a general unsecured claim against such tenant that would likely be worth less than the full amount owed to us for the remainder of the lease term. Furthermore, we may be required to incur significant expense in re-letting the space vacated by a bankrupt tenant and may not be able to release the space on similar terms or at all. The bankruptcy of a tenant, particularly an Anchor, may require a substantial redevelopment of their space, the success of which cannot be assured, and may make the re-letting of their space difficult and costly, and it may also be difficult to lease the remainder of the space at the affected property.</w:t>
      </w:r>
    </w:p>
    <w:p>
      <w:pPr>
        <w:spacing w:after="0" w:line="70"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Furthermore, certain department stores and other national retailers have experienced, and may continue to experience, decreases in customer traffic in their retail stores, increased competition from alternative retail options such as e-commerce and other forms of pressure on their business models. If the in-store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5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Anchors and/or tenants at one or more Centers might also terminate their leases as a result of mergers, acquisitions, consolidations or dispositions in the retail industry. The sale of an Anchor or store to a less desirable retailer may reduce occupancy levels, customer traffic and rental income. Depending on economic conditions, there is also a risk that Anchors or other significant tenants may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real estate acquisition, development and redevelopment strategies may not be successful.</w:t>
      </w:r>
    </w:p>
    <w:p>
      <w:pPr>
        <w:spacing w:after="0" w:line="123" w:lineRule="exact"/>
        <w:rPr>
          <w:sz w:val="20"/>
          <w:szCs w:val="20"/>
          <w:color w:val="auto"/>
        </w:rPr>
      </w:pPr>
    </w:p>
    <w:p>
      <w:pPr>
        <w:ind w:right="20" w:firstLine="432"/>
        <w:spacing w:after="0" w:line="316" w:lineRule="auto"/>
        <w:rPr>
          <w:sz w:val="20"/>
          <w:szCs w:val="20"/>
          <w:color w:val="auto"/>
        </w:rPr>
      </w:pPr>
      <w:r>
        <w:rPr>
          <w:rFonts w:ascii="Arial" w:cs="Arial" w:eastAsia="Arial" w:hAnsi="Arial"/>
          <w:sz w:val="10"/>
          <w:szCs w:val="10"/>
          <w:color w:val="auto"/>
        </w:rPr>
        <w:t>Our historical growth in revenues, net income and funds from operations has been in part tied to the acquisition, development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develop and redevelop additional properties in the future. We may not be successful in pursuing acquisition opportunities, and newly acquired properties may not perform as well as expected. Expenses arising from our efforts to complete acquisitions, develop and redevelop properties or increase our market penetration may have a material adverse effect on our business, financial condition and results of operations. We face competition for acquisitions primarily from other REITs, as well as from private real estate companies or investors. Some of our competitors have greater financial and other resources. Increased competition for shopping center acquisitions may result in increased purchase prices and may impact adversely our ability to acquire additional properties on favorable terms. We cannot guarantee that we will be able to implement our growth strategy successfully or manage our expanded operations effectively and profitably.</w:t>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may not be able to achieve the anticipated financial and operating results from newly acquired assets. Some of the factors that could affect anticipated results are:</w:t>
      </w:r>
    </w:p>
    <w:p>
      <w:pPr>
        <w:spacing w:after="0" w:line="105" w:lineRule="exact"/>
        <w:rPr>
          <w:sz w:val="20"/>
          <w:szCs w:val="20"/>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integrate and manage new properties, including increasing occupancy rates and rents at such properties;</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disposal of non-core assets within an expected time frame; and</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raise long-term financing to implement a capital structure at a cost of capital consistent with our business strategy.</w:t>
      </w:r>
    </w:p>
    <w:p>
      <w:pPr>
        <w:spacing w:after="0" w:line="105"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Our business strategy also includes the selective development and construction of retail properties. On a selective basis, our business strategy may include mixed-use densification to maximize space at our Regional Town Centers, including by developing available land at our Regional Town Centers or by demolishing underperforming department store boxes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18" w:name="page19"/>
    <w:bookmarkEnd w:id="18"/>
    <w:p>
      <w:pPr>
        <w:ind w:right="60"/>
        <w:spacing w:after="0" w:line="256" w:lineRule="auto"/>
        <w:rPr>
          <w:sz w:val="20"/>
          <w:szCs w:val="20"/>
          <w:color w:val="auto"/>
        </w:rPr>
      </w:pPr>
      <w:r>
        <w:rPr>
          <w:rFonts w:ascii="Arial" w:cs="Arial" w:eastAsia="Arial" w:hAnsi="Arial"/>
          <w:sz w:val="12"/>
          <w:szCs w:val="12"/>
          <w:color w:val="auto"/>
        </w:rPr>
        <w:t>redeveloping the land. Any development, redevelopment and construction activities that we may undertake will be subject to the risks of real estate development, including lack of financing, construction delays, environmental requirements, budget overruns, sunk costs and lease-up. Furthermore, occupancy rates and rents at a newly completed property may not be sufficient to make the property profitable. Real estate development activities are also subject to risks relating to the inability to obtain, or delays in obtaining, all necessary zoning, land-use, building, and occupancy and other required governmental permits and authorizations. Additionally, if we elect to pursue a “mixed-use” redevelopment, we expose ourselves to risks associated with each non-retail use (e.g., office, residential, hotel and entertainment). If any of the above events occur, our ability to pay dividends to our stockholders and service our indebtedness could be adversely affected.</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Excess space at our properties could materially and adversely affect us.</w:t>
      </w:r>
    </w:p>
    <w:p>
      <w:pPr>
        <w:spacing w:after="0" w:line="123"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Certain of our properties have had excess space available for prospective tenants, and those properties may continue to experience, and other properties may commence experiencing, such oversupply in the future. Among other causes, (1) there has been an increased number of bankruptcies of Anchors and other national retailers, as well as store closures, and (2) there has been lower demand from retail tenants for space, due to certain retailers increasing their use of e-commerce websites to distribute their merchandise. As a result of the increased bargaining power of creditworthy retail tenants, there is a downward pressure on our rental rates and occupancy levels, and this increased bargaining power may also result in us having to increase our spend on tenant improvements and potentially make other lease modifications in order to attract or retain tenants, any of which, in the aggregate, could materially and adversely affect us.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Real estate investments are relatively illiquid and we may be unable to sell properties at the time we desire and on favorable terms.</w:t>
      </w:r>
    </w:p>
    <w:p>
      <w:pPr>
        <w:spacing w:after="0" w:line="123" w:lineRule="exact"/>
        <w:rPr>
          <w:sz w:val="20"/>
          <w:szCs w:val="20"/>
          <w:color w:val="auto"/>
        </w:rPr>
      </w:pPr>
    </w:p>
    <w:p>
      <w:pPr>
        <w:ind w:right="20" w:firstLine="432"/>
        <w:spacing w:after="0" w:line="308" w:lineRule="auto"/>
        <w:rPr>
          <w:sz w:val="20"/>
          <w:szCs w:val="20"/>
          <w:color w:val="auto"/>
        </w:rPr>
      </w:pPr>
      <w:r>
        <w:rPr>
          <w:rFonts w:ascii="Arial" w:cs="Arial" w:eastAsia="Arial" w:hAnsi="Arial"/>
          <w:sz w:val="10"/>
          <w:szCs w:val="10"/>
          <w:color w:val="auto"/>
        </w:rPr>
        <w:t>Investments in real estate are relatively illiquid, which limits our ability to adjust our portfolio in response to changes in economic, market or other conditions.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we may not be able to dispose of it in the desired time period and may receive less consideration than we originally invested in the Center.</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real estate assets may be subject to impairment charges.</w:t>
      </w:r>
    </w:p>
    <w:p>
      <w:pPr>
        <w:spacing w:after="0" w:line="123"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We periodically assess whether there are any indicators, including property operating performance, changes in anticipated holding period and general market conditions, that the value of our real estate assets and other investments may be impaired. A property’s value is considered to be impaired only if the estimated aggregate future undiscounted and unleveraged property cash flows, taking into account the anticipated probability weighted average holding period, are less than the carrying value of the property. In our estimate of cash flows, we consider trends and prospects for a property and the effects of demand and competition on expected future operating income. If we are evaluating the potential sale of an asset or redevelopment alternatives, the undiscounted future cash flows consider the most likely course of action as of the balance sheet date based on current plans, intended holding periods and available market information. We are required to make subjective assessments as to whether there are impairments in the value of our real estate assets and other investments. Impairment charges have an immediate direct impact on our earnings. There can be no assurance that we will not take additional charges in the future related to the impairment of our assets. Any future impairment could have a material adverse effect on our operating results in the period in which the charge is recognized.</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Possible environmental liabilities could adversely affect us.</w:t>
      </w:r>
    </w:p>
    <w:p>
      <w:pPr>
        <w:spacing w:after="0" w:line="123" w:lineRule="exact"/>
        <w:rPr>
          <w:sz w:val="20"/>
          <w:szCs w:val="20"/>
          <w:color w:val="auto"/>
        </w:rPr>
      </w:pPr>
    </w:p>
    <w:p>
      <w:pPr>
        <w:ind w:right="20" w:firstLine="432"/>
        <w:spacing w:after="0" w:line="320" w:lineRule="auto"/>
        <w:rPr>
          <w:sz w:val="20"/>
          <w:szCs w:val="20"/>
          <w:color w:val="auto"/>
        </w:rPr>
      </w:pPr>
      <w:r>
        <w:rPr>
          <w:rFonts w:ascii="Arial" w:cs="Arial" w:eastAsia="Arial" w:hAnsi="Arial"/>
          <w:sz w:val="10"/>
          <w:szCs w:val="10"/>
          <w:color w:val="auto"/>
        </w:rPr>
        <w:t>Each of the Centers have undergone Environmental Site Assessment-Phase I studies conducted by an environmental consultant. As a result of these assessments and other information, we are aware of certain environmental issues present at certain Centers or at properties neighboring certain Centers, such as asbestos containing materials (“ACMs”) (some of which may ultimately require removal under certain conditions, though the company has developed an operations and maintenance plan to manage ACMs), underground storage tanks (which are often present at or near Centers in connection with gasoline stations or automotive tire, battery and accessory services centers, and some of which may have leaked or are suspected to have leaked) and chlorinated hydrocarbons (such as perchloroethylene and its degradation byproducts, which have been detected at certain Centers and are often present in connection with tenant dry cleaning operations). These issues may result in potential environmental liability and cause us to incur costs in responding to these liabilities or in other costs associated with future investigation or remediation.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17" w:right="299" w:bottom="1440" w:gutter="0" w:footer="0" w:header="0"/>
        </w:sectPr>
      </w:pPr>
    </w:p>
    <w:bookmarkStart w:id="19" w:name="page20"/>
    <w:bookmarkEnd w:id="19"/>
    <w:p>
      <w:pPr>
        <w:ind w:firstLine="432"/>
        <w:spacing w:after="0" w:line="259" w:lineRule="auto"/>
        <w:rPr>
          <w:sz w:val="20"/>
          <w:szCs w:val="20"/>
          <w:color w:val="auto"/>
        </w:rPr>
      </w:pPr>
      <w:r>
        <w:rPr>
          <w:rFonts w:ascii="Arial" w:cs="Arial" w:eastAsia="Arial" w:hAnsi="Arial"/>
          <w:sz w:val="12"/>
          <w:szCs w:val="12"/>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 properly, may adversely affect the owner’s or operator’s ability to sell or rent affected real property or to borrow money using affected real property as collateral.</w:t>
      </w:r>
    </w:p>
    <w:p>
      <w:pPr>
        <w:spacing w:after="0" w:line="79"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For example, laws exist that impose liability for release of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risks associated with climate change.</w:t>
      </w:r>
    </w:p>
    <w:p>
      <w:pPr>
        <w:spacing w:after="0" w:line="132" w:lineRule="exact"/>
        <w:rPr>
          <w:sz w:val="20"/>
          <w:szCs w:val="20"/>
          <w:color w:val="auto"/>
        </w:rPr>
      </w:pPr>
    </w:p>
    <w:p>
      <w:pPr>
        <w:jc w:val="both"/>
        <w:ind w:right="40" w:firstLine="432"/>
        <w:spacing w:after="0" w:line="298" w:lineRule="auto"/>
        <w:rPr>
          <w:sz w:val="20"/>
          <w:szCs w:val="20"/>
          <w:color w:val="auto"/>
        </w:rPr>
      </w:pPr>
      <w:r>
        <w:rPr>
          <w:rFonts w:ascii="Arial" w:cs="Arial" w:eastAsia="Arial" w:hAnsi="Arial"/>
          <w:sz w:val="11"/>
          <w:szCs w:val="11"/>
          <w:color w:val="auto"/>
        </w:rPr>
        <w:t>Due to changes in weather patterns caused by climate change, our properties in certain markets could experience increases in storm intensity and rising sea levels. Over time, climate change could result in volatile or decreased demand for retail space at some of our Centers or, in extreme cases, our inability to operate the properties at all. Climate change may also have indirect effects on our business by increasing the cost of (or making unavailable) insurance on favorable terms, or at all, increasing the cost of energy at our properties or requiring us to spend funds to repair and protect our properties against such risks.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properties are subject to potential natural or other disasters.</w:t>
      </w:r>
    </w:p>
    <w:p>
      <w:pPr>
        <w:spacing w:after="0" w:line="132" w:lineRule="exact"/>
        <w:rPr>
          <w:sz w:val="20"/>
          <w:szCs w:val="20"/>
          <w:color w:val="auto"/>
        </w:rPr>
      </w:pPr>
    </w:p>
    <w:p>
      <w:pPr>
        <w:ind w:right="20" w:firstLine="432"/>
        <w:spacing w:after="0" w:line="326" w:lineRule="auto"/>
        <w:rPr>
          <w:sz w:val="20"/>
          <w:szCs w:val="20"/>
          <w:color w:val="auto"/>
        </w:rPr>
      </w:pPr>
      <w:r>
        <w:rPr>
          <w:rFonts w:ascii="Arial" w:cs="Arial" w:eastAsia="Arial" w:hAnsi="Arial"/>
          <w:sz w:val="10"/>
          <w:szCs w:val="10"/>
          <w:color w:val="auto"/>
        </w:rPr>
        <w:t>Some of our Centers are located in areas that are subject to natural disasters, including our Centers in California or in other areas with higher risk of earthquakes, our Centers in flood plains or in areas that may be adversely affected by tornadoes, as well as our Centers in coastal regions that may be adversely affected by increases in sea levels or in the frequency or severity of hurricanes, tropical storms or other severe weather conditions. The occurrence of natural disasters can delay redevelopment or development projects, increase investment costs to repair or replace damaged properties, increase future property insurance costs and negatively impact the tenant demand for lease space. If insurance is unavailable to us or is unavailable on acceptable terms, or our insurance is not adequate to cover losses from these events, our financial condition and results of operations could be adversely affected.</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Uninsured or underinsured losses could adversely affect our financial condition.</w:t>
      </w:r>
    </w:p>
    <w:p>
      <w:pPr>
        <w:spacing w:after="0" w:line="132"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and our insurance coverage may have certain exclusions (such as pandemics) that prevent us from collecting on certain claims under our policies. In addition, while we or the relevant joint venture, as applicable, carry specific earthquake insurance on the Centers located in California, the policies are subject to a deductible equal to 5% of the total insured value of each Center, a $148,000 per occurrence minimum and a combined annual aggregate loss limit of $100 million on these Centers. We or the relevant joint venture, as applicable, carry specific earthquake insurance on the Centers located in the Pacific Northwest and in the New Madrid Seismic Zone. However, the policies are subject to a deductible equal to 2% of the total insured value of each Center, a $114,000 per occurrence minimum and a combined annual aggregate loss limit of $100 million on these Centers. While we or the relevant joint venture also carry standalone terrorism insurance on the Centers, the policies are subject to a $25,000 deductible and a combined annual aggregate loss limit of $1.0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and another Center has a $20 million ten-year aggregate loss limit. Some environmental losses are not covered by this insurance because they are uninsurable or not economically insurable. Furthermore, we carry title insurance on substantially all of the Centers for generally less than their full value.</w:t>
      </w:r>
    </w:p>
    <w:p>
      <w:pPr>
        <w:spacing w:after="0" w:line="6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7" w:right="31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i w:val="1"/>
          <w:iCs w:val="1"/>
          <w:color w:val="auto"/>
        </w:rPr>
        <w:t>Compliance with the Americans with Disabilities Act and fire, safety and other regulations may require us to make expenditures that could adversely affect our cash flows.</w:t>
      </w:r>
    </w:p>
    <w:p>
      <w:pPr>
        <w:spacing w:after="0" w:line="123"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All of the properties in our portfolio are required to comply with the Americans with Disabilities Act (“ADA”). The ADA has separate compliance requirements for “public accommodations” and “commercial facilities,” but generally requires that buildings be made accessible to people with disabilities. Compliance with the ADA requirements could require removal of access barriers, and non-compliance could result in the imposition of fines by the United States government or an award of damages to private litigants, or both. While the tenants to whom our portfolio is leased are obligated to comply with ADA provisions, within their leased premises, if required changes within their leased premises involve greater expenditures than anticipated, or if the changes must be made on a more accelerated basis than anticipated, the ability of tenants to cover costs could be adversely affected. Furthermore, we are required to comply with ADA requirements within the common areas of the properties in our portfolio and we may not be able to pass on to our tenants any costs necessary to remediate any common area ADA issues. As a result, we could be required to expend funds to comply with the provisions of the ADA, which could adversely affect our financial condition and operating results. In addition, we are required to operate the properties in compliance with fire and safety regulations, building codes and other land use regulations, as they may be adopted by governmental agencies and bodies and become applicable to our portfolio. We may be required to make substantial capital expenditures to comply with, and we may be restricted in our ability to renovate or redevelop the properties subject to, those requirements. The resulting expenditures and restrictions could have a material adverse effect on our ability to meet our financial obligations.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Possible terrorist activity or other acts or threats of violence and threats to public safety could adversely affect our financial condition and results of operations.</w:t>
      </w:r>
    </w:p>
    <w:p>
      <w:pPr>
        <w:spacing w:after="0" w:line="123" w:lineRule="exact"/>
        <w:rPr>
          <w:sz w:val="20"/>
          <w:szCs w:val="20"/>
          <w:color w:val="auto"/>
        </w:rPr>
      </w:pPr>
    </w:p>
    <w:p>
      <w:pPr>
        <w:ind w:right="80" w:firstLine="432"/>
        <w:spacing w:after="0" w:line="323" w:lineRule="auto"/>
        <w:rPr>
          <w:sz w:val="20"/>
          <w:szCs w:val="20"/>
          <w:color w:val="auto"/>
        </w:rPr>
      </w:pPr>
      <w:r>
        <w:rPr>
          <w:rFonts w:ascii="Arial" w:cs="Arial" w:eastAsia="Arial" w:hAnsi="Arial"/>
          <w:sz w:val="11"/>
          <w:szCs w:val="11"/>
          <w:color w:val="auto"/>
        </w:rPr>
        <w:t>Terrorist attacks and threats of terrorist attacks in the United States or other acts or threats of violence may result in declining economic activity, which could harm the demand for goods and services offered by our tenants and the value of our properties and might adversely affect the value of an investment in our securities. Such a resulting decrease in retail demand could make it difficult for us to renew or re-lease our properties.</w:t>
      </w:r>
    </w:p>
    <w:p>
      <w:pPr>
        <w:spacing w:after="0" w:line="47" w:lineRule="exact"/>
        <w:rPr>
          <w:sz w:val="20"/>
          <w:szCs w:val="20"/>
          <w:color w:val="auto"/>
        </w:rPr>
      </w:pPr>
    </w:p>
    <w:p>
      <w:pPr>
        <w:ind w:right="20" w:firstLine="432"/>
        <w:spacing w:after="0" w:line="285" w:lineRule="auto"/>
        <w:rPr>
          <w:sz w:val="20"/>
          <w:szCs w:val="20"/>
          <w:color w:val="auto"/>
        </w:rPr>
      </w:pPr>
      <w:r>
        <w:rPr>
          <w:rFonts w:ascii="Arial" w:cs="Arial" w:eastAsia="Arial" w:hAnsi="Arial"/>
          <w:sz w:val="11"/>
          <w:szCs w:val="11"/>
          <w:color w:val="auto"/>
        </w:rPr>
        <w:t>Terrorist activities or violence also could result in decreased traffic at our properties due to a heightened level of concern for safety in public places or directly affect the value of our properties through damage, destruction or loss. Further, the availability of insurance for such acts, or of insurance generally, might be reduced or cost more, which could increase our operating expenses and adversely affect our financial condition and results of operations. To the extent that our tenants are affected by such attacks and threats of attacks, their businesses similarly could be adversely affected, including their ability to continue to meet obligations under their existing leases. These acts and threats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Inflation may adversely affect our financial condition and results of operations.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inflation increases in the future, we may experience any or all of the following:</w:t>
      </w:r>
    </w:p>
    <w:p>
      <w:pPr>
        <w:spacing w:after="0" w:line="96" w:lineRule="exact"/>
        <w:rPr>
          <w:sz w:val="20"/>
          <w:szCs w:val="20"/>
          <w:color w:val="auto"/>
        </w:rPr>
      </w:pPr>
    </w:p>
    <w:p>
      <w:pPr>
        <w:ind w:left="640" w:hanging="216"/>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Difficulty in replacing or renewing expiring leases with new leases at higher rents; and</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Decreasing tenant sales as a result of decreased consumer spending which could adversely affect the ability of our tenants to meet their rent obligations and/or result in lower percentage rents.</w:t>
      </w:r>
    </w:p>
    <w:p>
      <w:pPr>
        <w:spacing w:after="0" w:line="105"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Inflation also poses a risk to us due to the possibility of future increases in interest rates. Such increases would adversely impact us due to our outstanding floating-rate debt as well as result in higher interest rates on new fixed-rate debt. In certain cases, we may limit our exposure to interest rate fluctuations related to a portion of our floating-rate debt by the use of interest rate cap and swap agreements. Such agreements, subject to current market conditions, allow us to replace floating-rate debt with fixed-rate debt in order to achieve our desired ratio of floating-rate to fixed-rate debt. However, in an increasing interest rate environment the fixed rates we can obtain with such replacement fixed-rate cap and swap agreements or the fixed-rate on new debt will also continue to increase.</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substantial debt that could affect our future operations.</w:t>
      </w:r>
    </w:p>
    <w:p>
      <w:pPr>
        <w:spacing w:after="0" w:line="13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Our total outstanding loan indebtedness at December 31, 2021 was $6.98 billion (consisting of $4.53 billion of consolidated debt, less $0.46 billion attributable to noncontrolling interests, plus $2.91 billion of our pro rata share of mortgages and other notes payable on unconsolidated joint ventures). As a result of this substantial indebtedness, we are required to use a material portion of our cash flow to service principal and interest on our debt, which limits the amount of cash available for other business opportunities. We are also subject to the risks normally associated with debt financing, including the risk that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1" w:name="page22"/>
    <w:bookmarkEnd w:id="21"/>
    <w:p>
      <w:pPr>
        <w:ind w:right="60"/>
        <w:spacing w:after="0" w:line="285" w:lineRule="auto"/>
        <w:rPr>
          <w:sz w:val="20"/>
          <w:szCs w:val="20"/>
          <w:color w:val="auto"/>
        </w:rPr>
      </w:pPr>
      <w:r>
        <w:rPr>
          <w:rFonts w:ascii="Arial" w:cs="Arial" w:eastAsia="Arial" w:hAnsi="Arial"/>
          <w:sz w:val="11"/>
          <w:szCs w:val="11"/>
          <w:color w:val="auto"/>
        </w:rPr>
        <w:t>our cash flow from operations will be insufficient to meet required debt service and that rising interest rates could adversely affect our debt service costs. In addition, our use of interest rate hedging arrangements may expose us to additional risks, including that the counterparty to the arrangement may fail to honor its obligations and that termination of these arrangements typically involves costs such as transaction fees or breakage costs. There can be no assurance that our hedging activities will have the desired impact on our results of operations, liquidity or financial condition. Furthermore, most of our Centers are mortgaged to secure payment of indebtedness, and if income from the Center is insufficient to pay that indebtedness, the Center could be foreclosed upon by the mortgagee resulting in a loss of income and a decline in our total asset value. Certain Centers also have debt that could become recourse debt to us if the Center is unable to discharge such debt obligation and, in certain circumstances, we may incur liability with respect to such debt greater than our legal ownership.</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obligated to comply with financial and other covenants that could affect our operating activities.</w:t>
      </w:r>
    </w:p>
    <w:p>
      <w:pPr>
        <w:spacing w:after="0" w:line="12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 to meet certain of these financial covenants could cause an event of default, which, if not cured or waived, could accelerate some or all of such indebtedness which could have a material adverse effect on us.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external financings for our growth and ongoing debt service requirements.</w:t>
      </w:r>
    </w:p>
    <w:p>
      <w:pPr>
        <w:spacing w:after="0" w:line="12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In addition, levels of market disruption and volatility could materially adversely impact our ability to access the capital markets for equity financings.</w:t>
      </w:r>
    </w:p>
    <w:p>
      <w:pPr>
        <w:spacing w:after="0" w:line="77"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There are no assurances that we will continue to be able to obtain the financing we need for future growth or to meet our debt service as obligations mature, or that the financing will be available to us on acceptable terms, or at all. Any debt refinancing could also impose more restrictive terms.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discontinuation of LIBOR and the replacement of LIBOR with an alternative reference rate may adversely affect our borrowing costs and could impact our business and results of operations.</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LIBOR benchmark has been the subject of national, international and other regulatory guidance and proposals for reform and replacement, with most LIBOR settings not expected to be published after June 30, 2023. In the United States, the Alternative Reference Rates Committee (“AARC”), which was convened by the Federal Reserve Board and the Federal Reserve Bank of New York, has recommended the Secured Overnight Financing Rate (“SOFR”) plus a recommended spread adjustment as its preferred alternative to USD-LIBOR. There are significant differences between LIBOR and SOFR, such as LIBOR being an unsecured lending rate while SOFR is a secured rate, and SOFR is an overnight rate while LIBOR reflects term rates at different maturities.</w:t>
      </w:r>
    </w:p>
    <w:p>
      <w:pPr>
        <w:spacing w:after="0" w:line="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We expect that all LIBOR settings relevant to us will cease to be published or will no longer be representative after June 30, 2023. As a result, any of our LIBOR-based borrowings that extend beyond such date will need to be converted to a replacement rate. Certain risks may arise in connection with transitioning contracts to SOFR or any other alternative variable rate, including any resulting value transfer that may occur. The value of loans, securities, or derivative instruments tied to LIBOR could also be impacted. If a contract is not transitioned to an alternative variable rate and LIBOR is discontinued, the impact is likely to vary by contract. As of December 31, 2021, each of the agreements governing our variable rate debt provides for the replacement of LIBOR if it becomes unavailable during the term of such agreement.</w:t>
      </w:r>
    </w:p>
    <w:p>
      <w:pPr>
        <w:spacing w:after="0" w:line="79" w:lineRule="exact"/>
        <w:rPr>
          <w:sz w:val="20"/>
          <w:szCs w:val="20"/>
          <w:color w:val="auto"/>
        </w:rPr>
      </w:pPr>
    </w:p>
    <w:p>
      <w:pPr>
        <w:ind w:right="80" w:firstLine="432"/>
        <w:spacing w:after="0" w:line="289" w:lineRule="auto"/>
        <w:rPr>
          <w:sz w:val="20"/>
          <w:szCs w:val="20"/>
          <w:color w:val="auto"/>
        </w:rPr>
      </w:pPr>
      <w:r>
        <w:rPr>
          <w:rFonts w:ascii="Arial" w:cs="Arial" w:eastAsia="Arial" w:hAnsi="Arial"/>
          <w:sz w:val="11"/>
          <w:szCs w:val="11"/>
          <w:color w:val="auto"/>
        </w:rPr>
        <w:t>The discontinuation of LIBOR will not affect our ability to borrow or maintain already outstanding borrowings or swaps, but if our contracts indexed to LIBOR, including certain contracts governing our variable rate debt, the variable rate debt of our joint ventures and our interest rate swaps, are converted to SOFR, the differences between LIBOR and SOFR, plus the recommended spread adjustment, could result in interest costs that are higher than if LIBOR remained available. Additionally, although SOFR is the AARC’s recommended replacement rate, it is also possible that lenders may instead choose alternative replacement rates that may differ from LIBOR in ways similar to SOFR or in ways that would result in higher interest costs for us. It is not yet possible to predict the magnitude of LIBOR’s end on our borrowing costs given the remaining uncertainty about which rates will replace LIBOR.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7" w:right="31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i w:val="1"/>
          <w:iCs w:val="1"/>
          <w:color w:val="auto"/>
        </w:rPr>
        <w:t>RISKS RELATED TO OUR ORGANIZATIONAL STRUCTURE</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individuals have substantial influence over the management of both us and the Operating Partnership, which may create conflicts of interest.</w:t>
      </w:r>
    </w:p>
    <w:p>
      <w:pPr>
        <w:spacing w:after="0" w:line="132"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Under the limited partnership agreement of the Operating Partnership, we, as the sole general partner, are responsible for the management of the Operating Partnership’s business and affairs. Conflicts of interest may exist or could arise in the future as a result of the relationships between us and our affiliates, on the one hand, and our Operating Partnership or any of its partners, on the other. Our directors and officers have duties to our Company under Maryland law in connection with their management of our Company. At the same time, we have duties and obligations to our Operating Partnership and its limited partners under Delaware law as modified by the partnership agreement of our Operating Partnership in connection with the management of our Operating Partnership as the sole general partner. Our duties and obligations as the general partner of our Operating Partnership may come into conflict with the duties of our directors and officers to our Company and our stockholders.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Outside partners in Joint Venture Centers result in additional risks to our stockholders.</w:t>
      </w:r>
    </w:p>
    <w:p>
      <w:pPr>
        <w:spacing w:after="0" w:line="13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own partial interests in property partnerships that own 22 Joint Venture Centers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61"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We have fiduciary responsibilities to our joint venture partners that could affect decisions concerning the Joint Venture Centers. Our partners in certain Joint Venture Centers (notwithstanding our majority legal ownership) share control of major decisions relating to the Joint Venture Centers, including decisions with respect to sales, refinancings and the timing and amount of additional capital contributions, as well as decisions that could have an adverse impact on us.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we may lose our management and other rights relating to the Joint Venture Centers if:</w:t>
      </w:r>
    </w:p>
    <w:p>
      <w:pPr>
        <w:spacing w:after="0" w:line="105" w:lineRule="exact"/>
        <w:rPr>
          <w:sz w:val="20"/>
          <w:szCs w:val="20"/>
          <w:color w:val="auto"/>
        </w:rPr>
      </w:pPr>
    </w:p>
    <w:p>
      <w:pPr>
        <w:ind w:left="640" w:hanging="216"/>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fail to contribute our share of additional capital needed by the property partnerships; or</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default under a partnership agreement for a property partnership or other agreements relating to the property partnerships or the Joint Venture Centers.</w:t>
      </w:r>
    </w:p>
    <w:p>
      <w:pPr>
        <w:spacing w:after="0" w:line="105"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Furthermore, the bankruptcy of one of the other investors in our Joint Venture Centers could materially and adversely affect the respective property or properties. Pursuant to the bankruptcy code, we could be precluded from taking some actions affecting the estate of the other investor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Joint Venture Center has incurred recourse obligations, the discharge in bankruptcy of one of the other investors might result in our ultimate liability for a greater portion of those obligations than would otherwise be required.</w:t>
      </w:r>
    </w:p>
    <w:p>
      <w:pPr>
        <w:spacing w:after="0" w:line="79" w:lineRule="exact"/>
        <w:rPr>
          <w:sz w:val="20"/>
          <w:szCs w:val="20"/>
          <w:color w:val="auto"/>
        </w:rPr>
      </w:pPr>
    </w:p>
    <w:p>
      <w:pPr>
        <w:jc w:val="both"/>
        <w:ind w:right="80" w:firstLine="432"/>
        <w:spacing w:after="0" w:line="289" w:lineRule="auto"/>
        <w:rPr>
          <w:sz w:val="20"/>
          <w:szCs w:val="20"/>
          <w:color w:val="auto"/>
        </w:rPr>
      </w:pPr>
      <w:r>
        <w:rPr>
          <w:rFonts w:ascii="Arial" w:cs="Arial" w:eastAsia="Arial" w:hAnsi="Arial"/>
          <w:sz w:val="11"/>
          <w:szCs w:val="11"/>
          <w:color w:val="auto"/>
        </w:rPr>
        <w:t>Our legal ownership interest in a joint venture vehicle may, at times, not equal our economic interest in the entity because of various provisions in certain joint venture agreements regarding distributions of cash flow based on capital account balances, allocations of profits and losses and payments of preferred returns. As a result, our actual economic interest (as distinct from our legal ownership interest) in certain of the Joint Venture Centers could fluctuate from time to time and may not wholly align with our legal ownership interests. Substantially all of our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holding company structure makes us dependent on distributions from the Operating Partnership.</w:t>
      </w:r>
    </w:p>
    <w:p>
      <w:pPr>
        <w:spacing w:after="0" w:line="132"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An ownership limit and certain of our Charter and bylaw provisions could inhibit a change of control or reduce the value of our common stock.</w:t>
      </w:r>
    </w:p>
    <w:p>
      <w:pPr>
        <w:spacing w:after="0" w:line="123"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The Ownership Limit. In order for us to maintain our qualification as a REIT, not more than 50% in value of our outstanding stock (after taking into account certain options to acquire stock) may be owned, directly or indirectly or through the application of certain attribution rules, by five or fewer individuals (as defined in the Internal Revenue Code of 1986, as amended (the “Code”), to include some entities that would not ordinarily be considered “individuals”) at any time during the last half of a taxable year. To assist us in maintaining our qualification as a REIT, among other purposes, our Charter restricts ownership of more than 5% (the “Ownership Limit”) of the lesser of the number or value of our outstanding shares of stock by any single stockholder or a group of stockholders (with limited exceptions). In addition to enhancing preservation of our status as a REIT, the Ownership Limit may:</w:t>
      </w:r>
    </w:p>
    <w:p>
      <w:pPr>
        <w:spacing w:after="0" w:line="66" w:lineRule="exact"/>
        <w:rPr>
          <w:sz w:val="20"/>
          <w:szCs w:val="20"/>
          <w:color w:val="auto"/>
        </w:rPr>
      </w:pPr>
    </w:p>
    <w:p>
      <w:pPr>
        <w:ind w:left="640" w:right="40" w:hanging="216"/>
        <w:spacing w:after="0" w:line="276" w:lineRule="auto"/>
        <w:tabs>
          <w:tab w:leader="none" w:pos="6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have the effect of delaying, deferring or preventing a change in control of us or other transaction without the approval of our board of directors, even if the change in control or other transaction is in the best interests of our stockholders; and</w:t>
      </w:r>
    </w:p>
    <w:p>
      <w:pPr>
        <w:spacing w:after="0" w:line="60" w:lineRule="exact"/>
        <w:rPr>
          <w:rFonts w:ascii="Arial" w:cs="Arial" w:eastAsia="Arial" w:hAnsi="Arial"/>
          <w:sz w:val="12"/>
          <w:szCs w:val="12"/>
          <w:color w:val="auto"/>
        </w:rPr>
      </w:pPr>
    </w:p>
    <w:p>
      <w:pPr>
        <w:ind w:left="640" w:right="420" w:hanging="216"/>
        <w:spacing w:after="0" w:line="276" w:lineRule="auto"/>
        <w:tabs>
          <w:tab w:leader="none" w:pos="6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70"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Our board of directors, in its sole discretion, may waive or modify (subject to limitations and upon any conditions as it may direct) the Ownership Limit with respect to one or more of our stockholders, if it is satisfied that ownership in excess of this limit will not jeopardize our status as a REIT.</w:t>
      </w:r>
    </w:p>
    <w:p>
      <w:pPr>
        <w:spacing w:after="0" w:line="7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i w:val="1"/>
          <w:iCs w:val="1"/>
          <w:color w:val="auto"/>
        </w:rPr>
        <w:t xml:space="preserve">Selected Provisions of our Charter and bylaws. </w:t>
      </w:r>
      <w:r>
        <w:rPr>
          <w:rFonts w:ascii="Arial" w:cs="Arial" w:eastAsia="Arial" w:hAnsi="Arial"/>
          <w:sz w:val="12"/>
          <w:szCs w:val="12"/>
          <w:color w:val="auto"/>
        </w:rPr>
        <w:t>Some of the provisions of our Charter and bylaws may have the effect of delaying, deferring or preventing a third party from making an acquisition proposal for us and may</w:t>
      </w:r>
      <w:r>
        <w:rPr>
          <w:rFonts w:ascii="Arial" w:cs="Arial" w:eastAsia="Arial" w:hAnsi="Arial"/>
          <w:sz w:val="12"/>
          <w:szCs w:val="12"/>
          <w:i w:val="1"/>
          <w:iCs w:val="1"/>
          <w:color w:val="auto"/>
        </w:rPr>
        <w:t xml:space="preserve"> </w:t>
      </w:r>
      <w:r>
        <w:rPr>
          <w:rFonts w:ascii="Arial" w:cs="Arial" w:eastAsia="Arial" w:hAnsi="Arial"/>
          <w:sz w:val="12"/>
          <w:szCs w:val="12"/>
          <w:color w:val="auto"/>
        </w:rPr>
        <w:t>inhibit a change in control that holders of some, or a majority, of our shares might believe to be in their best interests or that could give our stockholders the opportunity to realize a premium over the then-prevailing market prices for our shares. These provisions include the following:</w:t>
      </w:r>
    </w:p>
    <w:p>
      <w:pPr>
        <w:spacing w:after="0" w:line="68" w:lineRule="exact"/>
        <w:rPr>
          <w:sz w:val="20"/>
          <w:szCs w:val="20"/>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advance notice requirements for stockholder nominations of directors and stockholder proposals to be considered at stockholder meetings;</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obligation of our directors to consider a variety of factors with respect to a proposed business combination or other change of control transaction;</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authority of our directors to classify or reclassify unissued shares and cause the Company to issue shares of one or more classes or series of common stock or preferred stock;</w:t>
      </w:r>
    </w:p>
    <w:p>
      <w:pPr>
        <w:spacing w:after="0" w:line="96"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authority of our directors to create and cause the Company to issue rights entitling the holders thereof to purchase shares of stock or other securities from us; and</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limitations on the amendment of our Charter, the change in control of us, and the liability of our directors and officers.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provisions of Maryland law could inhibit a change in control or reduce the value of our common stock.</w:t>
      </w:r>
    </w:p>
    <w:p>
      <w:pPr>
        <w:spacing w:after="0" w:line="123"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Certain provisions of the Maryland General Corporation Law (the “MGCL”) may have the effect of delaying, deferring or 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including:</w:t>
      </w:r>
    </w:p>
    <w:p>
      <w:pPr>
        <w:spacing w:after="0" w:line="47" w:lineRule="exact"/>
        <w:rPr>
          <w:sz w:val="20"/>
          <w:szCs w:val="20"/>
          <w:color w:val="auto"/>
        </w:rPr>
      </w:pPr>
    </w:p>
    <w:p>
      <w:pPr>
        <w:ind w:left="640" w:right="20" w:hanging="216"/>
        <w:spacing w:after="0" w:line="259" w:lineRule="auto"/>
        <w:tabs>
          <w:tab w:leader="none" w:pos="6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our then outstanding stock) or an affiliate of an interested stockholder for five years after the most recent date on which the stockholder becomes an interested stockholder, and thereafter may impose special appraisal rights and special stockholder voting requirements on these combinations; and</w:t>
      </w:r>
    </w:p>
    <w:p>
      <w:pPr>
        <w:spacing w:after="0" w:line="70" w:lineRule="exact"/>
        <w:rPr>
          <w:rFonts w:ascii="Arial" w:cs="Arial" w:eastAsia="Arial" w:hAnsi="Arial"/>
          <w:sz w:val="12"/>
          <w:szCs w:val="12"/>
          <w:color w:val="auto"/>
        </w:rPr>
      </w:pPr>
    </w:p>
    <w:p>
      <w:pPr>
        <w:ind w:left="640" w:right="40" w:hanging="216"/>
        <w:spacing w:after="0" w:line="276" w:lineRule="auto"/>
        <w:tabs>
          <w:tab w:leader="none" w:pos="6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“Control Share” provisions that provide that holders of “control shares” of our Company (defined as shares which, when aggregated with other shares controlled by the stockholder, entitle the stockholder to exercise one of three increasing ranges of voting power in electing directors) acquired in a “control share acquisition” (defined as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4" w:name="page25"/>
    <w:bookmarkEnd w:id="24"/>
    <w:p>
      <w:pPr>
        <w:ind w:left="640" w:right="140"/>
        <w:spacing w:after="0" w:line="276" w:lineRule="auto"/>
        <w:rPr>
          <w:sz w:val="20"/>
          <w:szCs w:val="20"/>
          <w:color w:val="auto"/>
        </w:rPr>
      </w:pPr>
      <w:r>
        <w:rPr>
          <w:rFonts w:ascii="Arial" w:cs="Arial" w:eastAsia="Arial" w:hAnsi="Arial"/>
          <w:sz w:val="12"/>
          <w:szCs w:val="12"/>
          <w:color w:val="auto"/>
        </w:rPr>
        <w:t>direct or indirect acquisition of ownership or control of “control shares”) have no voting rights except to the extent approved by our stockholders by the affirmative vote of at least two-thirds of all the votes entitled to be cast on the matter, excluding all interested shares.</w:t>
      </w:r>
    </w:p>
    <w:p>
      <w:pPr>
        <w:spacing w:after="0" w:line="7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As permitted by the MGCL, our Charter exempts from the “business combination” provisions any business combination between us and the principals and their respective affiliates and related persons. The MGCL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68"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Additionally, pursuant to a provision in our bylaws, we have opted out of the “control share” acquisition provisions of the MGCL. However, in the future, we may, without the approval of our stockholders, by amendment to our bylaws, opt in to the control share provisions of the MGCL. The MGCL and our Charter also contain supermajority voting requirements with respect to our ability to amend certain provisions of our Charter, merge, or sell all or substantially all of our assets.</w:t>
      </w:r>
    </w:p>
    <w:p>
      <w:pPr>
        <w:spacing w:after="0" w:line="77"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Furthermore, our board of directors has adopted a resolution prohibiting us from electing to be subject to the provisions of Title 3, Subtitle 8 of the MGCL that would, among other things, permit our board of directors to classify the board without stockholder approval. Such provisions of Title 3, Subtitle 8 of the MGCL could have an anti-takeover effect. We may only elect to be subject to the classified board provisions of Title 3, Subtitle 8 after first obtaining the approval of our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FEDERAL INCOME TAX RISKS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tax consequences of the sale of some of the Centers and certain holdings of the principals may create conflicts of interest.</w:t>
      </w:r>
    </w:p>
    <w:p>
      <w:pPr>
        <w:spacing w:after="0" w:line="132"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 principals will experience negative tax consequences if some of the Centers are sold. As a result, the principals may not favor a sale of these Centers even though such a sale may benefit our other stockholders. In addition, the principals may have different interests than our stockholders because they are significant holders of limited partnership units in the Operating Partnership.</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were to fail to qualify as a REIT, we would have reduced funds available for distributions to our stockholders.</w:t>
      </w:r>
    </w:p>
    <w:p>
      <w:pPr>
        <w:spacing w:after="0" w:line="132"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believe that we currently qualify as a REIT. No assurance can be given that we will remain qualified as a REIT. Qualification as a REIT involves the application of highly technical and complex Code provisions for which there are only limited judicial or administrative interpretations. The complexity of these provisions and of the applicable income tax regulations is greater in the case of a REIT structure like ours that holds assets through the Operating Partnership and joint ventures.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74"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U.S. federal income tax purposes, then we may also fail to qualify as a REIT for U.S. federal income tax purposes.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If in any taxable year we were to fail to qualify as a REIT, we will suffer the following negative results:</w:t>
      </w:r>
    </w:p>
    <w:p>
      <w:pPr>
        <w:spacing w:after="0" w:line="159" w:lineRule="exact"/>
        <w:rPr>
          <w:sz w:val="20"/>
          <w:szCs w:val="20"/>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will not be allowed a deduction for distributions to stockholders in computing our taxable income; and</w:t>
      </w:r>
    </w:p>
    <w:p>
      <w:pPr>
        <w:spacing w:after="0" w:line="105" w:lineRule="exact"/>
        <w:rPr>
          <w:rFonts w:ascii="Arial" w:cs="Arial" w:eastAsia="Arial" w:hAnsi="Arial"/>
          <w:sz w:val="12"/>
          <w:szCs w:val="12"/>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will be subject to U.S. federal and state income tax on our taxable income at regular corporate rates.</w:t>
      </w:r>
    </w:p>
    <w:p>
      <w:pPr>
        <w:spacing w:after="0" w:line="9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In addition, if we were to lose our REIT status, we would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Such a challenge, if successful, could result in us owing a material amount of tax, interest and penalties for prior periods. It is possible that future economic, market, legal, tax or other considerations might cause our board of directors to revoke our REIT election.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7" w:right="319" w:bottom="1440" w:gutter="0" w:footer="0" w:header="0"/>
        </w:sectPr>
      </w:pPr>
    </w:p>
    <w:bookmarkStart w:id="25" w:name="page26"/>
    <w:bookmarkEnd w:id="25"/>
    <w:p>
      <w:pPr>
        <w:ind w:right="80" w:firstLine="432"/>
        <w:spacing w:after="0" w:line="276" w:lineRule="auto"/>
        <w:rPr>
          <w:sz w:val="20"/>
          <w:szCs w:val="20"/>
          <w:color w:val="auto"/>
        </w:rPr>
      </w:pPr>
      <w:r>
        <w:rPr>
          <w:rFonts w:ascii="Arial" w:cs="Arial" w:eastAsia="Arial" w:hAnsi="Arial"/>
          <w:sz w:val="12"/>
          <w:szCs w:val="12"/>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Complying with REIT requirements might cause us to forego otherwise attractive opportunities.</w:t>
      </w:r>
    </w:p>
    <w:p>
      <w:pPr>
        <w:spacing w:after="0" w:line="123"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 distributions to our stockholders at disadvantageous times or when we do not have funds readily available for distribution. Thus, compliance with REIT requirements may cause us to forego opportunities we would otherwise pursue.</w:t>
      </w:r>
    </w:p>
    <w:p>
      <w:pPr>
        <w:spacing w:after="0" w:line="77"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In addition, the REIT provisions of the Code impose a 100% tax on income from “prohibited transactions.” Prohibited transactions generally include sales of assets that do not qualify for a statutory safe harbor if such assets constitute inventory or other property held for sale in the ordinary course of business, other than foreclosure property. This 100% tax could impact our desire to sell assets and other investments at otherwise opportune times if we believe such sales could be considered prohibited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Complying with REIT requirements may force us to borrow or take other measures to make distributions to our stockholders.</w:t>
      </w:r>
    </w:p>
    <w:p>
      <w:pPr>
        <w:spacing w:after="0" w:line="132"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face risks in connection with Section 1031 Exchanges.</w:t>
      </w:r>
    </w:p>
    <w:p>
      <w:pPr>
        <w:spacing w:after="0" w:line="132"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If a transaction intended to qualify as a Section 1031 Exchange is later determined to be taxable, we may face adverse consequences, and if the laws applicable to such transactions are amended or repealed, we may not be able to dispose of properties on a tax deferred basis. Section 1031 Exchanges now only apply to real property and do not apply to any related personal property transferred with the real property. As a result, any appreciated personal property that is transferred in connection with a Section 1031 Exchange of real property will cause gain to be recognized, and such gain is generally treated as non-qualifying income for the 95% and 75% gross income tests. Any such non-qualifying income could have an adverse effect on our REIT status.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Operating Partnership fails to maintain its status as a partnership for tax purposes, we would face adverse tax consequences.</w:t>
      </w:r>
    </w:p>
    <w:p>
      <w:pPr>
        <w:spacing w:after="0" w:line="132" w:lineRule="exact"/>
        <w:rPr>
          <w:sz w:val="20"/>
          <w:szCs w:val="20"/>
          <w:color w:val="auto"/>
        </w:rPr>
      </w:pPr>
    </w:p>
    <w:p>
      <w:pPr>
        <w:ind w:right="40" w:firstLine="432"/>
        <w:spacing w:after="0" w:line="285" w:lineRule="auto"/>
        <w:rPr>
          <w:sz w:val="20"/>
          <w:szCs w:val="20"/>
          <w:color w:val="auto"/>
        </w:rPr>
      </w:pPr>
      <w:r>
        <w:rPr>
          <w:rFonts w:ascii="Arial" w:cs="Arial" w:eastAsia="Arial" w:hAnsi="Arial"/>
          <w:sz w:val="11"/>
          <w:szCs w:val="11"/>
          <w:color w:val="auto"/>
        </w:rPr>
        <w:t>We intend to maintain the status of the Operating Partnership as a partnership for federal income tax purposes. However, if the Internal Revenue Service were to successfully challenge the status of the Operating Partnership as an entity taxable as a partnership, the Operating Partnership would be taxable as a corporation. This would reduce the amount of distributions that the Operating Partnership could make to us. This could also result in our losing REIT status, with the consequences described above. This would substantially reduce the cash available to us to make distributions and the return on your investment. In addition, if any of the partnerships or limited liability companies through which the Operating Partnership owns its property, in whole or in part, loses its characterization as a partnership or disregarded entity for federal income tax purposes, it would be subject to taxation as a corporation, thereby reducing distributions to the Operating Partnership. Such a recharacterization of an underlying entity could also threaten our ability to maintain REIT status.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Legislative or regulatory action could adversely affect our stockholders.</w:t>
      </w:r>
    </w:p>
    <w:p>
      <w:pPr>
        <w:spacing w:after="0" w:line="132"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17" w:right="339" w:bottom="1440" w:gutter="0" w:footer="0" w:header="0"/>
        </w:sectPr>
      </w:pPr>
    </w:p>
    <w:bookmarkStart w:id="26" w:name="page27"/>
    <w:bookmarkEnd w:id="26"/>
    <w:p>
      <w:pPr>
        <w:spacing w:after="0"/>
        <w:rPr>
          <w:sz w:val="20"/>
          <w:szCs w:val="20"/>
          <w:color w:val="auto"/>
        </w:rPr>
      </w:pPr>
      <w:r>
        <w:rPr>
          <w:rFonts w:ascii="Arial" w:cs="Arial" w:eastAsia="Arial" w:hAnsi="Arial"/>
          <w:sz w:val="12"/>
          <w:szCs w:val="12"/>
          <w:color w:val="auto"/>
        </w:rPr>
        <w:t>Any such changes could have an adverse effect on an investment in our stock or on the market value or the resale potential of our properties.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success depends, in part, on our ability to attract and retain talented employees, and the loss of any one of our key personnel could adversely impact our business.</w:t>
      </w:r>
    </w:p>
    <w:p>
      <w:pPr>
        <w:spacing w:after="0" w:line="132" w:lineRule="exact"/>
        <w:rPr>
          <w:sz w:val="20"/>
          <w:szCs w:val="20"/>
          <w:color w:val="auto"/>
        </w:rPr>
      </w:pPr>
    </w:p>
    <w:p>
      <w:pPr>
        <w:jc w:val="both"/>
        <w:ind w:right="280" w:firstLine="432"/>
        <w:spacing w:after="0" w:line="298" w:lineRule="auto"/>
        <w:rPr>
          <w:sz w:val="20"/>
          <w:szCs w:val="20"/>
          <w:color w:val="auto"/>
        </w:rPr>
      </w:pPr>
      <w:r>
        <w:rPr>
          <w:rFonts w:ascii="Arial" w:cs="Arial" w:eastAsia="Arial" w:hAnsi="Arial"/>
          <w:sz w:val="11"/>
          <w:szCs w:val="11"/>
          <w:color w:val="auto"/>
        </w:rPr>
        <w:t>The success of our business depends, in part, on the leadership and performance of our executive management team and key employees, and our ability to attract, retain and motivate talented employees could significantly impact our future performance. Competition for these individuals is intense, and we cannot assure you that we will retain our executive management team and key employees or that we will be able to attract and retain other highly qualified individuals for these positions in the future. Losing any one or more of these persons could have a material adverse effect on our results of operations, financial condition and cash flows.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common stock has and may continue to fluctuate significantly, which may make it difficult for our stockholders to resell their shares when they want or at prices they find attractive.</w:t>
      </w:r>
    </w:p>
    <w:p>
      <w:pPr>
        <w:spacing w:after="0" w:line="132" w:lineRule="exact"/>
        <w:rPr>
          <w:sz w:val="20"/>
          <w:szCs w:val="20"/>
          <w:color w:val="auto"/>
        </w:rPr>
      </w:pPr>
    </w:p>
    <w:p>
      <w:pPr>
        <w:ind w:right="100" w:firstLine="432"/>
        <w:spacing w:after="0" w:line="326" w:lineRule="auto"/>
        <w:rPr>
          <w:sz w:val="20"/>
          <w:szCs w:val="20"/>
          <w:color w:val="auto"/>
        </w:rPr>
      </w:pPr>
      <w:r>
        <w:rPr>
          <w:rFonts w:ascii="Arial" w:cs="Arial" w:eastAsia="Arial" w:hAnsi="Arial"/>
          <w:sz w:val="10"/>
          <w:szCs w:val="10"/>
          <w:color w:val="auto"/>
        </w:rPr>
        <w:t>The price of our common stock on the NYSE constantly changes and has been subject to significant price fluctuations. For example, between January 1, 2021 and March 22, 2021, the highest intra-day sale price of our common stock on the NYSE was $25.99 per share and the lowest intra-day sale price of our common stock on the NYSE was $10.31 per share. The high of $25.99 occurred on January 27, 2021 when approximately 58,466,600 shares were traded. Our average daily trading volume between January 1, 2021 and March 22, 2021 was approximately 9,464,650 shares per day. We did not experience any material changes in our financial condition or results of operations during that time that explained such price volatility or trading volume. Accordingly, the market price of our common stock may fluctuate dramatically, and may decline rapidly, irrespective of any key developments in our business.</w:t>
      </w:r>
    </w:p>
    <w:p>
      <w:pPr>
        <w:spacing w:after="0" w:line="41" w:lineRule="exact"/>
        <w:rPr>
          <w:sz w:val="20"/>
          <w:szCs w:val="20"/>
          <w:color w:val="auto"/>
        </w:rPr>
      </w:pPr>
    </w:p>
    <w:p>
      <w:pPr>
        <w:ind w:firstLine="432"/>
        <w:spacing w:after="0" w:line="277" w:lineRule="auto"/>
        <w:rPr>
          <w:sz w:val="20"/>
          <w:szCs w:val="20"/>
          <w:color w:val="auto"/>
        </w:rPr>
      </w:pPr>
      <w:r>
        <w:rPr>
          <w:rFonts w:ascii="Arial" w:cs="Arial" w:eastAsia="Arial" w:hAnsi="Arial"/>
          <w:sz w:val="11"/>
          <w:szCs w:val="11"/>
          <w:color w:val="auto"/>
        </w:rPr>
        <w:t>Our stock price can fluctuate as a result of a variety of factors, many of which are beyond our control. These factors may include, but are not limited to, actual or anticipated variations in our operating results or dividends; 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ongoing military conflicts and terrorist attacks; 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changes in our funds from operations or earnings estimates; changes in the ability of our shopping centers to generate sufficient revenues to meet operating and other expenses; anchor or tenant bankruptcies, closures, mergers or consolidations; local economic and real estate conditions in geographic locations where we have a high concentration of Centers; competition by public or private mall companies or others, including competition for both acquisition of Centers and for tenants to occupy space; the ability of our tenants to pay rent and meet their other obligations to us under current lease terms and our ability to lease space on favorable terms; the success of our acquisition and real estate development strategy; our ability to comply with the financial covenants in our debt agreements and the impact of restrictive covenants in our debt agreements; our access to financing; inflation and increases in interest rates; the risk of our failure to qualify or maintain our status as a REIT; our ability to comply with our joint venture agreements and other risks associated with our joint venture investments; possible uninsured losses, including losses from casualty events or natural disasters, and possible environmental liabilities; the continued adverse impact of COVID-19 on the U.S., regional and global economies and on our financial condition and results of operations and the financial condition and results of operations of our tenants; a decision by any of our significant stockholders to sell substantial amounts of our common stock; any future issuances of equity securities; and the realization of any of the other risk factors included in this Annual Report on Form 10-K.</w:t>
      </w:r>
    </w:p>
    <w:p>
      <w:pPr>
        <w:spacing w:after="0" w:line="73"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We face risks associated with and have been the target of security breaches through cyber attacks, cyber intrusions or otherwise, as well as other significant disruptions of our information technology (IT) networks and related systems.</w:t>
      </w:r>
    </w:p>
    <w:p>
      <w:pPr>
        <w:spacing w:after="0" w:line="88" w:lineRule="exact"/>
        <w:rPr>
          <w:sz w:val="20"/>
          <w:szCs w:val="20"/>
          <w:color w:val="auto"/>
        </w:rPr>
      </w:pPr>
    </w:p>
    <w:p>
      <w:pPr>
        <w:ind w:right="120" w:firstLine="432"/>
        <w:spacing w:after="0" w:line="289" w:lineRule="auto"/>
        <w:rPr>
          <w:sz w:val="20"/>
          <w:szCs w:val="20"/>
          <w:color w:val="auto"/>
        </w:rPr>
      </w:pPr>
      <w:r>
        <w:rPr>
          <w:rFonts w:ascii="Arial" w:cs="Arial" w:eastAsia="Arial" w:hAnsi="Arial"/>
          <w:sz w:val="11"/>
          <w:szCs w:val="11"/>
          <w:color w:val="auto"/>
        </w:rPr>
        <w:t>We face risks associated with and have been the target of security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 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and, in some cases, may be critical to the operations of certain of our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7" w:right="319" w:bottom="1440" w:gutter="0" w:footer="0" w:header="0"/>
        </w:sectPr>
      </w:pPr>
    </w:p>
    <w:bookmarkStart w:id="27" w:name="page28"/>
    <w:bookmarkEnd w:id="27"/>
    <w:p>
      <w:pPr>
        <w:spacing w:after="0" w:line="313" w:lineRule="auto"/>
        <w:rPr>
          <w:sz w:val="20"/>
          <w:szCs w:val="20"/>
          <w:color w:val="auto"/>
        </w:rPr>
      </w:pPr>
      <w:r>
        <w:rPr>
          <w:rFonts w:ascii="Arial" w:cs="Arial" w:eastAsia="Arial" w:hAnsi="Arial"/>
          <w:sz w:val="10"/>
          <w:szCs w:val="10"/>
          <w:color w:val="auto"/>
        </w:rPr>
        <w:t>tenants.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properly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leases or other agreements; or damage our reputation among our tenants and investors generally. Moreover, cyber attacks perpetrated against our Anchors and tenants, including unauthorized access to customers’ credit card data and other confidential information, could diminish consumer confidence and consumer spending and negatively impact our business.</w:t>
      </w:r>
    </w:p>
    <w:p>
      <w:pPr>
        <w:spacing w:after="0" w:line="53"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7"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7"/>
        </w:trPr>
        <w:tc>
          <w:tcPr>
            <w:tcW w:w="50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PROPERTIES</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320" w:type="dxa"/>
            <w:vAlign w:val="bottom"/>
            <w:gridSpan w:val="17"/>
          </w:tcPr>
          <w:p>
            <w:pPr>
              <w:ind w:left="280"/>
              <w:spacing w:after="0"/>
              <w:rPr>
                <w:sz w:val="20"/>
                <w:szCs w:val="20"/>
                <w:color w:val="auto"/>
              </w:rPr>
            </w:pPr>
            <w:r>
              <w:rPr>
                <w:rFonts w:ascii="Arial" w:cs="Arial" w:eastAsia="Arial" w:hAnsi="Arial"/>
                <w:sz w:val="12"/>
                <w:szCs w:val="12"/>
                <w:color w:val="auto"/>
                <w:w w:val="98"/>
              </w:rPr>
              <w:t>The following table sets forth certain information regarding the Centers and other locations that are wholly owned or partly owned by the Company as of December 31, 2021.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tcPr>
          <w:p>
            <w:pPr>
              <w:ind w:left="480"/>
              <w:spacing w:after="0"/>
              <w:rPr>
                <w:sz w:val="20"/>
                <w:szCs w:val="20"/>
                <w:color w:val="auto"/>
              </w:rPr>
            </w:pPr>
            <w:r>
              <w:rPr>
                <w:rFonts w:ascii="Arial" w:cs="Arial" w:eastAsia="Arial" w:hAnsi="Arial"/>
                <w:sz w:val="7"/>
                <w:szCs w:val="7"/>
                <w:b w:val="1"/>
                <w:bCs w:val="1"/>
                <w:color w:val="auto"/>
              </w:rPr>
              <w:t>Year of</w:t>
            </w:r>
          </w:p>
        </w:tc>
        <w:tc>
          <w:tcPr>
            <w:tcW w:w="860" w:type="dxa"/>
            <w:vAlign w:val="bottom"/>
            <w:gridSpan w:val="2"/>
          </w:tcPr>
          <w:p>
            <w:pPr>
              <w:ind w:left="340"/>
              <w:spacing w:after="0"/>
              <w:rPr>
                <w:sz w:val="20"/>
                <w:szCs w:val="20"/>
                <w:color w:val="auto"/>
              </w:rPr>
            </w:pPr>
            <w:r>
              <w:rPr>
                <w:rFonts w:ascii="Arial" w:cs="Arial" w:eastAsia="Arial" w:hAnsi="Arial"/>
                <w:sz w:val="7"/>
                <w:szCs w:val="7"/>
                <w:b w:val="1"/>
                <w:bCs w:val="1"/>
                <w:color w:val="auto"/>
              </w:rPr>
              <w:t>Year of Most</w:t>
            </w: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restart"/>
          </w:tcPr>
          <w:p>
            <w:pPr>
              <w:ind w:left="520"/>
              <w:spacing w:after="0"/>
              <w:rPr>
                <w:sz w:val="20"/>
                <w:szCs w:val="20"/>
                <w:color w:val="auto"/>
              </w:rPr>
            </w:pPr>
            <w:r>
              <w:rPr>
                <w:rFonts w:ascii="Arial" w:cs="Arial" w:eastAsia="Arial" w:hAnsi="Arial"/>
                <w:sz w:val="7"/>
                <w:szCs w:val="7"/>
                <w:b w:val="1"/>
                <w:bCs w:val="1"/>
                <w:color w:val="auto"/>
              </w:rPr>
              <w:t>Mall and</w:t>
            </w:r>
          </w:p>
        </w:tc>
        <w:tc>
          <w:tcPr>
            <w:tcW w:w="1020" w:type="dxa"/>
            <w:vAlign w:val="bottom"/>
          </w:tcPr>
          <w:p>
            <w:pPr>
              <w:jc w:val="right"/>
              <w:ind w:right="59"/>
              <w:spacing w:after="0"/>
              <w:rPr>
                <w:sz w:val="20"/>
                <w:szCs w:val="20"/>
                <w:color w:val="auto"/>
              </w:rPr>
            </w:pPr>
            <w:r>
              <w:rPr>
                <w:rFonts w:ascii="Arial" w:cs="Arial" w:eastAsia="Arial" w:hAnsi="Arial"/>
                <w:sz w:val="7"/>
                <w:szCs w:val="7"/>
                <w:b w:val="1"/>
                <w:bCs w:val="1"/>
                <w:color w:val="auto"/>
              </w:rPr>
              <w:t>Percentage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00" w:type="dxa"/>
            <w:vAlign w:val="bottom"/>
          </w:tcPr>
          <w:p>
            <w:pPr>
              <w:spacing w:after="0"/>
              <w:rPr>
                <w:sz w:val="6"/>
                <w:szCs w:val="6"/>
                <w:color w:val="auto"/>
              </w:rPr>
            </w:pPr>
          </w:p>
        </w:tc>
        <w:tc>
          <w:tcPr>
            <w:tcW w:w="1060" w:type="dxa"/>
            <w:vAlign w:val="bottom"/>
            <w:gridSpan w:val="2"/>
            <w:vMerge w:val="restart"/>
          </w:tcPr>
          <w:p>
            <w:pPr>
              <w:ind w:left="400"/>
              <w:spacing w:after="0"/>
              <w:rPr>
                <w:sz w:val="20"/>
                <w:szCs w:val="20"/>
                <w:color w:val="auto"/>
              </w:rPr>
            </w:pPr>
            <w:r>
              <w:rPr>
                <w:rFonts w:ascii="Arial" w:cs="Arial" w:eastAsia="Arial" w:hAnsi="Arial"/>
                <w:sz w:val="7"/>
                <w:szCs w:val="7"/>
                <w:b w:val="1"/>
                <w:bCs w:val="1"/>
                <w:color w:val="auto"/>
              </w:rPr>
              <w:t>Company's</w:t>
            </w:r>
          </w:p>
        </w:tc>
        <w:tc>
          <w:tcPr>
            <w:tcW w:w="1500" w:type="dxa"/>
            <w:vAlign w:val="bottom"/>
            <w:gridSpan w:val="2"/>
            <w:vMerge w:val="restart"/>
          </w:tcPr>
          <w:p>
            <w:pPr>
              <w:ind w:left="720"/>
              <w:spacing w:after="0"/>
              <w:rPr>
                <w:sz w:val="20"/>
                <w:szCs w:val="20"/>
                <w:color w:val="auto"/>
              </w:rPr>
            </w:pPr>
            <w:r>
              <w:rPr>
                <w:rFonts w:ascii="Arial" w:cs="Arial" w:eastAsia="Arial" w:hAnsi="Arial"/>
                <w:sz w:val="7"/>
                <w:szCs w:val="7"/>
                <w:b w:val="1"/>
                <w:bCs w:val="1"/>
                <w:color w:val="auto"/>
              </w:rPr>
              <w:t>Name of</w:t>
            </w:r>
          </w:p>
        </w:tc>
        <w:tc>
          <w:tcPr>
            <w:tcW w:w="980" w:type="dxa"/>
            <w:vAlign w:val="bottom"/>
            <w:gridSpan w:val="2"/>
          </w:tcPr>
          <w:p>
            <w:pPr>
              <w:jc w:val="center"/>
              <w:ind w:right="80"/>
              <w:spacing w:after="0" w:line="72" w:lineRule="exact"/>
              <w:rPr>
                <w:sz w:val="20"/>
                <w:szCs w:val="20"/>
                <w:color w:val="auto"/>
              </w:rPr>
            </w:pPr>
            <w:r>
              <w:rPr>
                <w:rFonts w:ascii="Arial" w:cs="Arial" w:eastAsia="Arial" w:hAnsi="Arial"/>
                <w:sz w:val="7"/>
                <w:szCs w:val="7"/>
                <w:b w:val="1"/>
                <w:bCs w:val="1"/>
                <w:color w:val="auto"/>
                <w:w w:val="98"/>
              </w:rPr>
              <w:t>Original</w:t>
            </w:r>
          </w:p>
        </w:tc>
        <w:tc>
          <w:tcPr>
            <w:tcW w:w="860" w:type="dxa"/>
            <w:vAlign w:val="bottom"/>
            <w:gridSpan w:val="2"/>
          </w:tcPr>
          <w:p>
            <w:pPr>
              <w:jc w:val="center"/>
              <w:ind w:right="80"/>
              <w:spacing w:after="0" w:line="72" w:lineRule="exact"/>
              <w:rPr>
                <w:sz w:val="20"/>
                <w:szCs w:val="20"/>
                <w:color w:val="auto"/>
              </w:rPr>
            </w:pPr>
            <w:r>
              <w:rPr>
                <w:rFonts w:ascii="Arial" w:cs="Arial" w:eastAsia="Arial" w:hAnsi="Arial"/>
                <w:sz w:val="7"/>
                <w:szCs w:val="7"/>
                <w:b w:val="1"/>
                <w:bCs w:val="1"/>
                <w:color w:val="auto"/>
                <w:w w:val="94"/>
              </w:rPr>
              <w:t>Recent</w:t>
            </w:r>
          </w:p>
        </w:tc>
        <w:tc>
          <w:tcPr>
            <w:tcW w:w="1000" w:type="dxa"/>
            <w:vAlign w:val="bottom"/>
            <w:gridSpan w:val="2"/>
            <w:vMerge w:val="restart"/>
          </w:tcPr>
          <w:p>
            <w:pPr>
              <w:ind w:left="520"/>
              <w:spacing w:after="0"/>
              <w:rPr>
                <w:sz w:val="20"/>
                <w:szCs w:val="20"/>
                <w:color w:val="auto"/>
              </w:rPr>
            </w:pPr>
            <w:r>
              <w:rPr>
                <w:rFonts w:ascii="Arial" w:cs="Arial" w:eastAsia="Arial" w:hAnsi="Arial"/>
                <w:sz w:val="7"/>
                <w:szCs w:val="7"/>
                <w:b w:val="1"/>
                <w:bCs w:val="1"/>
                <w:color w:val="auto"/>
              </w:rPr>
              <w:t>Total</w:t>
            </w:r>
          </w:p>
        </w:tc>
        <w:tc>
          <w:tcPr>
            <w:tcW w:w="1120" w:type="dxa"/>
            <w:vAlign w:val="bottom"/>
            <w:gridSpan w:val="2"/>
            <w:vMerge w:val="continue"/>
          </w:tcPr>
          <w:p>
            <w:pPr>
              <w:spacing w:after="0"/>
              <w:rPr>
                <w:sz w:val="6"/>
                <w:szCs w:val="6"/>
                <w:color w:val="auto"/>
              </w:rPr>
            </w:pPr>
          </w:p>
        </w:tc>
        <w:tc>
          <w:tcPr>
            <w:tcW w:w="1020" w:type="dxa"/>
            <w:vAlign w:val="bottom"/>
          </w:tcPr>
          <w:p>
            <w:pPr>
              <w:jc w:val="right"/>
              <w:ind w:right="199"/>
              <w:spacing w:after="0" w:line="72" w:lineRule="exact"/>
              <w:rPr>
                <w:sz w:val="20"/>
                <w:szCs w:val="20"/>
                <w:color w:val="auto"/>
              </w:rPr>
            </w:pPr>
            <w:r>
              <w:rPr>
                <w:rFonts w:ascii="Arial" w:cs="Arial" w:eastAsia="Arial" w:hAnsi="Arial"/>
                <w:sz w:val="7"/>
                <w:szCs w:val="7"/>
                <w:b w:val="1"/>
                <w:bCs w:val="1"/>
                <w:color w:val="auto"/>
              </w:rPr>
              <w:t>of Mall and</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restart"/>
          </w:tcPr>
          <w:p>
            <w:pPr>
              <w:jc w:val="center"/>
              <w:ind w:left="158"/>
              <w:spacing w:after="0"/>
              <w:rPr>
                <w:sz w:val="20"/>
                <w:szCs w:val="20"/>
                <w:color w:val="auto"/>
              </w:rPr>
            </w:pPr>
            <w:r>
              <w:rPr>
                <w:rFonts w:ascii="Arial" w:cs="Arial" w:eastAsia="Arial" w:hAnsi="Arial"/>
                <w:sz w:val="7"/>
                <w:szCs w:val="7"/>
                <w:b w:val="1"/>
                <w:bCs w:val="1"/>
                <w:color w:val="auto"/>
                <w:w w:val="96"/>
              </w:rPr>
              <w:t>Non-Owned</w:t>
            </w:r>
          </w:p>
        </w:tc>
        <w:tc>
          <w:tcPr>
            <w:tcW w:w="1320" w:type="dxa"/>
            <w:vAlign w:val="bottom"/>
            <w:vMerge w:val="restart"/>
          </w:tcPr>
          <w:p>
            <w:pPr>
              <w:jc w:val="center"/>
              <w:ind w:left="178"/>
              <w:spacing w:after="0"/>
              <w:rPr>
                <w:sz w:val="20"/>
                <w:szCs w:val="20"/>
                <w:color w:val="auto"/>
              </w:rPr>
            </w:pPr>
            <w:r>
              <w:rPr>
                <w:rFonts w:ascii="Arial" w:cs="Arial" w:eastAsia="Arial" w:hAnsi="Arial"/>
                <w:sz w:val="7"/>
                <w:szCs w:val="7"/>
                <w:b w:val="1"/>
                <w:bCs w:val="1"/>
                <w:color w:val="auto"/>
                <w:w w:val="93"/>
              </w:rPr>
              <w:t>Company-Owned Anchors</w:t>
            </w:r>
          </w:p>
        </w:tc>
        <w:tc>
          <w:tcPr>
            <w:tcW w:w="0" w:type="dxa"/>
            <w:vAlign w:val="bottom"/>
          </w:tcPr>
          <w:p>
            <w:pPr>
              <w:spacing w:after="0"/>
              <w:rPr>
                <w:sz w:val="1"/>
                <w:szCs w:val="1"/>
                <w:color w:val="auto"/>
              </w:rPr>
            </w:pPr>
          </w:p>
        </w:tc>
      </w:tr>
      <w:tr>
        <w:trPr>
          <w:trHeight w:val="72"/>
        </w:trPr>
        <w:tc>
          <w:tcPr>
            <w:tcW w:w="500" w:type="dxa"/>
            <w:vAlign w:val="bottom"/>
            <w:vMerge w:val="restart"/>
          </w:tcPr>
          <w:p>
            <w:pPr>
              <w:ind w:left="300"/>
              <w:spacing w:after="0"/>
              <w:rPr>
                <w:sz w:val="20"/>
                <w:szCs w:val="20"/>
                <w:color w:val="auto"/>
              </w:rPr>
            </w:pPr>
            <w:r>
              <w:rPr>
                <w:rFonts w:ascii="Arial" w:cs="Arial" w:eastAsia="Arial" w:hAnsi="Arial"/>
                <w:sz w:val="7"/>
                <w:szCs w:val="7"/>
                <w:b w:val="1"/>
                <w:bCs w:val="1"/>
                <w:color w:val="auto"/>
                <w:w w:val="88"/>
              </w:rPr>
              <w:t>Count</w:t>
            </w:r>
          </w:p>
        </w:tc>
        <w:tc>
          <w:tcPr>
            <w:tcW w:w="106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980" w:type="dxa"/>
            <w:vAlign w:val="bottom"/>
            <w:gridSpan w:val="2"/>
          </w:tcPr>
          <w:p>
            <w:pPr>
              <w:jc w:val="center"/>
              <w:ind w:right="80"/>
              <w:spacing w:after="0" w:line="72" w:lineRule="exact"/>
              <w:rPr>
                <w:sz w:val="20"/>
                <w:szCs w:val="20"/>
                <w:color w:val="auto"/>
              </w:rPr>
            </w:pPr>
            <w:r>
              <w:rPr>
                <w:rFonts w:ascii="Arial" w:cs="Arial" w:eastAsia="Arial" w:hAnsi="Arial"/>
                <w:sz w:val="7"/>
                <w:szCs w:val="7"/>
                <w:b w:val="1"/>
                <w:bCs w:val="1"/>
                <w:color w:val="auto"/>
                <w:w w:val="92"/>
              </w:rPr>
              <w:t>Construction/</w:t>
            </w:r>
          </w:p>
        </w:tc>
        <w:tc>
          <w:tcPr>
            <w:tcW w:w="860" w:type="dxa"/>
            <w:vAlign w:val="bottom"/>
            <w:gridSpan w:val="2"/>
          </w:tcPr>
          <w:p>
            <w:pPr>
              <w:jc w:val="center"/>
              <w:ind w:right="80"/>
              <w:spacing w:after="0" w:line="72" w:lineRule="exact"/>
              <w:rPr>
                <w:sz w:val="20"/>
                <w:szCs w:val="20"/>
                <w:color w:val="auto"/>
              </w:rPr>
            </w:pPr>
            <w:r>
              <w:rPr>
                <w:rFonts w:ascii="Arial" w:cs="Arial" w:eastAsia="Arial" w:hAnsi="Arial"/>
                <w:sz w:val="7"/>
                <w:szCs w:val="7"/>
                <w:b w:val="1"/>
                <w:bCs w:val="1"/>
                <w:color w:val="auto"/>
                <w:w w:val="90"/>
              </w:rPr>
              <w:t>Expansion/</w:t>
            </w:r>
          </w:p>
        </w:tc>
        <w:tc>
          <w:tcPr>
            <w:tcW w:w="1000" w:type="dxa"/>
            <w:vAlign w:val="bottom"/>
            <w:gridSpan w:val="2"/>
            <w:vMerge w:val="continue"/>
          </w:tcPr>
          <w:p>
            <w:pPr>
              <w:spacing w:after="0"/>
              <w:rPr>
                <w:sz w:val="6"/>
                <w:szCs w:val="6"/>
                <w:color w:val="auto"/>
              </w:rPr>
            </w:pPr>
          </w:p>
        </w:tc>
        <w:tc>
          <w:tcPr>
            <w:tcW w:w="1120" w:type="dxa"/>
            <w:vAlign w:val="bottom"/>
            <w:gridSpan w:val="2"/>
          </w:tcPr>
          <w:p>
            <w:pPr>
              <w:jc w:val="center"/>
              <w:ind w:right="100"/>
              <w:spacing w:after="0" w:line="72" w:lineRule="exact"/>
              <w:rPr>
                <w:sz w:val="20"/>
                <w:szCs w:val="20"/>
                <w:color w:val="auto"/>
              </w:rPr>
            </w:pPr>
            <w:r>
              <w:rPr>
                <w:rFonts w:ascii="Arial" w:cs="Arial" w:eastAsia="Arial" w:hAnsi="Arial"/>
                <w:sz w:val="7"/>
                <w:szCs w:val="7"/>
                <w:b w:val="1"/>
                <w:bCs w:val="1"/>
                <w:color w:val="auto"/>
                <w:w w:val="95"/>
              </w:rPr>
              <w:t>Freestanding</w:t>
            </w:r>
          </w:p>
        </w:tc>
        <w:tc>
          <w:tcPr>
            <w:tcW w:w="1020" w:type="dxa"/>
            <w:vAlign w:val="bottom"/>
          </w:tcPr>
          <w:p>
            <w:pPr>
              <w:jc w:val="right"/>
              <w:ind w:right="179"/>
              <w:spacing w:after="0" w:line="72" w:lineRule="exact"/>
              <w:rPr>
                <w:sz w:val="20"/>
                <w:szCs w:val="20"/>
                <w:color w:val="auto"/>
              </w:rPr>
            </w:pPr>
            <w:r>
              <w:rPr>
                <w:rFonts w:ascii="Arial" w:cs="Arial" w:eastAsia="Arial" w:hAnsi="Arial"/>
                <w:sz w:val="7"/>
                <w:szCs w:val="7"/>
                <w:b w:val="1"/>
                <w:bCs w:val="1"/>
                <w:color w:val="auto"/>
              </w:rPr>
              <w:t>Freestanding</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500" w:type="dxa"/>
            <w:vAlign w:val="bottom"/>
            <w:vMerge w:val="continue"/>
          </w:tcPr>
          <w:p>
            <w:pPr>
              <w:spacing w:after="0"/>
              <w:rPr>
                <w:sz w:val="8"/>
                <w:szCs w:val="8"/>
                <w:color w:val="auto"/>
              </w:rPr>
            </w:pPr>
          </w:p>
        </w:tc>
        <w:tc>
          <w:tcPr>
            <w:tcW w:w="1060" w:type="dxa"/>
            <w:vAlign w:val="bottom"/>
            <w:gridSpan w:val="2"/>
          </w:tcPr>
          <w:p>
            <w:pPr>
              <w:ind w:left="100"/>
              <w:spacing w:after="0"/>
              <w:rPr>
                <w:sz w:val="20"/>
                <w:szCs w:val="20"/>
                <w:color w:val="auto"/>
              </w:rPr>
            </w:pPr>
            <w:r>
              <w:rPr>
                <w:rFonts w:ascii="Arial" w:cs="Arial" w:eastAsia="Arial" w:hAnsi="Arial"/>
                <w:sz w:val="7"/>
                <w:szCs w:val="7"/>
                <w:b w:val="1"/>
                <w:bCs w:val="1"/>
                <w:color w:val="auto"/>
              </w:rPr>
              <w:t>Ownership(1)</w:t>
            </w:r>
          </w:p>
        </w:tc>
        <w:tc>
          <w:tcPr>
            <w:tcW w:w="1500" w:type="dxa"/>
            <w:vAlign w:val="bottom"/>
            <w:gridSpan w:val="2"/>
          </w:tcPr>
          <w:p>
            <w:pPr>
              <w:ind w:left="420"/>
              <w:spacing w:after="0"/>
              <w:rPr>
                <w:sz w:val="20"/>
                <w:szCs w:val="20"/>
                <w:color w:val="auto"/>
              </w:rPr>
            </w:pPr>
            <w:r>
              <w:rPr>
                <w:rFonts w:ascii="Arial" w:cs="Arial" w:eastAsia="Arial" w:hAnsi="Arial"/>
                <w:sz w:val="7"/>
                <w:szCs w:val="7"/>
                <w:b w:val="1"/>
                <w:bCs w:val="1"/>
                <w:color w:val="auto"/>
              </w:rPr>
              <w:t>Center/Location(2)</w:t>
            </w:r>
          </w:p>
        </w:tc>
        <w:tc>
          <w:tcPr>
            <w:tcW w:w="98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9"/>
              </w:rPr>
              <w:t>Acquisition</w:t>
            </w:r>
          </w:p>
        </w:tc>
        <w:tc>
          <w:tcPr>
            <w:tcW w:w="86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9"/>
              </w:rPr>
              <w:t>Renovation</w:t>
            </w:r>
          </w:p>
        </w:tc>
        <w:tc>
          <w:tcPr>
            <w:tcW w:w="1000" w:type="dxa"/>
            <w:vAlign w:val="bottom"/>
            <w:gridSpan w:val="2"/>
          </w:tcPr>
          <w:p>
            <w:pPr>
              <w:ind w:left="340"/>
              <w:spacing w:after="0"/>
              <w:rPr>
                <w:sz w:val="20"/>
                <w:szCs w:val="20"/>
                <w:color w:val="auto"/>
              </w:rPr>
            </w:pPr>
            <w:r>
              <w:rPr>
                <w:rFonts w:ascii="Arial" w:cs="Arial" w:eastAsia="Arial" w:hAnsi="Arial"/>
                <w:sz w:val="7"/>
                <w:szCs w:val="7"/>
                <w:b w:val="1"/>
                <w:bCs w:val="1"/>
                <w:color w:val="auto"/>
              </w:rPr>
              <w:t>GLA(3)</w:t>
            </w:r>
          </w:p>
        </w:tc>
        <w:tc>
          <w:tcPr>
            <w:tcW w:w="1120" w:type="dxa"/>
            <w:vAlign w:val="bottom"/>
            <w:gridSpan w:val="2"/>
          </w:tcPr>
          <w:p>
            <w:pPr>
              <w:jc w:val="center"/>
              <w:ind w:right="100"/>
              <w:spacing w:after="0"/>
              <w:rPr>
                <w:sz w:val="20"/>
                <w:szCs w:val="20"/>
                <w:color w:val="auto"/>
              </w:rPr>
            </w:pPr>
            <w:r>
              <w:rPr>
                <w:rFonts w:ascii="Arial" w:cs="Arial" w:eastAsia="Arial" w:hAnsi="Arial"/>
                <w:sz w:val="7"/>
                <w:szCs w:val="7"/>
                <w:b w:val="1"/>
                <w:bCs w:val="1"/>
                <w:color w:val="auto"/>
                <w:w w:val="94"/>
              </w:rPr>
              <w:t>GLA</w:t>
            </w:r>
          </w:p>
        </w:tc>
        <w:tc>
          <w:tcPr>
            <w:tcW w:w="1020" w:type="dxa"/>
            <w:vAlign w:val="bottom"/>
          </w:tcPr>
          <w:p>
            <w:pPr>
              <w:jc w:val="right"/>
              <w:ind w:right="179"/>
              <w:spacing w:after="0"/>
              <w:rPr>
                <w:sz w:val="20"/>
                <w:szCs w:val="20"/>
                <w:color w:val="auto"/>
              </w:rPr>
            </w:pPr>
            <w:r>
              <w:rPr>
                <w:rFonts w:ascii="Arial" w:cs="Arial" w:eastAsia="Arial" w:hAnsi="Arial"/>
                <w:sz w:val="7"/>
                <w:szCs w:val="7"/>
                <w:b w:val="1"/>
                <w:bCs w:val="1"/>
                <w:color w:val="auto"/>
              </w:rPr>
              <w:t>GLA Leased</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jc w:val="center"/>
              <w:ind w:right="58"/>
              <w:spacing w:after="0"/>
              <w:rPr>
                <w:sz w:val="20"/>
                <w:szCs w:val="20"/>
                <w:color w:val="auto"/>
              </w:rPr>
            </w:pPr>
            <w:r>
              <w:rPr>
                <w:rFonts w:ascii="Arial" w:cs="Arial" w:eastAsia="Arial" w:hAnsi="Arial"/>
                <w:sz w:val="7"/>
                <w:szCs w:val="7"/>
                <w:b w:val="1"/>
                <w:bCs w:val="1"/>
                <w:color w:val="auto"/>
                <w:w w:val="92"/>
              </w:rPr>
              <w:t>Anchors (3)</w:t>
            </w:r>
          </w:p>
        </w:tc>
        <w:tc>
          <w:tcPr>
            <w:tcW w:w="1320" w:type="dxa"/>
            <w:vAlign w:val="bottom"/>
          </w:tcPr>
          <w:p>
            <w:pPr>
              <w:jc w:val="center"/>
              <w:ind w:right="38"/>
              <w:spacing w:after="0"/>
              <w:rPr>
                <w:sz w:val="20"/>
                <w:szCs w:val="20"/>
                <w:color w:val="auto"/>
              </w:rPr>
            </w:pPr>
            <w:r>
              <w:rPr>
                <w:rFonts w:ascii="Arial" w:cs="Arial" w:eastAsia="Arial" w:hAnsi="Arial"/>
                <w:sz w:val="7"/>
                <w:szCs w:val="7"/>
                <w:b w:val="1"/>
                <w:bCs w:val="1"/>
                <w:color w:val="auto"/>
                <w:w w:val="92"/>
              </w:rPr>
              <w:t>(3)</w:t>
            </w:r>
          </w:p>
        </w:tc>
        <w:tc>
          <w:tcPr>
            <w:tcW w:w="0" w:type="dxa"/>
            <w:vAlign w:val="bottom"/>
          </w:tcPr>
          <w:p>
            <w:pPr>
              <w:spacing w:after="0"/>
              <w:rPr>
                <w:sz w:val="1"/>
                <w:szCs w:val="1"/>
                <w:color w:val="auto"/>
              </w:rPr>
            </w:pPr>
          </w:p>
        </w:tc>
      </w:tr>
      <w:tr>
        <w:trPr>
          <w:trHeight w:val="24"/>
        </w:trPr>
        <w:tc>
          <w:tcPr>
            <w:tcW w:w="5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500" w:type="dxa"/>
            <w:vAlign w:val="bottom"/>
            <w:shd w:val="clear" w:color="auto" w:fill="CCEEFF"/>
          </w:tcPr>
          <w:p>
            <w:pPr>
              <w:spacing w:after="0"/>
              <w:rPr>
                <w:sz w:val="10"/>
                <w:szCs w:val="10"/>
                <w:color w:val="auto"/>
              </w:rPr>
            </w:pPr>
          </w:p>
        </w:tc>
        <w:tc>
          <w:tcPr>
            <w:tcW w:w="2560" w:type="dxa"/>
            <w:vAlign w:val="bottom"/>
            <w:gridSpan w:val="4"/>
            <w:shd w:val="clear" w:color="auto" w:fill="CCEEFF"/>
          </w:tcPr>
          <w:p>
            <w:pPr>
              <w:ind w:left="400"/>
              <w:spacing w:after="0"/>
              <w:rPr>
                <w:sz w:val="20"/>
                <w:szCs w:val="20"/>
                <w:color w:val="auto"/>
              </w:rPr>
            </w:pPr>
            <w:r>
              <w:rPr>
                <w:rFonts w:ascii="Arial" w:cs="Arial" w:eastAsia="Arial" w:hAnsi="Arial"/>
                <w:sz w:val="8"/>
                <w:szCs w:val="8"/>
                <w:b w:val="1"/>
                <w:bCs w:val="1"/>
                <w:color w:val="auto"/>
              </w:rPr>
              <w:t>CONSOLIDATED CENTERS:</w:t>
            </w: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00" w:type="dxa"/>
            <w:vAlign w:val="bottom"/>
          </w:tcPr>
          <w:p>
            <w:pPr>
              <w:jc w:val="center"/>
              <w:ind w:left="257"/>
              <w:spacing w:after="0" w:line="81" w:lineRule="exact"/>
              <w:rPr>
                <w:sz w:val="20"/>
                <w:szCs w:val="20"/>
                <w:color w:val="auto"/>
              </w:rPr>
            </w:pPr>
            <w:r>
              <w:rPr>
                <w:rFonts w:ascii="Arial" w:cs="Arial" w:eastAsia="Arial" w:hAnsi="Arial"/>
                <w:sz w:val="8"/>
                <w:szCs w:val="8"/>
                <w:color w:val="auto"/>
                <w:w w:val="88"/>
              </w:rPr>
              <w:t>1</w:t>
            </w:r>
          </w:p>
        </w:tc>
        <w:tc>
          <w:tcPr>
            <w:tcW w:w="960" w:type="dxa"/>
            <w:vAlign w:val="bottom"/>
          </w:tcPr>
          <w:p>
            <w:pPr>
              <w:jc w:val="center"/>
              <w:ind w:left="338"/>
              <w:spacing w:after="0" w:line="81" w:lineRule="exact"/>
              <w:rPr>
                <w:sz w:val="20"/>
                <w:szCs w:val="20"/>
                <w:color w:val="auto"/>
              </w:rPr>
            </w:pPr>
            <w:r>
              <w:rPr>
                <w:rFonts w:ascii="Arial" w:cs="Arial" w:eastAsia="Arial" w:hAnsi="Arial"/>
                <w:sz w:val="8"/>
                <w:szCs w:val="8"/>
                <w:color w:val="auto"/>
                <w:w w:val="96"/>
              </w:rPr>
              <w:t>50.1%</w:t>
            </w:r>
          </w:p>
        </w:tc>
        <w:tc>
          <w:tcPr>
            <w:tcW w:w="100" w:type="dxa"/>
            <w:vAlign w:val="bottom"/>
          </w:tcPr>
          <w:p>
            <w:pPr>
              <w:spacing w:after="0"/>
              <w:rPr>
                <w:sz w:val="7"/>
                <w:szCs w:val="7"/>
                <w:color w:val="auto"/>
              </w:rPr>
            </w:pPr>
          </w:p>
        </w:tc>
        <w:tc>
          <w:tcPr>
            <w:tcW w:w="1500" w:type="dxa"/>
            <w:vAlign w:val="bottom"/>
            <w:gridSpan w:val="2"/>
          </w:tcPr>
          <w:p>
            <w:pPr>
              <w:ind w:left="300"/>
              <w:spacing w:after="0" w:line="81" w:lineRule="exact"/>
              <w:rPr>
                <w:sz w:val="20"/>
                <w:szCs w:val="20"/>
                <w:color w:val="auto"/>
              </w:rPr>
            </w:pPr>
            <w:r>
              <w:rPr>
                <w:rFonts w:ascii="Arial" w:cs="Arial" w:eastAsia="Arial" w:hAnsi="Arial"/>
                <w:sz w:val="8"/>
                <w:szCs w:val="8"/>
                <w:color w:val="auto"/>
              </w:rPr>
              <w:t>Chandler Fashion Center(4)</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2001/2002</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1,319,000</w:t>
            </w:r>
          </w:p>
        </w:tc>
        <w:tc>
          <w:tcPr>
            <w:tcW w:w="10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633,000</w:t>
            </w:r>
          </w:p>
        </w:tc>
        <w:tc>
          <w:tcPr>
            <w:tcW w:w="100" w:type="dxa"/>
            <w:vAlign w:val="bottom"/>
          </w:tcPr>
          <w:p>
            <w:pPr>
              <w:spacing w:after="0"/>
              <w:rPr>
                <w:sz w:val="7"/>
                <w:szCs w:val="7"/>
                <w:color w:val="auto"/>
              </w:rPr>
            </w:pPr>
          </w:p>
        </w:tc>
        <w:tc>
          <w:tcPr>
            <w:tcW w:w="1020" w:type="dxa"/>
            <w:vAlign w:val="bottom"/>
          </w:tcPr>
          <w:p>
            <w:pPr>
              <w:jc w:val="right"/>
              <w:ind w:right="179"/>
              <w:spacing w:after="0" w:line="81" w:lineRule="exact"/>
              <w:rPr>
                <w:sz w:val="20"/>
                <w:szCs w:val="20"/>
                <w:color w:val="auto"/>
              </w:rPr>
            </w:pPr>
            <w:r>
              <w:rPr>
                <w:rFonts w:ascii="Arial" w:cs="Arial" w:eastAsia="Arial" w:hAnsi="Arial"/>
                <w:sz w:val="8"/>
                <w:szCs w:val="8"/>
                <w:color w:val="auto"/>
              </w:rPr>
              <w:t>95.3</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58"/>
              <w:spacing w:after="0" w:line="81" w:lineRule="exact"/>
              <w:rPr>
                <w:sz w:val="20"/>
                <w:szCs w:val="20"/>
                <w:color w:val="auto"/>
              </w:rPr>
            </w:pPr>
            <w:r>
              <w:rPr>
                <w:rFonts w:ascii="Arial" w:cs="Arial" w:eastAsia="Arial" w:hAnsi="Arial"/>
                <w:sz w:val="8"/>
                <w:szCs w:val="8"/>
                <w:color w:val="auto"/>
                <w:w w:val="97"/>
              </w:rPr>
              <w:t>Dillard's, Macy's,</w:t>
            </w:r>
          </w:p>
        </w:tc>
        <w:tc>
          <w:tcPr>
            <w:tcW w:w="1320" w:type="dxa"/>
            <w:vAlign w:val="bottom"/>
          </w:tcPr>
          <w:p>
            <w:pPr>
              <w:jc w:val="center"/>
              <w:ind w:left="158"/>
              <w:spacing w:after="0" w:line="81"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right="58"/>
              <w:spacing w:after="0"/>
              <w:rPr>
                <w:sz w:val="20"/>
                <w:szCs w:val="20"/>
                <w:color w:val="auto"/>
              </w:rPr>
            </w:pPr>
            <w:r>
              <w:rPr>
                <w:rFonts w:ascii="Arial" w:cs="Arial" w:eastAsia="Arial" w:hAnsi="Arial"/>
                <w:sz w:val="8"/>
                <w:szCs w:val="8"/>
                <w:color w:val="auto"/>
                <w:w w:val="96"/>
              </w:rPr>
              <w:t>Scheels All Sports(5)</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Chandler, Arizona</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500" w:type="dxa"/>
            <w:vAlign w:val="bottom"/>
            <w:shd w:val="clear" w:color="auto" w:fill="CCEEFF"/>
          </w:tcPr>
          <w:p>
            <w:pPr>
              <w:jc w:val="center"/>
              <w:ind w:left="257"/>
              <w:spacing w:after="0" w:line="81" w:lineRule="exact"/>
              <w:rPr>
                <w:sz w:val="20"/>
                <w:szCs w:val="20"/>
                <w:color w:val="auto"/>
              </w:rPr>
            </w:pPr>
            <w:r>
              <w:rPr>
                <w:rFonts w:ascii="Arial" w:cs="Arial" w:eastAsia="Arial" w:hAnsi="Arial"/>
                <w:sz w:val="8"/>
                <w:szCs w:val="8"/>
                <w:color w:val="auto"/>
                <w:w w:val="88"/>
              </w:rPr>
              <w:t>2</w:t>
            </w:r>
          </w:p>
        </w:tc>
        <w:tc>
          <w:tcPr>
            <w:tcW w:w="960" w:type="dxa"/>
            <w:vAlign w:val="bottom"/>
            <w:shd w:val="clear" w:color="auto" w:fill="CCEEFF"/>
          </w:tcPr>
          <w:p>
            <w:pPr>
              <w:jc w:val="center"/>
              <w:ind w:left="358"/>
              <w:spacing w:after="0" w:line="81" w:lineRule="exact"/>
              <w:rPr>
                <w:sz w:val="20"/>
                <w:szCs w:val="20"/>
                <w:color w:val="auto"/>
              </w:rPr>
            </w:pPr>
            <w:r>
              <w:rPr>
                <w:rFonts w:ascii="Arial" w:cs="Arial" w:eastAsia="Arial" w:hAnsi="Arial"/>
                <w:sz w:val="8"/>
                <w:szCs w:val="8"/>
                <w:color w:val="auto"/>
                <w:w w:val="97"/>
              </w:rPr>
              <w:t>100%</w:t>
            </w:r>
          </w:p>
        </w:tc>
        <w:tc>
          <w:tcPr>
            <w:tcW w:w="10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00"/>
              <w:spacing w:after="0" w:line="81" w:lineRule="exact"/>
              <w:rPr>
                <w:sz w:val="20"/>
                <w:szCs w:val="20"/>
                <w:color w:val="auto"/>
              </w:rPr>
            </w:pPr>
            <w:r>
              <w:rPr>
                <w:rFonts w:ascii="Arial" w:cs="Arial" w:eastAsia="Arial" w:hAnsi="Arial"/>
                <w:sz w:val="8"/>
                <w:szCs w:val="8"/>
                <w:color w:val="auto"/>
              </w:rPr>
              <w:t>Danbury Fair Mall(4)</w:t>
            </w: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1986/2005</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2016</w:t>
            </w: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1,224,000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540,000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ind w:right="179"/>
              <w:spacing w:after="0" w:line="81" w:lineRule="exact"/>
              <w:rPr>
                <w:sz w:val="20"/>
                <w:szCs w:val="20"/>
                <w:color w:val="auto"/>
              </w:rPr>
            </w:pPr>
            <w:r>
              <w:rPr>
                <w:rFonts w:ascii="Arial" w:cs="Arial" w:eastAsia="Arial" w:hAnsi="Arial"/>
                <w:sz w:val="8"/>
                <w:szCs w:val="8"/>
                <w:color w:val="auto"/>
              </w:rPr>
              <w:t>90.1</w:t>
            </w:r>
          </w:p>
        </w:tc>
        <w:tc>
          <w:tcPr>
            <w:tcW w:w="1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8"/>
              <w:spacing w:after="0" w:line="81" w:lineRule="exact"/>
              <w:rPr>
                <w:sz w:val="20"/>
                <w:szCs w:val="20"/>
                <w:color w:val="auto"/>
              </w:rPr>
            </w:pPr>
            <w:r>
              <w:rPr>
                <w:rFonts w:ascii="Arial" w:cs="Arial" w:eastAsia="Arial" w:hAnsi="Arial"/>
                <w:sz w:val="8"/>
                <w:szCs w:val="8"/>
                <w:color w:val="auto"/>
                <w:w w:val="91"/>
              </w:rPr>
              <w:t>JCPenney,</w:t>
            </w:r>
          </w:p>
        </w:tc>
        <w:tc>
          <w:tcPr>
            <w:tcW w:w="1320" w:type="dxa"/>
            <w:vAlign w:val="bottom"/>
            <w:shd w:val="clear" w:color="auto" w:fill="CCEEFF"/>
          </w:tcPr>
          <w:p>
            <w:pPr>
              <w:jc w:val="center"/>
              <w:ind w:left="17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ind w:left="300"/>
              <w:spacing w:after="0"/>
              <w:rPr>
                <w:sz w:val="20"/>
                <w:szCs w:val="20"/>
                <w:color w:val="auto"/>
              </w:rPr>
            </w:pPr>
            <w:r>
              <w:rPr>
                <w:rFonts w:ascii="Arial" w:cs="Arial" w:eastAsia="Arial" w:hAnsi="Arial"/>
                <w:sz w:val="8"/>
                <w:szCs w:val="8"/>
                <w:color w:val="auto"/>
              </w:rPr>
              <w:t>Danbury, Connecticut</w:t>
            </w: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7"/>
              </w:rPr>
              <w:t>Macy's</w:t>
            </w:r>
          </w:p>
        </w:tc>
        <w:tc>
          <w:tcPr>
            <w:tcW w:w="1320" w:type="dxa"/>
            <w:vAlign w:val="bottom"/>
            <w:shd w:val="clear" w:color="auto" w:fill="CCEEFF"/>
          </w:tcPr>
          <w:p>
            <w:pPr>
              <w:jc w:val="center"/>
              <w:ind w:right="38"/>
              <w:spacing w:after="0"/>
              <w:rPr>
                <w:sz w:val="20"/>
                <w:szCs w:val="20"/>
                <w:color w:val="auto"/>
              </w:rPr>
            </w:pPr>
            <w:r>
              <w:rPr>
                <w:rFonts w:ascii="Arial" w:cs="Arial" w:eastAsia="Arial" w:hAnsi="Arial"/>
                <w:sz w:val="8"/>
                <w:szCs w:val="8"/>
                <w:color w:val="auto"/>
              </w:rPr>
              <w:t>Primark</w:t>
            </w:r>
          </w:p>
        </w:tc>
        <w:tc>
          <w:tcPr>
            <w:tcW w:w="0" w:type="dxa"/>
            <w:vAlign w:val="bottom"/>
          </w:tcPr>
          <w:p>
            <w:pPr>
              <w:spacing w:after="0"/>
              <w:rPr>
                <w:sz w:val="1"/>
                <w:szCs w:val="1"/>
                <w:color w:val="auto"/>
              </w:rPr>
            </w:pPr>
          </w:p>
        </w:tc>
      </w:tr>
      <w:tr>
        <w:trPr>
          <w:trHeight w:val="63"/>
        </w:trPr>
        <w:tc>
          <w:tcPr>
            <w:tcW w:w="5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500" w:type="dxa"/>
            <w:vAlign w:val="bottom"/>
          </w:tcPr>
          <w:p>
            <w:pPr>
              <w:jc w:val="center"/>
              <w:ind w:left="257"/>
              <w:spacing w:after="0" w:line="81" w:lineRule="exact"/>
              <w:rPr>
                <w:sz w:val="20"/>
                <w:szCs w:val="20"/>
                <w:color w:val="auto"/>
              </w:rPr>
            </w:pPr>
            <w:r>
              <w:rPr>
                <w:rFonts w:ascii="Arial" w:cs="Arial" w:eastAsia="Arial" w:hAnsi="Arial"/>
                <w:sz w:val="8"/>
                <w:szCs w:val="8"/>
                <w:color w:val="auto"/>
                <w:w w:val="88"/>
              </w:rPr>
              <w:t>3</w:t>
            </w:r>
          </w:p>
        </w:tc>
        <w:tc>
          <w:tcPr>
            <w:tcW w:w="960" w:type="dxa"/>
            <w:vAlign w:val="bottom"/>
          </w:tcPr>
          <w:p>
            <w:pPr>
              <w:jc w:val="center"/>
              <w:ind w:left="358"/>
              <w:spacing w:after="0" w:line="81" w:lineRule="exact"/>
              <w:rPr>
                <w:sz w:val="20"/>
                <w:szCs w:val="20"/>
                <w:color w:val="auto"/>
              </w:rPr>
            </w:pPr>
            <w:r>
              <w:rPr>
                <w:rFonts w:ascii="Arial" w:cs="Arial" w:eastAsia="Arial" w:hAnsi="Arial"/>
                <w:sz w:val="8"/>
                <w:szCs w:val="8"/>
                <w:color w:val="auto"/>
                <w:w w:val="97"/>
              </w:rPr>
              <w:t>100%</w:t>
            </w:r>
          </w:p>
        </w:tc>
        <w:tc>
          <w:tcPr>
            <w:tcW w:w="100" w:type="dxa"/>
            <w:vAlign w:val="bottom"/>
          </w:tcPr>
          <w:p>
            <w:pPr>
              <w:spacing w:after="0"/>
              <w:rPr>
                <w:sz w:val="7"/>
                <w:szCs w:val="7"/>
                <w:color w:val="auto"/>
              </w:rPr>
            </w:pPr>
          </w:p>
        </w:tc>
        <w:tc>
          <w:tcPr>
            <w:tcW w:w="1500" w:type="dxa"/>
            <w:vAlign w:val="bottom"/>
            <w:gridSpan w:val="2"/>
          </w:tcPr>
          <w:p>
            <w:pPr>
              <w:ind w:left="300"/>
              <w:spacing w:after="0" w:line="81" w:lineRule="exact"/>
              <w:rPr>
                <w:sz w:val="20"/>
                <w:szCs w:val="20"/>
                <w:color w:val="auto"/>
              </w:rPr>
            </w:pPr>
            <w:r>
              <w:rPr>
                <w:rFonts w:ascii="Arial" w:cs="Arial" w:eastAsia="Arial" w:hAnsi="Arial"/>
                <w:sz w:val="8"/>
                <w:szCs w:val="8"/>
                <w:color w:val="auto"/>
              </w:rPr>
              <w:t>Desert Sky Mall</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1981/2002</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2007</w:t>
            </w:r>
          </w:p>
        </w:tc>
        <w:tc>
          <w:tcPr>
            <w:tcW w:w="8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720,000</w:t>
            </w:r>
          </w:p>
        </w:tc>
        <w:tc>
          <w:tcPr>
            <w:tcW w:w="10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254,000</w:t>
            </w:r>
          </w:p>
        </w:tc>
        <w:tc>
          <w:tcPr>
            <w:tcW w:w="100" w:type="dxa"/>
            <w:vAlign w:val="bottom"/>
          </w:tcPr>
          <w:p>
            <w:pPr>
              <w:spacing w:after="0"/>
              <w:rPr>
                <w:sz w:val="7"/>
                <w:szCs w:val="7"/>
                <w:color w:val="auto"/>
              </w:rPr>
            </w:pPr>
          </w:p>
        </w:tc>
        <w:tc>
          <w:tcPr>
            <w:tcW w:w="1020" w:type="dxa"/>
            <w:vAlign w:val="bottom"/>
          </w:tcPr>
          <w:p>
            <w:pPr>
              <w:jc w:val="right"/>
              <w:ind w:right="179"/>
              <w:spacing w:after="0" w:line="81" w:lineRule="exact"/>
              <w:rPr>
                <w:sz w:val="20"/>
                <w:szCs w:val="20"/>
                <w:color w:val="auto"/>
              </w:rPr>
            </w:pPr>
            <w:r>
              <w:rPr>
                <w:rFonts w:ascii="Arial" w:cs="Arial" w:eastAsia="Arial" w:hAnsi="Arial"/>
                <w:sz w:val="8"/>
                <w:szCs w:val="8"/>
                <w:color w:val="auto"/>
              </w:rPr>
              <w:t>97.7</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58"/>
              <w:spacing w:after="0" w:line="81" w:lineRule="exact"/>
              <w:rPr>
                <w:sz w:val="20"/>
                <w:szCs w:val="20"/>
                <w:color w:val="auto"/>
              </w:rPr>
            </w:pPr>
            <w:r>
              <w:rPr>
                <w:rFonts w:ascii="Arial" w:cs="Arial" w:eastAsia="Arial" w:hAnsi="Arial"/>
                <w:sz w:val="8"/>
                <w:szCs w:val="8"/>
                <w:color w:val="auto"/>
                <w:w w:val="99"/>
              </w:rPr>
              <w:t>Burlington,</w:t>
            </w:r>
          </w:p>
        </w:tc>
        <w:tc>
          <w:tcPr>
            <w:tcW w:w="1320" w:type="dxa"/>
            <w:vAlign w:val="bottom"/>
          </w:tcPr>
          <w:p>
            <w:pPr>
              <w:jc w:val="center"/>
              <w:ind w:left="178"/>
              <w:spacing w:after="0" w:line="81" w:lineRule="exact"/>
              <w:rPr>
                <w:sz w:val="20"/>
                <w:szCs w:val="20"/>
                <w:color w:val="auto"/>
              </w:rPr>
            </w:pPr>
            <w:r>
              <w:rPr>
                <w:rFonts w:ascii="Arial" w:cs="Arial" w:eastAsia="Arial" w:hAnsi="Arial"/>
                <w:sz w:val="8"/>
                <w:szCs w:val="8"/>
                <w:color w:val="auto"/>
                <w:w w:val="93"/>
              </w:rPr>
              <w:t>La Curacao, Mercado de</w:t>
            </w: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8"/>
                <w:szCs w:val="8"/>
                <w:color w:val="auto"/>
              </w:rPr>
              <w:t>Phoenix, Arizona</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right="58"/>
              <w:spacing w:after="0"/>
              <w:rPr>
                <w:sz w:val="20"/>
                <w:szCs w:val="20"/>
                <w:color w:val="auto"/>
              </w:rPr>
            </w:pPr>
            <w:r>
              <w:rPr>
                <w:rFonts w:ascii="Arial" w:cs="Arial" w:eastAsia="Arial" w:hAnsi="Arial"/>
                <w:sz w:val="8"/>
                <w:szCs w:val="8"/>
                <w:color w:val="auto"/>
                <w:w w:val="99"/>
              </w:rPr>
              <w:t>Dillard's</w:t>
            </w:r>
          </w:p>
        </w:tc>
        <w:tc>
          <w:tcPr>
            <w:tcW w:w="1320" w:type="dxa"/>
            <w:vAlign w:val="bottom"/>
          </w:tcPr>
          <w:p>
            <w:pPr>
              <w:jc w:val="center"/>
              <w:ind w:right="38"/>
              <w:spacing w:after="0"/>
              <w:rPr>
                <w:sz w:val="20"/>
                <w:szCs w:val="20"/>
                <w:color w:val="auto"/>
              </w:rPr>
            </w:pPr>
            <w:r>
              <w:rPr>
                <w:rFonts w:ascii="Arial" w:cs="Arial" w:eastAsia="Arial" w:hAnsi="Arial"/>
                <w:sz w:val="8"/>
                <w:szCs w:val="8"/>
                <w:color w:val="auto"/>
                <w:w w:val="92"/>
              </w:rPr>
              <w:t>los Cielos</w:t>
            </w: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00" w:type="dxa"/>
            <w:vAlign w:val="bottom"/>
            <w:shd w:val="clear" w:color="auto" w:fill="CCEEFF"/>
          </w:tcPr>
          <w:p>
            <w:pPr>
              <w:jc w:val="center"/>
              <w:ind w:left="257"/>
              <w:spacing w:after="0"/>
              <w:rPr>
                <w:sz w:val="20"/>
                <w:szCs w:val="20"/>
                <w:color w:val="auto"/>
              </w:rPr>
            </w:pPr>
            <w:r>
              <w:rPr>
                <w:rFonts w:ascii="Arial" w:cs="Arial" w:eastAsia="Arial" w:hAnsi="Arial"/>
                <w:sz w:val="8"/>
                <w:szCs w:val="8"/>
                <w:color w:val="auto"/>
                <w:w w:val="88"/>
              </w:rPr>
              <w:t>4</w:t>
            </w:r>
          </w:p>
        </w:tc>
        <w:tc>
          <w:tcPr>
            <w:tcW w:w="960" w:type="dxa"/>
            <w:vAlign w:val="bottom"/>
            <w:shd w:val="clear" w:color="auto" w:fill="CCEEFF"/>
          </w:tcPr>
          <w:p>
            <w:pPr>
              <w:jc w:val="center"/>
              <w:ind w:left="358"/>
              <w:spacing w:after="0"/>
              <w:rPr>
                <w:sz w:val="20"/>
                <w:szCs w:val="20"/>
                <w:color w:val="auto"/>
              </w:rPr>
            </w:pPr>
            <w:r>
              <w:rPr>
                <w:rFonts w:ascii="Arial" w:cs="Arial" w:eastAsia="Arial" w:hAnsi="Arial"/>
                <w:sz w:val="8"/>
                <w:szCs w:val="8"/>
                <w:color w:val="auto"/>
                <w:w w:val="97"/>
              </w:rPr>
              <w:t>100%</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Eastland Mall(6)</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1978/1998</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1996</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1,017,000</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8"/>
                <w:szCs w:val="8"/>
                <w:color w:val="auto"/>
              </w:rPr>
              <w:t>528,000</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8"/>
                <w:szCs w:val="8"/>
                <w:color w:val="auto"/>
              </w:rPr>
              <w:t>88.9</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7"/>
              </w:rPr>
              <w:t>Dillard's, Macy's</w:t>
            </w:r>
          </w:p>
        </w:tc>
        <w:tc>
          <w:tcPr>
            <w:tcW w:w="132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1"/>
              </w:rPr>
              <w:t>JCPenney</w:t>
            </w:r>
          </w:p>
        </w:tc>
        <w:tc>
          <w:tcPr>
            <w:tcW w:w="0" w:type="dxa"/>
            <w:vAlign w:val="bottom"/>
          </w:tcPr>
          <w:p>
            <w:pPr>
              <w:spacing w:after="0"/>
              <w:rPr>
                <w:sz w:val="1"/>
                <w:szCs w:val="1"/>
                <w:color w:val="auto"/>
              </w:rPr>
            </w:pPr>
          </w:p>
        </w:tc>
      </w:tr>
      <w:tr>
        <w:trPr>
          <w:trHeight w:val="163"/>
        </w:trPr>
        <w:tc>
          <w:tcPr>
            <w:tcW w:w="5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8"/>
                <w:szCs w:val="8"/>
                <w:color w:val="auto"/>
              </w:rPr>
              <w:t>Evansville, Indiana</w:t>
            </w: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00" w:type="dxa"/>
            <w:vAlign w:val="bottom"/>
          </w:tcPr>
          <w:p>
            <w:pPr>
              <w:jc w:val="center"/>
              <w:ind w:left="257"/>
              <w:spacing w:after="0" w:line="81" w:lineRule="exact"/>
              <w:rPr>
                <w:sz w:val="20"/>
                <w:szCs w:val="20"/>
                <w:color w:val="auto"/>
              </w:rPr>
            </w:pPr>
            <w:r>
              <w:rPr>
                <w:rFonts w:ascii="Arial" w:cs="Arial" w:eastAsia="Arial" w:hAnsi="Arial"/>
                <w:sz w:val="8"/>
                <w:szCs w:val="8"/>
                <w:color w:val="auto"/>
                <w:w w:val="88"/>
              </w:rPr>
              <w:t>5</w:t>
            </w:r>
          </w:p>
        </w:tc>
        <w:tc>
          <w:tcPr>
            <w:tcW w:w="960" w:type="dxa"/>
            <w:vAlign w:val="bottom"/>
          </w:tcPr>
          <w:p>
            <w:pPr>
              <w:jc w:val="center"/>
              <w:ind w:left="358"/>
              <w:spacing w:after="0" w:line="81" w:lineRule="exact"/>
              <w:rPr>
                <w:sz w:val="20"/>
                <w:szCs w:val="20"/>
                <w:color w:val="auto"/>
              </w:rPr>
            </w:pPr>
            <w:r>
              <w:rPr>
                <w:rFonts w:ascii="Arial" w:cs="Arial" w:eastAsia="Arial" w:hAnsi="Arial"/>
                <w:sz w:val="8"/>
                <w:szCs w:val="8"/>
                <w:color w:val="auto"/>
                <w:w w:val="99"/>
              </w:rPr>
              <w:t>50%</w:t>
            </w:r>
          </w:p>
        </w:tc>
        <w:tc>
          <w:tcPr>
            <w:tcW w:w="100" w:type="dxa"/>
            <w:vAlign w:val="bottom"/>
          </w:tcPr>
          <w:p>
            <w:pPr>
              <w:spacing w:after="0"/>
              <w:rPr>
                <w:sz w:val="7"/>
                <w:szCs w:val="7"/>
                <w:color w:val="auto"/>
              </w:rPr>
            </w:pPr>
          </w:p>
        </w:tc>
        <w:tc>
          <w:tcPr>
            <w:tcW w:w="1500" w:type="dxa"/>
            <w:vAlign w:val="bottom"/>
            <w:gridSpan w:val="2"/>
          </w:tcPr>
          <w:p>
            <w:pPr>
              <w:ind w:left="300"/>
              <w:spacing w:after="0" w:line="81" w:lineRule="exact"/>
              <w:rPr>
                <w:sz w:val="20"/>
                <w:szCs w:val="20"/>
                <w:color w:val="auto"/>
              </w:rPr>
            </w:pPr>
            <w:r>
              <w:rPr>
                <w:rFonts w:ascii="Arial" w:cs="Arial" w:eastAsia="Arial" w:hAnsi="Arial"/>
                <w:sz w:val="8"/>
                <w:szCs w:val="8"/>
                <w:color w:val="auto"/>
              </w:rPr>
              <w:t>Fashion District Philadelphia</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1977/2014</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2019</w:t>
            </w:r>
          </w:p>
        </w:tc>
        <w:tc>
          <w:tcPr>
            <w:tcW w:w="8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801,000</w:t>
            </w:r>
          </w:p>
        </w:tc>
        <w:tc>
          <w:tcPr>
            <w:tcW w:w="10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573,000</w:t>
            </w:r>
          </w:p>
        </w:tc>
        <w:tc>
          <w:tcPr>
            <w:tcW w:w="100" w:type="dxa"/>
            <w:vAlign w:val="bottom"/>
          </w:tcPr>
          <w:p>
            <w:pPr>
              <w:spacing w:after="0"/>
              <w:rPr>
                <w:sz w:val="7"/>
                <w:szCs w:val="7"/>
                <w:color w:val="auto"/>
              </w:rPr>
            </w:pPr>
          </w:p>
        </w:tc>
        <w:tc>
          <w:tcPr>
            <w:tcW w:w="1020" w:type="dxa"/>
            <w:vAlign w:val="bottom"/>
          </w:tcPr>
          <w:p>
            <w:pPr>
              <w:jc w:val="right"/>
              <w:ind w:right="179"/>
              <w:spacing w:after="0" w:line="81" w:lineRule="exact"/>
              <w:rPr>
                <w:sz w:val="20"/>
                <w:szCs w:val="20"/>
                <w:color w:val="auto"/>
              </w:rPr>
            </w:pPr>
            <w:r>
              <w:rPr>
                <w:rFonts w:ascii="Arial" w:cs="Arial" w:eastAsia="Arial" w:hAnsi="Arial"/>
                <w:sz w:val="8"/>
                <w:szCs w:val="8"/>
                <w:color w:val="auto"/>
              </w:rPr>
              <w:t>83.2</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8"/>
              <w:spacing w:after="0" w:line="81" w:lineRule="exact"/>
              <w:rPr>
                <w:sz w:val="20"/>
                <w:szCs w:val="20"/>
                <w:color w:val="auto"/>
              </w:rPr>
            </w:pPr>
            <w:r>
              <w:rPr>
                <w:rFonts w:ascii="Arial" w:cs="Arial" w:eastAsia="Arial" w:hAnsi="Arial"/>
                <w:sz w:val="8"/>
                <w:szCs w:val="8"/>
                <w:color w:val="auto"/>
                <w:w w:val="99"/>
              </w:rPr>
              <w:t>—</w:t>
            </w:r>
          </w:p>
        </w:tc>
        <w:tc>
          <w:tcPr>
            <w:tcW w:w="1320" w:type="dxa"/>
            <w:vAlign w:val="bottom"/>
          </w:tcPr>
          <w:p>
            <w:pPr>
              <w:jc w:val="center"/>
              <w:ind w:left="178"/>
              <w:spacing w:after="0" w:line="81" w:lineRule="exact"/>
              <w:rPr>
                <w:sz w:val="20"/>
                <w:szCs w:val="20"/>
                <w:color w:val="auto"/>
              </w:rPr>
            </w:pPr>
            <w:r>
              <w:rPr>
                <w:rFonts w:ascii="Arial" w:cs="Arial" w:eastAsia="Arial" w:hAnsi="Arial"/>
                <w:sz w:val="8"/>
                <w:szCs w:val="8"/>
                <w:color w:val="auto"/>
                <w:w w:val="99"/>
              </w:rPr>
              <w:t>Burlington, Primark,</w:t>
            </w: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jc w:val="center"/>
              <w:ind w:right="58"/>
              <w:spacing w:after="0"/>
              <w:rPr>
                <w:sz w:val="20"/>
                <w:szCs w:val="20"/>
                <w:color w:val="auto"/>
              </w:rPr>
            </w:pPr>
            <w:r>
              <w:rPr>
                <w:rFonts w:ascii="Arial" w:cs="Arial" w:eastAsia="Arial" w:hAnsi="Arial"/>
                <w:sz w:val="8"/>
                <w:szCs w:val="8"/>
                <w:color w:val="auto"/>
                <w:w w:val="94"/>
              </w:rPr>
              <w:t>Shoppers World</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Philadelphia, Pennsylvania</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00" w:type="dxa"/>
            <w:vAlign w:val="bottom"/>
            <w:shd w:val="clear" w:color="auto" w:fill="CCEEFF"/>
          </w:tcPr>
          <w:p>
            <w:pPr>
              <w:jc w:val="center"/>
              <w:ind w:left="257"/>
              <w:spacing w:after="0"/>
              <w:rPr>
                <w:sz w:val="20"/>
                <w:szCs w:val="20"/>
                <w:color w:val="auto"/>
              </w:rPr>
            </w:pPr>
            <w:r>
              <w:rPr>
                <w:rFonts w:ascii="Arial" w:cs="Arial" w:eastAsia="Arial" w:hAnsi="Arial"/>
                <w:sz w:val="8"/>
                <w:szCs w:val="8"/>
                <w:color w:val="auto"/>
                <w:w w:val="88"/>
              </w:rPr>
              <w:t>6</w:t>
            </w:r>
          </w:p>
        </w:tc>
        <w:tc>
          <w:tcPr>
            <w:tcW w:w="960" w:type="dxa"/>
            <w:vAlign w:val="bottom"/>
            <w:shd w:val="clear" w:color="auto" w:fill="CCEEFF"/>
          </w:tcPr>
          <w:p>
            <w:pPr>
              <w:jc w:val="center"/>
              <w:ind w:left="358"/>
              <w:spacing w:after="0"/>
              <w:rPr>
                <w:sz w:val="20"/>
                <w:szCs w:val="20"/>
                <w:color w:val="auto"/>
              </w:rPr>
            </w:pPr>
            <w:r>
              <w:rPr>
                <w:rFonts w:ascii="Arial" w:cs="Arial" w:eastAsia="Arial" w:hAnsi="Arial"/>
                <w:sz w:val="8"/>
                <w:szCs w:val="8"/>
                <w:color w:val="auto"/>
                <w:w w:val="97"/>
              </w:rPr>
              <w:t>100%</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Fashion Outlets of Chicago</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527,000</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8"/>
                <w:szCs w:val="8"/>
                <w:color w:val="auto"/>
              </w:rPr>
              <w:t>527,000</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8"/>
                <w:szCs w:val="8"/>
                <w:color w:val="auto"/>
              </w:rPr>
              <w:t>97.9</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9"/>
              </w:rPr>
              <w:t>—</w:t>
            </w:r>
          </w:p>
        </w:tc>
        <w:tc>
          <w:tcPr>
            <w:tcW w:w="1320" w:type="dxa"/>
            <w:vAlign w:val="bottom"/>
            <w:shd w:val="clear" w:color="auto" w:fill="CCEEFF"/>
          </w:tcPr>
          <w:p>
            <w:pPr>
              <w:jc w:val="center"/>
              <w:ind w:left="158"/>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9"/>
        </w:trPr>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Rosemont, Illinois</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00" w:type="dxa"/>
            <w:vAlign w:val="bottom"/>
          </w:tcPr>
          <w:p>
            <w:pPr>
              <w:jc w:val="center"/>
              <w:ind w:left="257"/>
              <w:spacing w:after="0" w:line="81" w:lineRule="exact"/>
              <w:rPr>
                <w:sz w:val="20"/>
                <w:szCs w:val="20"/>
                <w:color w:val="auto"/>
              </w:rPr>
            </w:pPr>
            <w:r>
              <w:rPr>
                <w:rFonts w:ascii="Arial" w:cs="Arial" w:eastAsia="Arial" w:hAnsi="Arial"/>
                <w:sz w:val="8"/>
                <w:szCs w:val="8"/>
                <w:color w:val="auto"/>
                <w:w w:val="88"/>
              </w:rPr>
              <w:t>7</w:t>
            </w:r>
          </w:p>
        </w:tc>
        <w:tc>
          <w:tcPr>
            <w:tcW w:w="960" w:type="dxa"/>
            <w:vAlign w:val="bottom"/>
          </w:tcPr>
          <w:p>
            <w:pPr>
              <w:jc w:val="center"/>
              <w:ind w:left="358"/>
              <w:spacing w:after="0" w:line="81" w:lineRule="exact"/>
              <w:rPr>
                <w:sz w:val="20"/>
                <w:szCs w:val="20"/>
                <w:color w:val="auto"/>
              </w:rPr>
            </w:pPr>
            <w:r>
              <w:rPr>
                <w:rFonts w:ascii="Arial" w:cs="Arial" w:eastAsia="Arial" w:hAnsi="Arial"/>
                <w:sz w:val="8"/>
                <w:szCs w:val="8"/>
                <w:color w:val="auto"/>
                <w:w w:val="97"/>
              </w:rPr>
              <w:t>100%</w:t>
            </w:r>
          </w:p>
        </w:tc>
        <w:tc>
          <w:tcPr>
            <w:tcW w:w="100" w:type="dxa"/>
            <w:vAlign w:val="bottom"/>
          </w:tcPr>
          <w:p>
            <w:pPr>
              <w:spacing w:after="0"/>
              <w:rPr>
                <w:sz w:val="7"/>
                <w:szCs w:val="7"/>
                <w:color w:val="auto"/>
              </w:rPr>
            </w:pPr>
          </w:p>
        </w:tc>
        <w:tc>
          <w:tcPr>
            <w:tcW w:w="1500" w:type="dxa"/>
            <w:vAlign w:val="bottom"/>
            <w:gridSpan w:val="2"/>
          </w:tcPr>
          <w:p>
            <w:pPr>
              <w:ind w:left="300"/>
              <w:spacing w:after="0" w:line="81" w:lineRule="exact"/>
              <w:rPr>
                <w:sz w:val="20"/>
                <w:szCs w:val="20"/>
                <w:color w:val="auto"/>
              </w:rPr>
            </w:pPr>
            <w:r>
              <w:rPr>
                <w:rFonts w:ascii="Arial" w:cs="Arial" w:eastAsia="Arial" w:hAnsi="Arial"/>
                <w:sz w:val="8"/>
                <w:szCs w:val="8"/>
                <w:color w:val="auto"/>
              </w:rPr>
              <w:t>Fashion Outlets of Niagara Falls</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1982/2011</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2014</w:t>
            </w:r>
          </w:p>
        </w:tc>
        <w:tc>
          <w:tcPr>
            <w:tcW w:w="8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689,000</w:t>
            </w:r>
          </w:p>
        </w:tc>
        <w:tc>
          <w:tcPr>
            <w:tcW w:w="10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689,000</w:t>
            </w:r>
          </w:p>
        </w:tc>
        <w:tc>
          <w:tcPr>
            <w:tcW w:w="100" w:type="dxa"/>
            <w:vAlign w:val="bottom"/>
          </w:tcPr>
          <w:p>
            <w:pPr>
              <w:spacing w:after="0"/>
              <w:rPr>
                <w:sz w:val="7"/>
                <w:szCs w:val="7"/>
                <w:color w:val="auto"/>
              </w:rPr>
            </w:pPr>
          </w:p>
        </w:tc>
        <w:tc>
          <w:tcPr>
            <w:tcW w:w="1020" w:type="dxa"/>
            <w:vAlign w:val="bottom"/>
          </w:tcPr>
          <w:p>
            <w:pPr>
              <w:jc w:val="right"/>
              <w:ind w:right="179"/>
              <w:spacing w:after="0" w:line="81" w:lineRule="exact"/>
              <w:rPr>
                <w:sz w:val="20"/>
                <w:szCs w:val="20"/>
                <w:color w:val="auto"/>
              </w:rPr>
            </w:pPr>
            <w:r>
              <w:rPr>
                <w:rFonts w:ascii="Arial" w:cs="Arial" w:eastAsia="Arial" w:hAnsi="Arial"/>
                <w:sz w:val="8"/>
                <w:szCs w:val="8"/>
                <w:color w:val="auto"/>
              </w:rPr>
              <w:t>82.8</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8"/>
              <w:spacing w:after="0" w:line="81" w:lineRule="exact"/>
              <w:rPr>
                <w:sz w:val="20"/>
                <w:szCs w:val="20"/>
                <w:color w:val="auto"/>
              </w:rPr>
            </w:pPr>
            <w:r>
              <w:rPr>
                <w:rFonts w:ascii="Arial" w:cs="Arial" w:eastAsia="Arial" w:hAnsi="Arial"/>
                <w:sz w:val="8"/>
                <w:szCs w:val="8"/>
                <w:color w:val="auto"/>
                <w:w w:val="99"/>
              </w:rPr>
              <w:t>—</w:t>
            </w:r>
          </w:p>
        </w:tc>
        <w:tc>
          <w:tcPr>
            <w:tcW w:w="1320" w:type="dxa"/>
            <w:vAlign w:val="bottom"/>
          </w:tcPr>
          <w:p>
            <w:pPr>
              <w:jc w:val="center"/>
              <w:ind w:left="158"/>
              <w:spacing w:after="0" w:line="81"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tcPr>
          <w:p>
            <w:pPr>
              <w:ind w:left="20"/>
              <w:spacing w:after="0"/>
              <w:rPr>
                <w:sz w:val="20"/>
                <w:szCs w:val="20"/>
                <w:color w:val="auto"/>
              </w:rPr>
            </w:pPr>
            <w:r>
              <w:rPr>
                <w:rFonts w:ascii="Arial" w:cs="Arial" w:eastAsia="Arial" w:hAnsi="Arial"/>
                <w:sz w:val="8"/>
                <w:szCs w:val="8"/>
                <w:color w:val="auto"/>
              </w:rPr>
              <w:t>USA</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Niagara Falls, New York</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00" w:type="dxa"/>
            <w:vAlign w:val="bottom"/>
            <w:shd w:val="clear" w:color="auto" w:fill="CCEEFF"/>
          </w:tcPr>
          <w:p>
            <w:pPr>
              <w:jc w:val="center"/>
              <w:ind w:left="257"/>
              <w:spacing w:after="0" w:line="88" w:lineRule="exact"/>
              <w:rPr>
                <w:sz w:val="20"/>
                <w:szCs w:val="20"/>
                <w:color w:val="auto"/>
              </w:rPr>
            </w:pPr>
            <w:r>
              <w:rPr>
                <w:rFonts w:ascii="Arial" w:cs="Arial" w:eastAsia="Arial" w:hAnsi="Arial"/>
                <w:sz w:val="8"/>
                <w:szCs w:val="8"/>
                <w:color w:val="auto"/>
                <w:w w:val="88"/>
              </w:rPr>
              <w:t>8</w:t>
            </w:r>
          </w:p>
        </w:tc>
        <w:tc>
          <w:tcPr>
            <w:tcW w:w="960" w:type="dxa"/>
            <w:vAlign w:val="bottom"/>
            <w:shd w:val="clear" w:color="auto" w:fill="CCEEFF"/>
          </w:tcPr>
          <w:p>
            <w:pPr>
              <w:jc w:val="center"/>
              <w:ind w:left="338"/>
              <w:spacing w:after="0" w:line="88" w:lineRule="exact"/>
              <w:rPr>
                <w:sz w:val="20"/>
                <w:szCs w:val="20"/>
                <w:color w:val="auto"/>
              </w:rPr>
            </w:pPr>
            <w:r>
              <w:rPr>
                <w:rFonts w:ascii="Arial" w:cs="Arial" w:eastAsia="Arial" w:hAnsi="Arial"/>
                <w:sz w:val="8"/>
                <w:szCs w:val="8"/>
                <w:color w:val="auto"/>
                <w:w w:val="96"/>
              </w:rPr>
              <w:t>50.1%</w:t>
            </w:r>
          </w:p>
        </w:tc>
        <w:tc>
          <w:tcPr>
            <w:tcW w:w="10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00"/>
              <w:spacing w:after="0" w:line="88" w:lineRule="exact"/>
              <w:rPr>
                <w:sz w:val="20"/>
                <w:szCs w:val="20"/>
                <w:color w:val="auto"/>
              </w:rPr>
            </w:pPr>
            <w:r>
              <w:rPr>
                <w:rFonts w:ascii="Arial" w:cs="Arial" w:eastAsia="Arial" w:hAnsi="Arial"/>
                <w:sz w:val="8"/>
                <w:szCs w:val="8"/>
                <w:color w:val="auto"/>
              </w:rPr>
              <w:t>Freehold Raceway Mall(4)</w:t>
            </w: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1990/2005</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2007</w:t>
            </w: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1,553,000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771,000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ind w:right="179"/>
              <w:spacing w:after="0" w:line="88" w:lineRule="exact"/>
              <w:rPr>
                <w:sz w:val="20"/>
                <w:szCs w:val="20"/>
                <w:color w:val="auto"/>
              </w:rPr>
            </w:pPr>
            <w:r>
              <w:rPr>
                <w:rFonts w:ascii="Arial" w:cs="Arial" w:eastAsia="Arial" w:hAnsi="Arial"/>
                <w:sz w:val="8"/>
                <w:szCs w:val="8"/>
                <w:color w:val="auto"/>
              </w:rPr>
              <w:t>91.7</w:t>
            </w:r>
          </w:p>
        </w:tc>
        <w:tc>
          <w:tcPr>
            <w:tcW w:w="1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1"/>
              </w:rPr>
              <w:t>JCPenney,</w:t>
            </w:r>
          </w:p>
        </w:tc>
        <w:tc>
          <w:tcPr>
            <w:tcW w:w="132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7"/>
              </w:rPr>
              <w:t>Macy's</w:t>
            </w:r>
          </w:p>
        </w:tc>
        <w:tc>
          <w:tcPr>
            <w:tcW w:w="1320" w:type="dxa"/>
            <w:vAlign w:val="bottom"/>
            <w:shd w:val="clear" w:color="auto" w:fill="CCEEFF"/>
          </w:tcPr>
          <w:p>
            <w:pPr>
              <w:jc w:val="center"/>
              <w:ind w:right="38"/>
              <w:spacing w:after="0"/>
              <w:rPr>
                <w:sz w:val="20"/>
                <w:szCs w:val="20"/>
                <w:color w:val="auto"/>
              </w:rPr>
            </w:pPr>
            <w:r>
              <w:rPr>
                <w:rFonts w:ascii="Arial" w:cs="Arial" w:eastAsia="Arial" w:hAnsi="Arial"/>
                <w:sz w:val="8"/>
                <w:szCs w:val="8"/>
                <w:color w:val="auto"/>
              </w:rPr>
              <w:t>Primark</w:t>
            </w:r>
          </w:p>
        </w:tc>
        <w:tc>
          <w:tcPr>
            <w:tcW w:w="0" w:type="dxa"/>
            <w:vAlign w:val="bottom"/>
          </w:tcPr>
          <w:p>
            <w:pPr>
              <w:spacing w:after="0"/>
              <w:rPr>
                <w:sz w:val="1"/>
                <w:szCs w:val="1"/>
                <w:color w:val="auto"/>
              </w:rPr>
            </w:pPr>
          </w:p>
        </w:tc>
      </w:tr>
      <w:tr>
        <w:trPr>
          <w:trHeight w:val="129"/>
        </w:trPr>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Freehold, New Jersey</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00" w:type="dxa"/>
            <w:vAlign w:val="bottom"/>
          </w:tcPr>
          <w:p>
            <w:pPr>
              <w:jc w:val="center"/>
              <w:ind w:left="257"/>
              <w:spacing w:after="0" w:line="81" w:lineRule="exact"/>
              <w:rPr>
                <w:sz w:val="20"/>
                <w:szCs w:val="20"/>
                <w:color w:val="auto"/>
              </w:rPr>
            </w:pPr>
            <w:r>
              <w:rPr>
                <w:rFonts w:ascii="Arial" w:cs="Arial" w:eastAsia="Arial" w:hAnsi="Arial"/>
                <w:sz w:val="8"/>
                <w:szCs w:val="8"/>
                <w:color w:val="auto"/>
                <w:w w:val="88"/>
              </w:rPr>
              <w:t>9</w:t>
            </w:r>
          </w:p>
        </w:tc>
        <w:tc>
          <w:tcPr>
            <w:tcW w:w="960" w:type="dxa"/>
            <w:vAlign w:val="bottom"/>
          </w:tcPr>
          <w:p>
            <w:pPr>
              <w:jc w:val="center"/>
              <w:ind w:left="358"/>
              <w:spacing w:after="0" w:line="81" w:lineRule="exact"/>
              <w:rPr>
                <w:sz w:val="20"/>
                <w:szCs w:val="20"/>
                <w:color w:val="auto"/>
              </w:rPr>
            </w:pPr>
            <w:r>
              <w:rPr>
                <w:rFonts w:ascii="Arial" w:cs="Arial" w:eastAsia="Arial" w:hAnsi="Arial"/>
                <w:sz w:val="8"/>
                <w:szCs w:val="8"/>
                <w:color w:val="auto"/>
                <w:w w:val="97"/>
              </w:rPr>
              <w:t>100%</w:t>
            </w:r>
          </w:p>
        </w:tc>
        <w:tc>
          <w:tcPr>
            <w:tcW w:w="100" w:type="dxa"/>
            <w:vAlign w:val="bottom"/>
          </w:tcPr>
          <w:p>
            <w:pPr>
              <w:spacing w:after="0"/>
              <w:rPr>
                <w:sz w:val="7"/>
                <w:szCs w:val="7"/>
                <w:color w:val="auto"/>
              </w:rPr>
            </w:pPr>
          </w:p>
        </w:tc>
        <w:tc>
          <w:tcPr>
            <w:tcW w:w="1500" w:type="dxa"/>
            <w:vAlign w:val="bottom"/>
            <w:gridSpan w:val="2"/>
          </w:tcPr>
          <w:p>
            <w:pPr>
              <w:ind w:left="300"/>
              <w:spacing w:after="0" w:line="81" w:lineRule="exact"/>
              <w:rPr>
                <w:sz w:val="20"/>
                <w:szCs w:val="20"/>
                <w:color w:val="auto"/>
              </w:rPr>
            </w:pPr>
            <w:r>
              <w:rPr>
                <w:rFonts w:ascii="Arial" w:cs="Arial" w:eastAsia="Arial" w:hAnsi="Arial"/>
                <w:sz w:val="8"/>
                <w:szCs w:val="8"/>
                <w:color w:val="auto"/>
              </w:rPr>
              <w:t>Fresno Fashion Fair</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1970/1996</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2006</w:t>
            </w:r>
          </w:p>
        </w:tc>
        <w:tc>
          <w:tcPr>
            <w:tcW w:w="8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973,000</w:t>
            </w:r>
          </w:p>
        </w:tc>
        <w:tc>
          <w:tcPr>
            <w:tcW w:w="10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418,000</w:t>
            </w:r>
          </w:p>
        </w:tc>
        <w:tc>
          <w:tcPr>
            <w:tcW w:w="100" w:type="dxa"/>
            <w:vAlign w:val="bottom"/>
          </w:tcPr>
          <w:p>
            <w:pPr>
              <w:spacing w:after="0"/>
              <w:rPr>
                <w:sz w:val="7"/>
                <w:szCs w:val="7"/>
                <w:color w:val="auto"/>
              </w:rPr>
            </w:pPr>
          </w:p>
        </w:tc>
        <w:tc>
          <w:tcPr>
            <w:tcW w:w="1020" w:type="dxa"/>
            <w:vAlign w:val="bottom"/>
          </w:tcPr>
          <w:p>
            <w:pPr>
              <w:jc w:val="right"/>
              <w:ind w:right="179"/>
              <w:spacing w:after="0" w:line="81" w:lineRule="exact"/>
              <w:rPr>
                <w:sz w:val="20"/>
                <w:szCs w:val="20"/>
                <w:color w:val="auto"/>
              </w:rPr>
            </w:pPr>
            <w:r>
              <w:rPr>
                <w:rFonts w:ascii="Arial" w:cs="Arial" w:eastAsia="Arial" w:hAnsi="Arial"/>
                <w:sz w:val="8"/>
                <w:szCs w:val="8"/>
                <w:color w:val="auto"/>
              </w:rPr>
              <w:t>93.4</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8"/>
              <w:spacing w:after="0" w:line="81" w:lineRule="exact"/>
              <w:rPr>
                <w:sz w:val="20"/>
                <w:szCs w:val="20"/>
                <w:color w:val="auto"/>
              </w:rPr>
            </w:pPr>
            <w:r>
              <w:rPr>
                <w:rFonts w:ascii="Arial" w:cs="Arial" w:eastAsia="Arial" w:hAnsi="Arial"/>
                <w:sz w:val="8"/>
                <w:szCs w:val="8"/>
                <w:color w:val="auto"/>
                <w:w w:val="97"/>
              </w:rPr>
              <w:t>Macy's</w:t>
            </w:r>
          </w:p>
        </w:tc>
        <w:tc>
          <w:tcPr>
            <w:tcW w:w="1320" w:type="dxa"/>
            <w:vAlign w:val="bottom"/>
          </w:tcPr>
          <w:p>
            <w:pPr>
              <w:jc w:val="center"/>
              <w:ind w:left="158"/>
              <w:spacing w:after="0" w:line="81" w:lineRule="exact"/>
              <w:rPr>
                <w:sz w:val="20"/>
                <w:szCs w:val="20"/>
                <w:color w:val="auto"/>
              </w:rPr>
            </w:pPr>
            <w:r>
              <w:rPr>
                <w:rFonts w:ascii="Arial" w:cs="Arial" w:eastAsia="Arial" w:hAnsi="Arial"/>
                <w:sz w:val="8"/>
                <w:szCs w:val="8"/>
                <w:color w:val="auto"/>
                <w:w w:val="92"/>
              </w:rPr>
              <w:t>Forever 21, JCPenney,</w:t>
            </w: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jc w:val="center"/>
              <w:ind w:right="38"/>
              <w:spacing w:after="0"/>
              <w:rPr>
                <w:sz w:val="20"/>
                <w:szCs w:val="20"/>
                <w:color w:val="auto"/>
              </w:rPr>
            </w:pPr>
            <w:r>
              <w:rPr>
                <w:rFonts w:ascii="Arial" w:cs="Arial" w:eastAsia="Arial" w:hAnsi="Arial"/>
                <w:sz w:val="8"/>
                <w:szCs w:val="8"/>
                <w:color w:val="auto"/>
                <w:w w:val="97"/>
              </w:rPr>
              <w:t>Macy's</w:t>
            </w:r>
          </w:p>
        </w:tc>
        <w:tc>
          <w:tcPr>
            <w:tcW w:w="0" w:type="dxa"/>
            <w:vAlign w:val="bottom"/>
          </w:tcPr>
          <w:p>
            <w:pPr>
              <w:spacing w:after="0"/>
              <w:rPr>
                <w:sz w:val="1"/>
                <w:szCs w:val="1"/>
                <w:color w:val="auto"/>
              </w:rPr>
            </w:pPr>
          </w:p>
        </w:tc>
      </w:tr>
      <w:tr>
        <w:trPr>
          <w:trHeight w:val="123"/>
        </w:trPr>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Fresno, California</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00" w:type="dxa"/>
            <w:vAlign w:val="bottom"/>
            <w:shd w:val="clear" w:color="auto" w:fill="CCEEFF"/>
          </w:tcPr>
          <w:p>
            <w:pPr>
              <w:jc w:val="center"/>
              <w:ind w:left="257"/>
              <w:spacing w:after="0" w:line="88" w:lineRule="exact"/>
              <w:rPr>
                <w:sz w:val="20"/>
                <w:szCs w:val="20"/>
                <w:color w:val="auto"/>
              </w:rPr>
            </w:pPr>
            <w:r>
              <w:rPr>
                <w:rFonts w:ascii="Arial" w:cs="Arial" w:eastAsia="Arial" w:hAnsi="Arial"/>
                <w:sz w:val="8"/>
                <w:szCs w:val="8"/>
                <w:color w:val="auto"/>
                <w:w w:val="89"/>
              </w:rPr>
              <w:t>10</w:t>
            </w:r>
          </w:p>
        </w:tc>
        <w:tc>
          <w:tcPr>
            <w:tcW w:w="960" w:type="dxa"/>
            <w:vAlign w:val="bottom"/>
            <w:shd w:val="clear" w:color="auto" w:fill="CCEEFF"/>
          </w:tcPr>
          <w:p>
            <w:pPr>
              <w:jc w:val="center"/>
              <w:ind w:left="358"/>
              <w:spacing w:after="0" w:line="88" w:lineRule="exact"/>
              <w:rPr>
                <w:sz w:val="20"/>
                <w:szCs w:val="20"/>
                <w:color w:val="auto"/>
              </w:rPr>
            </w:pPr>
            <w:r>
              <w:rPr>
                <w:rFonts w:ascii="Arial" w:cs="Arial" w:eastAsia="Arial" w:hAnsi="Arial"/>
                <w:sz w:val="8"/>
                <w:szCs w:val="8"/>
                <w:color w:val="auto"/>
                <w:w w:val="97"/>
              </w:rPr>
              <w:t>100%</w:t>
            </w:r>
          </w:p>
        </w:tc>
        <w:tc>
          <w:tcPr>
            <w:tcW w:w="10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00"/>
              <w:spacing w:after="0" w:line="88" w:lineRule="exact"/>
              <w:rPr>
                <w:sz w:val="20"/>
                <w:szCs w:val="20"/>
                <w:color w:val="auto"/>
              </w:rPr>
            </w:pPr>
            <w:r>
              <w:rPr>
                <w:rFonts w:ascii="Arial" w:cs="Arial" w:eastAsia="Arial" w:hAnsi="Arial"/>
                <w:sz w:val="8"/>
                <w:szCs w:val="8"/>
                <w:color w:val="auto"/>
              </w:rPr>
              <w:t>Green Acres Mall(4)(6)</w:t>
            </w: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1956/2013</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2016</w:t>
            </w: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2,057,000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919,000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ind w:right="179"/>
              <w:spacing w:after="0" w:line="88" w:lineRule="exact"/>
              <w:rPr>
                <w:sz w:val="20"/>
                <w:szCs w:val="20"/>
                <w:color w:val="auto"/>
              </w:rPr>
            </w:pPr>
            <w:r>
              <w:rPr>
                <w:rFonts w:ascii="Arial" w:cs="Arial" w:eastAsia="Arial" w:hAnsi="Arial"/>
                <w:sz w:val="8"/>
                <w:szCs w:val="8"/>
                <w:color w:val="auto"/>
              </w:rPr>
              <w:t>93.2</w:t>
            </w:r>
          </w:p>
        </w:tc>
        <w:tc>
          <w:tcPr>
            <w:tcW w:w="1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9"/>
              </w:rPr>
              <w:t>—</w:t>
            </w:r>
          </w:p>
        </w:tc>
        <w:tc>
          <w:tcPr>
            <w:tcW w:w="1320" w:type="dxa"/>
            <w:vAlign w:val="bottom"/>
            <w:shd w:val="clear" w:color="auto" w:fill="CCEEFF"/>
          </w:tcPr>
          <w:p>
            <w:pPr>
              <w:jc w:val="center"/>
              <w:ind w:left="158"/>
              <w:spacing w:after="0" w:line="88" w:lineRule="exact"/>
              <w:rPr>
                <w:sz w:val="20"/>
                <w:szCs w:val="20"/>
                <w:color w:val="auto"/>
              </w:rPr>
            </w:pPr>
            <w:r>
              <w:rPr>
                <w:rFonts w:ascii="Arial" w:cs="Arial" w:eastAsia="Arial" w:hAnsi="Arial"/>
                <w:sz w:val="8"/>
                <w:szCs w:val="8"/>
                <w:color w:val="auto"/>
                <w:w w:val="95"/>
              </w:rPr>
              <w:t>BJ's Wholesale Club,</w:t>
            </w:r>
          </w:p>
        </w:tc>
        <w:tc>
          <w:tcPr>
            <w:tcW w:w="0" w:type="dxa"/>
            <w:vAlign w:val="bottom"/>
          </w:tcPr>
          <w:p>
            <w:pPr>
              <w:spacing w:after="0"/>
              <w:rPr>
                <w:sz w:val="1"/>
                <w:szCs w:val="1"/>
                <w:color w:val="auto"/>
              </w:rPr>
            </w:pPr>
          </w:p>
        </w:tc>
      </w:tr>
      <w:tr>
        <w:trPr>
          <w:trHeight w:val="81"/>
        </w:trPr>
        <w:tc>
          <w:tcPr>
            <w:tcW w:w="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320" w:type="dxa"/>
            <w:vAlign w:val="bottom"/>
            <w:shd w:val="clear" w:color="auto" w:fill="CCEEFF"/>
          </w:tcPr>
          <w:p>
            <w:pPr>
              <w:jc w:val="center"/>
              <w:ind w:right="38"/>
              <w:spacing w:after="0" w:line="81" w:lineRule="exact"/>
              <w:rPr>
                <w:sz w:val="20"/>
                <w:szCs w:val="20"/>
                <w:color w:val="auto"/>
              </w:rPr>
            </w:pPr>
            <w:r>
              <w:rPr>
                <w:rFonts w:ascii="Arial" w:cs="Arial" w:eastAsia="Arial" w:hAnsi="Arial"/>
                <w:sz w:val="8"/>
                <w:szCs w:val="8"/>
                <w:color w:val="auto"/>
                <w:w w:val="96"/>
              </w:rPr>
              <w:t>Dick's Sporting Goods, Macy's</w:t>
            </w:r>
          </w:p>
        </w:tc>
        <w:tc>
          <w:tcPr>
            <w:tcW w:w="0" w:type="dxa"/>
            <w:vAlign w:val="bottom"/>
          </w:tcPr>
          <w:p>
            <w:pPr>
              <w:spacing w:after="0"/>
              <w:rPr>
                <w:sz w:val="1"/>
                <w:szCs w:val="1"/>
                <w:color w:val="auto"/>
              </w:rPr>
            </w:pPr>
          </w:p>
        </w:tc>
      </w:tr>
      <w:tr>
        <w:trPr>
          <w:trHeight w:val="105"/>
        </w:trPr>
        <w:tc>
          <w:tcPr>
            <w:tcW w:w="5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7"/>
              </w:rPr>
              <w:t>(two), Primark(7), Shoppers World</w:t>
            </w: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Valley Stream, New York</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00" w:type="dxa"/>
            <w:vAlign w:val="bottom"/>
          </w:tcPr>
          <w:p>
            <w:pPr>
              <w:jc w:val="center"/>
              <w:ind w:left="257"/>
              <w:spacing w:after="0"/>
              <w:rPr>
                <w:sz w:val="20"/>
                <w:szCs w:val="20"/>
                <w:color w:val="auto"/>
              </w:rPr>
            </w:pPr>
            <w:r>
              <w:rPr>
                <w:rFonts w:ascii="Arial" w:cs="Arial" w:eastAsia="Arial" w:hAnsi="Arial"/>
                <w:sz w:val="8"/>
                <w:szCs w:val="8"/>
                <w:color w:val="auto"/>
                <w:w w:val="89"/>
              </w:rPr>
              <w:t>11</w:t>
            </w:r>
          </w:p>
        </w:tc>
        <w:tc>
          <w:tcPr>
            <w:tcW w:w="960" w:type="dxa"/>
            <w:vAlign w:val="bottom"/>
          </w:tcPr>
          <w:p>
            <w:pPr>
              <w:jc w:val="center"/>
              <w:ind w:left="358"/>
              <w:spacing w:after="0"/>
              <w:rPr>
                <w:sz w:val="20"/>
                <w:szCs w:val="20"/>
                <w:color w:val="auto"/>
              </w:rPr>
            </w:pPr>
            <w:r>
              <w:rPr>
                <w:rFonts w:ascii="Arial" w:cs="Arial" w:eastAsia="Arial" w:hAnsi="Arial"/>
                <w:sz w:val="8"/>
                <w:szCs w:val="8"/>
                <w:color w:val="auto"/>
                <w:w w:val="97"/>
              </w:rPr>
              <w:t>100%</w:t>
            </w:r>
          </w:p>
        </w:tc>
        <w:tc>
          <w:tcPr>
            <w:tcW w:w="100" w:type="dxa"/>
            <w:vAlign w:val="bottom"/>
          </w:tcPr>
          <w:p>
            <w:pPr>
              <w:spacing w:after="0"/>
              <w:rPr>
                <w:sz w:val="9"/>
                <w:szCs w:val="9"/>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Inland Center</w:t>
            </w:r>
          </w:p>
        </w:tc>
        <w:tc>
          <w:tcPr>
            <w:tcW w:w="900" w:type="dxa"/>
            <w:vAlign w:val="bottom"/>
          </w:tcPr>
          <w:p>
            <w:pPr>
              <w:jc w:val="right"/>
              <w:spacing w:after="0"/>
              <w:rPr>
                <w:sz w:val="20"/>
                <w:szCs w:val="20"/>
                <w:color w:val="auto"/>
              </w:rPr>
            </w:pPr>
            <w:r>
              <w:rPr>
                <w:rFonts w:ascii="Arial" w:cs="Arial" w:eastAsia="Arial" w:hAnsi="Arial"/>
                <w:sz w:val="8"/>
                <w:szCs w:val="8"/>
                <w:color w:val="auto"/>
              </w:rPr>
              <w:t>1966/2004</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2016</w:t>
            </w:r>
          </w:p>
        </w:tc>
        <w:tc>
          <w:tcPr>
            <w:tcW w:w="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630,000</w:t>
            </w:r>
          </w:p>
        </w:tc>
        <w:tc>
          <w:tcPr>
            <w:tcW w:w="10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230,000</w:t>
            </w:r>
          </w:p>
        </w:tc>
        <w:tc>
          <w:tcPr>
            <w:tcW w:w="100" w:type="dxa"/>
            <w:vAlign w:val="bottom"/>
          </w:tcPr>
          <w:p>
            <w:pPr>
              <w:spacing w:after="0"/>
              <w:rPr>
                <w:sz w:val="9"/>
                <w:szCs w:val="9"/>
                <w:color w:val="auto"/>
              </w:rPr>
            </w:pPr>
          </w:p>
        </w:tc>
        <w:tc>
          <w:tcPr>
            <w:tcW w:w="1020" w:type="dxa"/>
            <w:vAlign w:val="bottom"/>
          </w:tcPr>
          <w:p>
            <w:pPr>
              <w:jc w:val="right"/>
              <w:ind w:right="179"/>
              <w:spacing w:after="0"/>
              <w:rPr>
                <w:sz w:val="20"/>
                <w:szCs w:val="20"/>
                <w:color w:val="auto"/>
              </w:rPr>
            </w:pPr>
            <w:r>
              <w:rPr>
                <w:rFonts w:ascii="Arial" w:cs="Arial" w:eastAsia="Arial" w:hAnsi="Arial"/>
                <w:sz w:val="8"/>
                <w:szCs w:val="8"/>
                <w:color w:val="auto"/>
              </w:rPr>
              <w:t>97.1</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8"/>
              <w:spacing w:after="0"/>
              <w:rPr>
                <w:sz w:val="20"/>
                <w:szCs w:val="20"/>
                <w:color w:val="auto"/>
              </w:rPr>
            </w:pPr>
            <w:r>
              <w:rPr>
                <w:rFonts w:ascii="Arial" w:cs="Arial" w:eastAsia="Arial" w:hAnsi="Arial"/>
                <w:sz w:val="8"/>
                <w:szCs w:val="8"/>
                <w:color w:val="auto"/>
                <w:w w:val="97"/>
              </w:rPr>
              <w:t>Macy's</w:t>
            </w:r>
          </w:p>
        </w:tc>
        <w:tc>
          <w:tcPr>
            <w:tcW w:w="1320" w:type="dxa"/>
            <w:vAlign w:val="bottom"/>
          </w:tcPr>
          <w:p>
            <w:pPr>
              <w:jc w:val="center"/>
              <w:ind w:left="178"/>
              <w:spacing w:after="0"/>
              <w:rPr>
                <w:sz w:val="20"/>
                <w:szCs w:val="20"/>
                <w:color w:val="auto"/>
              </w:rPr>
            </w:pPr>
            <w:r>
              <w:rPr>
                <w:rFonts w:ascii="Arial" w:cs="Arial" w:eastAsia="Arial" w:hAnsi="Arial"/>
                <w:sz w:val="8"/>
                <w:szCs w:val="8"/>
                <w:color w:val="auto"/>
                <w:w w:val="92"/>
              </w:rPr>
              <w:t>Forever 21, JCPenney</w:t>
            </w:r>
          </w:p>
        </w:tc>
        <w:tc>
          <w:tcPr>
            <w:tcW w:w="0" w:type="dxa"/>
            <w:vAlign w:val="bottom"/>
          </w:tcPr>
          <w:p>
            <w:pPr>
              <w:spacing w:after="0"/>
              <w:rPr>
                <w:sz w:val="1"/>
                <w:szCs w:val="1"/>
                <w:color w:val="auto"/>
              </w:rPr>
            </w:pPr>
          </w:p>
        </w:tc>
      </w:tr>
      <w:tr>
        <w:trPr>
          <w:trHeight w:val="123"/>
        </w:trPr>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San Bernardino, California</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00" w:type="dxa"/>
            <w:vAlign w:val="bottom"/>
            <w:shd w:val="clear" w:color="auto" w:fill="CCEEFF"/>
          </w:tcPr>
          <w:p>
            <w:pPr>
              <w:jc w:val="center"/>
              <w:ind w:left="257"/>
              <w:spacing w:after="0" w:line="88" w:lineRule="exact"/>
              <w:rPr>
                <w:sz w:val="20"/>
                <w:szCs w:val="20"/>
                <w:color w:val="auto"/>
              </w:rPr>
            </w:pPr>
            <w:r>
              <w:rPr>
                <w:rFonts w:ascii="Arial" w:cs="Arial" w:eastAsia="Arial" w:hAnsi="Arial"/>
                <w:sz w:val="8"/>
                <w:szCs w:val="8"/>
                <w:color w:val="auto"/>
                <w:w w:val="89"/>
              </w:rPr>
              <w:t>12</w:t>
            </w:r>
          </w:p>
        </w:tc>
        <w:tc>
          <w:tcPr>
            <w:tcW w:w="960" w:type="dxa"/>
            <w:vAlign w:val="bottom"/>
            <w:shd w:val="clear" w:color="auto" w:fill="CCEEFF"/>
          </w:tcPr>
          <w:p>
            <w:pPr>
              <w:jc w:val="center"/>
              <w:ind w:left="358"/>
              <w:spacing w:after="0" w:line="88" w:lineRule="exact"/>
              <w:rPr>
                <w:sz w:val="20"/>
                <w:szCs w:val="20"/>
                <w:color w:val="auto"/>
              </w:rPr>
            </w:pPr>
            <w:r>
              <w:rPr>
                <w:rFonts w:ascii="Arial" w:cs="Arial" w:eastAsia="Arial" w:hAnsi="Arial"/>
                <w:sz w:val="8"/>
                <w:szCs w:val="8"/>
                <w:color w:val="auto"/>
                <w:w w:val="97"/>
              </w:rPr>
              <w:t>100%</w:t>
            </w:r>
          </w:p>
        </w:tc>
        <w:tc>
          <w:tcPr>
            <w:tcW w:w="10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00"/>
              <w:spacing w:after="0" w:line="88" w:lineRule="exact"/>
              <w:rPr>
                <w:sz w:val="20"/>
                <w:szCs w:val="20"/>
                <w:color w:val="auto"/>
              </w:rPr>
            </w:pPr>
            <w:r>
              <w:rPr>
                <w:rFonts w:ascii="Arial" w:cs="Arial" w:eastAsia="Arial" w:hAnsi="Arial"/>
                <w:sz w:val="8"/>
                <w:szCs w:val="8"/>
                <w:color w:val="auto"/>
              </w:rPr>
              <w:t>Kings Plaza Shopping Center(6)</w:t>
            </w: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1971/2012</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2018</w:t>
            </w: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1,146,000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445,000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ind w:right="179"/>
              <w:spacing w:after="0" w:line="88" w:lineRule="exact"/>
              <w:rPr>
                <w:sz w:val="20"/>
                <w:szCs w:val="20"/>
                <w:color w:val="auto"/>
              </w:rPr>
            </w:pPr>
            <w:r>
              <w:rPr>
                <w:rFonts w:ascii="Arial" w:cs="Arial" w:eastAsia="Arial" w:hAnsi="Arial"/>
                <w:sz w:val="8"/>
                <w:szCs w:val="8"/>
                <w:color w:val="auto"/>
              </w:rPr>
              <w:t>98.9</w:t>
            </w:r>
          </w:p>
        </w:tc>
        <w:tc>
          <w:tcPr>
            <w:tcW w:w="1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7"/>
              </w:rPr>
              <w:t>Macy's</w:t>
            </w:r>
          </w:p>
        </w:tc>
        <w:tc>
          <w:tcPr>
            <w:tcW w:w="132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7"/>
              </w:rPr>
              <w:t>Burlington, Lowe's,</w:t>
            </w:r>
          </w:p>
        </w:tc>
        <w:tc>
          <w:tcPr>
            <w:tcW w:w="0" w:type="dxa"/>
            <w:vAlign w:val="bottom"/>
          </w:tcPr>
          <w:p>
            <w:pPr>
              <w:spacing w:after="0"/>
              <w:rPr>
                <w:sz w:val="1"/>
                <w:szCs w:val="1"/>
                <w:color w:val="auto"/>
              </w:rPr>
            </w:pPr>
          </w:p>
        </w:tc>
      </w:tr>
      <w:tr>
        <w:trPr>
          <w:trHeight w:val="105"/>
        </w:trPr>
        <w:tc>
          <w:tcPr>
            <w:tcW w:w="5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5"/>
              </w:rPr>
              <w:t>Primark, Target(8)</w:t>
            </w:r>
          </w:p>
        </w:tc>
        <w:tc>
          <w:tcPr>
            <w:tcW w:w="0" w:type="dxa"/>
            <w:vAlign w:val="bottom"/>
          </w:tcPr>
          <w:p>
            <w:pPr>
              <w:spacing w:after="0"/>
              <w:rPr>
                <w:sz w:val="1"/>
                <w:szCs w:val="1"/>
                <w:color w:val="auto"/>
              </w:rPr>
            </w:pPr>
          </w:p>
        </w:tc>
      </w:tr>
      <w:tr>
        <w:trPr>
          <w:trHeight w:val="129"/>
        </w:trPr>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Brooklyn, New York</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00" w:type="dxa"/>
            <w:vAlign w:val="bottom"/>
          </w:tcPr>
          <w:p>
            <w:pPr>
              <w:jc w:val="center"/>
              <w:ind w:left="257"/>
              <w:spacing w:after="0"/>
              <w:rPr>
                <w:sz w:val="20"/>
                <w:szCs w:val="20"/>
                <w:color w:val="auto"/>
              </w:rPr>
            </w:pPr>
            <w:r>
              <w:rPr>
                <w:rFonts w:ascii="Arial" w:cs="Arial" w:eastAsia="Arial" w:hAnsi="Arial"/>
                <w:sz w:val="8"/>
                <w:szCs w:val="8"/>
                <w:color w:val="auto"/>
                <w:w w:val="89"/>
              </w:rPr>
              <w:t>13</w:t>
            </w:r>
          </w:p>
        </w:tc>
        <w:tc>
          <w:tcPr>
            <w:tcW w:w="960" w:type="dxa"/>
            <w:vAlign w:val="bottom"/>
          </w:tcPr>
          <w:p>
            <w:pPr>
              <w:jc w:val="center"/>
              <w:ind w:left="358"/>
              <w:spacing w:after="0"/>
              <w:rPr>
                <w:sz w:val="20"/>
                <w:szCs w:val="20"/>
                <w:color w:val="auto"/>
              </w:rPr>
            </w:pPr>
            <w:r>
              <w:rPr>
                <w:rFonts w:ascii="Arial" w:cs="Arial" w:eastAsia="Arial" w:hAnsi="Arial"/>
                <w:sz w:val="8"/>
                <w:szCs w:val="8"/>
                <w:color w:val="auto"/>
                <w:w w:val="97"/>
              </w:rPr>
              <w:t>100%</w:t>
            </w:r>
          </w:p>
        </w:tc>
        <w:tc>
          <w:tcPr>
            <w:tcW w:w="100" w:type="dxa"/>
            <w:vAlign w:val="bottom"/>
          </w:tcPr>
          <w:p>
            <w:pPr>
              <w:spacing w:after="0"/>
              <w:rPr>
                <w:sz w:val="9"/>
                <w:szCs w:val="9"/>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La Cumbre Plaza(4)(6)</w:t>
            </w:r>
          </w:p>
        </w:tc>
        <w:tc>
          <w:tcPr>
            <w:tcW w:w="900" w:type="dxa"/>
            <w:vAlign w:val="bottom"/>
          </w:tcPr>
          <w:p>
            <w:pPr>
              <w:jc w:val="right"/>
              <w:spacing w:after="0"/>
              <w:rPr>
                <w:sz w:val="20"/>
                <w:szCs w:val="20"/>
                <w:color w:val="auto"/>
              </w:rPr>
            </w:pPr>
            <w:r>
              <w:rPr>
                <w:rFonts w:ascii="Arial" w:cs="Arial" w:eastAsia="Arial" w:hAnsi="Arial"/>
                <w:sz w:val="8"/>
                <w:szCs w:val="8"/>
                <w:color w:val="auto"/>
              </w:rPr>
              <w:t>1967/2004</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1989</w:t>
            </w:r>
          </w:p>
        </w:tc>
        <w:tc>
          <w:tcPr>
            <w:tcW w:w="8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473,000</w:t>
            </w:r>
          </w:p>
        </w:tc>
        <w:tc>
          <w:tcPr>
            <w:tcW w:w="100" w:type="dxa"/>
            <w:vAlign w:val="bottom"/>
          </w:tcPr>
          <w:p>
            <w:pPr>
              <w:spacing w:after="0"/>
              <w:rPr>
                <w:sz w:val="9"/>
                <w:szCs w:val="9"/>
                <w:color w:val="auto"/>
              </w:rPr>
            </w:pPr>
          </w:p>
        </w:tc>
        <w:tc>
          <w:tcPr>
            <w:tcW w:w="1020" w:type="dxa"/>
            <w:vAlign w:val="bottom"/>
          </w:tcPr>
          <w:p>
            <w:pPr>
              <w:jc w:val="right"/>
              <w:spacing w:after="0"/>
              <w:rPr>
                <w:sz w:val="20"/>
                <w:szCs w:val="20"/>
                <w:color w:val="auto"/>
              </w:rPr>
            </w:pPr>
            <w:r>
              <w:rPr>
                <w:rFonts w:ascii="Arial" w:cs="Arial" w:eastAsia="Arial" w:hAnsi="Arial"/>
                <w:sz w:val="8"/>
                <w:szCs w:val="8"/>
                <w:color w:val="auto"/>
              </w:rPr>
              <w:t>173,000</w:t>
            </w:r>
          </w:p>
        </w:tc>
        <w:tc>
          <w:tcPr>
            <w:tcW w:w="100" w:type="dxa"/>
            <w:vAlign w:val="bottom"/>
          </w:tcPr>
          <w:p>
            <w:pPr>
              <w:spacing w:after="0"/>
              <w:rPr>
                <w:sz w:val="9"/>
                <w:szCs w:val="9"/>
                <w:color w:val="auto"/>
              </w:rPr>
            </w:pPr>
          </w:p>
        </w:tc>
        <w:tc>
          <w:tcPr>
            <w:tcW w:w="1020" w:type="dxa"/>
            <w:vAlign w:val="bottom"/>
          </w:tcPr>
          <w:p>
            <w:pPr>
              <w:jc w:val="right"/>
              <w:ind w:right="179"/>
              <w:spacing w:after="0"/>
              <w:rPr>
                <w:sz w:val="20"/>
                <w:szCs w:val="20"/>
                <w:color w:val="auto"/>
              </w:rPr>
            </w:pPr>
            <w:r>
              <w:rPr>
                <w:rFonts w:ascii="Arial" w:cs="Arial" w:eastAsia="Arial" w:hAnsi="Arial"/>
                <w:sz w:val="8"/>
                <w:szCs w:val="8"/>
                <w:color w:val="auto"/>
              </w:rPr>
              <w:t>90.6</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8"/>
              <w:spacing w:after="0"/>
              <w:rPr>
                <w:sz w:val="20"/>
                <w:szCs w:val="20"/>
                <w:color w:val="auto"/>
              </w:rPr>
            </w:pPr>
            <w:r>
              <w:rPr>
                <w:rFonts w:ascii="Arial" w:cs="Arial" w:eastAsia="Arial" w:hAnsi="Arial"/>
                <w:sz w:val="8"/>
                <w:szCs w:val="8"/>
                <w:color w:val="auto"/>
                <w:w w:val="97"/>
              </w:rPr>
              <w:t>Macy's</w:t>
            </w:r>
          </w:p>
        </w:tc>
        <w:tc>
          <w:tcPr>
            <w:tcW w:w="1320" w:type="dxa"/>
            <w:vAlign w:val="bottom"/>
          </w:tcPr>
          <w:p>
            <w:pPr>
              <w:jc w:val="center"/>
              <w:ind w:left="158"/>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3"/>
        </w:trPr>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Santa Barbara, California</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00" w:type="dxa"/>
            <w:vAlign w:val="bottom"/>
            <w:shd w:val="clear" w:color="auto" w:fill="CCEEFF"/>
          </w:tcPr>
          <w:p>
            <w:pPr>
              <w:jc w:val="center"/>
              <w:ind w:left="257"/>
              <w:spacing w:after="0" w:line="88" w:lineRule="exact"/>
              <w:rPr>
                <w:sz w:val="20"/>
                <w:szCs w:val="20"/>
                <w:color w:val="auto"/>
              </w:rPr>
            </w:pPr>
            <w:r>
              <w:rPr>
                <w:rFonts w:ascii="Arial" w:cs="Arial" w:eastAsia="Arial" w:hAnsi="Arial"/>
                <w:sz w:val="8"/>
                <w:szCs w:val="8"/>
                <w:color w:val="auto"/>
                <w:w w:val="89"/>
              </w:rPr>
              <w:t>14</w:t>
            </w:r>
          </w:p>
        </w:tc>
        <w:tc>
          <w:tcPr>
            <w:tcW w:w="960" w:type="dxa"/>
            <w:vAlign w:val="bottom"/>
            <w:shd w:val="clear" w:color="auto" w:fill="CCEEFF"/>
          </w:tcPr>
          <w:p>
            <w:pPr>
              <w:jc w:val="center"/>
              <w:ind w:left="358"/>
              <w:spacing w:after="0" w:line="88" w:lineRule="exact"/>
              <w:rPr>
                <w:sz w:val="20"/>
                <w:szCs w:val="20"/>
                <w:color w:val="auto"/>
              </w:rPr>
            </w:pPr>
            <w:r>
              <w:rPr>
                <w:rFonts w:ascii="Arial" w:cs="Arial" w:eastAsia="Arial" w:hAnsi="Arial"/>
                <w:sz w:val="8"/>
                <w:szCs w:val="8"/>
                <w:color w:val="auto"/>
                <w:w w:val="97"/>
              </w:rPr>
              <w:t>100%</w:t>
            </w:r>
          </w:p>
        </w:tc>
        <w:tc>
          <w:tcPr>
            <w:tcW w:w="10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00"/>
              <w:spacing w:after="0" w:line="88" w:lineRule="exact"/>
              <w:rPr>
                <w:sz w:val="20"/>
                <w:szCs w:val="20"/>
                <w:color w:val="auto"/>
              </w:rPr>
            </w:pPr>
            <w:r>
              <w:rPr>
                <w:rFonts w:ascii="Arial" w:cs="Arial" w:eastAsia="Arial" w:hAnsi="Arial"/>
                <w:sz w:val="8"/>
                <w:szCs w:val="8"/>
                <w:color w:val="auto"/>
              </w:rPr>
              <w:t>NorthPark Mall(4)</w:t>
            </w: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1973/1998</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2001</w:t>
            </w: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929,000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394,000</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ind w:right="179"/>
              <w:spacing w:after="0" w:line="88" w:lineRule="exact"/>
              <w:rPr>
                <w:sz w:val="20"/>
                <w:szCs w:val="20"/>
                <w:color w:val="auto"/>
              </w:rPr>
            </w:pPr>
            <w:r>
              <w:rPr>
                <w:rFonts w:ascii="Arial" w:cs="Arial" w:eastAsia="Arial" w:hAnsi="Arial"/>
                <w:sz w:val="8"/>
                <w:szCs w:val="8"/>
                <w:color w:val="auto"/>
              </w:rPr>
              <w:t>88.8</w:t>
            </w:r>
          </w:p>
        </w:tc>
        <w:tc>
          <w:tcPr>
            <w:tcW w:w="1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58"/>
              <w:spacing w:after="0" w:line="88" w:lineRule="exact"/>
              <w:rPr>
                <w:sz w:val="20"/>
                <w:szCs w:val="20"/>
                <w:color w:val="auto"/>
              </w:rPr>
            </w:pPr>
            <w:r>
              <w:rPr>
                <w:rFonts w:ascii="Arial" w:cs="Arial" w:eastAsia="Arial" w:hAnsi="Arial"/>
                <w:sz w:val="8"/>
                <w:szCs w:val="8"/>
                <w:color w:val="auto"/>
                <w:w w:val="98"/>
              </w:rPr>
              <w:t>Dillard's,</w:t>
            </w:r>
          </w:p>
        </w:tc>
        <w:tc>
          <w:tcPr>
            <w:tcW w:w="1320" w:type="dxa"/>
            <w:vAlign w:val="bottom"/>
            <w:shd w:val="clear" w:color="auto" w:fill="CCEEFF"/>
          </w:tcPr>
          <w:p>
            <w:pPr>
              <w:jc w:val="center"/>
              <w:ind w:left="158"/>
              <w:spacing w:after="0" w:line="88"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8"/>
                <w:szCs w:val="8"/>
                <w:color w:val="auto"/>
                <w:w w:val="92"/>
              </w:rPr>
              <w:t>JCPenney, Von Maur</w:t>
            </w: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Davenport, Iowa</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5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00" w:type="dxa"/>
            <w:vAlign w:val="bottom"/>
          </w:tcPr>
          <w:p>
            <w:pPr>
              <w:jc w:val="center"/>
              <w:ind w:left="257"/>
              <w:spacing w:after="0" w:line="81" w:lineRule="exact"/>
              <w:rPr>
                <w:sz w:val="20"/>
                <w:szCs w:val="20"/>
                <w:color w:val="auto"/>
              </w:rPr>
            </w:pPr>
            <w:r>
              <w:rPr>
                <w:rFonts w:ascii="Arial" w:cs="Arial" w:eastAsia="Arial" w:hAnsi="Arial"/>
                <w:sz w:val="8"/>
                <w:szCs w:val="8"/>
                <w:color w:val="auto"/>
                <w:w w:val="89"/>
              </w:rPr>
              <w:t>15</w:t>
            </w:r>
          </w:p>
        </w:tc>
        <w:tc>
          <w:tcPr>
            <w:tcW w:w="960" w:type="dxa"/>
            <w:vAlign w:val="bottom"/>
          </w:tcPr>
          <w:p>
            <w:pPr>
              <w:jc w:val="center"/>
              <w:ind w:left="358"/>
              <w:spacing w:after="0" w:line="81" w:lineRule="exact"/>
              <w:rPr>
                <w:sz w:val="20"/>
                <w:szCs w:val="20"/>
                <w:color w:val="auto"/>
              </w:rPr>
            </w:pPr>
            <w:r>
              <w:rPr>
                <w:rFonts w:ascii="Arial" w:cs="Arial" w:eastAsia="Arial" w:hAnsi="Arial"/>
                <w:sz w:val="8"/>
                <w:szCs w:val="8"/>
                <w:color w:val="auto"/>
                <w:w w:val="97"/>
              </w:rPr>
              <w:t>100%</w:t>
            </w:r>
          </w:p>
        </w:tc>
        <w:tc>
          <w:tcPr>
            <w:tcW w:w="100" w:type="dxa"/>
            <w:vAlign w:val="bottom"/>
          </w:tcPr>
          <w:p>
            <w:pPr>
              <w:spacing w:after="0"/>
              <w:rPr>
                <w:sz w:val="7"/>
                <w:szCs w:val="7"/>
                <w:color w:val="auto"/>
              </w:rPr>
            </w:pPr>
          </w:p>
        </w:tc>
        <w:tc>
          <w:tcPr>
            <w:tcW w:w="1500" w:type="dxa"/>
            <w:vAlign w:val="bottom"/>
            <w:gridSpan w:val="2"/>
          </w:tcPr>
          <w:p>
            <w:pPr>
              <w:ind w:left="300"/>
              <w:spacing w:after="0" w:line="81" w:lineRule="exact"/>
              <w:rPr>
                <w:sz w:val="20"/>
                <w:szCs w:val="20"/>
                <w:color w:val="auto"/>
              </w:rPr>
            </w:pPr>
            <w:r>
              <w:rPr>
                <w:rFonts w:ascii="Arial" w:cs="Arial" w:eastAsia="Arial" w:hAnsi="Arial"/>
                <w:sz w:val="8"/>
                <w:szCs w:val="8"/>
                <w:color w:val="auto"/>
              </w:rPr>
              <w:t>Oaks, The</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1978/2002</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2009</w:t>
            </w:r>
          </w:p>
        </w:tc>
        <w:tc>
          <w:tcPr>
            <w:tcW w:w="8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1,205,000</w:t>
            </w:r>
          </w:p>
        </w:tc>
        <w:tc>
          <w:tcPr>
            <w:tcW w:w="10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8"/>
                <w:szCs w:val="8"/>
                <w:color w:val="auto"/>
              </w:rPr>
              <w:t>603,000</w:t>
            </w:r>
          </w:p>
        </w:tc>
        <w:tc>
          <w:tcPr>
            <w:tcW w:w="100" w:type="dxa"/>
            <w:vAlign w:val="bottom"/>
          </w:tcPr>
          <w:p>
            <w:pPr>
              <w:spacing w:after="0"/>
              <w:rPr>
                <w:sz w:val="7"/>
                <w:szCs w:val="7"/>
                <w:color w:val="auto"/>
              </w:rPr>
            </w:pPr>
          </w:p>
        </w:tc>
        <w:tc>
          <w:tcPr>
            <w:tcW w:w="1020" w:type="dxa"/>
            <w:vAlign w:val="bottom"/>
          </w:tcPr>
          <w:p>
            <w:pPr>
              <w:jc w:val="right"/>
              <w:ind w:right="179"/>
              <w:spacing w:after="0" w:line="81" w:lineRule="exact"/>
              <w:rPr>
                <w:sz w:val="20"/>
                <w:szCs w:val="20"/>
                <w:color w:val="auto"/>
              </w:rPr>
            </w:pPr>
            <w:r>
              <w:rPr>
                <w:rFonts w:ascii="Arial" w:cs="Arial" w:eastAsia="Arial" w:hAnsi="Arial"/>
                <w:sz w:val="8"/>
                <w:szCs w:val="8"/>
                <w:color w:val="auto"/>
              </w:rPr>
              <w:t>85.8</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8"/>
              <w:spacing w:after="0" w:line="81" w:lineRule="exact"/>
              <w:rPr>
                <w:sz w:val="20"/>
                <w:szCs w:val="20"/>
                <w:color w:val="auto"/>
              </w:rPr>
            </w:pPr>
            <w:r>
              <w:rPr>
                <w:rFonts w:ascii="Arial" w:cs="Arial" w:eastAsia="Arial" w:hAnsi="Arial"/>
                <w:sz w:val="8"/>
                <w:szCs w:val="8"/>
                <w:color w:val="auto"/>
                <w:w w:val="91"/>
              </w:rPr>
              <w:t>JCPenney,</w:t>
            </w:r>
          </w:p>
        </w:tc>
        <w:tc>
          <w:tcPr>
            <w:tcW w:w="1320" w:type="dxa"/>
            <w:vAlign w:val="bottom"/>
          </w:tcPr>
          <w:p>
            <w:pPr>
              <w:jc w:val="center"/>
              <w:ind w:left="17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right="58"/>
              <w:spacing w:after="0"/>
              <w:rPr>
                <w:sz w:val="20"/>
                <w:szCs w:val="20"/>
                <w:color w:val="auto"/>
              </w:rPr>
            </w:pPr>
            <w:r>
              <w:rPr>
                <w:rFonts w:ascii="Arial" w:cs="Arial" w:eastAsia="Arial" w:hAnsi="Arial"/>
                <w:sz w:val="8"/>
                <w:szCs w:val="8"/>
                <w:color w:val="auto"/>
                <w:w w:val="98"/>
              </w:rPr>
              <w:t>Macy's (two)</w:t>
            </w:r>
          </w:p>
        </w:tc>
        <w:tc>
          <w:tcPr>
            <w:tcW w:w="1320" w:type="dxa"/>
            <w:vAlign w:val="bottom"/>
          </w:tcPr>
          <w:p>
            <w:pPr>
              <w:jc w:val="center"/>
              <w:ind w:right="38"/>
              <w:spacing w:after="0"/>
              <w:rPr>
                <w:sz w:val="20"/>
                <w:szCs w:val="20"/>
                <w:color w:val="auto"/>
              </w:rPr>
            </w:pPr>
            <w:r>
              <w:rPr>
                <w:rFonts w:ascii="Arial" w:cs="Arial" w:eastAsia="Arial" w:hAnsi="Arial"/>
                <w:sz w:val="8"/>
                <w:szCs w:val="8"/>
                <w:color w:val="auto"/>
                <w:w w:val="96"/>
              </w:rPr>
              <w:t>Nordstrom</w:t>
            </w:r>
          </w:p>
        </w:tc>
        <w:tc>
          <w:tcPr>
            <w:tcW w:w="0" w:type="dxa"/>
            <w:vAlign w:val="bottom"/>
          </w:tcPr>
          <w:p>
            <w:pPr>
              <w:spacing w:after="0"/>
              <w:rPr>
                <w:sz w:val="1"/>
                <w:szCs w:val="1"/>
                <w:color w:val="auto"/>
              </w:rPr>
            </w:pPr>
          </w:p>
        </w:tc>
      </w:tr>
      <w:tr>
        <w:trPr>
          <w:trHeight w:val="123"/>
        </w:trPr>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300"/>
              <w:spacing w:after="0"/>
              <w:rPr>
                <w:sz w:val="20"/>
                <w:szCs w:val="20"/>
                <w:color w:val="auto"/>
              </w:rPr>
            </w:pPr>
            <w:r>
              <w:rPr>
                <w:rFonts w:ascii="Arial" w:cs="Arial" w:eastAsia="Arial" w:hAnsi="Arial"/>
                <w:sz w:val="8"/>
                <w:szCs w:val="8"/>
                <w:color w:val="auto"/>
              </w:rPr>
              <w:t>Thousand Oaks, California</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00" w:type="dxa"/>
            <w:vAlign w:val="bottom"/>
            <w:shd w:val="clear" w:color="auto" w:fill="CCEEFF"/>
          </w:tcPr>
          <w:p>
            <w:pPr>
              <w:jc w:val="center"/>
              <w:ind w:left="257"/>
              <w:spacing w:after="0"/>
              <w:rPr>
                <w:sz w:val="20"/>
                <w:szCs w:val="20"/>
                <w:color w:val="auto"/>
              </w:rPr>
            </w:pPr>
            <w:r>
              <w:rPr>
                <w:rFonts w:ascii="Arial" w:cs="Arial" w:eastAsia="Arial" w:hAnsi="Arial"/>
                <w:sz w:val="8"/>
                <w:szCs w:val="8"/>
                <w:color w:val="auto"/>
                <w:w w:val="89"/>
              </w:rPr>
              <w:t>16</w:t>
            </w:r>
          </w:p>
        </w:tc>
        <w:tc>
          <w:tcPr>
            <w:tcW w:w="960" w:type="dxa"/>
            <w:vAlign w:val="bottom"/>
            <w:shd w:val="clear" w:color="auto" w:fill="CCEEFF"/>
          </w:tcPr>
          <w:p>
            <w:pPr>
              <w:jc w:val="center"/>
              <w:ind w:left="358"/>
              <w:spacing w:after="0"/>
              <w:rPr>
                <w:sz w:val="20"/>
                <w:szCs w:val="20"/>
                <w:color w:val="auto"/>
              </w:rPr>
            </w:pPr>
            <w:r>
              <w:rPr>
                <w:rFonts w:ascii="Arial" w:cs="Arial" w:eastAsia="Arial" w:hAnsi="Arial"/>
                <w:sz w:val="8"/>
                <w:szCs w:val="8"/>
                <w:color w:val="auto"/>
                <w:w w:val="97"/>
              </w:rPr>
              <w:t>100%</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Pacific View</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1965/1996</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2001</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886,000</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8"/>
                <w:szCs w:val="8"/>
                <w:color w:val="auto"/>
              </w:rPr>
              <w:t>401,000</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8"/>
                <w:szCs w:val="8"/>
                <w:color w:val="auto"/>
              </w:rPr>
              <w:t>78.0</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58"/>
              <w:spacing w:after="0"/>
              <w:rPr>
                <w:sz w:val="20"/>
                <w:szCs w:val="20"/>
                <w:color w:val="auto"/>
              </w:rPr>
            </w:pPr>
            <w:r>
              <w:rPr>
                <w:rFonts w:ascii="Arial" w:cs="Arial" w:eastAsia="Arial" w:hAnsi="Arial"/>
                <w:sz w:val="8"/>
                <w:szCs w:val="8"/>
                <w:color w:val="auto"/>
                <w:w w:val="89"/>
              </w:rPr>
              <w:t>JCPenney, Target</w:t>
            </w:r>
          </w:p>
        </w:tc>
        <w:tc>
          <w:tcPr>
            <w:tcW w:w="1320" w:type="dxa"/>
            <w:vAlign w:val="bottom"/>
            <w:shd w:val="clear" w:color="auto" w:fill="CCEEFF"/>
          </w:tcPr>
          <w:p>
            <w:pPr>
              <w:jc w:val="center"/>
              <w:ind w:left="158"/>
              <w:spacing w:after="0"/>
              <w:rPr>
                <w:sz w:val="20"/>
                <w:szCs w:val="20"/>
                <w:color w:val="auto"/>
              </w:rPr>
            </w:pPr>
            <w:r>
              <w:rPr>
                <w:rFonts w:ascii="Arial" w:cs="Arial" w:eastAsia="Arial" w:hAnsi="Arial"/>
                <w:sz w:val="8"/>
                <w:szCs w:val="8"/>
                <w:color w:val="auto"/>
                <w:w w:val="97"/>
              </w:rPr>
              <w:t>Macy's</w:t>
            </w:r>
          </w:p>
        </w:tc>
        <w:tc>
          <w:tcPr>
            <w:tcW w:w="0" w:type="dxa"/>
            <w:vAlign w:val="bottom"/>
          </w:tcPr>
          <w:p>
            <w:pPr>
              <w:spacing w:after="0"/>
              <w:rPr>
                <w:sz w:val="1"/>
                <w:szCs w:val="1"/>
                <w:color w:val="auto"/>
              </w:rPr>
            </w:pPr>
          </w:p>
        </w:tc>
      </w:tr>
      <w:tr>
        <w:trPr>
          <w:trHeight w:val="129"/>
        </w:trPr>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8"/>
                <w:szCs w:val="8"/>
                <w:color w:val="auto"/>
              </w:rPr>
              <w:t>Ventura, California</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00" w:type="dxa"/>
            <w:vAlign w:val="bottom"/>
          </w:tcPr>
          <w:p>
            <w:pPr>
              <w:jc w:val="center"/>
              <w:ind w:left="257"/>
              <w:spacing w:after="0" w:line="88" w:lineRule="exact"/>
              <w:rPr>
                <w:sz w:val="20"/>
                <w:szCs w:val="20"/>
                <w:color w:val="auto"/>
              </w:rPr>
            </w:pPr>
            <w:r>
              <w:rPr>
                <w:rFonts w:ascii="Arial" w:cs="Arial" w:eastAsia="Arial" w:hAnsi="Arial"/>
                <w:sz w:val="8"/>
                <w:szCs w:val="8"/>
                <w:color w:val="auto"/>
                <w:w w:val="89"/>
              </w:rPr>
              <w:t>17</w:t>
            </w:r>
          </w:p>
        </w:tc>
        <w:tc>
          <w:tcPr>
            <w:tcW w:w="960" w:type="dxa"/>
            <w:vAlign w:val="bottom"/>
          </w:tcPr>
          <w:p>
            <w:pPr>
              <w:jc w:val="center"/>
              <w:ind w:left="358"/>
              <w:spacing w:after="0" w:line="88" w:lineRule="exact"/>
              <w:rPr>
                <w:sz w:val="20"/>
                <w:szCs w:val="20"/>
                <w:color w:val="auto"/>
              </w:rPr>
            </w:pPr>
            <w:r>
              <w:rPr>
                <w:rFonts w:ascii="Arial" w:cs="Arial" w:eastAsia="Arial" w:hAnsi="Arial"/>
                <w:sz w:val="8"/>
                <w:szCs w:val="8"/>
                <w:color w:val="auto"/>
                <w:w w:val="97"/>
              </w:rPr>
              <w:t>100%</w:t>
            </w:r>
          </w:p>
        </w:tc>
        <w:tc>
          <w:tcPr>
            <w:tcW w:w="100" w:type="dxa"/>
            <w:vAlign w:val="bottom"/>
          </w:tcPr>
          <w:p>
            <w:pPr>
              <w:spacing w:after="0"/>
              <w:rPr>
                <w:sz w:val="7"/>
                <w:szCs w:val="7"/>
                <w:color w:val="auto"/>
              </w:rPr>
            </w:pPr>
          </w:p>
        </w:tc>
        <w:tc>
          <w:tcPr>
            <w:tcW w:w="1500" w:type="dxa"/>
            <w:vAlign w:val="bottom"/>
            <w:gridSpan w:val="2"/>
          </w:tcPr>
          <w:p>
            <w:pPr>
              <w:ind w:left="300"/>
              <w:spacing w:after="0" w:line="88" w:lineRule="exact"/>
              <w:rPr>
                <w:sz w:val="20"/>
                <w:szCs w:val="20"/>
                <w:color w:val="auto"/>
              </w:rPr>
            </w:pPr>
            <w:r>
              <w:rPr>
                <w:rFonts w:ascii="Arial" w:cs="Arial" w:eastAsia="Arial" w:hAnsi="Arial"/>
                <w:sz w:val="8"/>
                <w:szCs w:val="8"/>
                <w:color w:val="auto"/>
              </w:rPr>
              <w:t>Queens Center(6)</w:t>
            </w:r>
          </w:p>
        </w:tc>
        <w:tc>
          <w:tcPr>
            <w:tcW w:w="900" w:type="dxa"/>
            <w:vAlign w:val="bottom"/>
          </w:tcPr>
          <w:p>
            <w:pPr>
              <w:jc w:val="right"/>
              <w:spacing w:after="0" w:line="88" w:lineRule="exact"/>
              <w:rPr>
                <w:sz w:val="20"/>
                <w:szCs w:val="20"/>
                <w:color w:val="auto"/>
              </w:rPr>
            </w:pPr>
            <w:r>
              <w:rPr>
                <w:rFonts w:ascii="Arial" w:cs="Arial" w:eastAsia="Arial" w:hAnsi="Arial"/>
                <w:sz w:val="8"/>
                <w:szCs w:val="8"/>
                <w:color w:val="auto"/>
              </w:rPr>
              <w:t>1973/1995</w:t>
            </w:r>
          </w:p>
        </w:tc>
        <w:tc>
          <w:tcPr>
            <w:tcW w:w="80" w:type="dxa"/>
            <w:vAlign w:val="bottom"/>
          </w:tcPr>
          <w:p>
            <w:pPr>
              <w:spacing w:after="0"/>
              <w:rPr>
                <w:sz w:val="7"/>
                <w:szCs w:val="7"/>
                <w:color w:val="auto"/>
              </w:rPr>
            </w:pPr>
          </w:p>
        </w:tc>
        <w:tc>
          <w:tcPr>
            <w:tcW w:w="780" w:type="dxa"/>
            <w:vAlign w:val="bottom"/>
          </w:tcPr>
          <w:p>
            <w:pPr>
              <w:jc w:val="right"/>
              <w:spacing w:after="0" w:line="88" w:lineRule="exact"/>
              <w:rPr>
                <w:sz w:val="20"/>
                <w:szCs w:val="20"/>
                <w:color w:val="auto"/>
              </w:rPr>
            </w:pPr>
            <w:r>
              <w:rPr>
                <w:rFonts w:ascii="Arial" w:cs="Arial" w:eastAsia="Arial" w:hAnsi="Arial"/>
                <w:sz w:val="8"/>
                <w:szCs w:val="8"/>
                <w:color w:val="auto"/>
              </w:rPr>
              <w:t>2004</w:t>
            </w:r>
          </w:p>
        </w:tc>
        <w:tc>
          <w:tcPr>
            <w:tcW w:w="80" w:type="dxa"/>
            <w:vAlign w:val="bottom"/>
          </w:tcPr>
          <w:p>
            <w:pPr>
              <w:spacing w:after="0"/>
              <w:rPr>
                <w:sz w:val="7"/>
                <w:szCs w:val="7"/>
                <w:color w:val="auto"/>
              </w:rPr>
            </w:pPr>
          </w:p>
        </w:tc>
        <w:tc>
          <w:tcPr>
            <w:tcW w:w="900" w:type="dxa"/>
            <w:vAlign w:val="bottom"/>
          </w:tcPr>
          <w:p>
            <w:pPr>
              <w:jc w:val="right"/>
              <w:spacing w:after="0" w:line="88" w:lineRule="exact"/>
              <w:rPr>
                <w:sz w:val="20"/>
                <w:szCs w:val="20"/>
                <w:color w:val="auto"/>
              </w:rPr>
            </w:pPr>
            <w:r>
              <w:rPr>
                <w:rFonts w:ascii="Arial" w:cs="Arial" w:eastAsia="Arial" w:hAnsi="Arial"/>
                <w:sz w:val="8"/>
                <w:szCs w:val="8"/>
                <w:color w:val="auto"/>
              </w:rPr>
              <w:t>967,000</w:t>
            </w:r>
          </w:p>
        </w:tc>
        <w:tc>
          <w:tcPr>
            <w:tcW w:w="100" w:type="dxa"/>
            <w:vAlign w:val="bottom"/>
          </w:tcPr>
          <w:p>
            <w:pPr>
              <w:spacing w:after="0"/>
              <w:rPr>
                <w:sz w:val="7"/>
                <w:szCs w:val="7"/>
                <w:color w:val="auto"/>
              </w:rPr>
            </w:pPr>
          </w:p>
        </w:tc>
        <w:tc>
          <w:tcPr>
            <w:tcW w:w="1020" w:type="dxa"/>
            <w:vAlign w:val="bottom"/>
          </w:tcPr>
          <w:p>
            <w:pPr>
              <w:jc w:val="right"/>
              <w:spacing w:after="0" w:line="88" w:lineRule="exact"/>
              <w:rPr>
                <w:sz w:val="20"/>
                <w:szCs w:val="20"/>
                <w:color w:val="auto"/>
              </w:rPr>
            </w:pPr>
            <w:r>
              <w:rPr>
                <w:rFonts w:ascii="Arial" w:cs="Arial" w:eastAsia="Arial" w:hAnsi="Arial"/>
                <w:sz w:val="8"/>
                <w:szCs w:val="8"/>
                <w:color w:val="auto"/>
              </w:rPr>
              <w:t>411,000</w:t>
            </w:r>
          </w:p>
        </w:tc>
        <w:tc>
          <w:tcPr>
            <w:tcW w:w="100" w:type="dxa"/>
            <w:vAlign w:val="bottom"/>
          </w:tcPr>
          <w:p>
            <w:pPr>
              <w:spacing w:after="0"/>
              <w:rPr>
                <w:sz w:val="7"/>
                <w:szCs w:val="7"/>
                <w:color w:val="auto"/>
              </w:rPr>
            </w:pPr>
          </w:p>
        </w:tc>
        <w:tc>
          <w:tcPr>
            <w:tcW w:w="1020" w:type="dxa"/>
            <w:vAlign w:val="bottom"/>
          </w:tcPr>
          <w:p>
            <w:pPr>
              <w:jc w:val="right"/>
              <w:ind w:right="179"/>
              <w:spacing w:after="0" w:line="88" w:lineRule="exact"/>
              <w:rPr>
                <w:sz w:val="20"/>
                <w:szCs w:val="20"/>
                <w:color w:val="auto"/>
              </w:rPr>
            </w:pPr>
            <w:r>
              <w:rPr>
                <w:rFonts w:ascii="Arial" w:cs="Arial" w:eastAsia="Arial" w:hAnsi="Arial"/>
                <w:sz w:val="8"/>
                <w:szCs w:val="8"/>
                <w:color w:val="auto"/>
              </w:rPr>
              <w:t>97.6</w:t>
            </w:r>
          </w:p>
        </w:tc>
        <w:tc>
          <w:tcPr>
            <w:tcW w:w="1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8"/>
              <w:spacing w:after="0" w:line="88" w:lineRule="exact"/>
              <w:rPr>
                <w:sz w:val="20"/>
                <w:szCs w:val="20"/>
                <w:color w:val="auto"/>
              </w:rPr>
            </w:pPr>
            <w:r>
              <w:rPr>
                <w:rFonts w:ascii="Arial" w:cs="Arial" w:eastAsia="Arial" w:hAnsi="Arial"/>
                <w:sz w:val="8"/>
                <w:szCs w:val="8"/>
                <w:color w:val="auto"/>
                <w:w w:val="91"/>
              </w:rPr>
              <w:t>JCPenney,</w:t>
            </w:r>
          </w:p>
        </w:tc>
        <w:tc>
          <w:tcPr>
            <w:tcW w:w="1320" w:type="dxa"/>
            <w:vAlign w:val="bottom"/>
          </w:tcPr>
          <w:p>
            <w:pPr>
              <w:jc w:val="center"/>
              <w:ind w:left="158"/>
              <w:spacing w:after="0" w:line="88"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bl>
    <w:p>
      <w:pPr>
        <w:ind w:left="8640"/>
        <w:spacing w:after="0"/>
        <w:rPr>
          <w:sz w:val="20"/>
          <w:szCs w:val="20"/>
          <w:color w:val="auto"/>
        </w:rPr>
      </w:pPr>
      <w:r>
        <w:rPr>
          <w:rFonts w:ascii="Arial" w:cs="Arial" w:eastAsia="Arial" w:hAnsi="Arial"/>
          <w:sz w:val="8"/>
          <w:szCs w:val="8"/>
          <w:color w:val="auto"/>
        </w:rPr>
        <w:t>Macy's</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8"/>
          <w:szCs w:val="8"/>
          <w:color w:val="auto"/>
        </w:rPr>
        <w:t>Queens, New York</w:t>
      </w: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40"/>
          </w:cols>
          <w:pgMar w:left="300" w:top="604" w:right="9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80"/>
        </w:trPr>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tcPr>
          <w:p>
            <w:pPr>
              <w:ind w:left="500"/>
              <w:spacing w:after="0"/>
              <w:rPr>
                <w:sz w:val="20"/>
                <w:szCs w:val="20"/>
                <w:color w:val="auto"/>
              </w:rPr>
            </w:pPr>
            <w:r>
              <w:rPr>
                <w:rFonts w:ascii="Arial" w:cs="Arial" w:eastAsia="Arial" w:hAnsi="Arial"/>
                <w:sz w:val="7"/>
                <w:szCs w:val="7"/>
                <w:b w:val="1"/>
                <w:bCs w:val="1"/>
                <w:color w:val="auto"/>
              </w:rPr>
              <w:t>Year of</w:t>
            </w:r>
          </w:p>
        </w:tc>
        <w:tc>
          <w:tcPr>
            <w:tcW w:w="880" w:type="dxa"/>
            <w:vAlign w:val="bottom"/>
            <w:gridSpan w:val="2"/>
          </w:tcPr>
          <w:p>
            <w:pPr>
              <w:ind w:left="340"/>
              <w:spacing w:after="0"/>
              <w:rPr>
                <w:sz w:val="20"/>
                <w:szCs w:val="20"/>
                <w:color w:val="auto"/>
              </w:rPr>
            </w:pPr>
            <w:r>
              <w:rPr>
                <w:rFonts w:ascii="Arial" w:cs="Arial" w:eastAsia="Arial" w:hAnsi="Arial"/>
                <w:sz w:val="7"/>
                <w:szCs w:val="7"/>
                <w:b w:val="1"/>
                <w:bCs w:val="1"/>
                <w:color w:val="auto"/>
              </w:rPr>
              <w:t>Year of Most</w:t>
            </w: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7"/>
                <w:szCs w:val="7"/>
                <w:b w:val="1"/>
                <w:bCs w:val="1"/>
                <w:color w:val="auto"/>
              </w:rPr>
              <w:t>Mall and</w:t>
            </w:r>
          </w:p>
        </w:tc>
        <w:tc>
          <w:tcPr>
            <w:tcW w:w="80" w:type="dxa"/>
            <w:vAlign w:val="bottom"/>
          </w:tcPr>
          <w:p>
            <w:pPr>
              <w:spacing w:after="0"/>
              <w:rPr>
                <w:sz w:val="7"/>
                <w:szCs w:val="7"/>
                <w:color w:val="auto"/>
              </w:rPr>
            </w:pPr>
          </w:p>
        </w:tc>
        <w:tc>
          <w:tcPr>
            <w:tcW w:w="1040" w:type="dxa"/>
            <w:vAlign w:val="bottom"/>
          </w:tcPr>
          <w:p>
            <w:pPr>
              <w:jc w:val="right"/>
              <w:ind w:right="84"/>
              <w:spacing w:after="0"/>
              <w:rPr>
                <w:sz w:val="20"/>
                <w:szCs w:val="20"/>
                <w:color w:val="auto"/>
              </w:rPr>
            </w:pPr>
            <w:r>
              <w:rPr>
                <w:rFonts w:ascii="Arial" w:cs="Arial" w:eastAsia="Arial" w:hAnsi="Arial"/>
                <w:sz w:val="7"/>
                <w:szCs w:val="7"/>
                <w:b w:val="1"/>
                <w:bCs w:val="1"/>
                <w:color w:val="auto"/>
              </w:rPr>
              <w:t>Percentage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20" w:type="dxa"/>
            <w:vAlign w:val="bottom"/>
          </w:tcPr>
          <w:p>
            <w:pPr>
              <w:spacing w:after="0"/>
              <w:rPr>
                <w:sz w:val="6"/>
                <w:szCs w:val="6"/>
                <w:color w:val="auto"/>
              </w:rPr>
            </w:pPr>
          </w:p>
        </w:tc>
        <w:tc>
          <w:tcPr>
            <w:tcW w:w="1040" w:type="dxa"/>
            <w:vAlign w:val="bottom"/>
            <w:gridSpan w:val="2"/>
            <w:vMerge w:val="restart"/>
          </w:tcPr>
          <w:p>
            <w:pPr>
              <w:ind w:left="400"/>
              <w:spacing w:after="0"/>
              <w:rPr>
                <w:sz w:val="20"/>
                <w:szCs w:val="20"/>
                <w:color w:val="auto"/>
              </w:rPr>
            </w:pPr>
            <w:r>
              <w:rPr>
                <w:rFonts w:ascii="Arial" w:cs="Arial" w:eastAsia="Arial" w:hAnsi="Arial"/>
                <w:sz w:val="7"/>
                <w:szCs w:val="7"/>
                <w:b w:val="1"/>
                <w:bCs w:val="1"/>
                <w:color w:val="auto"/>
              </w:rPr>
              <w:t>Company's</w:t>
            </w:r>
          </w:p>
        </w:tc>
        <w:tc>
          <w:tcPr>
            <w:tcW w:w="1500" w:type="dxa"/>
            <w:vAlign w:val="bottom"/>
            <w:gridSpan w:val="2"/>
            <w:vMerge w:val="restart"/>
          </w:tcPr>
          <w:p>
            <w:pPr>
              <w:ind w:left="740"/>
              <w:spacing w:after="0"/>
              <w:rPr>
                <w:sz w:val="20"/>
                <w:szCs w:val="20"/>
                <w:color w:val="auto"/>
              </w:rPr>
            </w:pPr>
            <w:r>
              <w:rPr>
                <w:rFonts w:ascii="Arial" w:cs="Arial" w:eastAsia="Arial" w:hAnsi="Arial"/>
                <w:sz w:val="7"/>
                <w:szCs w:val="7"/>
                <w:b w:val="1"/>
                <w:bCs w:val="1"/>
                <w:color w:val="auto"/>
              </w:rPr>
              <w:t>Name of</w:t>
            </w:r>
          </w:p>
        </w:tc>
        <w:tc>
          <w:tcPr>
            <w:tcW w:w="980" w:type="dxa"/>
            <w:vAlign w:val="bottom"/>
            <w:gridSpan w:val="2"/>
          </w:tcPr>
          <w:p>
            <w:pPr>
              <w:jc w:val="center"/>
              <w:ind w:right="80"/>
              <w:spacing w:after="0" w:line="72" w:lineRule="exact"/>
              <w:rPr>
                <w:sz w:val="20"/>
                <w:szCs w:val="20"/>
                <w:color w:val="auto"/>
              </w:rPr>
            </w:pPr>
            <w:r>
              <w:rPr>
                <w:rFonts w:ascii="Arial" w:cs="Arial" w:eastAsia="Arial" w:hAnsi="Arial"/>
                <w:sz w:val="7"/>
                <w:szCs w:val="7"/>
                <w:b w:val="1"/>
                <w:bCs w:val="1"/>
                <w:color w:val="auto"/>
                <w:w w:val="98"/>
              </w:rPr>
              <w:t>Original</w:t>
            </w:r>
          </w:p>
        </w:tc>
        <w:tc>
          <w:tcPr>
            <w:tcW w:w="880" w:type="dxa"/>
            <w:vAlign w:val="bottom"/>
            <w:gridSpan w:val="2"/>
          </w:tcPr>
          <w:p>
            <w:pPr>
              <w:jc w:val="center"/>
              <w:ind w:right="80"/>
              <w:spacing w:after="0" w:line="72" w:lineRule="exact"/>
              <w:rPr>
                <w:sz w:val="20"/>
                <w:szCs w:val="20"/>
                <w:color w:val="auto"/>
              </w:rPr>
            </w:pPr>
            <w:r>
              <w:rPr>
                <w:rFonts w:ascii="Arial" w:cs="Arial" w:eastAsia="Arial" w:hAnsi="Arial"/>
                <w:sz w:val="7"/>
                <w:szCs w:val="7"/>
                <w:b w:val="1"/>
                <w:bCs w:val="1"/>
                <w:color w:val="auto"/>
                <w:w w:val="85"/>
              </w:rPr>
              <w:t>Recent</w:t>
            </w:r>
          </w:p>
        </w:tc>
        <w:tc>
          <w:tcPr>
            <w:tcW w:w="980" w:type="dxa"/>
            <w:vAlign w:val="bottom"/>
            <w:gridSpan w:val="2"/>
            <w:vMerge w:val="restart"/>
          </w:tcPr>
          <w:p>
            <w:pPr>
              <w:ind w:left="520"/>
              <w:spacing w:after="0"/>
              <w:rPr>
                <w:sz w:val="20"/>
                <w:szCs w:val="20"/>
                <w:color w:val="auto"/>
              </w:rPr>
            </w:pPr>
            <w:r>
              <w:rPr>
                <w:rFonts w:ascii="Arial" w:cs="Arial" w:eastAsia="Arial" w:hAnsi="Arial"/>
                <w:sz w:val="7"/>
                <w:szCs w:val="7"/>
                <w:b w:val="1"/>
                <w:bCs w:val="1"/>
                <w:color w:val="auto"/>
              </w:rPr>
              <w:t>Total</w:t>
            </w:r>
          </w:p>
        </w:tc>
        <w:tc>
          <w:tcPr>
            <w:tcW w:w="10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jc w:val="right"/>
              <w:ind w:right="204"/>
              <w:spacing w:after="0" w:line="72" w:lineRule="exact"/>
              <w:rPr>
                <w:sz w:val="20"/>
                <w:szCs w:val="20"/>
                <w:color w:val="auto"/>
              </w:rPr>
            </w:pPr>
            <w:r>
              <w:rPr>
                <w:rFonts w:ascii="Arial" w:cs="Arial" w:eastAsia="Arial" w:hAnsi="Arial"/>
                <w:sz w:val="7"/>
                <w:szCs w:val="7"/>
                <w:b w:val="1"/>
                <w:bCs w:val="1"/>
                <w:color w:val="auto"/>
              </w:rPr>
              <w:t>of Mall and</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restart"/>
          </w:tcPr>
          <w:p>
            <w:pPr>
              <w:jc w:val="center"/>
              <w:ind w:left="158"/>
              <w:spacing w:after="0"/>
              <w:rPr>
                <w:sz w:val="20"/>
                <w:szCs w:val="20"/>
                <w:color w:val="auto"/>
              </w:rPr>
            </w:pPr>
            <w:r>
              <w:rPr>
                <w:rFonts w:ascii="Arial" w:cs="Arial" w:eastAsia="Arial" w:hAnsi="Arial"/>
                <w:sz w:val="7"/>
                <w:szCs w:val="7"/>
                <w:b w:val="1"/>
                <w:bCs w:val="1"/>
                <w:color w:val="auto"/>
                <w:w w:val="96"/>
              </w:rPr>
              <w:t>Non-Owned</w:t>
            </w:r>
          </w:p>
        </w:tc>
        <w:tc>
          <w:tcPr>
            <w:tcW w:w="1320" w:type="dxa"/>
            <w:vAlign w:val="bottom"/>
            <w:vMerge w:val="restart"/>
          </w:tcPr>
          <w:p>
            <w:pPr>
              <w:jc w:val="center"/>
              <w:ind w:left="178"/>
              <w:spacing w:after="0"/>
              <w:rPr>
                <w:sz w:val="20"/>
                <w:szCs w:val="20"/>
                <w:color w:val="auto"/>
              </w:rPr>
            </w:pPr>
            <w:r>
              <w:rPr>
                <w:rFonts w:ascii="Arial" w:cs="Arial" w:eastAsia="Arial" w:hAnsi="Arial"/>
                <w:sz w:val="7"/>
                <w:szCs w:val="7"/>
                <w:b w:val="1"/>
                <w:bCs w:val="1"/>
                <w:color w:val="auto"/>
                <w:w w:val="93"/>
              </w:rPr>
              <w:t>Company-Owned Anchors</w:t>
            </w:r>
          </w:p>
        </w:tc>
        <w:tc>
          <w:tcPr>
            <w:tcW w:w="0" w:type="dxa"/>
            <w:vAlign w:val="bottom"/>
          </w:tcPr>
          <w:p>
            <w:pPr>
              <w:spacing w:after="0"/>
              <w:rPr>
                <w:sz w:val="1"/>
                <w:szCs w:val="1"/>
                <w:color w:val="auto"/>
              </w:rPr>
            </w:pPr>
          </w:p>
        </w:tc>
      </w:tr>
      <w:tr>
        <w:trPr>
          <w:trHeight w:val="72"/>
        </w:trPr>
        <w:tc>
          <w:tcPr>
            <w:tcW w:w="520" w:type="dxa"/>
            <w:vAlign w:val="bottom"/>
            <w:vMerge w:val="restart"/>
          </w:tcPr>
          <w:p>
            <w:pPr>
              <w:jc w:val="center"/>
              <w:ind w:left="278"/>
              <w:spacing w:after="0"/>
              <w:rPr>
                <w:sz w:val="20"/>
                <w:szCs w:val="20"/>
                <w:color w:val="auto"/>
              </w:rPr>
            </w:pPr>
            <w:r>
              <w:rPr>
                <w:rFonts w:ascii="Arial" w:cs="Arial" w:eastAsia="Arial" w:hAnsi="Arial"/>
                <w:sz w:val="7"/>
                <w:szCs w:val="7"/>
                <w:b w:val="1"/>
                <w:bCs w:val="1"/>
                <w:color w:val="auto"/>
                <w:w w:val="98"/>
              </w:rPr>
              <w:t>Count</w:t>
            </w:r>
          </w:p>
        </w:tc>
        <w:tc>
          <w:tcPr>
            <w:tcW w:w="104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980" w:type="dxa"/>
            <w:vAlign w:val="bottom"/>
            <w:gridSpan w:val="2"/>
          </w:tcPr>
          <w:p>
            <w:pPr>
              <w:jc w:val="center"/>
              <w:ind w:right="80"/>
              <w:spacing w:after="0" w:line="72" w:lineRule="exact"/>
              <w:rPr>
                <w:sz w:val="20"/>
                <w:szCs w:val="20"/>
                <w:color w:val="auto"/>
              </w:rPr>
            </w:pPr>
            <w:r>
              <w:rPr>
                <w:rFonts w:ascii="Arial" w:cs="Arial" w:eastAsia="Arial" w:hAnsi="Arial"/>
                <w:sz w:val="7"/>
                <w:szCs w:val="7"/>
                <w:b w:val="1"/>
                <w:bCs w:val="1"/>
                <w:color w:val="auto"/>
                <w:w w:val="92"/>
              </w:rPr>
              <w:t>Construction/</w:t>
            </w:r>
          </w:p>
        </w:tc>
        <w:tc>
          <w:tcPr>
            <w:tcW w:w="880" w:type="dxa"/>
            <w:vAlign w:val="bottom"/>
            <w:gridSpan w:val="2"/>
          </w:tcPr>
          <w:p>
            <w:pPr>
              <w:jc w:val="center"/>
              <w:ind w:right="100"/>
              <w:spacing w:after="0" w:line="72" w:lineRule="exact"/>
              <w:rPr>
                <w:sz w:val="20"/>
                <w:szCs w:val="20"/>
                <w:color w:val="auto"/>
              </w:rPr>
            </w:pPr>
            <w:r>
              <w:rPr>
                <w:rFonts w:ascii="Arial" w:cs="Arial" w:eastAsia="Arial" w:hAnsi="Arial"/>
                <w:sz w:val="7"/>
                <w:szCs w:val="7"/>
                <w:b w:val="1"/>
                <w:bCs w:val="1"/>
                <w:color w:val="auto"/>
                <w:w w:val="90"/>
              </w:rPr>
              <w:t>Expansion/</w:t>
            </w:r>
          </w:p>
        </w:tc>
        <w:tc>
          <w:tcPr>
            <w:tcW w:w="980" w:type="dxa"/>
            <w:vAlign w:val="bottom"/>
            <w:gridSpan w:val="2"/>
            <w:vMerge w:val="continue"/>
          </w:tcPr>
          <w:p>
            <w:pPr>
              <w:spacing w:after="0"/>
              <w:rPr>
                <w:sz w:val="6"/>
                <w:szCs w:val="6"/>
                <w:color w:val="auto"/>
              </w:rPr>
            </w:pPr>
          </w:p>
        </w:tc>
        <w:tc>
          <w:tcPr>
            <w:tcW w:w="1040" w:type="dxa"/>
            <w:vAlign w:val="bottom"/>
          </w:tcPr>
          <w:p>
            <w:pPr>
              <w:jc w:val="right"/>
              <w:ind w:right="279"/>
              <w:spacing w:after="0" w:line="72" w:lineRule="exact"/>
              <w:rPr>
                <w:sz w:val="20"/>
                <w:szCs w:val="20"/>
                <w:color w:val="auto"/>
              </w:rPr>
            </w:pPr>
            <w:r>
              <w:rPr>
                <w:rFonts w:ascii="Arial" w:cs="Arial" w:eastAsia="Arial" w:hAnsi="Arial"/>
                <w:sz w:val="7"/>
                <w:szCs w:val="7"/>
                <w:b w:val="1"/>
                <w:bCs w:val="1"/>
                <w:color w:val="auto"/>
              </w:rPr>
              <w:t>Freestanding</w:t>
            </w:r>
          </w:p>
        </w:tc>
        <w:tc>
          <w:tcPr>
            <w:tcW w:w="80" w:type="dxa"/>
            <w:vAlign w:val="bottom"/>
          </w:tcPr>
          <w:p>
            <w:pPr>
              <w:spacing w:after="0"/>
              <w:rPr>
                <w:sz w:val="6"/>
                <w:szCs w:val="6"/>
                <w:color w:val="auto"/>
              </w:rPr>
            </w:pPr>
          </w:p>
        </w:tc>
        <w:tc>
          <w:tcPr>
            <w:tcW w:w="1040" w:type="dxa"/>
            <w:vAlign w:val="bottom"/>
          </w:tcPr>
          <w:p>
            <w:pPr>
              <w:jc w:val="right"/>
              <w:ind w:right="184"/>
              <w:spacing w:after="0" w:line="72" w:lineRule="exact"/>
              <w:rPr>
                <w:sz w:val="20"/>
                <w:szCs w:val="20"/>
                <w:color w:val="auto"/>
              </w:rPr>
            </w:pPr>
            <w:r>
              <w:rPr>
                <w:rFonts w:ascii="Arial" w:cs="Arial" w:eastAsia="Arial" w:hAnsi="Arial"/>
                <w:sz w:val="7"/>
                <w:szCs w:val="7"/>
                <w:b w:val="1"/>
                <w:bCs w:val="1"/>
                <w:color w:val="auto"/>
              </w:rPr>
              <w:t>Freestanding</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520" w:type="dxa"/>
            <w:vAlign w:val="bottom"/>
            <w:vMerge w:val="continue"/>
          </w:tcPr>
          <w:p>
            <w:pPr>
              <w:spacing w:after="0"/>
              <w:rPr>
                <w:sz w:val="8"/>
                <w:szCs w:val="8"/>
                <w:color w:val="auto"/>
              </w:rPr>
            </w:pPr>
          </w:p>
        </w:tc>
        <w:tc>
          <w:tcPr>
            <w:tcW w:w="1040" w:type="dxa"/>
            <w:vAlign w:val="bottom"/>
            <w:gridSpan w:val="2"/>
          </w:tcPr>
          <w:p>
            <w:pPr>
              <w:ind w:left="100"/>
              <w:spacing w:after="0"/>
              <w:rPr>
                <w:sz w:val="20"/>
                <w:szCs w:val="20"/>
                <w:color w:val="auto"/>
              </w:rPr>
            </w:pPr>
            <w:r>
              <w:rPr>
                <w:rFonts w:ascii="Arial" w:cs="Arial" w:eastAsia="Arial" w:hAnsi="Arial"/>
                <w:sz w:val="7"/>
                <w:szCs w:val="7"/>
                <w:b w:val="1"/>
                <w:bCs w:val="1"/>
                <w:color w:val="auto"/>
              </w:rPr>
              <w:t>Ownership(1)</w:t>
            </w:r>
          </w:p>
        </w:tc>
        <w:tc>
          <w:tcPr>
            <w:tcW w:w="1500" w:type="dxa"/>
            <w:vAlign w:val="bottom"/>
            <w:gridSpan w:val="2"/>
          </w:tcPr>
          <w:p>
            <w:pPr>
              <w:ind w:left="420"/>
              <w:spacing w:after="0"/>
              <w:rPr>
                <w:sz w:val="20"/>
                <w:szCs w:val="20"/>
                <w:color w:val="auto"/>
              </w:rPr>
            </w:pPr>
            <w:r>
              <w:rPr>
                <w:rFonts w:ascii="Arial" w:cs="Arial" w:eastAsia="Arial" w:hAnsi="Arial"/>
                <w:sz w:val="7"/>
                <w:szCs w:val="7"/>
                <w:b w:val="1"/>
                <w:bCs w:val="1"/>
                <w:color w:val="auto"/>
              </w:rPr>
              <w:t>Center/Location(2)</w:t>
            </w:r>
          </w:p>
        </w:tc>
        <w:tc>
          <w:tcPr>
            <w:tcW w:w="98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w w:val="94"/>
              </w:rPr>
              <w:t>Acquisition</w:t>
            </w:r>
          </w:p>
        </w:tc>
        <w:tc>
          <w:tcPr>
            <w:tcW w:w="88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4"/>
              </w:rPr>
              <w:t>Renovation</w:t>
            </w:r>
          </w:p>
        </w:tc>
        <w:tc>
          <w:tcPr>
            <w:tcW w:w="980" w:type="dxa"/>
            <w:vAlign w:val="bottom"/>
            <w:gridSpan w:val="2"/>
          </w:tcPr>
          <w:p>
            <w:pPr>
              <w:ind w:left="320"/>
              <w:spacing w:after="0"/>
              <w:rPr>
                <w:sz w:val="20"/>
                <w:szCs w:val="20"/>
                <w:color w:val="auto"/>
              </w:rPr>
            </w:pPr>
            <w:r>
              <w:rPr>
                <w:rFonts w:ascii="Arial" w:cs="Arial" w:eastAsia="Arial" w:hAnsi="Arial"/>
                <w:sz w:val="7"/>
                <w:szCs w:val="7"/>
                <w:b w:val="1"/>
                <w:bCs w:val="1"/>
                <w:color w:val="auto"/>
              </w:rPr>
              <w:t>GLA(3)</w:t>
            </w:r>
          </w:p>
        </w:tc>
        <w:tc>
          <w:tcPr>
            <w:tcW w:w="1040" w:type="dxa"/>
            <w:vAlign w:val="bottom"/>
          </w:tcPr>
          <w:p>
            <w:pPr>
              <w:jc w:val="right"/>
              <w:ind w:right="399"/>
              <w:spacing w:after="0"/>
              <w:rPr>
                <w:sz w:val="20"/>
                <w:szCs w:val="20"/>
                <w:color w:val="auto"/>
              </w:rPr>
            </w:pPr>
            <w:r>
              <w:rPr>
                <w:rFonts w:ascii="Arial" w:cs="Arial" w:eastAsia="Arial" w:hAnsi="Arial"/>
                <w:sz w:val="7"/>
                <w:szCs w:val="7"/>
                <w:b w:val="1"/>
                <w:bCs w:val="1"/>
                <w:color w:val="auto"/>
              </w:rPr>
              <w:t>GLA</w:t>
            </w:r>
          </w:p>
        </w:tc>
        <w:tc>
          <w:tcPr>
            <w:tcW w:w="80" w:type="dxa"/>
            <w:vAlign w:val="bottom"/>
          </w:tcPr>
          <w:p>
            <w:pPr>
              <w:spacing w:after="0"/>
              <w:rPr>
                <w:sz w:val="8"/>
                <w:szCs w:val="8"/>
                <w:color w:val="auto"/>
              </w:rPr>
            </w:pPr>
          </w:p>
        </w:tc>
        <w:tc>
          <w:tcPr>
            <w:tcW w:w="1040" w:type="dxa"/>
            <w:vAlign w:val="bottom"/>
          </w:tcPr>
          <w:p>
            <w:pPr>
              <w:jc w:val="right"/>
              <w:ind w:right="204"/>
              <w:spacing w:after="0"/>
              <w:rPr>
                <w:sz w:val="20"/>
                <w:szCs w:val="20"/>
                <w:color w:val="auto"/>
              </w:rPr>
            </w:pPr>
            <w:r>
              <w:rPr>
                <w:rFonts w:ascii="Arial" w:cs="Arial" w:eastAsia="Arial" w:hAnsi="Arial"/>
                <w:sz w:val="7"/>
                <w:szCs w:val="7"/>
                <w:b w:val="1"/>
                <w:bCs w:val="1"/>
                <w:color w:val="auto"/>
              </w:rPr>
              <w:t>GLA Leased</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jc w:val="center"/>
              <w:ind w:right="58"/>
              <w:spacing w:after="0"/>
              <w:rPr>
                <w:sz w:val="20"/>
                <w:szCs w:val="20"/>
                <w:color w:val="auto"/>
              </w:rPr>
            </w:pPr>
            <w:r>
              <w:rPr>
                <w:rFonts w:ascii="Arial" w:cs="Arial" w:eastAsia="Arial" w:hAnsi="Arial"/>
                <w:sz w:val="7"/>
                <w:szCs w:val="7"/>
                <w:b w:val="1"/>
                <w:bCs w:val="1"/>
                <w:color w:val="auto"/>
                <w:w w:val="92"/>
              </w:rPr>
              <w:t>Anchors (3)</w:t>
            </w:r>
          </w:p>
        </w:tc>
        <w:tc>
          <w:tcPr>
            <w:tcW w:w="1320" w:type="dxa"/>
            <w:vAlign w:val="bottom"/>
          </w:tcPr>
          <w:p>
            <w:pPr>
              <w:jc w:val="center"/>
              <w:ind w:right="38"/>
              <w:spacing w:after="0"/>
              <w:rPr>
                <w:sz w:val="20"/>
                <w:szCs w:val="20"/>
                <w:color w:val="auto"/>
              </w:rPr>
            </w:pPr>
            <w:r>
              <w:rPr>
                <w:rFonts w:ascii="Arial" w:cs="Arial" w:eastAsia="Arial" w:hAnsi="Arial"/>
                <w:sz w:val="7"/>
                <w:szCs w:val="7"/>
                <w:b w:val="1"/>
                <w:bCs w:val="1"/>
                <w:color w:val="auto"/>
                <w:w w:val="92"/>
              </w:rPr>
              <w:t>(3)</w:t>
            </w:r>
          </w:p>
        </w:tc>
        <w:tc>
          <w:tcPr>
            <w:tcW w:w="0" w:type="dxa"/>
            <w:vAlign w:val="bottom"/>
          </w:tcPr>
          <w:p>
            <w:pPr>
              <w:spacing w:after="0"/>
              <w:rPr>
                <w:sz w:val="1"/>
                <w:szCs w:val="1"/>
                <w:color w:val="auto"/>
              </w:rPr>
            </w:pPr>
          </w:p>
        </w:tc>
      </w:tr>
      <w:tr>
        <w:trPr>
          <w:trHeight w:val="24"/>
        </w:trPr>
        <w:tc>
          <w:tcPr>
            <w:tcW w:w="5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520" w:type="dxa"/>
            <w:vAlign w:val="bottom"/>
            <w:shd w:val="clear" w:color="auto" w:fill="CCEEFF"/>
          </w:tcPr>
          <w:p>
            <w:pPr>
              <w:jc w:val="center"/>
              <w:ind w:left="278"/>
              <w:spacing w:after="0"/>
              <w:rPr>
                <w:sz w:val="20"/>
                <w:szCs w:val="20"/>
                <w:color w:val="auto"/>
              </w:rPr>
            </w:pPr>
            <w:r>
              <w:rPr>
                <w:rFonts w:ascii="Arial" w:cs="Arial" w:eastAsia="Arial" w:hAnsi="Arial"/>
                <w:sz w:val="8"/>
                <w:szCs w:val="8"/>
                <w:color w:val="auto"/>
                <w:w w:val="89"/>
              </w:rPr>
              <w:t>18</w:t>
            </w:r>
          </w:p>
        </w:tc>
        <w:tc>
          <w:tcPr>
            <w:tcW w:w="960" w:type="dxa"/>
            <w:vAlign w:val="bottom"/>
            <w:shd w:val="clear" w:color="auto" w:fill="CCEEFF"/>
          </w:tcPr>
          <w:p>
            <w:pPr>
              <w:jc w:val="center"/>
              <w:ind w:left="338"/>
              <w:spacing w:after="0"/>
              <w:rPr>
                <w:sz w:val="20"/>
                <w:szCs w:val="20"/>
                <w:color w:val="auto"/>
              </w:rPr>
            </w:pPr>
            <w:r>
              <w:rPr>
                <w:rFonts w:ascii="Arial" w:cs="Arial" w:eastAsia="Arial" w:hAnsi="Arial"/>
                <w:sz w:val="8"/>
                <w:szCs w:val="8"/>
                <w:color w:val="auto"/>
                <w:w w:val="87"/>
              </w:rPr>
              <w:t>100%</w:t>
            </w:r>
          </w:p>
        </w:tc>
        <w:tc>
          <w:tcPr>
            <w:tcW w:w="8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Santa Monica Place(4)</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1980/1999</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2015</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479,000</w:t>
            </w: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255,000</w:t>
            </w:r>
          </w:p>
        </w:tc>
        <w:tc>
          <w:tcPr>
            <w:tcW w:w="1120" w:type="dxa"/>
            <w:vAlign w:val="bottom"/>
            <w:gridSpan w:val="2"/>
            <w:shd w:val="clear" w:color="auto" w:fill="CCEEFF"/>
          </w:tcPr>
          <w:p>
            <w:pPr>
              <w:jc w:val="right"/>
              <w:ind w:right="204"/>
              <w:spacing w:after="0"/>
              <w:rPr>
                <w:sz w:val="20"/>
                <w:szCs w:val="20"/>
                <w:color w:val="auto"/>
              </w:rPr>
            </w:pPr>
            <w:r>
              <w:rPr>
                <w:rFonts w:ascii="Arial" w:cs="Arial" w:eastAsia="Arial" w:hAnsi="Arial"/>
                <w:sz w:val="8"/>
                <w:szCs w:val="8"/>
                <w:color w:val="auto"/>
              </w:rPr>
              <w:t>85.4</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9"/>
              </w:rPr>
              <w:t>—</w:t>
            </w:r>
          </w:p>
        </w:tc>
        <w:tc>
          <w:tcPr>
            <w:tcW w:w="1320" w:type="dxa"/>
            <w:vAlign w:val="bottom"/>
            <w:shd w:val="clear" w:color="auto" w:fill="CCEEFF"/>
          </w:tcPr>
          <w:p>
            <w:pPr>
              <w:jc w:val="center"/>
              <w:ind w:left="198"/>
              <w:spacing w:after="0"/>
              <w:rPr>
                <w:sz w:val="20"/>
                <w:szCs w:val="20"/>
                <w:color w:val="auto"/>
              </w:rPr>
            </w:pPr>
            <w:r>
              <w:rPr>
                <w:rFonts w:ascii="Arial" w:cs="Arial" w:eastAsia="Arial" w:hAnsi="Arial"/>
                <w:sz w:val="8"/>
                <w:szCs w:val="8"/>
                <w:color w:val="auto"/>
                <w:w w:val="96"/>
              </w:rPr>
              <w:t>Nordstrom</w:t>
            </w:r>
          </w:p>
        </w:tc>
        <w:tc>
          <w:tcPr>
            <w:tcW w:w="0" w:type="dxa"/>
            <w:vAlign w:val="bottom"/>
          </w:tcPr>
          <w:p>
            <w:pPr>
              <w:spacing w:after="0"/>
              <w:rPr>
                <w:sz w:val="1"/>
                <w:szCs w:val="1"/>
                <w:color w:val="auto"/>
              </w:rPr>
            </w:pP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Santa Monica, California</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19</w:t>
            </w:r>
          </w:p>
        </w:tc>
        <w:tc>
          <w:tcPr>
            <w:tcW w:w="960" w:type="dxa"/>
            <w:vAlign w:val="bottom"/>
          </w:tcPr>
          <w:p>
            <w:pPr>
              <w:jc w:val="center"/>
              <w:ind w:left="338"/>
              <w:spacing w:after="0"/>
              <w:rPr>
                <w:sz w:val="20"/>
                <w:szCs w:val="20"/>
                <w:color w:val="auto"/>
              </w:rPr>
            </w:pPr>
            <w:r>
              <w:rPr>
                <w:rFonts w:ascii="Arial" w:cs="Arial" w:eastAsia="Arial" w:hAnsi="Arial"/>
                <w:sz w:val="8"/>
                <w:szCs w:val="8"/>
                <w:color w:val="auto"/>
                <w:w w:val="96"/>
              </w:rPr>
              <w:t>84.9%</w:t>
            </w:r>
          </w:p>
        </w:tc>
        <w:tc>
          <w:tcPr>
            <w:tcW w:w="80" w:type="dxa"/>
            <w:vAlign w:val="bottom"/>
          </w:tcPr>
          <w:p>
            <w:pPr>
              <w:spacing w:after="0"/>
              <w:rPr>
                <w:sz w:val="9"/>
                <w:szCs w:val="9"/>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SanTan Village Regional Center</w:t>
            </w:r>
          </w:p>
        </w:tc>
        <w:tc>
          <w:tcPr>
            <w:tcW w:w="980" w:type="dxa"/>
            <w:vAlign w:val="bottom"/>
            <w:gridSpan w:val="2"/>
          </w:tcPr>
          <w:p>
            <w:pPr>
              <w:jc w:val="right"/>
              <w:ind w:right="100"/>
              <w:spacing w:after="0"/>
              <w:rPr>
                <w:sz w:val="20"/>
                <w:szCs w:val="20"/>
                <w:color w:val="auto"/>
              </w:rPr>
            </w:pPr>
            <w:r>
              <w:rPr>
                <w:rFonts w:ascii="Arial" w:cs="Arial" w:eastAsia="Arial" w:hAnsi="Arial"/>
                <w:sz w:val="8"/>
                <w:szCs w:val="8"/>
                <w:color w:val="auto"/>
              </w:rPr>
              <w:t>2007/—</w:t>
            </w:r>
          </w:p>
        </w:tc>
        <w:tc>
          <w:tcPr>
            <w:tcW w:w="780" w:type="dxa"/>
            <w:vAlign w:val="bottom"/>
          </w:tcPr>
          <w:p>
            <w:pPr>
              <w:jc w:val="right"/>
              <w:spacing w:after="0"/>
              <w:rPr>
                <w:sz w:val="20"/>
                <w:szCs w:val="20"/>
                <w:color w:val="auto"/>
              </w:rPr>
            </w:pPr>
            <w:r>
              <w:rPr>
                <w:rFonts w:ascii="Arial" w:cs="Arial" w:eastAsia="Arial" w:hAnsi="Arial"/>
                <w:sz w:val="8"/>
                <w:szCs w:val="8"/>
                <w:color w:val="auto"/>
              </w:rPr>
              <w:t>2018</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1,161,000</w:t>
            </w:r>
          </w:p>
        </w:tc>
        <w:tc>
          <w:tcPr>
            <w:tcW w:w="8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754,000</w:t>
            </w:r>
          </w:p>
        </w:tc>
        <w:tc>
          <w:tcPr>
            <w:tcW w:w="1120" w:type="dxa"/>
            <w:vAlign w:val="bottom"/>
            <w:gridSpan w:val="2"/>
          </w:tcPr>
          <w:p>
            <w:pPr>
              <w:jc w:val="right"/>
              <w:ind w:right="204"/>
              <w:spacing w:after="0"/>
              <w:rPr>
                <w:sz w:val="20"/>
                <w:szCs w:val="20"/>
                <w:color w:val="auto"/>
              </w:rPr>
            </w:pPr>
            <w:r>
              <w:rPr>
                <w:rFonts w:ascii="Arial" w:cs="Arial" w:eastAsia="Arial" w:hAnsi="Arial"/>
                <w:sz w:val="8"/>
                <w:szCs w:val="8"/>
                <w:color w:val="auto"/>
              </w:rPr>
              <w:t>93.8</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58"/>
              <w:spacing w:after="0"/>
              <w:rPr>
                <w:sz w:val="20"/>
                <w:szCs w:val="20"/>
                <w:color w:val="auto"/>
              </w:rPr>
            </w:pPr>
            <w:r>
              <w:rPr>
                <w:rFonts w:ascii="Arial" w:cs="Arial" w:eastAsia="Arial" w:hAnsi="Arial"/>
                <w:sz w:val="8"/>
                <w:szCs w:val="8"/>
                <w:color w:val="auto"/>
              </w:rPr>
              <w:t>Dillard's, Macy's</w:t>
            </w:r>
          </w:p>
        </w:tc>
        <w:tc>
          <w:tcPr>
            <w:tcW w:w="1320" w:type="dxa"/>
            <w:vAlign w:val="bottom"/>
          </w:tcPr>
          <w:p>
            <w:pPr>
              <w:jc w:val="center"/>
              <w:ind w:left="158"/>
              <w:spacing w:after="0"/>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23"/>
        </w:trPr>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Gilbert, Arizona</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20" w:type="dxa"/>
            <w:vAlign w:val="bottom"/>
            <w:shd w:val="clear" w:color="auto" w:fill="CCEEFF"/>
          </w:tcPr>
          <w:p>
            <w:pPr>
              <w:jc w:val="center"/>
              <w:ind w:left="278"/>
              <w:spacing w:after="0" w:line="88" w:lineRule="exact"/>
              <w:rPr>
                <w:sz w:val="20"/>
                <w:szCs w:val="20"/>
                <w:color w:val="auto"/>
              </w:rPr>
            </w:pPr>
            <w:r>
              <w:rPr>
                <w:rFonts w:ascii="Arial" w:cs="Arial" w:eastAsia="Arial" w:hAnsi="Arial"/>
                <w:sz w:val="8"/>
                <w:szCs w:val="8"/>
                <w:color w:val="auto"/>
                <w:w w:val="89"/>
              </w:rPr>
              <w:t>20</w:t>
            </w:r>
          </w:p>
        </w:tc>
        <w:tc>
          <w:tcPr>
            <w:tcW w:w="960" w:type="dxa"/>
            <w:vAlign w:val="bottom"/>
            <w:shd w:val="clear" w:color="auto" w:fill="CCEEFF"/>
          </w:tcPr>
          <w:p>
            <w:pPr>
              <w:jc w:val="center"/>
              <w:ind w:left="338"/>
              <w:spacing w:after="0" w:line="88" w:lineRule="exact"/>
              <w:rPr>
                <w:sz w:val="20"/>
                <w:szCs w:val="20"/>
                <w:color w:val="auto"/>
              </w:rPr>
            </w:pPr>
            <w:r>
              <w:rPr>
                <w:rFonts w:ascii="Arial" w:cs="Arial" w:eastAsia="Arial" w:hAnsi="Arial"/>
                <w:sz w:val="8"/>
                <w:szCs w:val="8"/>
                <w:color w:val="auto"/>
                <w:w w:val="87"/>
              </w:rPr>
              <w:t>100%</w:t>
            </w:r>
          </w:p>
        </w:tc>
        <w:tc>
          <w:tcPr>
            <w:tcW w:w="8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20"/>
              <w:spacing w:after="0" w:line="88" w:lineRule="exact"/>
              <w:rPr>
                <w:sz w:val="20"/>
                <w:szCs w:val="20"/>
                <w:color w:val="auto"/>
              </w:rPr>
            </w:pPr>
            <w:r>
              <w:rPr>
                <w:rFonts w:ascii="Arial" w:cs="Arial" w:eastAsia="Arial" w:hAnsi="Arial"/>
                <w:sz w:val="8"/>
                <w:szCs w:val="8"/>
                <w:color w:val="auto"/>
              </w:rPr>
              <w:t>SouthPark Mall(4)</w:t>
            </w: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1974/1998</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2015</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855,000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290,000</w:t>
            </w:r>
          </w:p>
        </w:tc>
        <w:tc>
          <w:tcPr>
            <w:tcW w:w="1120" w:type="dxa"/>
            <w:vAlign w:val="bottom"/>
            <w:gridSpan w:val="2"/>
            <w:shd w:val="clear" w:color="auto" w:fill="CCEEFF"/>
          </w:tcPr>
          <w:p>
            <w:pPr>
              <w:jc w:val="right"/>
              <w:ind w:right="204"/>
              <w:spacing w:after="0" w:line="88" w:lineRule="exact"/>
              <w:rPr>
                <w:sz w:val="20"/>
                <w:szCs w:val="20"/>
                <w:color w:val="auto"/>
              </w:rPr>
            </w:pPr>
            <w:r>
              <w:rPr>
                <w:rFonts w:ascii="Arial" w:cs="Arial" w:eastAsia="Arial" w:hAnsi="Arial"/>
                <w:sz w:val="8"/>
                <w:szCs w:val="8"/>
                <w:color w:val="auto"/>
              </w:rPr>
              <w:t>69.3</w:t>
            </w:r>
          </w:p>
        </w:tc>
        <w:tc>
          <w:tcPr>
            <w:tcW w:w="1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58"/>
              <w:spacing w:after="0" w:line="88" w:lineRule="exact"/>
              <w:rPr>
                <w:sz w:val="20"/>
                <w:szCs w:val="20"/>
                <w:color w:val="auto"/>
              </w:rPr>
            </w:pPr>
            <w:r>
              <w:rPr>
                <w:rFonts w:ascii="Arial" w:cs="Arial" w:eastAsia="Arial" w:hAnsi="Arial"/>
                <w:sz w:val="8"/>
                <w:szCs w:val="8"/>
                <w:color w:val="auto"/>
                <w:w w:val="98"/>
              </w:rPr>
              <w:t>Dillard's, Von</w:t>
            </w:r>
          </w:p>
        </w:tc>
        <w:tc>
          <w:tcPr>
            <w:tcW w:w="132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ind w:left="320"/>
              <w:spacing w:after="0"/>
              <w:rPr>
                <w:sz w:val="20"/>
                <w:szCs w:val="20"/>
                <w:color w:val="auto"/>
              </w:rPr>
            </w:pPr>
            <w:r>
              <w:rPr>
                <w:rFonts w:ascii="Arial" w:cs="Arial" w:eastAsia="Arial" w:hAnsi="Arial"/>
                <w:sz w:val="8"/>
                <w:szCs w:val="8"/>
                <w:color w:val="auto"/>
              </w:rPr>
              <w:t>Moline, Illinois</w:t>
            </w: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38"/>
              <w:spacing w:after="0"/>
              <w:rPr>
                <w:sz w:val="20"/>
                <w:szCs w:val="20"/>
                <w:color w:val="auto"/>
              </w:rPr>
            </w:pPr>
            <w:r>
              <w:rPr>
                <w:rFonts w:ascii="Arial" w:cs="Arial" w:eastAsia="Arial" w:hAnsi="Arial"/>
                <w:sz w:val="8"/>
                <w:szCs w:val="8"/>
                <w:color w:val="auto"/>
                <w:w w:val="98"/>
              </w:rPr>
              <w:t>Maur</w:t>
            </w:r>
          </w:p>
        </w:tc>
        <w:tc>
          <w:tcPr>
            <w:tcW w:w="13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1"/>
              </w:rPr>
              <w:t>JCPenney</w:t>
            </w:r>
          </w:p>
        </w:tc>
        <w:tc>
          <w:tcPr>
            <w:tcW w:w="0" w:type="dxa"/>
            <w:vAlign w:val="bottom"/>
          </w:tcPr>
          <w:p>
            <w:pPr>
              <w:spacing w:after="0"/>
              <w:rPr>
                <w:sz w:val="1"/>
                <w:szCs w:val="1"/>
                <w:color w:val="auto"/>
              </w:rPr>
            </w:pPr>
          </w:p>
        </w:tc>
      </w:tr>
      <w:tr>
        <w:trPr>
          <w:trHeight w:val="82"/>
        </w:trPr>
        <w:tc>
          <w:tcPr>
            <w:tcW w:w="52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500" w:type="dxa"/>
            <w:vAlign w:val="bottom"/>
            <w:tcBorders>
              <w:bottom w:val="single" w:sz="8" w:color="CCEEFF"/>
            </w:tcBorders>
            <w:gridSpan w:val="2"/>
            <w:vMerge w:val="continue"/>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21</w:t>
            </w:r>
          </w:p>
        </w:tc>
        <w:tc>
          <w:tcPr>
            <w:tcW w:w="960" w:type="dxa"/>
            <w:vAlign w:val="bottom"/>
          </w:tcPr>
          <w:p>
            <w:pPr>
              <w:jc w:val="center"/>
              <w:ind w:left="338"/>
              <w:spacing w:after="0"/>
              <w:rPr>
                <w:sz w:val="20"/>
                <w:szCs w:val="20"/>
                <w:color w:val="auto"/>
              </w:rPr>
            </w:pPr>
            <w:r>
              <w:rPr>
                <w:rFonts w:ascii="Arial" w:cs="Arial" w:eastAsia="Arial" w:hAnsi="Arial"/>
                <w:sz w:val="8"/>
                <w:szCs w:val="8"/>
                <w:color w:val="auto"/>
                <w:w w:val="87"/>
              </w:rPr>
              <w:t>100%</w:t>
            </w:r>
          </w:p>
        </w:tc>
        <w:tc>
          <w:tcPr>
            <w:tcW w:w="80" w:type="dxa"/>
            <w:vAlign w:val="bottom"/>
          </w:tcPr>
          <w:p>
            <w:pPr>
              <w:spacing w:after="0"/>
              <w:rPr>
                <w:sz w:val="9"/>
                <w:szCs w:val="9"/>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Stonewood Center(4)(6)</w:t>
            </w:r>
          </w:p>
        </w:tc>
        <w:tc>
          <w:tcPr>
            <w:tcW w:w="900" w:type="dxa"/>
            <w:vAlign w:val="bottom"/>
          </w:tcPr>
          <w:p>
            <w:pPr>
              <w:jc w:val="right"/>
              <w:spacing w:after="0"/>
              <w:rPr>
                <w:sz w:val="20"/>
                <w:szCs w:val="20"/>
                <w:color w:val="auto"/>
              </w:rPr>
            </w:pPr>
            <w:r>
              <w:rPr>
                <w:rFonts w:ascii="Arial" w:cs="Arial" w:eastAsia="Arial" w:hAnsi="Arial"/>
                <w:sz w:val="8"/>
                <w:szCs w:val="8"/>
                <w:color w:val="auto"/>
              </w:rPr>
              <w:t>1953/1997</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1991</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929,000</w:t>
            </w:r>
          </w:p>
        </w:tc>
        <w:tc>
          <w:tcPr>
            <w:tcW w:w="8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358,000</w:t>
            </w:r>
          </w:p>
        </w:tc>
        <w:tc>
          <w:tcPr>
            <w:tcW w:w="1120" w:type="dxa"/>
            <w:vAlign w:val="bottom"/>
            <w:gridSpan w:val="2"/>
          </w:tcPr>
          <w:p>
            <w:pPr>
              <w:jc w:val="right"/>
              <w:ind w:right="204"/>
              <w:spacing w:after="0"/>
              <w:rPr>
                <w:sz w:val="20"/>
                <w:szCs w:val="20"/>
                <w:color w:val="auto"/>
              </w:rPr>
            </w:pPr>
            <w:r>
              <w:rPr>
                <w:rFonts w:ascii="Arial" w:cs="Arial" w:eastAsia="Arial" w:hAnsi="Arial"/>
                <w:sz w:val="8"/>
                <w:szCs w:val="8"/>
                <w:color w:val="auto"/>
              </w:rPr>
              <w:t>88.5</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8"/>
              <w:spacing w:after="0"/>
              <w:rPr>
                <w:sz w:val="20"/>
                <w:szCs w:val="20"/>
                <w:color w:val="auto"/>
              </w:rPr>
            </w:pPr>
            <w:r>
              <w:rPr>
                <w:rFonts w:ascii="Arial" w:cs="Arial" w:eastAsia="Arial" w:hAnsi="Arial"/>
                <w:sz w:val="8"/>
                <w:szCs w:val="8"/>
                <w:color w:val="auto"/>
                <w:w w:val="99"/>
              </w:rPr>
              <w:t>—</w:t>
            </w:r>
          </w:p>
        </w:tc>
        <w:tc>
          <w:tcPr>
            <w:tcW w:w="1320" w:type="dxa"/>
            <w:vAlign w:val="bottom"/>
          </w:tcPr>
          <w:p>
            <w:pPr>
              <w:jc w:val="center"/>
              <w:ind w:left="158"/>
              <w:spacing w:after="0"/>
              <w:rPr>
                <w:sz w:val="20"/>
                <w:szCs w:val="20"/>
                <w:color w:val="auto"/>
              </w:rPr>
            </w:pPr>
            <w:r>
              <w:rPr>
                <w:rFonts w:ascii="Arial" w:cs="Arial" w:eastAsia="Arial" w:hAnsi="Arial"/>
                <w:sz w:val="8"/>
                <w:szCs w:val="8"/>
                <w:color w:val="auto"/>
                <w:w w:val="95"/>
              </w:rPr>
              <w:t>JCPenney, Kohl's, Macy's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Downey, California</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520" w:type="dxa"/>
            <w:vAlign w:val="bottom"/>
            <w:shd w:val="clear" w:color="auto" w:fill="CCEEFF"/>
          </w:tcPr>
          <w:p>
            <w:pPr>
              <w:jc w:val="center"/>
              <w:ind w:left="278"/>
              <w:spacing w:after="0" w:line="81" w:lineRule="exact"/>
              <w:rPr>
                <w:sz w:val="20"/>
                <w:szCs w:val="20"/>
                <w:color w:val="auto"/>
              </w:rPr>
            </w:pPr>
            <w:r>
              <w:rPr>
                <w:rFonts w:ascii="Arial" w:cs="Arial" w:eastAsia="Arial" w:hAnsi="Arial"/>
                <w:sz w:val="8"/>
                <w:szCs w:val="8"/>
                <w:color w:val="auto"/>
                <w:w w:val="89"/>
              </w:rPr>
              <w:t>22</w:t>
            </w:r>
          </w:p>
        </w:tc>
        <w:tc>
          <w:tcPr>
            <w:tcW w:w="960" w:type="dxa"/>
            <w:vAlign w:val="bottom"/>
            <w:shd w:val="clear" w:color="auto" w:fill="CCEEFF"/>
          </w:tcPr>
          <w:p>
            <w:pPr>
              <w:jc w:val="center"/>
              <w:ind w:left="338"/>
              <w:spacing w:after="0" w:line="81" w:lineRule="exact"/>
              <w:rPr>
                <w:sz w:val="20"/>
                <w:szCs w:val="20"/>
                <w:color w:val="auto"/>
              </w:rPr>
            </w:pPr>
            <w:r>
              <w:rPr>
                <w:rFonts w:ascii="Arial" w:cs="Arial" w:eastAsia="Arial" w:hAnsi="Arial"/>
                <w:sz w:val="8"/>
                <w:szCs w:val="8"/>
                <w:color w:val="auto"/>
                <w:w w:val="87"/>
              </w:rPr>
              <w:t>100%</w:t>
            </w:r>
          </w:p>
        </w:tc>
        <w:tc>
          <w:tcPr>
            <w:tcW w:w="8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20"/>
              <w:spacing w:after="0" w:line="81" w:lineRule="exact"/>
              <w:rPr>
                <w:sz w:val="20"/>
                <w:szCs w:val="20"/>
                <w:color w:val="auto"/>
              </w:rPr>
            </w:pPr>
            <w:r>
              <w:rPr>
                <w:rFonts w:ascii="Arial" w:cs="Arial" w:eastAsia="Arial" w:hAnsi="Arial"/>
                <w:sz w:val="8"/>
                <w:szCs w:val="8"/>
                <w:color w:val="auto"/>
              </w:rPr>
              <w:t>Superstition Springs Center(4)</w:t>
            </w: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1990/2002</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2002</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912,000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380,000</w:t>
            </w:r>
          </w:p>
        </w:tc>
        <w:tc>
          <w:tcPr>
            <w:tcW w:w="1120" w:type="dxa"/>
            <w:vAlign w:val="bottom"/>
            <w:gridSpan w:val="2"/>
            <w:shd w:val="clear" w:color="auto" w:fill="CCEEFF"/>
          </w:tcPr>
          <w:p>
            <w:pPr>
              <w:jc w:val="right"/>
              <w:ind w:right="204"/>
              <w:spacing w:after="0" w:line="81" w:lineRule="exact"/>
              <w:rPr>
                <w:sz w:val="20"/>
                <w:szCs w:val="20"/>
                <w:color w:val="auto"/>
              </w:rPr>
            </w:pPr>
            <w:r>
              <w:rPr>
                <w:rFonts w:ascii="Arial" w:cs="Arial" w:eastAsia="Arial" w:hAnsi="Arial"/>
                <w:sz w:val="8"/>
                <w:szCs w:val="8"/>
                <w:color w:val="auto"/>
              </w:rPr>
              <w:t>97.1</w:t>
            </w:r>
          </w:p>
        </w:tc>
        <w:tc>
          <w:tcPr>
            <w:tcW w:w="1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58"/>
              <w:spacing w:after="0" w:line="81" w:lineRule="exact"/>
              <w:rPr>
                <w:sz w:val="20"/>
                <w:szCs w:val="20"/>
                <w:color w:val="auto"/>
              </w:rPr>
            </w:pPr>
            <w:r>
              <w:rPr>
                <w:rFonts w:ascii="Arial" w:cs="Arial" w:eastAsia="Arial" w:hAnsi="Arial"/>
                <w:sz w:val="8"/>
                <w:szCs w:val="8"/>
                <w:color w:val="auto"/>
                <w:w w:val="98"/>
              </w:rPr>
              <w:t>Dillard's,</w:t>
            </w:r>
          </w:p>
        </w:tc>
        <w:tc>
          <w:tcPr>
            <w:tcW w:w="1320" w:type="dxa"/>
            <w:vAlign w:val="bottom"/>
            <w:shd w:val="clear" w:color="auto" w:fill="CCEEFF"/>
          </w:tcPr>
          <w:p>
            <w:pPr>
              <w:jc w:val="center"/>
              <w:ind w:left="158"/>
              <w:spacing w:after="0" w:line="81"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0"/>
              </w:rPr>
              <w:t>JCPenney, Macy's</w:t>
            </w: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Mesa, Arizona</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5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23</w:t>
            </w:r>
          </w:p>
        </w:tc>
        <w:tc>
          <w:tcPr>
            <w:tcW w:w="960" w:type="dxa"/>
            <w:vAlign w:val="bottom"/>
          </w:tcPr>
          <w:p>
            <w:pPr>
              <w:jc w:val="center"/>
              <w:ind w:left="338"/>
              <w:spacing w:after="0"/>
              <w:rPr>
                <w:sz w:val="20"/>
                <w:szCs w:val="20"/>
                <w:color w:val="auto"/>
              </w:rPr>
            </w:pPr>
            <w:r>
              <w:rPr>
                <w:rFonts w:ascii="Arial" w:cs="Arial" w:eastAsia="Arial" w:hAnsi="Arial"/>
                <w:sz w:val="8"/>
                <w:szCs w:val="8"/>
                <w:color w:val="auto"/>
                <w:w w:val="87"/>
              </w:rPr>
              <w:t>100%</w:t>
            </w:r>
          </w:p>
        </w:tc>
        <w:tc>
          <w:tcPr>
            <w:tcW w:w="80" w:type="dxa"/>
            <w:vAlign w:val="bottom"/>
          </w:tcPr>
          <w:p>
            <w:pPr>
              <w:spacing w:after="0"/>
              <w:rPr>
                <w:sz w:val="9"/>
                <w:szCs w:val="9"/>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Towne Mall(4)</w:t>
            </w:r>
          </w:p>
        </w:tc>
        <w:tc>
          <w:tcPr>
            <w:tcW w:w="900" w:type="dxa"/>
            <w:vAlign w:val="bottom"/>
          </w:tcPr>
          <w:p>
            <w:pPr>
              <w:jc w:val="right"/>
              <w:spacing w:after="0"/>
              <w:rPr>
                <w:sz w:val="20"/>
                <w:szCs w:val="20"/>
                <w:color w:val="auto"/>
              </w:rPr>
            </w:pPr>
            <w:r>
              <w:rPr>
                <w:rFonts w:ascii="Arial" w:cs="Arial" w:eastAsia="Arial" w:hAnsi="Arial"/>
                <w:sz w:val="8"/>
                <w:szCs w:val="8"/>
                <w:color w:val="auto"/>
              </w:rPr>
              <w:t>1985/2005</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1989</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350,000</w:t>
            </w:r>
          </w:p>
        </w:tc>
        <w:tc>
          <w:tcPr>
            <w:tcW w:w="8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179,000</w:t>
            </w:r>
          </w:p>
        </w:tc>
        <w:tc>
          <w:tcPr>
            <w:tcW w:w="1120" w:type="dxa"/>
            <w:vAlign w:val="bottom"/>
            <w:gridSpan w:val="2"/>
          </w:tcPr>
          <w:p>
            <w:pPr>
              <w:jc w:val="right"/>
              <w:ind w:right="204"/>
              <w:spacing w:after="0"/>
              <w:rPr>
                <w:sz w:val="20"/>
                <w:szCs w:val="20"/>
                <w:color w:val="auto"/>
              </w:rPr>
            </w:pPr>
            <w:r>
              <w:rPr>
                <w:rFonts w:ascii="Arial" w:cs="Arial" w:eastAsia="Arial" w:hAnsi="Arial"/>
                <w:sz w:val="8"/>
                <w:szCs w:val="8"/>
                <w:color w:val="auto"/>
              </w:rPr>
              <w:t>79.8</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8"/>
              <w:spacing w:after="0"/>
              <w:rPr>
                <w:sz w:val="20"/>
                <w:szCs w:val="20"/>
                <w:color w:val="auto"/>
              </w:rPr>
            </w:pPr>
            <w:r>
              <w:rPr>
                <w:rFonts w:ascii="Arial" w:cs="Arial" w:eastAsia="Arial" w:hAnsi="Arial"/>
                <w:sz w:val="8"/>
                <w:szCs w:val="8"/>
                <w:color w:val="auto"/>
                <w:w w:val="99"/>
              </w:rPr>
              <w:t>—</w:t>
            </w:r>
          </w:p>
        </w:tc>
        <w:tc>
          <w:tcPr>
            <w:tcW w:w="1320" w:type="dxa"/>
            <w:vAlign w:val="bottom"/>
          </w:tcPr>
          <w:p>
            <w:pPr>
              <w:jc w:val="center"/>
              <w:ind w:left="178"/>
              <w:spacing w:after="0"/>
              <w:rPr>
                <w:sz w:val="20"/>
                <w:szCs w:val="20"/>
                <w:color w:val="auto"/>
              </w:rPr>
            </w:pPr>
            <w:r>
              <w:rPr>
                <w:rFonts w:ascii="Arial" w:cs="Arial" w:eastAsia="Arial" w:hAnsi="Arial"/>
                <w:sz w:val="8"/>
                <w:szCs w:val="8"/>
                <w:color w:val="auto"/>
                <w:w w:val="94"/>
              </w:rPr>
              <w:t>Belk, JCPenney</w:t>
            </w: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Elizabethtown, Kentucky</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20" w:type="dxa"/>
            <w:vAlign w:val="bottom"/>
            <w:shd w:val="clear" w:color="auto" w:fill="CCEEFF"/>
          </w:tcPr>
          <w:p>
            <w:pPr>
              <w:jc w:val="center"/>
              <w:ind w:left="278"/>
              <w:spacing w:after="0" w:line="81" w:lineRule="exact"/>
              <w:rPr>
                <w:sz w:val="20"/>
                <w:szCs w:val="20"/>
                <w:color w:val="auto"/>
              </w:rPr>
            </w:pPr>
            <w:r>
              <w:rPr>
                <w:rFonts w:ascii="Arial" w:cs="Arial" w:eastAsia="Arial" w:hAnsi="Arial"/>
                <w:sz w:val="8"/>
                <w:szCs w:val="8"/>
                <w:color w:val="auto"/>
                <w:w w:val="89"/>
              </w:rPr>
              <w:t>24</w:t>
            </w:r>
          </w:p>
        </w:tc>
        <w:tc>
          <w:tcPr>
            <w:tcW w:w="960" w:type="dxa"/>
            <w:vAlign w:val="bottom"/>
            <w:shd w:val="clear" w:color="auto" w:fill="CCEEFF"/>
          </w:tcPr>
          <w:p>
            <w:pPr>
              <w:jc w:val="center"/>
              <w:ind w:left="338"/>
              <w:spacing w:after="0" w:line="81" w:lineRule="exact"/>
              <w:rPr>
                <w:sz w:val="20"/>
                <w:szCs w:val="20"/>
                <w:color w:val="auto"/>
              </w:rPr>
            </w:pPr>
            <w:r>
              <w:rPr>
                <w:rFonts w:ascii="Arial" w:cs="Arial" w:eastAsia="Arial" w:hAnsi="Arial"/>
                <w:sz w:val="8"/>
                <w:szCs w:val="8"/>
                <w:color w:val="auto"/>
                <w:w w:val="87"/>
              </w:rPr>
              <w:t>100%</w:t>
            </w:r>
          </w:p>
        </w:tc>
        <w:tc>
          <w:tcPr>
            <w:tcW w:w="8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20"/>
              <w:spacing w:after="0" w:line="81" w:lineRule="exact"/>
              <w:rPr>
                <w:sz w:val="20"/>
                <w:szCs w:val="20"/>
                <w:color w:val="auto"/>
              </w:rPr>
            </w:pPr>
            <w:r>
              <w:rPr>
                <w:rFonts w:ascii="Arial" w:cs="Arial" w:eastAsia="Arial" w:hAnsi="Arial"/>
                <w:sz w:val="8"/>
                <w:szCs w:val="8"/>
                <w:color w:val="auto"/>
              </w:rPr>
              <w:t>Valley Mall</w:t>
            </w: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1978/1998</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1992</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502,000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187,000</w:t>
            </w:r>
          </w:p>
        </w:tc>
        <w:tc>
          <w:tcPr>
            <w:tcW w:w="1120" w:type="dxa"/>
            <w:vAlign w:val="bottom"/>
            <w:gridSpan w:val="2"/>
            <w:shd w:val="clear" w:color="auto" w:fill="CCEEFF"/>
          </w:tcPr>
          <w:p>
            <w:pPr>
              <w:jc w:val="right"/>
              <w:ind w:right="204"/>
              <w:spacing w:after="0" w:line="81" w:lineRule="exact"/>
              <w:rPr>
                <w:sz w:val="20"/>
                <w:szCs w:val="20"/>
                <w:color w:val="auto"/>
              </w:rPr>
            </w:pPr>
            <w:r>
              <w:rPr>
                <w:rFonts w:ascii="Arial" w:cs="Arial" w:eastAsia="Arial" w:hAnsi="Arial"/>
                <w:sz w:val="8"/>
                <w:szCs w:val="8"/>
                <w:color w:val="auto"/>
              </w:rPr>
              <w:t>75.3</w:t>
            </w:r>
          </w:p>
        </w:tc>
        <w:tc>
          <w:tcPr>
            <w:tcW w:w="1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58"/>
              <w:spacing w:after="0" w:line="81" w:lineRule="exact"/>
              <w:rPr>
                <w:sz w:val="20"/>
                <w:szCs w:val="20"/>
                <w:color w:val="auto"/>
              </w:rPr>
            </w:pPr>
            <w:r>
              <w:rPr>
                <w:rFonts w:ascii="Arial" w:cs="Arial" w:eastAsia="Arial" w:hAnsi="Arial"/>
                <w:sz w:val="8"/>
                <w:szCs w:val="8"/>
                <w:color w:val="auto"/>
                <w:w w:val="94"/>
              </w:rPr>
              <w:t>Target</w:t>
            </w:r>
          </w:p>
        </w:tc>
        <w:tc>
          <w:tcPr>
            <w:tcW w:w="1320" w:type="dxa"/>
            <w:vAlign w:val="bottom"/>
            <w:shd w:val="clear" w:color="auto" w:fill="CCEEFF"/>
          </w:tcPr>
          <w:p>
            <w:pPr>
              <w:jc w:val="center"/>
              <w:ind w:left="158"/>
              <w:spacing w:after="0" w:line="81" w:lineRule="exact"/>
              <w:rPr>
                <w:sz w:val="20"/>
                <w:szCs w:val="20"/>
                <w:color w:val="auto"/>
              </w:rPr>
            </w:pPr>
            <w:r>
              <w:rPr>
                <w:rFonts w:ascii="Arial" w:cs="Arial" w:eastAsia="Arial" w:hAnsi="Arial"/>
                <w:sz w:val="8"/>
                <w:szCs w:val="8"/>
                <w:color w:val="auto"/>
                <w:w w:val="98"/>
              </w:rPr>
              <w:t>Belk, Dick's Sporting</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ind w:left="320"/>
              <w:spacing w:after="0"/>
              <w:rPr>
                <w:sz w:val="20"/>
                <w:szCs w:val="20"/>
                <w:color w:val="auto"/>
              </w:rPr>
            </w:pPr>
            <w:r>
              <w:rPr>
                <w:rFonts w:ascii="Arial" w:cs="Arial" w:eastAsia="Arial" w:hAnsi="Arial"/>
                <w:sz w:val="8"/>
                <w:szCs w:val="8"/>
                <w:color w:val="auto"/>
              </w:rPr>
              <w:t>Harrisonburg, Virginia</w:t>
            </w: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20" w:type="dxa"/>
            <w:vAlign w:val="bottom"/>
            <w:shd w:val="clear" w:color="auto" w:fill="CCEEFF"/>
          </w:tcPr>
          <w:p>
            <w:pPr>
              <w:jc w:val="center"/>
              <w:ind w:right="38"/>
              <w:spacing w:after="0"/>
              <w:rPr>
                <w:sz w:val="20"/>
                <w:szCs w:val="20"/>
                <w:color w:val="auto"/>
              </w:rPr>
            </w:pPr>
            <w:r>
              <w:rPr>
                <w:rFonts w:ascii="Arial" w:cs="Arial" w:eastAsia="Arial" w:hAnsi="Arial"/>
                <w:sz w:val="8"/>
                <w:szCs w:val="8"/>
                <w:color w:val="auto"/>
                <w:w w:val="92"/>
              </w:rPr>
              <w:t>Goods, JCPenney</w:t>
            </w:r>
          </w:p>
        </w:tc>
        <w:tc>
          <w:tcPr>
            <w:tcW w:w="0" w:type="dxa"/>
            <w:vAlign w:val="bottom"/>
          </w:tcPr>
          <w:p>
            <w:pPr>
              <w:spacing w:after="0"/>
              <w:rPr>
                <w:sz w:val="1"/>
                <w:szCs w:val="1"/>
                <w:color w:val="auto"/>
              </w:rPr>
            </w:pPr>
          </w:p>
        </w:tc>
      </w:tr>
      <w:tr>
        <w:trPr>
          <w:trHeight w:val="63"/>
        </w:trPr>
        <w:tc>
          <w:tcPr>
            <w:tcW w:w="5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25</w:t>
            </w:r>
          </w:p>
        </w:tc>
        <w:tc>
          <w:tcPr>
            <w:tcW w:w="960" w:type="dxa"/>
            <w:vAlign w:val="bottom"/>
          </w:tcPr>
          <w:p>
            <w:pPr>
              <w:jc w:val="center"/>
              <w:ind w:left="338"/>
              <w:spacing w:after="0"/>
              <w:rPr>
                <w:sz w:val="20"/>
                <w:szCs w:val="20"/>
                <w:color w:val="auto"/>
              </w:rPr>
            </w:pPr>
            <w:r>
              <w:rPr>
                <w:rFonts w:ascii="Arial" w:cs="Arial" w:eastAsia="Arial" w:hAnsi="Arial"/>
                <w:sz w:val="8"/>
                <w:szCs w:val="8"/>
                <w:color w:val="auto"/>
                <w:w w:val="87"/>
              </w:rPr>
              <w:t>100%</w:t>
            </w:r>
          </w:p>
        </w:tc>
        <w:tc>
          <w:tcPr>
            <w:tcW w:w="80" w:type="dxa"/>
            <w:vAlign w:val="bottom"/>
          </w:tcPr>
          <w:p>
            <w:pPr>
              <w:spacing w:after="0"/>
              <w:rPr>
                <w:sz w:val="9"/>
                <w:szCs w:val="9"/>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Valley River Center</w:t>
            </w:r>
          </w:p>
        </w:tc>
        <w:tc>
          <w:tcPr>
            <w:tcW w:w="900" w:type="dxa"/>
            <w:vAlign w:val="bottom"/>
          </w:tcPr>
          <w:p>
            <w:pPr>
              <w:jc w:val="right"/>
              <w:spacing w:after="0"/>
              <w:rPr>
                <w:sz w:val="20"/>
                <w:szCs w:val="20"/>
                <w:color w:val="auto"/>
              </w:rPr>
            </w:pPr>
            <w:r>
              <w:rPr>
                <w:rFonts w:ascii="Arial" w:cs="Arial" w:eastAsia="Arial" w:hAnsi="Arial"/>
                <w:sz w:val="8"/>
                <w:szCs w:val="8"/>
                <w:color w:val="auto"/>
              </w:rPr>
              <w:t>1969/2006</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2007</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813,000</w:t>
            </w:r>
          </w:p>
        </w:tc>
        <w:tc>
          <w:tcPr>
            <w:tcW w:w="8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413,000</w:t>
            </w:r>
          </w:p>
        </w:tc>
        <w:tc>
          <w:tcPr>
            <w:tcW w:w="1120" w:type="dxa"/>
            <w:vAlign w:val="bottom"/>
            <w:gridSpan w:val="2"/>
          </w:tcPr>
          <w:p>
            <w:pPr>
              <w:jc w:val="right"/>
              <w:ind w:right="204"/>
              <w:spacing w:after="0"/>
              <w:rPr>
                <w:sz w:val="20"/>
                <w:szCs w:val="20"/>
                <w:color w:val="auto"/>
              </w:rPr>
            </w:pPr>
            <w:r>
              <w:rPr>
                <w:rFonts w:ascii="Arial" w:cs="Arial" w:eastAsia="Arial" w:hAnsi="Arial"/>
                <w:sz w:val="8"/>
                <w:szCs w:val="8"/>
                <w:color w:val="auto"/>
              </w:rPr>
              <w:t>94.4</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8"/>
              <w:spacing w:after="0"/>
              <w:rPr>
                <w:sz w:val="20"/>
                <w:szCs w:val="20"/>
                <w:color w:val="auto"/>
              </w:rPr>
            </w:pPr>
            <w:r>
              <w:rPr>
                <w:rFonts w:ascii="Arial" w:cs="Arial" w:eastAsia="Arial" w:hAnsi="Arial"/>
                <w:sz w:val="8"/>
                <w:szCs w:val="8"/>
                <w:color w:val="auto"/>
                <w:w w:val="97"/>
              </w:rPr>
              <w:t>Macy's</w:t>
            </w:r>
          </w:p>
        </w:tc>
        <w:tc>
          <w:tcPr>
            <w:tcW w:w="1320" w:type="dxa"/>
            <w:vAlign w:val="bottom"/>
          </w:tcPr>
          <w:p>
            <w:pPr>
              <w:jc w:val="center"/>
              <w:ind w:left="178"/>
              <w:spacing w:after="0"/>
              <w:rPr>
                <w:sz w:val="20"/>
                <w:szCs w:val="20"/>
                <w:color w:val="auto"/>
              </w:rPr>
            </w:pPr>
            <w:r>
              <w:rPr>
                <w:rFonts w:ascii="Arial" w:cs="Arial" w:eastAsia="Arial" w:hAnsi="Arial"/>
                <w:sz w:val="8"/>
                <w:szCs w:val="8"/>
                <w:color w:val="auto"/>
                <w:w w:val="91"/>
              </w:rPr>
              <w:t>JCPenney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Eugene, Oregon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520" w:type="dxa"/>
            <w:vAlign w:val="bottom"/>
            <w:shd w:val="clear" w:color="auto" w:fill="CCEEFF"/>
          </w:tcPr>
          <w:p>
            <w:pPr>
              <w:jc w:val="center"/>
              <w:ind w:left="278"/>
              <w:spacing w:after="0" w:line="81" w:lineRule="exact"/>
              <w:rPr>
                <w:sz w:val="20"/>
                <w:szCs w:val="20"/>
                <w:color w:val="auto"/>
              </w:rPr>
            </w:pPr>
            <w:r>
              <w:rPr>
                <w:rFonts w:ascii="Arial" w:cs="Arial" w:eastAsia="Arial" w:hAnsi="Arial"/>
                <w:sz w:val="8"/>
                <w:szCs w:val="8"/>
                <w:color w:val="auto"/>
                <w:w w:val="89"/>
              </w:rPr>
              <w:t>26</w:t>
            </w:r>
          </w:p>
        </w:tc>
        <w:tc>
          <w:tcPr>
            <w:tcW w:w="960" w:type="dxa"/>
            <w:vAlign w:val="bottom"/>
            <w:shd w:val="clear" w:color="auto" w:fill="CCEEFF"/>
          </w:tcPr>
          <w:p>
            <w:pPr>
              <w:jc w:val="center"/>
              <w:ind w:left="338"/>
              <w:spacing w:after="0" w:line="81" w:lineRule="exact"/>
              <w:rPr>
                <w:sz w:val="20"/>
                <w:szCs w:val="20"/>
                <w:color w:val="auto"/>
              </w:rPr>
            </w:pPr>
            <w:r>
              <w:rPr>
                <w:rFonts w:ascii="Arial" w:cs="Arial" w:eastAsia="Arial" w:hAnsi="Arial"/>
                <w:sz w:val="8"/>
                <w:szCs w:val="8"/>
                <w:color w:val="auto"/>
                <w:w w:val="87"/>
              </w:rPr>
              <w:t>100%</w:t>
            </w:r>
          </w:p>
        </w:tc>
        <w:tc>
          <w:tcPr>
            <w:tcW w:w="8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20"/>
              <w:spacing w:after="0" w:line="81" w:lineRule="exact"/>
              <w:rPr>
                <w:sz w:val="20"/>
                <w:szCs w:val="20"/>
                <w:color w:val="auto"/>
              </w:rPr>
            </w:pPr>
            <w:r>
              <w:rPr>
                <w:rFonts w:ascii="Arial" w:cs="Arial" w:eastAsia="Arial" w:hAnsi="Arial"/>
                <w:sz w:val="8"/>
                <w:szCs w:val="8"/>
                <w:color w:val="auto"/>
              </w:rPr>
              <w:t>Victor Valley, Mall of(4)</w:t>
            </w: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1986/2004</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2012</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577,000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259,000</w:t>
            </w:r>
          </w:p>
        </w:tc>
        <w:tc>
          <w:tcPr>
            <w:tcW w:w="1120" w:type="dxa"/>
            <w:vAlign w:val="bottom"/>
            <w:gridSpan w:val="2"/>
            <w:shd w:val="clear" w:color="auto" w:fill="CCEEFF"/>
          </w:tcPr>
          <w:p>
            <w:pPr>
              <w:jc w:val="right"/>
              <w:ind w:right="204"/>
              <w:spacing w:after="0" w:line="81" w:lineRule="exact"/>
              <w:rPr>
                <w:sz w:val="20"/>
                <w:szCs w:val="20"/>
                <w:color w:val="auto"/>
              </w:rPr>
            </w:pPr>
            <w:r>
              <w:rPr>
                <w:rFonts w:ascii="Arial" w:cs="Arial" w:eastAsia="Arial" w:hAnsi="Arial"/>
                <w:sz w:val="8"/>
                <w:szCs w:val="8"/>
                <w:color w:val="auto"/>
              </w:rPr>
              <w:t>98.8</w:t>
            </w:r>
          </w:p>
        </w:tc>
        <w:tc>
          <w:tcPr>
            <w:tcW w:w="1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8"/>
              <w:spacing w:after="0" w:line="81" w:lineRule="exact"/>
              <w:rPr>
                <w:sz w:val="20"/>
                <w:szCs w:val="20"/>
                <w:color w:val="auto"/>
              </w:rPr>
            </w:pPr>
            <w:r>
              <w:rPr>
                <w:rFonts w:ascii="Arial" w:cs="Arial" w:eastAsia="Arial" w:hAnsi="Arial"/>
                <w:sz w:val="8"/>
                <w:szCs w:val="8"/>
                <w:color w:val="auto"/>
                <w:w w:val="97"/>
              </w:rPr>
              <w:t>Macy's</w:t>
            </w:r>
          </w:p>
        </w:tc>
        <w:tc>
          <w:tcPr>
            <w:tcW w:w="1320" w:type="dxa"/>
            <w:vAlign w:val="bottom"/>
            <w:shd w:val="clear" w:color="auto" w:fill="CCEEFF"/>
          </w:tcPr>
          <w:p>
            <w:pPr>
              <w:jc w:val="center"/>
              <w:ind w:left="17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1"/>
              </w:rPr>
              <w:t>JCPenney</w:t>
            </w:r>
          </w:p>
        </w:tc>
        <w:tc>
          <w:tcPr>
            <w:tcW w:w="0" w:type="dxa"/>
            <w:vAlign w:val="bottom"/>
          </w:tcPr>
          <w:p>
            <w:pPr>
              <w:spacing w:after="0"/>
              <w:rPr>
                <w:sz w:val="1"/>
                <w:szCs w:val="1"/>
                <w:color w:val="auto"/>
              </w:rPr>
            </w:pPr>
          </w:p>
        </w:tc>
      </w:tr>
      <w:tr>
        <w:trPr>
          <w:trHeight w:val="154"/>
        </w:trPr>
        <w:tc>
          <w:tcPr>
            <w:tcW w:w="5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8"/>
                <w:szCs w:val="8"/>
                <w:color w:val="auto"/>
              </w:rPr>
              <w:t>Victorville, California</w:t>
            </w: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20" w:type="dxa"/>
            <w:vAlign w:val="bottom"/>
          </w:tcPr>
          <w:p>
            <w:pPr>
              <w:jc w:val="center"/>
              <w:ind w:left="278"/>
              <w:spacing w:after="0" w:line="81" w:lineRule="exact"/>
              <w:rPr>
                <w:sz w:val="20"/>
                <w:szCs w:val="20"/>
                <w:color w:val="auto"/>
              </w:rPr>
            </w:pPr>
            <w:r>
              <w:rPr>
                <w:rFonts w:ascii="Arial" w:cs="Arial" w:eastAsia="Arial" w:hAnsi="Arial"/>
                <w:sz w:val="8"/>
                <w:szCs w:val="8"/>
                <w:color w:val="auto"/>
                <w:w w:val="89"/>
              </w:rPr>
              <w:t>27</w:t>
            </w:r>
          </w:p>
        </w:tc>
        <w:tc>
          <w:tcPr>
            <w:tcW w:w="960" w:type="dxa"/>
            <w:vAlign w:val="bottom"/>
          </w:tcPr>
          <w:p>
            <w:pPr>
              <w:jc w:val="center"/>
              <w:ind w:left="338"/>
              <w:spacing w:after="0" w:line="81" w:lineRule="exact"/>
              <w:rPr>
                <w:sz w:val="20"/>
                <w:szCs w:val="20"/>
                <w:color w:val="auto"/>
              </w:rPr>
            </w:pPr>
            <w:r>
              <w:rPr>
                <w:rFonts w:ascii="Arial" w:cs="Arial" w:eastAsia="Arial" w:hAnsi="Arial"/>
                <w:sz w:val="8"/>
                <w:szCs w:val="8"/>
                <w:color w:val="auto"/>
                <w:w w:val="87"/>
              </w:rPr>
              <w:t>100%</w:t>
            </w:r>
          </w:p>
        </w:tc>
        <w:tc>
          <w:tcPr>
            <w:tcW w:w="80" w:type="dxa"/>
            <w:vAlign w:val="bottom"/>
          </w:tcPr>
          <w:p>
            <w:pPr>
              <w:spacing w:after="0"/>
              <w:rPr>
                <w:sz w:val="7"/>
                <w:szCs w:val="7"/>
                <w:color w:val="auto"/>
              </w:rPr>
            </w:pPr>
          </w:p>
        </w:tc>
        <w:tc>
          <w:tcPr>
            <w:tcW w:w="1500" w:type="dxa"/>
            <w:vAlign w:val="bottom"/>
            <w:gridSpan w:val="2"/>
          </w:tcPr>
          <w:p>
            <w:pPr>
              <w:ind w:left="320"/>
              <w:spacing w:after="0" w:line="81" w:lineRule="exact"/>
              <w:rPr>
                <w:sz w:val="20"/>
                <w:szCs w:val="20"/>
                <w:color w:val="auto"/>
              </w:rPr>
            </w:pPr>
            <w:r>
              <w:rPr>
                <w:rFonts w:ascii="Arial" w:cs="Arial" w:eastAsia="Arial" w:hAnsi="Arial"/>
                <w:sz w:val="8"/>
                <w:szCs w:val="8"/>
                <w:color w:val="auto"/>
              </w:rPr>
              <w:t>Vintage Faire Mall</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1977/1996</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2008</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915,000</w:t>
            </w:r>
          </w:p>
        </w:tc>
        <w:tc>
          <w:tcPr>
            <w:tcW w:w="80" w:type="dxa"/>
            <w:vAlign w:val="bottom"/>
          </w:tcPr>
          <w:p>
            <w:pPr>
              <w:spacing w:after="0"/>
              <w:rPr>
                <w:sz w:val="7"/>
                <w:szCs w:val="7"/>
                <w:color w:val="auto"/>
              </w:rPr>
            </w:pP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471,000</w:t>
            </w:r>
          </w:p>
        </w:tc>
        <w:tc>
          <w:tcPr>
            <w:tcW w:w="1120" w:type="dxa"/>
            <w:vAlign w:val="bottom"/>
            <w:gridSpan w:val="2"/>
          </w:tcPr>
          <w:p>
            <w:pPr>
              <w:jc w:val="right"/>
              <w:ind w:right="204"/>
              <w:spacing w:after="0" w:line="81" w:lineRule="exact"/>
              <w:rPr>
                <w:sz w:val="20"/>
                <w:szCs w:val="20"/>
                <w:color w:val="auto"/>
              </w:rPr>
            </w:pPr>
            <w:r>
              <w:rPr>
                <w:rFonts w:ascii="Arial" w:cs="Arial" w:eastAsia="Arial" w:hAnsi="Arial"/>
                <w:sz w:val="8"/>
                <w:szCs w:val="8"/>
                <w:color w:val="auto"/>
              </w:rPr>
              <w:t>95.7</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8"/>
              <w:spacing w:after="0" w:line="81" w:lineRule="exact"/>
              <w:rPr>
                <w:sz w:val="20"/>
                <w:szCs w:val="20"/>
                <w:color w:val="auto"/>
              </w:rPr>
            </w:pPr>
            <w:r>
              <w:rPr>
                <w:rFonts w:ascii="Arial" w:cs="Arial" w:eastAsia="Arial" w:hAnsi="Arial"/>
                <w:sz w:val="8"/>
                <w:szCs w:val="8"/>
                <w:color w:val="auto"/>
                <w:w w:val="97"/>
              </w:rPr>
              <w:t>Macy's</w:t>
            </w:r>
          </w:p>
        </w:tc>
        <w:tc>
          <w:tcPr>
            <w:tcW w:w="1320" w:type="dxa"/>
            <w:vAlign w:val="bottom"/>
          </w:tcPr>
          <w:p>
            <w:pPr>
              <w:jc w:val="center"/>
              <w:ind w:left="17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restart"/>
          </w:tcPr>
          <w:p>
            <w:pPr>
              <w:ind w:left="320"/>
              <w:spacing w:after="0"/>
              <w:rPr>
                <w:sz w:val="20"/>
                <w:szCs w:val="20"/>
                <w:color w:val="auto"/>
              </w:rPr>
            </w:pPr>
            <w:r>
              <w:rPr>
                <w:rFonts w:ascii="Arial" w:cs="Arial" w:eastAsia="Arial" w:hAnsi="Arial"/>
                <w:sz w:val="8"/>
                <w:szCs w:val="8"/>
                <w:color w:val="auto"/>
              </w:rPr>
              <w:t>Modesto, California</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jc w:val="center"/>
              <w:ind w:right="58"/>
              <w:spacing w:after="0"/>
              <w:rPr>
                <w:sz w:val="20"/>
                <w:szCs w:val="20"/>
                <w:color w:val="auto"/>
              </w:rPr>
            </w:pPr>
            <w:r>
              <w:rPr>
                <w:rFonts w:ascii="Arial" w:cs="Arial" w:eastAsia="Arial" w:hAnsi="Arial"/>
                <w:sz w:val="8"/>
                <w:szCs w:val="8"/>
                <w:color w:val="auto"/>
                <w:w w:val="93"/>
              </w:rPr>
              <w:t>JCPenney, Macy's</w:t>
            </w:r>
          </w:p>
        </w:tc>
        <w:tc>
          <w:tcPr>
            <w:tcW w:w="0" w:type="dxa"/>
            <w:vAlign w:val="bottom"/>
          </w:tcPr>
          <w:p>
            <w:pPr>
              <w:spacing w:after="0"/>
              <w:rPr>
                <w:sz w:val="1"/>
                <w:szCs w:val="1"/>
                <w:color w:val="auto"/>
              </w:rPr>
            </w:pPr>
          </w:p>
        </w:tc>
      </w:tr>
      <w:tr>
        <w:trPr>
          <w:trHeight w:val="63"/>
        </w:trPr>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jc w:val="center"/>
              <w:ind w:left="278"/>
              <w:spacing w:after="0"/>
              <w:rPr>
                <w:sz w:val="20"/>
                <w:szCs w:val="20"/>
                <w:color w:val="auto"/>
              </w:rPr>
            </w:pPr>
            <w:r>
              <w:rPr>
                <w:rFonts w:ascii="Arial" w:cs="Arial" w:eastAsia="Arial" w:hAnsi="Arial"/>
                <w:sz w:val="8"/>
                <w:szCs w:val="8"/>
                <w:color w:val="auto"/>
                <w:w w:val="89"/>
              </w:rPr>
              <w:t>28</w:t>
            </w:r>
          </w:p>
        </w:tc>
        <w:tc>
          <w:tcPr>
            <w:tcW w:w="960" w:type="dxa"/>
            <w:vAlign w:val="bottom"/>
            <w:shd w:val="clear" w:color="auto" w:fill="CCEEFF"/>
          </w:tcPr>
          <w:p>
            <w:pPr>
              <w:jc w:val="center"/>
              <w:ind w:left="338"/>
              <w:spacing w:after="0"/>
              <w:rPr>
                <w:sz w:val="20"/>
                <w:szCs w:val="20"/>
                <w:color w:val="auto"/>
              </w:rPr>
            </w:pPr>
            <w:r>
              <w:rPr>
                <w:rFonts w:ascii="Arial" w:cs="Arial" w:eastAsia="Arial" w:hAnsi="Arial"/>
                <w:sz w:val="8"/>
                <w:szCs w:val="8"/>
                <w:color w:val="auto"/>
                <w:w w:val="87"/>
              </w:rPr>
              <w:t>100%</w:t>
            </w:r>
          </w:p>
        </w:tc>
        <w:tc>
          <w:tcPr>
            <w:tcW w:w="8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Wilton Mall(4)</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1990/2005</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1998</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708,000</w:t>
            </w: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505,000</w:t>
            </w:r>
          </w:p>
        </w:tc>
        <w:tc>
          <w:tcPr>
            <w:tcW w:w="1120" w:type="dxa"/>
            <w:vAlign w:val="bottom"/>
            <w:gridSpan w:val="2"/>
            <w:shd w:val="clear" w:color="auto" w:fill="CCEEFF"/>
          </w:tcPr>
          <w:p>
            <w:pPr>
              <w:jc w:val="right"/>
              <w:ind w:right="204"/>
              <w:spacing w:after="0"/>
              <w:rPr>
                <w:sz w:val="20"/>
                <w:szCs w:val="20"/>
                <w:color w:val="auto"/>
              </w:rPr>
            </w:pPr>
            <w:r>
              <w:rPr>
                <w:rFonts w:ascii="Arial" w:cs="Arial" w:eastAsia="Arial" w:hAnsi="Arial"/>
                <w:sz w:val="8"/>
                <w:szCs w:val="8"/>
                <w:color w:val="auto"/>
              </w:rPr>
              <w:t>93.2</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58"/>
              <w:spacing w:after="0"/>
              <w:rPr>
                <w:sz w:val="20"/>
                <w:szCs w:val="20"/>
                <w:color w:val="auto"/>
              </w:rPr>
            </w:pPr>
            <w:r>
              <w:rPr>
                <w:rFonts w:ascii="Arial" w:cs="Arial" w:eastAsia="Arial" w:hAnsi="Arial"/>
                <w:sz w:val="8"/>
                <w:szCs w:val="8"/>
                <w:color w:val="auto"/>
                <w:w w:val="91"/>
              </w:rPr>
              <w:t>JCPenney</w:t>
            </w:r>
          </w:p>
        </w:tc>
        <w:tc>
          <w:tcPr>
            <w:tcW w:w="1320" w:type="dxa"/>
            <w:vAlign w:val="bottom"/>
            <w:shd w:val="clear" w:color="auto" w:fill="CCEEFF"/>
          </w:tcPr>
          <w:p>
            <w:pPr>
              <w:jc w:val="center"/>
              <w:ind w:left="158"/>
              <w:spacing w:after="0"/>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44"/>
        </w:trPr>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Saratoga Springs, New York</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20" w:type="dxa"/>
            <w:vAlign w:val="bottom"/>
            <w:tcBorders>
              <w:bottom w:val="single" w:sz="8" w:color="CCEEFF"/>
            </w:tcBorders>
          </w:tcPr>
          <w:p>
            <w:pPr>
              <w:spacing w:after="0"/>
              <w:rPr>
                <w:sz w:val="8"/>
                <w:szCs w:val="8"/>
                <w:color w:val="auto"/>
              </w:rPr>
            </w:pPr>
          </w:p>
        </w:tc>
        <w:tc>
          <w:tcPr>
            <w:tcW w:w="9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500" w:type="dxa"/>
            <w:vAlign w:val="bottom"/>
            <w:tcBorders>
              <w:bottom w:val="single" w:sz="8" w:color="CCEEFF"/>
            </w:tcBorders>
            <w:gridSpan w:val="2"/>
          </w:tcPr>
          <w:p>
            <w:pPr>
              <w:ind w:left="320"/>
              <w:spacing w:after="0" w:line="87" w:lineRule="exact"/>
              <w:rPr>
                <w:sz w:val="20"/>
                <w:szCs w:val="20"/>
                <w:color w:val="auto"/>
              </w:rPr>
            </w:pPr>
            <w:r>
              <w:rPr>
                <w:rFonts w:ascii="Arial" w:cs="Arial" w:eastAsia="Arial" w:hAnsi="Arial"/>
                <w:sz w:val="8"/>
                <w:szCs w:val="8"/>
                <w:b w:val="1"/>
                <w:bCs w:val="1"/>
                <w:color w:val="auto"/>
              </w:rPr>
              <w:t>Total Consolidated Centers</w:t>
            </w:r>
          </w:p>
        </w:tc>
        <w:tc>
          <w:tcPr>
            <w:tcW w:w="9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25,317,000</w:t>
            </w:r>
          </w:p>
        </w:tc>
        <w:tc>
          <w:tcPr>
            <w:tcW w:w="8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12,560,000</w:t>
            </w:r>
          </w:p>
        </w:tc>
        <w:tc>
          <w:tcPr>
            <w:tcW w:w="1120" w:type="dxa"/>
            <w:vAlign w:val="bottom"/>
            <w:tcBorders>
              <w:bottom w:val="single" w:sz="8" w:color="CCEEFF"/>
            </w:tcBorders>
            <w:gridSpan w:val="2"/>
          </w:tcPr>
          <w:p>
            <w:pPr>
              <w:jc w:val="right"/>
              <w:ind w:right="204"/>
              <w:spacing w:after="0"/>
              <w:rPr>
                <w:sz w:val="20"/>
                <w:szCs w:val="20"/>
                <w:color w:val="auto"/>
              </w:rPr>
            </w:pPr>
            <w:r>
              <w:rPr>
                <w:rFonts w:ascii="Arial" w:cs="Arial" w:eastAsia="Arial" w:hAnsi="Arial"/>
                <w:sz w:val="8"/>
                <w:szCs w:val="8"/>
                <w:color w:val="auto"/>
              </w:rPr>
              <w:t>90.7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8"/>
                <w:szCs w:val="8"/>
                <w:color w:val="auto"/>
              </w:rPr>
            </w:pPr>
          </w:p>
        </w:tc>
        <w:tc>
          <w:tcPr>
            <w:tcW w:w="1020" w:type="dxa"/>
            <w:vAlign w:val="bottom"/>
            <w:tcBorders>
              <w:bottom w:val="single" w:sz="8" w:color="CCEEFF"/>
            </w:tcBorders>
          </w:tcPr>
          <w:p>
            <w:pPr>
              <w:spacing w:after="0"/>
              <w:rPr>
                <w:sz w:val="8"/>
                <w:szCs w:val="8"/>
                <w:color w:val="auto"/>
              </w:rPr>
            </w:pPr>
          </w:p>
        </w:tc>
        <w:tc>
          <w:tcPr>
            <w:tcW w:w="13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20" w:type="dxa"/>
            <w:vAlign w:val="bottom"/>
            <w:shd w:val="clear" w:color="auto" w:fill="CCEEFF"/>
          </w:tcPr>
          <w:p>
            <w:pPr>
              <w:spacing w:after="0"/>
              <w:rPr>
                <w:sz w:val="8"/>
                <w:szCs w:val="8"/>
                <w:color w:val="auto"/>
              </w:rPr>
            </w:pPr>
          </w:p>
        </w:tc>
        <w:tc>
          <w:tcPr>
            <w:tcW w:w="2540" w:type="dxa"/>
            <w:vAlign w:val="bottom"/>
            <w:gridSpan w:val="4"/>
            <w:shd w:val="clear" w:color="auto" w:fill="CCEEFF"/>
          </w:tcPr>
          <w:p>
            <w:pPr>
              <w:ind w:left="400"/>
              <w:spacing w:after="0"/>
              <w:rPr>
                <w:sz w:val="20"/>
                <w:szCs w:val="20"/>
                <w:color w:val="auto"/>
              </w:rPr>
            </w:pPr>
            <w:r>
              <w:rPr>
                <w:rFonts w:ascii="Arial" w:cs="Arial" w:eastAsia="Arial" w:hAnsi="Arial"/>
                <w:sz w:val="8"/>
                <w:szCs w:val="8"/>
                <w:b w:val="1"/>
                <w:bCs w:val="1"/>
                <w:color w:val="auto"/>
              </w:rPr>
              <w:t>UNCONSOLIDATED JOINT VENTURE CENTERS:</w:t>
            </w: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0" w:type="dxa"/>
            <w:vAlign w:val="bottom"/>
          </w:tcPr>
          <w:p>
            <w:pPr>
              <w:jc w:val="center"/>
              <w:ind w:left="278"/>
              <w:spacing w:after="0" w:line="81" w:lineRule="exact"/>
              <w:rPr>
                <w:sz w:val="20"/>
                <w:szCs w:val="20"/>
                <w:color w:val="auto"/>
              </w:rPr>
            </w:pPr>
            <w:r>
              <w:rPr>
                <w:rFonts w:ascii="Arial" w:cs="Arial" w:eastAsia="Arial" w:hAnsi="Arial"/>
                <w:sz w:val="8"/>
                <w:szCs w:val="8"/>
                <w:color w:val="auto"/>
                <w:w w:val="89"/>
              </w:rPr>
              <w:t>29</w:t>
            </w:r>
          </w:p>
        </w:tc>
        <w:tc>
          <w:tcPr>
            <w:tcW w:w="960" w:type="dxa"/>
            <w:vAlign w:val="bottom"/>
          </w:tcPr>
          <w:p>
            <w:pPr>
              <w:jc w:val="center"/>
              <w:ind w:left="338"/>
              <w:spacing w:after="0" w:line="81" w:lineRule="exact"/>
              <w:rPr>
                <w:sz w:val="20"/>
                <w:szCs w:val="20"/>
                <w:color w:val="auto"/>
              </w:rPr>
            </w:pPr>
            <w:r>
              <w:rPr>
                <w:rFonts w:ascii="Arial" w:cs="Arial" w:eastAsia="Arial" w:hAnsi="Arial"/>
                <w:sz w:val="8"/>
                <w:szCs w:val="8"/>
                <w:color w:val="auto"/>
                <w:w w:val="87"/>
              </w:rPr>
              <w:t>60%</w:t>
            </w:r>
          </w:p>
        </w:tc>
        <w:tc>
          <w:tcPr>
            <w:tcW w:w="80" w:type="dxa"/>
            <w:vAlign w:val="bottom"/>
          </w:tcPr>
          <w:p>
            <w:pPr>
              <w:spacing w:after="0"/>
              <w:rPr>
                <w:sz w:val="7"/>
                <w:szCs w:val="7"/>
                <w:color w:val="auto"/>
              </w:rPr>
            </w:pPr>
          </w:p>
        </w:tc>
        <w:tc>
          <w:tcPr>
            <w:tcW w:w="1500" w:type="dxa"/>
            <w:vAlign w:val="bottom"/>
            <w:gridSpan w:val="2"/>
          </w:tcPr>
          <w:p>
            <w:pPr>
              <w:ind w:left="320"/>
              <w:spacing w:after="0" w:line="81" w:lineRule="exact"/>
              <w:rPr>
                <w:sz w:val="20"/>
                <w:szCs w:val="20"/>
                <w:color w:val="auto"/>
              </w:rPr>
            </w:pPr>
            <w:r>
              <w:rPr>
                <w:rFonts w:ascii="Arial" w:cs="Arial" w:eastAsia="Arial" w:hAnsi="Arial"/>
                <w:sz w:val="8"/>
                <w:szCs w:val="8"/>
                <w:color w:val="auto"/>
              </w:rPr>
              <w:t>Arrowhead Towne Center(4)</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1993/2002</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2015</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1,073,000</w:t>
            </w:r>
          </w:p>
        </w:tc>
        <w:tc>
          <w:tcPr>
            <w:tcW w:w="80" w:type="dxa"/>
            <w:vAlign w:val="bottom"/>
          </w:tcPr>
          <w:p>
            <w:pPr>
              <w:spacing w:after="0"/>
              <w:rPr>
                <w:sz w:val="7"/>
                <w:szCs w:val="7"/>
                <w:color w:val="auto"/>
              </w:rPr>
            </w:pP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386,000</w:t>
            </w:r>
          </w:p>
        </w:tc>
        <w:tc>
          <w:tcPr>
            <w:tcW w:w="1120" w:type="dxa"/>
            <w:vAlign w:val="bottom"/>
            <w:gridSpan w:val="2"/>
          </w:tcPr>
          <w:p>
            <w:pPr>
              <w:jc w:val="right"/>
              <w:ind w:right="204"/>
              <w:spacing w:after="0" w:line="81" w:lineRule="exact"/>
              <w:rPr>
                <w:sz w:val="20"/>
                <w:szCs w:val="20"/>
                <w:color w:val="auto"/>
              </w:rPr>
            </w:pPr>
            <w:r>
              <w:rPr>
                <w:rFonts w:ascii="Arial" w:cs="Arial" w:eastAsia="Arial" w:hAnsi="Arial"/>
                <w:sz w:val="8"/>
                <w:szCs w:val="8"/>
                <w:color w:val="auto"/>
              </w:rPr>
              <w:t>96.2</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58"/>
              <w:spacing w:after="0" w:line="81" w:lineRule="exact"/>
              <w:rPr>
                <w:sz w:val="20"/>
                <w:szCs w:val="20"/>
                <w:color w:val="auto"/>
              </w:rPr>
            </w:pPr>
            <w:r>
              <w:rPr>
                <w:rFonts w:ascii="Arial" w:cs="Arial" w:eastAsia="Arial" w:hAnsi="Arial"/>
                <w:sz w:val="8"/>
                <w:szCs w:val="8"/>
                <w:color w:val="auto"/>
                <w:w w:val="98"/>
              </w:rPr>
              <w:t>Dillard's,</w:t>
            </w:r>
          </w:p>
        </w:tc>
        <w:tc>
          <w:tcPr>
            <w:tcW w:w="1320" w:type="dxa"/>
            <w:vAlign w:val="bottom"/>
          </w:tcPr>
          <w:p>
            <w:pPr>
              <w:jc w:val="center"/>
              <w:ind w:left="15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right="58"/>
              <w:spacing w:after="0"/>
              <w:rPr>
                <w:sz w:val="20"/>
                <w:szCs w:val="20"/>
                <w:color w:val="auto"/>
              </w:rPr>
            </w:pPr>
            <w:r>
              <w:rPr>
                <w:rFonts w:ascii="Arial" w:cs="Arial" w:eastAsia="Arial" w:hAnsi="Arial"/>
                <w:sz w:val="8"/>
                <w:szCs w:val="8"/>
                <w:color w:val="auto"/>
                <w:w w:val="90"/>
              </w:rPr>
              <w:t>JCPenney, Macy's</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Glendale, Arizona</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520" w:type="dxa"/>
            <w:vAlign w:val="bottom"/>
            <w:shd w:val="clear" w:color="auto" w:fill="CCEEFF"/>
          </w:tcPr>
          <w:p>
            <w:pPr>
              <w:jc w:val="center"/>
              <w:ind w:left="278"/>
              <w:spacing w:after="0"/>
              <w:rPr>
                <w:sz w:val="20"/>
                <w:szCs w:val="20"/>
                <w:color w:val="auto"/>
              </w:rPr>
            </w:pPr>
            <w:r>
              <w:rPr>
                <w:rFonts w:ascii="Arial" w:cs="Arial" w:eastAsia="Arial" w:hAnsi="Arial"/>
                <w:sz w:val="8"/>
                <w:szCs w:val="8"/>
                <w:color w:val="auto"/>
                <w:w w:val="89"/>
              </w:rPr>
              <w:t>30</w:t>
            </w:r>
          </w:p>
        </w:tc>
        <w:tc>
          <w:tcPr>
            <w:tcW w:w="960" w:type="dxa"/>
            <w:vAlign w:val="bottom"/>
            <w:shd w:val="clear" w:color="auto" w:fill="CCEEFF"/>
          </w:tcPr>
          <w:p>
            <w:pPr>
              <w:jc w:val="center"/>
              <w:ind w:left="338"/>
              <w:spacing w:after="0"/>
              <w:rPr>
                <w:sz w:val="20"/>
                <w:szCs w:val="20"/>
                <w:color w:val="auto"/>
              </w:rPr>
            </w:pPr>
            <w:r>
              <w:rPr>
                <w:rFonts w:ascii="Arial" w:cs="Arial" w:eastAsia="Arial" w:hAnsi="Arial"/>
                <w:sz w:val="8"/>
                <w:szCs w:val="8"/>
                <w:color w:val="auto"/>
                <w:w w:val="87"/>
              </w:rPr>
              <w:t>50%</w:t>
            </w:r>
          </w:p>
        </w:tc>
        <w:tc>
          <w:tcPr>
            <w:tcW w:w="8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Biltmore Fashion Park</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1963/2003</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2020</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597,000</w:t>
            </w: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292,000</w:t>
            </w:r>
          </w:p>
        </w:tc>
        <w:tc>
          <w:tcPr>
            <w:tcW w:w="1120" w:type="dxa"/>
            <w:vAlign w:val="bottom"/>
            <w:gridSpan w:val="2"/>
            <w:shd w:val="clear" w:color="auto" w:fill="CCEEFF"/>
          </w:tcPr>
          <w:p>
            <w:pPr>
              <w:jc w:val="right"/>
              <w:ind w:right="204"/>
              <w:spacing w:after="0"/>
              <w:rPr>
                <w:sz w:val="20"/>
                <w:szCs w:val="20"/>
                <w:color w:val="auto"/>
              </w:rPr>
            </w:pPr>
            <w:r>
              <w:rPr>
                <w:rFonts w:ascii="Arial" w:cs="Arial" w:eastAsia="Arial" w:hAnsi="Arial"/>
                <w:sz w:val="8"/>
                <w:szCs w:val="8"/>
                <w:color w:val="auto"/>
              </w:rPr>
              <w:t>92.3</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9"/>
              </w:rPr>
              <w:t>—</w:t>
            </w:r>
          </w:p>
        </w:tc>
        <w:tc>
          <w:tcPr>
            <w:tcW w:w="132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5"/>
              </w:rPr>
              <w:t>Macy's, Saks Fifth Avenue</w:t>
            </w:r>
          </w:p>
        </w:tc>
        <w:tc>
          <w:tcPr>
            <w:tcW w:w="0" w:type="dxa"/>
            <w:vAlign w:val="bottom"/>
          </w:tcPr>
          <w:p>
            <w:pPr>
              <w:spacing w:after="0"/>
              <w:rPr>
                <w:sz w:val="1"/>
                <w:szCs w:val="1"/>
                <w:color w:val="auto"/>
              </w:rPr>
            </w:pPr>
          </w:p>
        </w:tc>
      </w:tr>
      <w:tr>
        <w:trPr>
          <w:trHeight w:val="190"/>
        </w:trPr>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8"/>
                <w:szCs w:val="8"/>
                <w:color w:val="auto"/>
              </w:rPr>
              <w:t>Phoenix, Arizona</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31</w:t>
            </w:r>
          </w:p>
        </w:tc>
        <w:tc>
          <w:tcPr>
            <w:tcW w:w="960" w:type="dxa"/>
            <w:vAlign w:val="bottom"/>
          </w:tcPr>
          <w:p>
            <w:pPr>
              <w:jc w:val="center"/>
              <w:ind w:left="338"/>
              <w:spacing w:after="0"/>
              <w:rPr>
                <w:sz w:val="20"/>
                <w:szCs w:val="20"/>
                <w:color w:val="auto"/>
              </w:rPr>
            </w:pPr>
            <w:r>
              <w:rPr>
                <w:rFonts w:ascii="Arial" w:cs="Arial" w:eastAsia="Arial" w:hAnsi="Arial"/>
                <w:sz w:val="8"/>
                <w:szCs w:val="8"/>
                <w:color w:val="auto"/>
                <w:w w:val="87"/>
              </w:rPr>
              <w:t>50%</w:t>
            </w:r>
          </w:p>
        </w:tc>
        <w:tc>
          <w:tcPr>
            <w:tcW w:w="80" w:type="dxa"/>
            <w:vAlign w:val="bottom"/>
          </w:tcPr>
          <w:p>
            <w:pPr>
              <w:spacing w:after="0"/>
              <w:rPr>
                <w:sz w:val="9"/>
                <w:szCs w:val="9"/>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Broadway Plaza(4)</w:t>
            </w:r>
          </w:p>
        </w:tc>
        <w:tc>
          <w:tcPr>
            <w:tcW w:w="900" w:type="dxa"/>
            <w:vAlign w:val="bottom"/>
          </w:tcPr>
          <w:p>
            <w:pPr>
              <w:jc w:val="right"/>
              <w:spacing w:after="0"/>
              <w:rPr>
                <w:sz w:val="20"/>
                <w:szCs w:val="20"/>
                <w:color w:val="auto"/>
              </w:rPr>
            </w:pPr>
            <w:r>
              <w:rPr>
                <w:rFonts w:ascii="Arial" w:cs="Arial" w:eastAsia="Arial" w:hAnsi="Arial"/>
                <w:sz w:val="8"/>
                <w:szCs w:val="8"/>
                <w:color w:val="auto"/>
              </w:rPr>
              <w:t>1951/1985</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2016</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990,000</w:t>
            </w:r>
          </w:p>
        </w:tc>
        <w:tc>
          <w:tcPr>
            <w:tcW w:w="8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445,000</w:t>
            </w:r>
          </w:p>
        </w:tc>
        <w:tc>
          <w:tcPr>
            <w:tcW w:w="1120" w:type="dxa"/>
            <w:vAlign w:val="bottom"/>
            <w:gridSpan w:val="2"/>
          </w:tcPr>
          <w:p>
            <w:pPr>
              <w:jc w:val="right"/>
              <w:ind w:right="204"/>
              <w:spacing w:after="0"/>
              <w:rPr>
                <w:sz w:val="20"/>
                <w:szCs w:val="20"/>
                <w:color w:val="auto"/>
              </w:rPr>
            </w:pPr>
            <w:r>
              <w:rPr>
                <w:rFonts w:ascii="Arial" w:cs="Arial" w:eastAsia="Arial" w:hAnsi="Arial"/>
                <w:sz w:val="8"/>
                <w:szCs w:val="8"/>
                <w:color w:val="auto"/>
              </w:rPr>
              <w:t>96.8</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8"/>
              <w:spacing w:after="0"/>
              <w:rPr>
                <w:sz w:val="20"/>
                <w:szCs w:val="20"/>
                <w:color w:val="auto"/>
              </w:rPr>
            </w:pPr>
            <w:r>
              <w:rPr>
                <w:rFonts w:ascii="Arial" w:cs="Arial" w:eastAsia="Arial" w:hAnsi="Arial"/>
                <w:sz w:val="8"/>
                <w:szCs w:val="8"/>
                <w:color w:val="auto"/>
                <w:w w:val="97"/>
              </w:rPr>
              <w:t>Macy's</w:t>
            </w:r>
          </w:p>
        </w:tc>
        <w:tc>
          <w:tcPr>
            <w:tcW w:w="1320" w:type="dxa"/>
            <w:vAlign w:val="bottom"/>
          </w:tcPr>
          <w:p>
            <w:pPr>
              <w:jc w:val="center"/>
              <w:ind w:left="158"/>
              <w:spacing w:after="0"/>
              <w:rPr>
                <w:sz w:val="20"/>
                <w:szCs w:val="20"/>
                <w:color w:val="auto"/>
              </w:rPr>
            </w:pPr>
            <w:r>
              <w:rPr>
                <w:rFonts w:ascii="Arial" w:cs="Arial" w:eastAsia="Arial" w:hAnsi="Arial"/>
                <w:sz w:val="8"/>
                <w:szCs w:val="8"/>
                <w:color w:val="auto"/>
                <w:w w:val="96"/>
              </w:rPr>
              <w:t>Nordstrom</w:t>
            </w: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Walnut Creek, California</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20" w:type="dxa"/>
            <w:vAlign w:val="bottom"/>
            <w:shd w:val="clear" w:color="auto" w:fill="CCEEFF"/>
          </w:tcPr>
          <w:p>
            <w:pPr>
              <w:jc w:val="center"/>
              <w:ind w:left="278"/>
              <w:spacing w:after="0" w:line="81" w:lineRule="exact"/>
              <w:rPr>
                <w:sz w:val="20"/>
                <w:szCs w:val="20"/>
                <w:color w:val="auto"/>
              </w:rPr>
            </w:pPr>
            <w:r>
              <w:rPr>
                <w:rFonts w:ascii="Arial" w:cs="Arial" w:eastAsia="Arial" w:hAnsi="Arial"/>
                <w:sz w:val="8"/>
                <w:szCs w:val="8"/>
                <w:color w:val="auto"/>
                <w:w w:val="89"/>
              </w:rPr>
              <w:t>32</w:t>
            </w:r>
          </w:p>
        </w:tc>
        <w:tc>
          <w:tcPr>
            <w:tcW w:w="960" w:type="dxa"/>
            <w:vAlign w:val="bottom"/>
            <w:shd w:val="clear" w:color="auto" w:fill="CCEEFF"/>
          </w:tcPr>
          <w:p>
            <w:pPr>
              <w:jc w:val="center"/>
              <w:ind w:left="338"/>
              <w:spacing w:after="0" w:line="81" w:lineRule="exact"/>
              <w:rPr>
                <w:sz w:val="20"/>
                <w:szCs w:val="20"/>
                <w:color w:val="auto"/>
              </w:rPr>
            </w:pPr>
            <w:r>
              <w:rPr>
                <w:rFonts w:ascii="Arial" w:cs="Arial" w:eastAsia="Arial" w:hAnsi="Arial"/>
                <w:sz w:val="8"/>
                <w:szCs w:val="8"/>
                <w:color w:val="auto"/>
                <w:w w:val="96"/>
              </w:rPr>
              <w:t>50.1%</w:t>
            </w:r>
          </w:p>
        </w:tc>
        <w:tc>
          <w:tcPr>
            <w:tcW w:w="8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20"/>
              <w:spacing w:after="0" w:line="81" w:lineRule="exact"/>
              <w:rPr>
                <w:sz w:val="20"/>
                <w:szCs w:val="20"/>
                <w:color w:val="auto"/>
              </w:rPr>
            </w:pPr>
            <w:r>
              <w:rPr>
                <w:rFonts w:ascii="Arial" w:cs="Arial" w:eastAsia="Arial" w:hAnsi="Arial"/>
                <w:sz w:val="8"/>
                <w:szCs w:val="8"/>
                <w:color w:val="auto"/>
              </w:rPr>
              <w:t>Corte Madera, The Village at</w:t>
            </w: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1985/1998</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2020</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501,000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265,000</w:t>
            </w:r>
          </w:p>
        </w:tc>
        <w:tc>
          <w:tcPr>
            <w:tcW w:w="1120" w:type="dxa"/>
            <w:vAlign w:val="bottom"/>
            <w:gridSpan w:val="2"/>
            <w:shd w:val="clear" w:color="auto" w:fill="CCEEFF"/>
          </w:tcPr>
          <w:p>
            <w:pPr>
              <w:jc w:val="right"/>
              <w:ind w:right="204"/>
              <w:spacing w:after="0" w:line="81" w:lineRule="exact"/>
              <w:rPr>
                <w:sz w:val="20"/>
                <w:szCs w:val="20"/>
                <w:color w:val="auto"/>
              </w:rPr>
            </w:pPr>
            <w:r>
              <w:rPr>
                <w:rFonts w:ascii="Arial" w:cs="Arial" w:eastAsia="Arial" w:hAnsi="Arial"/>
                <w:sz w:val="8"/>
                <w:szCs w:val="8"/>
                <w:color w:val="auto"/>
              </w:rPr>
              <w:t>94.5</w:t>
            </w:r>
          </w:p>
        </w:tc>
        <w:tc>
          <w:tcPr>
            <w:tcW w:w="1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58"/>
              <w:spacing w:after="0" w:line="81" w:lineRule="exact"/>
              <w:rPr>
                <w:sz w:val="20"/>
                <w:szCs w:val="20"/>
                <w:color w:val="auto"/>
              </w:rPr>
            </w:pPr>
            <w:r>
              <w:rPr>
                <w:rFonts w:ascii="Arial" w:cs="Arial" w:eastAsia="Arial" w:hAnsi="Arial"/>
                <w:sz w:val="8"/>
                <w:szCs w:val="8"/>
                <w:color w:val="auto"/>
                <w:w w:val="96"/>
              </w:rPr>
              <w:t>Macy's,</w:t>
            </w:r>
          </w:p>
        </w:tc>
        <w:tc>
          <w:tcPr>
            <w:tcW w:w="1320" w:type="dxa"/>
            <w:vAlign w:val="bottom"/>
            <w:shd w:val="clear" w:color="auto" w:fill="CCEEFF"/>
          </w:tcPr>
          <w:p>
            <w:pPr>
              <w:jc w:val="center"/>
              <w:ind w:left="158"/>
              <w:spacing w:after="0" w:line="81"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6"/>
              </w:rPr>
              <w:t>Nordstrom</w:t>
            </w: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Corte Madera, California</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33</w:t>
            </w:r>
          </w:p>
        </w:tc>
        <w:tc>
          <w:tcPr>
            <w:tcW w:w="960" w:type="dxa"/>
            <w:vAlign w:val="bottom"/>
          </w:tcPr>
          <w:p>
            <w:pPr>
              <w:jc w:val="center"/>
              <w:ind w:left="338"/>
              <w:spacing w:after="0"/>
              <w:rPr>
                <w:sz w:val="20"/>
                <w:szCs w:val="20"/>
                <w:color w:val="auto"/>
              </w:rPr>
            </w:pPr>
            <w:r>
              <w:rPr>
                <w:rFonts w:ascii="Arial" w:cs="Arial" w:eastAsia="Arial" w:hAnsi="Arial"/>
                <w:sz w:val="8"/>
                <w:szCs w:val="8"/>
                <w:color w:val="auto"/>
                <w:w w:val="87"/>
              </w:rPr>
              <w:t>50%</w:t>
            </w:r>
          </w:p>
        </w:tc>
        <w:tc>
          <w:tcPr>
            <w:tcW w:w="80" w:type="dxa"/>
            <w:vAlign w:val="bottom"/>
          </w:tcPr>
          <w:p>
            <w:pPr>
              <w:spacing w:after="0"/>
              <w:rPr>
                <w:sz w:val="9"/>
                <w:szCs w:val="9"/>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Country Club Plaza</w:t>
            </w:r>
          </w:p>
        </w:tc>
        <w:tc>
          <w:tcPr>
            <w:tcW w:w="900" w:type="dxa"/>
            <w:vAlign w:val="bottom"/>
          </w:tcPr>
          <w:p>
            <w:pPr>
              <w:jc w:val="right"/>
              <w:spacing w:after="0"/>
              <w:rPr>
                <w:sz w:val="20"/>
                <w:szCs w:val="20"/>
                <w:color w:val="auto"/>
              </w:rPr>
            </w:pPr>
            <w:r>
              <w:rPr>
                <w:rFonts w:ascii="Arial" w:cs="Arial" w:eastAsia="Arial" w:hAnsi="Arial"/>
                <w:sz w:val="8"/>
                <w:szCs w:val="8"/>
                <w:color w:val="auto"/>
              </w:rPr>
              <w:t>1922/2016</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2015</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947,000</w:t>
            </w:r>
          </w:p>
        </w:tc>
        <w:tc>
          <w:tcPr>
            <w:tcW w:w="8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947,000</w:t>
            </w:r>
          </w:p>
        </w:tc>
        <w:tc>
          <w:tcPr>
            <w:tcW w:w="1120" w:type="dxa"/>
            <w:vAlign w:val="bottom"/>
            <w:gridSpan w:val="2"/>
          </w:tcPr>
          <w:p>
            <w:pPr>
              <w:jc w:val="right"/>
              <w:ind w:right="204"/>
              <w:spacing w:after="0"/>
              <w:rPr>
                <w:sz w:val="20"/>
                <w:szCs w:val="20"/>
                <w:color w:val="auto"/>
              </w:rPr>
            </w:pPr>
            <w:r>
              <w:rPr>
                <w:rFonts w:ascii="Arial" w:cs="Arial" w:eastAsia="Arial" w:hAnsi="Arial"/>
                <w:sz w:val="8"/>
                <w:szCs w:val="8"/>
                <w:color w:val="auto"/>
              </w:rPr>
              <w:t>84.9</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8"/>
              <w:spacing w:after="0"/>
              <w:rPr>
                <w:sz w:val="20"/>
                <w:szCs w:val="20"/>
                <w:color w:val="auto"/>
              </w:rPr>
            </w:pPr>
            <w:r>
              <w:rPr>
                <w:rFonts w:ascii="Arial" w:cs="Arial" w:eastAsia="Arial" w:hAnsi="Arial"/>
                <w:sz w:val="8"/>
                <w:szCs w:val="8"/>
                <w:color w:val="auto"/>
                <w:w w:val="99"/>
              </w:rPr>
              <w:t>—</w:t>
            </w:r>
          </w:p>
        </w:tc>
        <w:tc>
          <w:tcPr>
            <w:tcW w:w="1320" w:type="dxa"/>
            <w:vAlign w:val="bottom"/>
          </w:tcPr>
          <w:p>
            <w:pPr>
              <w:jc w:val="center"/>
              <w:ind w:left="158"/>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3"/>
        </w:trPr>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ind w:left="320"/>
              <w:spacing w:after="0"/>
              <w:rPr>
                <w:sz w:val="20"/>
                <w:szCs w:val="20"/>
                <w:color w:val="auto"/>
              </w:rPr>
            </w:pPr>
            <w:r>
              <w:rPr>
                <w:rFonts w:ascii="Arial" w:cs="Arial" w:eastAsia="Arial" w:hAnsi="Arial"/>
                <w:sz w:val="8"/>
                <w:szCs w:val="8"/>
                <w:color w:val="auto"/>
              </w:rPr>
              <w:t>Kansas City, Missouri</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20" w:type="dxa"/>
            <w:vAlign w:val="bottom"/>
            <w:shd w:val="clear" w:color="auto" w:fill="CCEEFF"/>
          </w:tcPr>
          <w:p>
            <w:pPr>
              <w:jc w:val="center"/>
              <w:ind w:left="278"/>
              <w:spacing w:after="0" w:line="88" w:lineRule="exact"/>
              <w:rPr>
                <w:sz w:val="20"/>
                <w:szCs w:val="20"/>
                <w:color w:val="auto"/>
              </w:rPr>
            </w:pPr>
            <w:r>
              <w:rPr>
                <w:rFonts w:ascii="Arial" w:cs="Arial" w:eastAsia="Arial" w:hAnsi="Arial"/>
                <w:sz w:val="8"/>
                <w:szCs w:val="8"/>
                <w:color w:val="auto"/>
                <w:w w:val="89"/>
              </w:rPr>
              <w:t>34</w:t>
            </w:r>
          </w:p>
        </w:tc>
        <w:tc>
          <w:tcPr>
            <w:tcW w:w="960" w:type="dxa"/>
            <w:vAlign w:val="bottom"/>
            <w:shd w:val="clear" w:color="auto" w:fill="CCEEFF"/>
          </w:tcPr>
          <w:p>
            <w:pPr>
              <w:jc w:val="center"/>
              <w:ind w:left="338"/>
              <w:spacing w:after="0" w:line="88" w:lineRule="exact"/>
              <w:rPr>
                <w:sz w:val="20"/>
                <w:szCs w:val="20"/>
                <w:color w:val="auto"/>
              </w:rPr>
            </w:pPr>
            <w:r>
              <w:rPr>
                <w:rFonts w:ascii="Arial" w:cs="Arial" w:eastAsia="Arial" w:hAnsi="Arial"/>
                <w:sz w:val="8"/>
                <w:szCs w:val="8"/>
                <w:color w:val="auto"/>
                <w:w w:val="87"/>
              </w:rPr>
              <w:t>51%</w:t>
            </w:r>
          </w:p>
        </w:tc>
        <w:tc>
          <w:tcPr>
            <w:tcW w:w="8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20"/>
              <w:spacing w:after="0" w:line="88" w:lineRule="exact"/>
              <w:rPr>
                <w:sz w:val="20"/>
                <w:szCs w:val="20"/>
                <w:color w:val="auto"/>
              </w:rPr>
            </w:pPr>
            <w:r>
              <w:rPr>
                <w:rFonts w:ascii="Arial" w:cs="Arial" w:eastAsia="Arial" w:hAnsi="Arial"/>
                <w:sz w:val="8"/>
                <w:szCs w:val="8"/>
                <w:color w:val="auto"/>
              </w:rPr>
              <w:t>Deptford Mall</w:t>
            </w: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1975/2006</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2020</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1,000,000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428,000</w:t>
            </w:r>
          </w:p>
        </w:tc>
        <w:tc>
          <w:tcPr>
            <w:tcW w:w="1120" w:type="dxa"/>
            <w:vAlign w:val="bottom"/>
            <w:gridSpan w:val="2"/>
            <w:shd w:val="clear" w:color="auto" w:fill="CCEEFF"/>
          </w:tcPr>
          <w:p>
            <w:pPr>
              <w:jc w:val="right"/>
              <w:ind w:right="204"/>
              <w:spacing w:after="0" w:line="88" w:lineRule="exact"/>
              <w:rPr>
                <w:sz w:val="20"/>
                <w:szCs w:val="20"/>
                <w:color w:val="auto"/>
              </w:rPr>
            </w:pPr>
            <w:r>
              <w:rPr>
                <w:rFonts w:ascii="Arial" w:cs="Arial" w:eastAsia="Arial" w:hAnsi="Arial"/>
                <w:sz w:val="8"/>
                <w:szCs w:val="8"/>
                <w:color w:val="auto"/>
              </w:rPr>
              <w:t>95.1</w:t>
            </w:r>
          </w:p>
        </w:tc>
        <w:tc>
          <w:tcPr>
            <w:tcW w:w="1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58"/>
              <w:spacing w:after="0" w:line="88" w:lineRule="exact"/>
              <w:rPr>
                <w:sz w:val="20"/>
                <w:szCs w:val="20"/>
                <w:color w:val="auto"/>
              </w:rPr>
            </w:pPr>
            <w:r>
              <w:rPr>
                <w:rFonts w:ascii="Arial" w:cs="Arial" w:eastAsia="Arial" w:hAnsi="Arial"/>
                <w:sz w:val="8"/>
                <w:szCs w:val="8"/>
                <w:color w:val="auto"/>
                <w:w w:val="86"/>
              </w:rPr>
              <w:t>JCPenney,</w:t>
            </w:r>
          </w:p>
        </w:tc>
        <w:tc>
          <w:tcPr>
            <w:tcW w:w="132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6"/>
              </w:rPr>
              <w:t>Boscov's, Dick's Sporting</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ind w:left="320"/>
              <w:spacing w:after="0"/>
              <w:rPr>
                <w:sz w:val="20"/>
                <w:szCs w:val="20"/>
                <w:color w:val="auto"/>
              </w:rPr>
            </w:pPr>
            <w:r>
              <w:rPr>
                <w:rFonts w:ascii="Arial" w:cs="Arial" w:eastAsia="Arial" w:hAnsi="Arial"/>
                <w:sz w:val="8"/>
                <w:szCs w:val="8"/>
                <w:color w:val="auto"/>
              </w:rPr>
              <w:t>Deptford, New Jersey</w:t>
            </w: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7"/>
              </w:rPr>
              <w:t>Macy's</w:t>
            </w:r>
          </w:p>
        </w:tc>
        <w:tc>
          <w:tcPr>
            <w:tcW w:w="13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3"/>
              </w:rPr>
              <w:t>Goods</w:t>
            </w:r>
          </w:p>
        </w:tc>
        <w:tc>
          <w:tcPr>
            <w:tcW w:w="0" w:type="dxa"/>
            <w:vAlign w:val="bottom"/>
          </w:tcPr>
          <w:p>
            <w:pPr>
              <w:spacing w:after="0"/>
              <w:rPr>
                <w:sz w:val="1"/>
                <w:szCs w:val="1"/>
                <w:color w:val="auto"/>
              </w:rPr>
            </w:pPr>
          </w:p>
        </w:tc>
      </w:tr>
      <w:tr>
        <w:trPr>
          <w:trHeight w:val="82"/>
        </w:trPr>
        <w:tc>
          <w:tcPr>
            <w:tcW w:w="52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500" w:type="dxa"/>
            <w:vAlign w:val="bottom"/>
            <w:tcBorders>
              <w:bottom w:val="single" w:sz="8" w:color="CCEEFF"/>
            </w:tcBorders>
            <w:gridSpan w:val="2"/>
            <w:vMerge w:val="continue"/>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0" w:type="dxa"/>
            <w:vAlign w:val="bottom"/>
          </w:tcPr>
          <w:p>
            <w:pPr>
              <w:jc w:val="center"/>
              <w:ind w:left="278"/>
              <w:spacing w:after="0" w:line="81" w:lineRule="exact"/>
              <w:rPr>
                <w:sz w:val="20"/>
                <w:szCs w:val="20"/>
                <w:color w:val="auto"/>
              </w:rPr>
            </w:pPr>
            <w:r>
              <w:rPr>
                <w:rFonts w:ascii="Arial" w:cs="Arial" w:eastAsia="Arial" w:hAnsi="Arial"/>
                <w:sz w:val="8"/>
                <w:szCs w:val="8"/>
                <w:color w:val="auto"/>
                <w:w w:val="89"/>
              </w:rPr>
              <w:t>35</w:t>
            </w:r>
          </w:p>
        </w:tc>
        <w:tc>
          <w:tcPr>
            <w:tcW w:w="960" w:type="dxa"/>
            <w:vAlign w:val="bottom"/>
          </w:tcPr>
          <w:p>
            <w:pPr>
              <w:jc w:val="center"/>
              <w:ind w:left="338"/>
              <w:spacing w:after="0" w:line="81" w:lineRule="exact"/>
              <w:rPr>
                <w:sz w:val="20"/>
                <w:szCs w:val="20"/>
                <w:color w:val="auto"/>
              </w:rPr>
            </w:pPr>
            <w:r>
              <w:rPr>
                <w:rFonts w:ascii="Arial" w:cs="Arial" w:eastAsia="Arial" w:hAnsi="Arial"/>
                <w:sz w:val="8"/>
                <w:szCs w:val="8"/>
                <w:color w:val="auto"/>
                <w:w w:val="87"/>
              </w:rPr>
              <w:t>51%</w:t>
            </w:r>
          </w:p>
        </w:tc>
        <w:tc>
          <w:tcPr>
            <w:tcW w:w="80" w:type="dxa"/>
            <w:vAlign w:val="bottom"/>
          </w:tcPr>
          <w:p>
            <w:pPr>
              <w:spacing w:after="0"/>
              <w:rPr>
                <w:sz w:val="7"/>
                <w:szCs w:val="7"/>
                <w:color w:val="auto"/>
              </w:rPr>
            </w:pPr>
          </w:p>
        </w:tc>
        <w:tc>
          <w:tcPr>
            <w:tcW w:w="1500" w:type="dxa"/>
            <w:vAlign w:val="bottom"/>
            <w:gridSpan w:val="2"/>
          </w:tcPr>
          <w:p>
            <w:pPr>
              <w:ind w:left="320"/>
              <w:spacing w:after="0" w:line="81" w:lineRule="exact"/>
              <w:rPr>
                <w:sz w:val="20"/>
                <w:szCs w:val="20"/>
                <w:color w:val="auto"/>
              </w:rPr>
            </w:pPr>
            <w:r>
              <w:rPr>
                <w:rFonts w:ascii="Arial" w:cs="Arial" w:eastAsia="Arial" w:hAnsi="Arial"/>
                <w:sz w:val="8"/>
                <w:szCs w:val="8"/>
                <w:color w:val="auto"/>
              </w:rPr>
              <w:t>FlatIron Crossing(4)</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2000/2002</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2009</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1,426,000</w:t>
            </w:r>
          </w:p>
        </w:tc>
        <w:tc>
          <w:tcPr>
            <w:tcW w:w="80" w:type="dxa"/>
            <w:vAlign w:val="bottom"/>
          </w:tcPr>
          <w:p>
            <w:pPr>
              <w:spacing w:after="0"/>
              <w:rPr>
                <w:sz w:val="7"/>
                <w:szCs w:val="7"/>
                <w:color w:val="auto"/>
              </w:rPr>
            </w:pP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727,000</w:t>
            </w:r>
          </w:p>
        </w:tc>
        <w:tc>
          <w:tcPr>
            <w:tcW w:w="1120" w:type="dxa"/>
            <w:vAlign w:val="bottom"/>
            <w:gridSpan w:val="2"/>
          </w:tcPr>
          <w:p>
            <w:pPr>
              <w:jc w:val="right"/>
              <w:ind w:right="204"/>
              <w:spacing w:after="0" w:line="81" w:lineRule="exact"/>
              <w:rPr>
                <w:sz w:val="20"/>
                <w:szCs w:val="20"/>
                <w:color w:val="auto"/>
              </w:rPr>
            </w:pPr>
            <w:r>
              <w:rPr>
                <w:rFonts w:ascii="Arial" w:cs="Arial" w:eastAsia="Arial" w:hAnsi="Arial"/>
                <w:sz w:val="8"/>
                <w:szCs w:val="8"/>
                <w:color w:val="auto"/>
              </w:rPr>
              <w:t>92.7</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58"/>
              <w:spacing w:after="0" w:line="81" w:lineRule="exact"/>
              <w:rPr>
                <w:sz w:val="20"/>
                <w:szCs w:val="20"/>
                <w:color w:val="auto"/>
              </w:rPr>
            </w:pPr>
            <w:r>
              <w:rPr>
                <w:rFonts w:ascii="Arial" w:cs="Arial" w:eastAsia="Arial" w:hAnsi="Arial"/>
                <w:sz w:val="8"/>
                <w:szCs w:val="8"/>
                <w:color w:val="auto"/>
              </w:rPr>
              <w:t>Dillard's, Macy's</w:t>
            </w:r>
          </w:p>
        </w:tc>
        <w:tc>
          <w:tcPr>
            <w:tcW w:w="1320" w:type="dxa"/>
            <w:vAlign w:val="bottom"/>
          </w:tcPr>
          <w:p>
            <w:pPr>
              <w:jc w:val="center"/>
              <w:ind w:left="17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restart"/>
          </w:tcPr>
          <w:p>
            <w:pPr>
              <w:ind w:left="320"/>
              <w:spacing w:after="0"/>
              <w:rPr>
                <w:sz w:val="20"/>
                <w:szCs w:val="20"/>
                <w:color w:val="auto"/>
              </w:rPr>
            </w:pPr>
            <w:r>
              <w:rPr>
                <w:rFonts w:ascii="Arial" w:cs="Arial" w:eastAsia="Arial" w:hAnsi="Arial"/>
                <w:sz w:val="8"/>
                <w:szCs w:val="8"/>
                <w:color w:val="auto"/>
              </w:rPr>
              <w:t>Broomfield, Colorado</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jc w:val="center"/>
              <w:ind w:right="38"/>
              <w:spacing w:after="0"/>
              <w:rPr>
                <w:sz w:val="20"/>
                <w:szCs w:val="20"/>
                <w:color w:val="auto"/>
              </w:rPr>
            </w:pPr>
            <w:r>
              <w:rPr>
                <w:rFonts w:ascii="Arial" w:cs="Arial" w:eastAsia="Arial" w:hAnsi="Arial"/>
                <w:sz w:val="8"/>
                <w:szCs w:val="8"/>
                <w:color w:val="auto"/>
                <w:w w:val="92"/>
              </w:rPr>
              <w:t>Forever 21</w:t>
            </w:r>
          </w:p>
        </w:tc>
        <w:tc>
          <w:tcPr>
            <w:tcW w:w="0" w:type="dxa"/>
            <w:vAlign w:val="bottom"/>
          </w:tcPr>
          <w:p>
            <w:pPr>
              <w:spacing w:after="0"/>
              <w:rPr>
                <w:sz w:val="1"/>
                <w:szCs w:val="1"/>
                <w:color w:val="auto"/>
              </w:rPr>
            </w:pPr>
          </w:p>
        </w:tc>
      </w:tr>
      <w:tr>
        <w:trPr>
          <w:trHeight w:val="63"/>
        </w:trPr>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520" w:type="dxa"/>
            <w:vAlign w:val="bottom"/>
            <w:shd w:val="clear" w:color="auto" w:fill="CCEEFF"/>
          </w:tcPr>
          <w:p>
            <w:pPr>
              <w:jc w:val="center"/>
              <w:ind w:left="278"/>
              <w:spacing w:after="0"/>
              <w:rPr>
                <w:sz w:val="20"/>
                <w:szCs w:val="20"/>
                <w:color w:val="auto"/>
              </w:rPr>
            </w:pPr>
            <w:r>
              <w:rPr>
                <w:rFonts w:ascii="Arial" w:cs="Arial" w:eastAsia="Arial" w:hAnsi="Arial"/>
                <w:sz w:val="8"/>
                <w:szCs w:val="8"/>
                <w:color w:val="auto"/>
                <w:w w:val="89"/>
              </w:rPr>
              <w:t>36</w:t>
            </w:r>
          </w:p>
        </w:tc>
        <w:tc>
          <w:tcPr>
            <w:tcW w:w="960" w:type="dxa"/>
            <w:vAlign w:val="bottom"/>
            <w:shd w:val="clear" w:color="auto" w:fill="CCEEFF"/>
          </w:tcPr>
          <w:p>
            <w:pPr>
              <w:jc w:val="center"/>
              <w:ind w:left="338"/>
              <w:spacing w:after="0"/>
              <w:rPr>
                <w:sz w:val="20"/>
                <w:szCs w:val="20"/>
                <w:color w:val="auto"/>
              </w:rPr>
            </w:pPr>
            <w:r>
              <w:rPr>
                <w:rFonts w:ascii="Arial" w:cs="Arial" w:eastAsia="Arial" w:hAnsi="Arial"/>
                <w:sz w:val="8"/>
                <w:szCs w:val="8"/>
                <w:color w:val="auto"/>
                <w:w w:val="87"/>
              </w:rPr>
              <w:t>50%</w:t>
            </w:r>
          </w:p>
        </w:tc>
        <w:tc>
          <w:tcPr>
            <w:tcW w:w="8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Kierland Commons</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1999/2005</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2003</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437,000</w:t>
            </w: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437,000</w:t>
            </w:r>
          </w:p>
        </w:tc>
        <w:tc>
          <w:tcPr>
            <w:tcW w:w="1120" w:type="dxa"/>
            <w:vAlign w:val="bottom"/>
            <w:gridSpan w:val="2"/>
            <w:shd w:val="clear" w:color="auto" w:fill="CCEEFF"/>
          </w:tcPr>
          <w:p>
            <w:pPr>
              <w:jc w:val="right"/>
              <w:ind w:right="204"/>
              <w:spacing w:after="0"/>
              <w:rPr>
                <w:sz w:val="20"/>
                <w:szCs w:val="20"/>
                <w:color w:val="auto"/>
              </w:rPr>
            </w:pPr>
            <w:r>
              <w:rPr>
                <w:rFonts w:ascii="Arial" w:cs="Arial" w:eastAsia="Arial" w:hAnsi="Arial"/>
                <w:sz w:val="8"/>
                <w:szCs w:val="8"/>
                <w:color w:val="auto"/>
              </w:rPr>
              <w:t>89.4</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9"/>
              </w:rPr>
              <w:t>—</w:t>
            </w:r>
          </w:p>
        </w:tc>
        <w:tc>
          <w:tcPr>
            <w:tcW w:w="1320" w:type="dxa"/>
            <w:vAlign w:val="bottom"/>
            <w:shd w:val="clear" w:color="auto" w:fill="CCEEFF"/>
          </w:tcPr>
          <w:p>
            <w:pPr>
              <w:jc w:val="center"/>
              <w:ind w:left="158"/>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Phoenix, Arizona</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0" w:type="dxa"/>
            <w:vAlign w:val="bottom"/>
          </w:tcPr>
          <w:p>
            <w:pPr>
              <w:jc w:val="center"/>
              <w:ind w:left="278"/>
              <w:spacing w:after="0" w:line="81" w:lineRule="exact"/>
              <w:rPr>
                <w:sz w:val="20"/>
                <w:szCs w:val="20"/>
                <w:color w:val="auto"/>
              </w:rPr>
            </w:pPr>
            <w:r>
              <w:rPr>
                <w:rFonts w:ascii="Arial" w:cs="Arial" w:eastAsia="Arial" w:hAnsi="Arial"/>
                <w:sz w:val="8"/>
                <w:szCs w:val="8"/>
                <w:color w:val="auto"/>
                <w:w w:val="89"/>
              </w:rPr>
              <w:t>37</w:t>
            </w:r>
          </w:p>
        </w:tc>
        <w:tc>
          <w:tcPr>
            <w:tcW w:w="960" w:type="dxa"/>
            <w:vAlign w:val="bottom"/>
          </w:tcPr>
          <w:p>
            <w:pPr>
              <w:jc w:val="center"/>
              <w:ind w:left="338"/>
              <w:spacing w:after="0" w:line="81" w:lineRule="exact"/>
              <w:rPr>
                <w:sz w:val="20"/>
                <w:szCs w:val="20"/>
                <w:color w:val="auto"/>
              </w:rPr>
            </w:pPr>
            <w:r>
              <w:rPr>
                <w:rFonts w:ascii="Arial" w:cs="Arial" w:eastAsia="Arial" w:hAnsi="Arial"/>
                <w:sz w:val="8"/>
                <w:szCs w:val="8"/>
                <w:color w:val="auto"/>
                <w:w w:val="87"/>
              </w:rPr>
              <w:t>60%</w:t>
            </w:r>
          </w:p>
        </w:tc>
        <w:tc>
          <w:tcPr>
            <w:tcW w:w="80" w:type="dxa"/>
            <w:vAlign w:val="bottom"/>
          </w:tcPr>
          <w:p>
            <w:pPr>
              <w:spacing w:after="0"/>
              <w:rPr>
                <w:sz w:val="7"/>
                <w:szCs w:val="7"/>
                <w:color w:val="auto"/>
              </w:rPr>
            </w:pPr>
          </w:p>
        </w:tc>
        <w:tc>
          <w:tcPr>
            <w:tcW w:w="1500" w:type="dxa"/>
            <w:vAlign w:val="bottom"/>
            <w:gridSpan w:val="2"/>
          </w:tcPr>
          <w:p>
            <w:pPr>
              <w:ind w:left="320"/>
              <w:spacing w:after="0" w:line="81" w:lineRule="exact"/>
              <w:rPr>
                <w:sz w:val="20"/>
                <w:szCs w:val="20"/>
                <w:color w:val="auto"/>
              </w:rPr>
            </w:pPr>
            <w:r>
              <w:rPr>
                <w:rFonts w:ascii="Arial" w:cs="Arial" w:eastAsia="Arial" w:hAnsi="Arial"/>
                <w:sz w:val="8"/>
                <w:szCs w:val="8"/>
                <w:color w:val="auto"/>
              </w:rPr>
              <w:t>Lakewood Center</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1953/1975</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2008</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1,981,000</w:t>
            </w:r>
          </w:p>
        </w:tc>
        <w:tc>
          <w:tcPr>
            <w:tcW w:w="80" w:type="dxa"/>
            <w:vAlign w:val="bottom"/>
          </w:tcPr>
          <w:p>
            <w:pPr>
              <w:spacing w:after="0"/>
              <w:rPr>
                <w:sz w:val="7"/>
                <w:szCs w:val="7"/>
                <w:color w:val="auto"/>
              </w:rPr>
            </w:pP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916,000</w:t>
            </w:r>
          </w:p>
        </w:tc>
        <w:tc>
          <w:tcPr>
            <w:tcW w:w="1120" w:type="dxa"/>
            <w:vAlign w:val="bottom"/>
            <w:gridSpan w:val="2"/>
          </w:tcPr>
          <w:p>
            <w:pPr>
              <w:jc w:val="right"/>
              <w:ind w:right="204"/>
              <w:spacing w:after="0" w:line="81" w:lineRule="exact"/>
              <w:rPr>
                <w:sz w:val="20"/>
                <w:szCs w:val="20"/>
                <w:color w:val="auto"/>
              </w:rPr>
            </w:pPr>
            <w:r>
              <w:rPr>
                <w:rFonts w:ascii="Arial" w:cs="Arial" w:eastAsia="Arial" w:hAnsi="Arial"/>
                <w:sz w:val="8"/>
                <w:szCs w:val="8"/>
                <w:color w:val="auto"/>
              </w:rPr>
              <w:t>89.2</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8"/>
              <w:spacing w:after="0" w:line="81" w:lineRule="exact"/>
              <w:rPr>
                <w:sz w:val="20"/>
                <w:szCs w:val="20"/>
                <w:color w:val="auto"/>
              </w:rPr>
            </w:pPr>
            <w:r>
              <w:rPr>
                <w:rFonts w:ascii="Arial" w:cs="Arial" w:eastAsia="Arial" w:hAnsi="Arial"/>
                <w:sz w:val="8"/>
                <w:szCs w:val="8"/>
                <w:color w:val="auto"/>
                <w:w w:val="99"/>
              </w:rPr>
              <w:t>—</w:t>
            </w:r>
          </w:p>
        </w:tc>
        <w:tc>
          <w:tcPr>
            <w:tcW w:w="1320" w:type="dxa"/>
            <w:vAlign w:val="bottom"/>
          </w:tcPr>
          <w:p>
            <w:pPr>
              <w:jc w:val="center"/>
              <w:ind w:left="158"/>
              <w:spacing w:after="0" w:line="81" w:lineRule="exact"/>
              <w:rPr>
                <w:sz w:val="20"/>
                <w:szCs w:val="20"/>
                <w:color w:val="auto"/>
              </w:rPr>
            </w:pPr>
            <w:r>
              <w:rPr>
                <w:rFonts w:ascii="Arial" w:cs="Arial" w:eastAsia="Arial" w:hAnsi="Arial"/>
                <w:sz w:val="8"/>
                <w:szCs w:val="8"/>
                <w:color w:val="auto"/>
                <w:w w:val="93"/>
              </w:rPr>
              <w:t>Costco, Forever 21, Home</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restart"/>
          </w:tcPr>
          <w:p>
            <w:pPr>
              <w:ind w:left="320"/>
              <w:spacing w:after="0"/>
              <w:rPr>
                <w:sz w:val="20"/>
                <w:szCs w:val="20"/>
                <w:color w:val="auto"/>
              </w:rPr>
            </w:pPr>
            <w:r>
              <w:rPr>
                <w:rFonts w:ascii="Arial" w:cs="Arial" w:eastAsia="Arial" w:hAnsi="Arial"/>
                <w:sz w:val="8"/>
                <w:szCs w:val="8"/>
                <w:color w:val="auto"/>
              </w:rPr>
              <w:t>Lakewood, California</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jc w:val="center"/>
              <w:ind w:right="38"/>
              <w:spacing w:after="0"/>
              <w:rPr>
                <w:sz w:val="20"/>
                <w:szCs w:val="20"/>
                <w:color w:val="auto"/>
              </w:rPr>
            </w:pPr>
            <w:r>
              <w:rPr>
                <w:rFonts w:ascii="Arial" w:cs="Arial" w:eastAsia="Arial" w:hAnsi="Arial"/>
                <w:sz w:val="8"/>
                <w:szCs w:val="8"/>
                <w:color w:val="auto"/>
                <w:w w:val="93"/>
              </w:rPr>
              <w:t>Depot, JCPenney, Macy's, Target</w:t>
            </w:r>
          </w:p>
        </w:tc>
        <w:tc>
          <w:tcPr>
            <w:tcW w:w="0" w:type="dxa"/>
            <w:vAlign w:val="bottom"/>
          </w:tcPr>
          <w:p>
            <w:pPr>
              <w:spacing w:after="0"/>
              <w:rPr>
                <w:sz w:val="1"/>
                <w:szCs w:val="1"/>
                <w:color w:val="auto"/>
              </w:rPr>
            </w:pPr>
          </w:p>
        </w:tc>
      </w:tr>
      <w:tr>
        <w:trPr>
          <w:trHeight w:val="63"/>
        </w:trPr>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20" w:type="dxa"/>
            <w:vAlign w:val="bottom"/>
            <w:shd w:val="clear" w:color="auto" w:fill="CCEEFF"/>
          </w:tcPr>
          <w:p>
            <w:pPr>
              <w:jc w:val="center"/>
              <w:ind w:left="278"/>
              <w:spacing w:after="0" w:line="81" w:lineRule="exact"/>
              <w:rPr>
                <w:sz w:val="20"/>
                <w:szCs w:val="20"/>
                <w:color w:val="auto"/>
              </w:rPr>
            </w:pPr>
            <w:r>
              <w:rPr>
                <w:rFonts w:ascii="Arial" w:cs="Arial" w:eastAsia="Arial" w:hAnsi="Arial"/>
                <w:sz w:val="8"/>
                <w:szCs w:val="8"/>
                <w:color w:val="auto"/>
                <w:w w:val="89"/>
              </w:rPr>
              <w:t>38</w:t>
            </w:r>
          </w:p>
        </w:tc>
        <w:tc>
          <w:tcPr>
            <w:tcW w:w="960" w:type="dxa"/>
            <w:vAlign w:val="bottom"/>
            <w:shd w:val="clear" w:color="auto" w:fill="CCEEFF"/>
          </w:tcPr>
          <w:p>
            <w:pPr>
              <w:jc w:val="center"/>
              <w:ind w:left="338"/>
              <w:spacing w:after="0" w:line="81" w:lineRule="exact"/>
              <w:rPr>
                <w:sz w:val="20"/>
                <w:szCs w:val="20"/>
                <w:color w:val="auto"/>
              </w:rPr>
            </w:pPr>
            <w:r>
              <w:rPr>
                <w:rFonts w:ascii="Arial" w:cs="Arial" w:eastAsia="Arial" w:hAnsi="Arial"/>
                <w:sz w:val="8"/>
                <w:szCs w:val="8"/>
                <w:color w:val="auto"/>
                <w:w w:val="87"/>
              </w:rPr>
              <w:t>60%</w:t>
            </w:r>
          </w:p>
        </w:tc>
        <w:tc>
          <w:tcPr>
            <w:tcW w:w="80" w:type="dxa"/>
            <w:vAlign w:val="bottom"/>
            <w:shd w:val="clear" w:color="auto" w:fill="CCEEFF"/>
          </w:tcPr>
          <w:p>
            <w:pPr>
              <w:spacing w:after="0"/>
              <w:rPr>
                <w:sz w:val="7"/>
                <w:szCs w:val="7"/>
                <w:color w:val="auto"/>
              </w:rPr>
            </w:pPr>
          </w:p>
        </w:tc>
        <w:tc>
          <w:tcPr>
            <w:tcW w:w="1500" w:type="dxa"/>
            <w:vAlign w:val="bottom"/>
            <w:gridSpan w:val="2"/>
            <w:shd w:val="clear" w:color="auto" w:fill="CCEEFF"/>
          </w:tcPr>
          <w:p>
            <w:pPr>
              <w:ind w:left="320"/>
              <w:spacing w:after="0" w:line="81" w:lineRule="exact"/>
              <w:rPr>
                <w:sz w:val="20"/>
                <w:szCs w:val="20"/>
                <w:color w:val="auto"/>
              </w:rPr>
            </w:pPr>
            <w:r>
              <w:rPr>
                <w:rFonts w:ascii="Arial" w:cs="Arial" w:eastAsia="Arial" w:hAnsi="Arial"/>
                <w:sz w:val="8"/>
                <w:szCs w:val="8"/>
                <w:color w:val="auto"/>
              </w:rPr>
              <w:t>Los Cerritos Center(9)</w:t>
            </w: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1971/1999</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2016</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1,012,000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537,000</w:t>
            </w:r>
          </w:p>
        </w:tc>
        <w:tc>
          <w:tcPr>
            <w:tcW w:w="1120" w:type="dxa"/>
            <w:vAlign w:val="bottom"/>
            <w:gridSpan w:val="2"/>
            <w:shd w:val="clear" w:color="auto" w:fill="CCEEFF"/>
          </w:tcPr>
          <w:p>
            <w:pPr>
              <w:jc w:val="right"/>
              <w:ind w:right="204"/>
              <w:spacing w:after="0" w:line="81" w:lineRule="exact"/>
              <w:rPr>
                <w:sz w:val="20"/>
                <w:szCs w:val="20"/>
                <w:color w:val="auto"/>
              </w:rPr>
            </w:pPr>
            <w:r>
              <w:rPr>
                <w:rFonts w:ascii="Arial" w:cs="Arial" w:eastAsia="Arial" w:hAnsi="Arial"/>
                <w:sz w:val="8"/>
                <w:szCs w:val="8"/>
                <w:color w:val="auto"/>
              </w:rPr>
              <w:t>90.8</w:t>
            </w:r>
          </w:p>
        </w:tc>
        <w:tc>
          <w:tcPr>
            <w:tcW w:w="1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58"/>
              <w:spacing w:after="0" w:line="81" w:lineRule="exact"/>
              <w:rPr>
                <w:sz w:val="20"/>
                <w:szCs w:val="20"/>
                <w:color w:val="auto"/>
              </w:rPr>
            </w:pPr>
            <w:r>
              <w:rPr>
                <w:rFonts w:ascii="Arial" w:cs="Arial" w:eastAsia="Arial" w:hAnsi="Arial"/>
                <w:sz w:val="8"/>
                <w:szCs w:val="8"/>
                <w:color w:val="auto"/>
                <w:w w:val="96"/>
              </w:rPr>
              <w:t>Macy's,</w:t>
            </w:r>
          </w:p>
        </w:tc>
        <w:tc>
          <w:tcPr>
            <w:tcW w:w="1320" w:type="dxa"/>
            <w:vAlign w:val="bottom"/>
            <w:shd w:val="clear" w:color="auto" w:fill="CCEEFF"/>
          </w:tcPr>
          <w:p>
            <w:pPr>
              <w:jc w:val="center"/>
              <w:ind w:left="17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58"/>
              <w:spacing w:after="0"/>
              <w:rPr>
                <w:sz w:val="20"/>
                <w:szCs w:val="20"/>
                <w:color w:val="auto"/>
              </w:rPr>
            </w:pPr>
            <w:r>
              <w:rPr>
                <w:rFonts w:ascii="Arial" w:cs="Arial" w:eastAsia="Arial" w:hAnsi="Arial"/>
                <w:sz w:val="8"/>
                <w:szCs w:val="8"/>
                <w:color w:val="auto"/>
                <w:w w:val="96"/>
              </w:rPr>
              <w:t>Nordstrom</w:t>
            </w:r>
          </w:p>
        </w:tc>
        <w:tc>
          <w:tcPr>
            <w:tcW w:w="1320" w:type="dxa"/>
            <w:vAlign w:val="bottom"/>
            <w:shd w:val="clear" w:color="auto" w:fill="CCEEFF"/>
          </w:tcPr>
          <w:p>
            <w:pPr>
              <w:jc w:val="center"/>
              <w:ind w:right="38"/>
              <w:spacing w:after="0"/>
              <w:rPr>
                <w:sz w:val="20"/>
                <w:szCs w:val="20"/>
                <w:color w:val="auto"/>
              </w:rPr>
            </w:pPr>
            <w:r>
              <w:rPr>
                <w:rFonts w:ascii="Arial" w:cs="Arial" w:eastAsia="Arial" w:hAnsi="Arial"/>
                <w:sz w:val="8"/>
                <w:szCs w:val="8"/>
                <w:color w:val="auto"/>
                <w:w w:val="92"/>
              </w:rPr>
              <w:t>Forever 21</w:t>
            </w:r>
          </w:p>
        </w:tc>
        <w:tc>
          <w:tcPr>
            <w:tcW w:w="0" w:type="dxa"/>
            <w:vAlign w:val="bottom"/>
          </w:tcPr>
          <w:p>
            <w:pPr>
              <w:spacing w:after="0"/>
              <w:rPr>
                <w:sz w:val="1"/>
                <w:szCs w:val="1"/>
                <w:color w:val="auto"/>
              </w:rPr>
            </w:pPr>
          </w:p>
        </w:tc>
      </w:tr>
      <w:tr>
        <w:trPr>
          <w:trHeight w:val="174"/>
        </w:trPr>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8"/>
                <w:szCs w:val="8"/>
                <w:color w:val="auto"/>
              </w:rPr>
              <w:t>Cerritos, California</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520" w:type="dxa"/>
            <w:vAlign w:val="bottom"/>
          </w:tcPr>
          <w:p>
            <w:pPr>
              <w:jc w:val="center"/>
              <w:ind w:left="278"/>
              <w:spacing w:after="0" w:line="81" w:lineRule="exact"/>
              <w:rPr>
                <w:sz w:val="20"/>
                <w:szCs w:val="20"/>
                <w:color w:val="auto"/>
              </w:rPr>
            </w:pPr>
            <w:r>
              <w:rPr>
                <w:rFonts w:ascii="Arial" w:cs="Arial" w:eastAsia="Arial" w:hAnsi="Arial"/>
                <w:sz w:val="8"/>
                <w:szCs w:val="8"/>
                <w:color w:val="auto"/>
                <w:w w:val="89"/>
              </w:rPr>
              <w:t>39</w:t>
            </w:r>
          </w:p>
        </w:tc>
        <w:tc>
          <w:tcPr>
            <w:tcW w:w="960" w:type="dxa"/>
            <w:vAlign w:val="bottom"/>
          </w:tcPr>
          <w:p>
            <w:pPr>
              <w:jc w:val="center"/>
              <w:ind w:left="338"/>
              <w:spacing w:after="0" w:line="81" w:lineRule="exact"/>
              <w:rPr>
                <w:sz w:val="20"/>
                <w:szCs w:val="20"/>
                <w:color w:val="auto"/>
              </w:rPr>
            </w:pPr>
            <w:r>
              <w:rPr>
                <w:rFonts w:ascii="Arial" w:cs="Arial" w:eastAsia="Arial" w:hAnsi="Arial"/>
                <w:sz w:val="8"/>
                <w:szCs w:val="8"/>
                <w:color w:val="auto"/>
                <w:w w:val="87"/>
              </w:rPr>
              <w:t>50%</w:t>
            </w:r>
          </w:p>
        </w:tc>
        <w:tc>
          <w:tcPr>
            <w:tcW w:w="80" w:type="dxa"/>
            <w:vAlign w:val="bottom"/>
          </w:tcPr>
          <w:p>
            <w:pPr>
              <w:spacing w:after="0"/>
              <w:rPr>
                <w:sz w:val="7"/>
                <w:szCs w:val="7"/>
                <w:color w:val="auto"/>
              </w:rPr>
            </w:pPr>
          </w:p>
        </w:tc>
        <w:tc>
          <w:tcPr>
            <w:tcW w:w="1500" w:type="dxa"/>
            <w:vAlign w:val="bottom"/>
            <w:gridSpan w:val="2"/>
          </w:tcPr>
          <w:p>
            <w:pPr>
              <w:ind w:left="320"/>
              <w:spacing w:after="0" w:line="81" w:lineRule="exact"/>
              <w:rPr>
                <w:sz w:val="20"/>
                <w:szCs w:val="20"/>
                <w:color w:val="auto"/>
              </w:rPr>
            </w:pPr>
            <w:r>
              <w:rPr>
                <w:rFonts w:ascii="Arial" w:cs="Arial" w:eastAsia="Arial" w:hAnsi="Arial"/>
                <w:sz w:val="8"/>
                <w:szCs w:val="8"/>
                <w:color w:val="auto"/>
              </w:rPr>
              <w:t>Scottsdale Fashion Square</w:t>
            </w: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1961/2002</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2020</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1,883,000</w:t>
            </w:r>
          </w:p>
        </w:tc>
        <w:tc>
          <w:tcPr>
            <w:tcW w:w="80" w:type="dxa"/>
            <w:vAlign w:val="bottom"/>
          </w:tcPr>
          <w:p>
            <w:pPr>
              <w:spacing w:after="0"/>
              <w:rPr>
                <w:sz w:val="7"/>
                <w:szCs w:val="7"/>
                <w:color w:val="auto"/>
              </w:rPr>
            </w:pP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922,000</w:t>
            </w:r>
          </w:p>
        </w:tc>
        <w:tc>
          <w:tcPr>
            <w:tcW w:w="1120" w:type="dxa"/>
            <w:vAlign w:val="bottom"/>
            <w:gridSpan w:val="2"/>
          </w:tcPr>
          <w:p>
            <w:pPr>
              <w:jc w:val="right"/>
              <w:ind w:right="204"/>
              <w:spacing w:after="0" w:line="81" w:lineRule="exact"/>
              <w:rPr>
                <w:sz w:val="20"/>
                <w:szCs w:val="20"/>
                <w:color w:val="auto"/>
              </w:rPr>
            </w:pPr>
            <w:r>
              <w:rPr>
                <w:rFonts w:ascii="Arial" w:cs="Arial" w:eastAsia="Arial" w:hAnsi="Arial"/>
                <w:sz w:val="8"/>
                <w:szCs w:val="8"/>
                <w:color w:val="auto"/>
              </w:rPr>
              <w:t>95.2</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58"/>
              <w:spacing w:after="0" w:line="81" w:lineRule="exact"/>
              <w:rPr>
                <w:sz w:val="20"/>
                <w:szCs w:val="20"/>
                <w:color w:val="auto"/>
              </w:rPr>
            </w:pPr>
            <w:r>
              <w:rPr>
                <w:rFonts w:ascii="Arial" w:cs="Arial" w:eastAsia="Arial" w:hAnsi="Arial"/>
                <w:sz w:val="8"/>
                <w:szCs w:val="8"/>
                <w:color w:val="auto"/>
              </w:rPr>
              <w:t>Dillard's</w:t>
            </w:r>
          </w:p>
        </w:tc>
        <w:tc>
          <w:tcPr>
            <w:tcW w:w="1320" w:type="dxa"/>
            <w:vAlign w:val="bottom"/>
          </w:tcPr>
          <w:p>
            <w:pPr>
              <w:jc w:val="center"/>
              <w:ind w:left="17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87"/>
        </w:trPr>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20" w:type="dxa"/>
            <w:vAlign w:val="bottom"/>
          </w:tcPr>
          <w:p>
            <w:pPr>
              <w:jc w:val="center"/>
              <w:ind w:right="38"/>
              <w:spacing w:after="0" w:line="87" w:lineRule="exact"/>
              <w:rPr>
                <w:sz w:val="20"/>
                <w:szCs w:val="20"/>
                <w:color w:val="auto"/>
              </w:rPr>
            </w:pPr>
            <w:r>
              <w:rPr>
                <w:rFonts w:ascii="Arial" w:cs="Arial" w:eastAsia="Arial" w:hAnsi="Arial"/>
                <w:sz w:val="8"/>
                <w:szCs w:val="8"/>
                <w:color w:val="auto"/>
                <w:w w:val="96"/>
              </w:rPr>
              <w:t>Macy's, Neiman Marcus,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105"/>
        </w:trPr>
        <w:tc>
          <w:tcPr>
            <w:tcW w:w="4280" w:type="dxa"/>
            <w:vAlign w:val="bottom"/>
            <w:vMerge w:val="restart"/>
          </w:tcPr>
          <w:p>
            <w:pPr>
              <w:spacing w:after="0"/>
              <w:rPr>
                <w:sz w:val="20"/>
                <w:szCs w:val="20"/>
                <w:color w:val="auto"/>
              </w:rPr>
            </w:pPr>
            <w:r>
              <w:rPr>
                <w:rFonts w:ascii="Arial" w:cs="Arial" w:eastAsia="Arial" w:hAnsi="Arial"/>
                <w:sz w:val="8"/>
                <w:szCs w:val="8"/>
                <w:color w:val="auto"/>
              </w:rPr>
              <w:t>Scottsdale, Arizona</w:t>
            </w:r>
          </w:p>
        </w:tc>
        <w:tc>
          <w:tcPr>
            <w:tcW w:w="3980" w:type="dxa"/>
            <w:vAlign w:val="bottom"/>
          </w:tcPr>
          <w:p>
            <w:pPr>
              <w:ind w:left="3620"/>
              <w:spacing w:after="0"/>
              <w:rPr>
                <w:sz w:val="20"/>
                <w:szCs w:val="20"/>
                <w:color w:val="auto"/>
              </w:rPr>
            </w:pPr>
            <w:r>
              <w:rPr>
                <w:rFonts w:ascii="Arial" w:cs="Arial" w:eastAsia="Arial" w:hAnsi="Arial"/>
                <w:sz w:val="8"/>
                <w:szCs w:val="8"/>
                <w:color w:val="auto"/>
                <w:w w:val="90"/>
              </w:rPr>
              <w:t>Nordstrom</w:t>
            </w:r>
          </w:p>
        </w:tc>
        <w:tc>
          <w:tcPr>
            <w:tcW w:w="0" w:type="dxa"/>
            <w:vAlign w:val="bottom"/>
          </w:tcPr>
          <w:p>
            <w:pPr>
              <w:spacing w:after="0"/>
              <w:rPr>
                <w:sz w:val="1"/>
                <w:szCs w:val="1"/>
                <w:color w:val="auto"/>
              </w:rPr>
            </w:pPr>
          </w:p>
        </w:tc>
      </w:tr>
      <w:tr>
        <w:trPr>
          <w:trHeight w:val="48"/>
        </w:trPr>
        <w:tc>
          <w:tcPr>
            <w:tcW w:w="4280" w:type="dxa"/>
            <w:vAlign w:val="bottom"/>
            <w:vMerge w:val="continue"/>
          </w:tcPr>
          <w:p>
            <w:pPr>
              <w:spacing w:after="0"/>
              <w:rPr>
                <w:sz w:val="4"/>
                <w:szCs w:val="4"/>
                <w:color w:val="auto"/>
              </w:rPr>
            </w:pPr>
          </w:p>
        </w:tc>
        <w:tc>
          <w:tcPr>
            <w:tcW w:w="39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60"/>
          </w:cols>
          <w:pgMar w:left="580" w:top="626" w:right="6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80"/>
        </w:trPr>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gridSpan w:val="2"/>
          </w:tcPr>
          <w:p>
            <w:pPr>
              <w:ind w:left="300"/>
              <w:spacing w:after="0"/>
              <w:rPr>
                <w:sz w:val="20"/>
                <w:szCs w:val="20"/>
                <w:color w:val="auto"/>
              </w:rPr>
            </w:pPr>
            <w:r>
              <w:rPr>
                <w:rFonts w:ascii="Arial" w:cs="Arial" w:eastAsia="Arial" w:hAnsi="Arial"/>
                <w:sz w:val="7"/>
                <w:szCs w:val="7"/>
                <w:b w:val="1"/>
                <w:bCs w:val="1"/>
                <w:color w:val="auto"/>
              </w:rPr>
              <w:t>Year of</w:t>
            </w:r>
          </w:p>
        </w:tc>
        <w:tc>
          <w:tcPr>
            <w:tcW w:w="880" w:type="dxa"/>
            <w:vAlign w:val="bottom"/>
            <w:gridSpan w:val="2"/>
          </w:tcPr>
          <w:p>
            <w:pPr>
              <w:ind w:left="340"/>
              <w:spacing w:after="0"/>
              <w:rPr>
                <w:sz w:val="20"/>
                <w:szCs w:val="20"/>
                <w:color w:val="auto"/>
              </w:rPr>
            </w:pPr>
            <w:r>
              <w:rPr>
                <w:rFonts w:ascii="Arial" w:cs="Arial" w:eastAsia="Arial" w:hAnsi="Arial"/>
                <w:sz w:val="7"/>
                <w:szCs w:val="7"/>
                <w:b w:val="1"/>
                <w:bCs w:val="1"/>
                <w:color w:val="auto"/>
              </w:rPr>
              <w:t>Year of Most</w:t>
            </w: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179"/>
              <w:spacing w:after="0"/>
              <w:rPr>
                <w:sz w:val="20"/>
                <w:szCs w:val="20"/>
                <w:color w:val="auto"/>
              </w:rPr>
            </w:pPr>
            <w:r>
              <w:rPr>
                <w:rFonts w:ascii="Arial" w:cs="Arial" w:eastAsia="Arial" w:hAnsi="Arial"/>
                <w:sz w:val="7"/>
                <w:szCs w:val="7"/>
                <w:b w:val="1"/>
                <w:bCs w:val="1"/>
                <w:color w:val="auto"/>
              </w:rPr>
              <w:t>Mall and</w:t>
            </w:r>
          </w:p>
        </w:tc>
        <w:tc>
          <w:tcPr>
            <w:tcW w:w="100" w:type="dxa"/>
            <w:vAlign w:val="bottom"/>
          </w:tcPr>
          <w:p>
            <w:pPr>
              <w:spacing w:after="0"/>
              <w:rPr>
                <w:sz w:val="7"/>
                <w:szCs w:val="7"/>
                <w:color w:val="auto"/>
              </w:rPr>
            </w:pPr>
          </w:p>
        </w:tc>
        <w:tc>
          <w:tcPr>
            <w:tcW w:w="1020" w:type="dxa"/>
            <w:vAlign w:val="bottom"/>
          </w:tcPr>
          <w:p>
            <w:pPr>
              <w:jc w:val="right"/>
              <w:ind w:right="60"/>
              <w:spacing w:after="0"/>
              <w:rPr>
                <w:sz w:val="20"/>
                <w:szCs w:val="20"/>
                <w:color w:val="auto"/>
              </w:rPr>
            </w:pPr>
            <w:r>
              <w:rPr>
                <w:rFonts w:ascii="Arial" w:cs="Arial" w:eastAsia="Arial" w:hAnsi="Arial"/>
                <w:sz w:val="7"/>
                <w:szCs w:val="7"/>
                <w:b w:val="1"/>
                <w:bCs w:val="1"/>
                <w:color w:val="auto"/>
              </w:rPr>
              <w:t>Percentage</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20" w:type="dxa"/>
            <w:vAlign w:val="bottom"/>
          </w:tcPr>
          <w:p>
            <w:pPr>
              <w:spacing w:after="0"/>
              <w:rPr>
                <w:sz w:val="6"/>
                <w:szCs w:val="6"/>
                <w:color w:val="auto"/>
              </w:rPr>
            </w:pPr>
          </w:p>
        </w:tc>
        <w:tc>
          <w:tcPr>
            <w:tcW w:w="1060" w:type="dxa"/>
            <w:vAlign w:val="bottom"/>
            <w:gridSpan w:val="3"/>
            <w:vMerge w:val="restart"/>
          </w:tcPr>
          <w:p>
            <w:pPr>
              <w:ind w:left="400"/>
              <w:spacing w:after="0"/>
              <w:rPr>
                <w:sz w:val="20"/>
                <w:szCs w:val="20"/>
                <w:color w:val="auto"/>
              </w:rPr>
            </w:pPr>
            <w:r>
              <w:rPr>
                <w:rFonts w:ascii="Arial" w:cs="Arial" w:eastAsia="Arial" w:hAnsi="Arial"/>
                <w:sz w:val="7"/>
                <w:szCs w:val="7"/>
                <w:b w:val="1"/>
                <w:bCs w:val="1"/>
                <w:color w:val="auto"/>
              </w:rPr>
              <w:t>Company's</w:t>
            </w:r>
          </w:p>
        </w:tc>
        <w:tc>
          <w:tcPr>
            <w:tcW w:w="1640" w:type="dxa"/>
            <w:vAlign w:val="bottom"/>
            <w:gridSpan w:val="3"/>
            <w:vMerge w:val="restart"/>
          </w:tcPr>
          <w:p>
            <w:pPr>
              <w:ind w:left="700"/>
              <w:spacing w:after="0"/>
              <w:rPr>
                <w:sz w:val="20"/>
                <w:szCs w:val="20"/>
                <w:color w:val="auto"/>
              </w:rPr>
            </w:pPr>
            <w:r>
              <w:rPr>
                <w:rFonts w:ascii="Arial" w:cs="Arial" w:eastAsia="Arial" w:hAnsi="Arial"/>
                <w:sz w:val="7"/>
                <w:szCs w:val="7"/>
                <w:b w:val="1"/>
                <w:bCs w:val="1"/>
                <w:color w:val="auto"/>
              </w:rPr>
              <w:t>Name of</w:t>
            </w:r>
          </w:p>
        </w:tc>
        <w:tc>
          <w:tcPr>
            <w:tcW w:w="800" w:type="dxa"/>
            <w:vAlign w:val="bottom"/>
            <w:gridSpan w:val="2"/>
          </w:tcPr>
          <w:p>
            <w:pPr>
              <w:jc w:val="center"/>
              <w:ind w:right="260"/>
              <w:spacing w:after="0" w:line="72" w:lineRule="exact"/>
              <w:rPr>
                <w:sz w:val="20"/>
                <w:szCs w:val="20"/>
                <w:color w:val="auto"/>
              </w:rPr>
            </w:pPr>
            <w:r>
              <w:rPr>
                <w:rFonts w:ascii="Arial" w:cs="Arial" w:eastAsia="Arial" w:hAnsi="Arial"/>
                <w:sz w:val="7"/>
                <w:szCs w:val="7"/>
                <w:b w:val="1"/>
                <w:bCs w:val="1"/>
                <w:color w:val="auto"/>
                <w:w w:val="98"/>
              </w:rPr>
              <w:t>Original</w:t>
            </w:r>
          </w:p>
        </w:tc>
        <w:tc>
          <w:tcPr>
            <w:tcW w:w="880" w:type="dxa"/>
            <w:vAlign w:val="bottom"/>
            <w:gridSpan w:val="2"/>
          </w:tcPr>
          <w:p>
            <w:pPr>
              <w:jc w:val="center"/>
              <w:ind w:right="100"/>
              <w:spacing w:after="0" w:line="72" w:lineRule="exact"/>
              <w:rPr>
                <w:sz w:val="20"/>
                <w:szCs w:val="20"/>
                <w:color w:val="auto"/>
              </w:rPr>
            </w:pPr>
            <w:r>
              <w:rPr>
                <w:rFonts w:ascii="Arial" w:cs="Arial" w:eastAsia="Arial" w:hAnsi="Arial"/>
                <w:sz w:val="7"/>
                <w:szCs w:val="7"/>
                <w:b w:val="1"/>
                <w:bCs w:val="1"/>
                <w:color w:val="auto"/>
                <w:w w:val="94"/>
              </w:rPr>
              <w:t>Recent</w:t>
            </w:r>
          </w:p>
        </w:tc>
        <w:tc>
          <w:tcPr>
            <w:tcW w:w="900" w:type="dxa"/>
            <w:vAlign w:val="bottom"/>
            <w:vMerge w:val="restart"/>
          </w:tcPr>
          <w:p>
            <w:pPr>
              <w:jc w:val="right"/>
              <w:ind w:right="178"/>
              <w:spacing w:after="0"/>
              <w:rPr>
                <w:sz w:val="20"/>
                <w:szCs w:val="20"/>
                <w:color w:val="auto"/>
              </w:rPr>
            </w:pPr>
            <w:r>
              <w:rPr>
                <w:rFonts w:ascii="Arial" w:cs="Arial" w:eastAsia="Arial" w:hAnsi="Arial"/>
                <w:sz w:val="7"/>
                <w:szCs w:val="7"/>
                <w:b w:val="1"/>
                <w:bCs w:val="1"/>
                <w:color w:val="auto"/>
              </w:rPr>
              <w:t>Total</w:t>
            </w: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jc w:val="center"/>
              <w:ind w:left="140"/>
              <w:spacing w:after="0" w:line="72" w:lineRule="exact"/>
              <w:rPr>
                <w:sz w:val="20"/>
                <w:szCs w:val="20"/>
                <w:color w:val="auto"/>
              </w:rPr>
            </w:pPr>
            <w:r>
              <w:rPr>
                <w:rFonts w:ascii="Arial" w:cs="Arial" w:eastAsia="Arial" w:hAnsi="Arial"/>
                <w:sz w:val="7"/>
                <w:szCs w:val="7"/>
                <w:b w:val="1"/>
                <w:bCs w:val="1"/>
                <w:color w:val="auto"/>
                <w:w w:val="98"/>
              </w:rPr>
              <w:t>of Mall and</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restart"/>
          </w:tcPr>
          <w:p>
            <w:pPr>
              <w:jc w:val="center"/>
              <w:ind w:left="159"/>
              <w:spacing w:after="0"/>
              <w:rPr>
                <w:sz w:val="20"/>
                <w:szCs w:val="20"/>
                <w:color w:val="auto"/>
              </w:rPr>
            </w:pPr>
            <w:r>
              <w:rPr>
                <w:rFonts w:ascii="Arial" w:cs="Arial" w:eastAsia="Arial" w:hAnsi="Arial"/>
                <w:sz w:val="7"/>
                <w:szCs w:val="7"/>
                <w:b w:val="1"/>
                <w:bCs w:val="1"/>
                <w:color w:val="auto"/>
                <w:w w:val="96"/>
              </w:rPr>
              <w:t>Non-Owned</w:t>
            </w: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520" w:type="dxa"/>
            <w:vAlign w:val="bottom"/>
            <w:vMerge w:val="restart"/>
          </w:tcPr>
          <w:p>
            <w:pPr>
              <w:ind w:left="320"/>
              <w:spacing w:after="0"/>
              <w:rPr>
                <w:sz w:val="20"/>
                <w:szCs w:val="20"/>
                <w:color w:val="auto"/>
              </w:rPr>
            </w:pPr>
            <w:r>
              <w:rPr>
                <w:rFonts w:ascii="Arial" w:cs="Arial" w:eastAsia="Arial" w:hAnsi="Arial"/>
                <w:sz w:val="7"/>
                <w:szCs w:val="7"/>
                <w:b w:val="1"/>
                <w:bCs w:val="1"/>
                <w:color w:val="auto"/>
                <w:w w:val="88"/>
              </w:rPr>
              <w:t>Count</w:t>
            </w:r>
          </w:p>
        </w:tc>
        <w:tc>
          <w:tcPr>
            <w:tcW w:w="1060" w:type="dxa"/>
            <w:vAlign w:val="bottom"/>
            <w:gridSpan w:val="3"/>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800" w:type="dxa"/>
            <w:vAlign w:val="bottom"/>
            <w:gridSpan w:val="2"/>
          </w:tcPr>
          <w:p>
            <w:pPr>
              <w:jc w:val="center"/>
              <w:ind w:right="260"/>
              <w:spacing w:after="0" w:line="72" w:lineRule="exact"/>
              <w:rPr>
                <w:sz w:val="20"/>
                <w:szCs w:val="20"/>
                <w:color w:val="auto"/>
              </w:rPr>
            </w:pPr>
            <w:r>
              <w:rPr>
                <w:rFonts w:ascii="Arial" w:cs="Arial" w:eastAsia="Arial" w:hAnsi="Arial"/>
                <w:sz w:val="7"/>
                <w:szCs w:val="7"/>
                <w:b w:val="1"/>
                <w:bCs w:val="1"/>
                <w:color w:val="auto"/>
                <w:w w:val="92"/>
              </w:rPr>
              <w:t>Construction/</w:t>
            </w:r>
          </w:p>
        </w:tc>
        <w:tc>
          <w:tcPr>
            <w:tcW w:w="880" w:type="dxa"/>
            <w:vAlign w:val="bottom"/>
            <w:gridSpan w:val="2"/>
          </w:tcPr>
          <w:p>
            <w:pPr>
              <w:jc w:val="center"/>
              <w:ind w:right="100"/>
              <w:spacing w:after="0" w:line="72" w:lineRule="exact"/>
              <w:rPr>
                <w:sz w:val="20"/>
                <w:szCs w:val="20"/>
                <w:color w:val="auto"/>
              </w:rPr>
            </w:pPr>
            <w:r>
              <w:rPr>
                <w:rFonts w:ascii="Arial" w:cs="Arial" w:eastAsia="Arial" w:hAnsi="Arial"/>
                <w:sz w:val="7"/>
                <w:szCs w:val="7"/>
                <w:b w:val="1"/>
                <w:bCs w:val="1"/>
                <w:color w:val="auto"/>
                <w:w w:val="90"/>
              </w:rPr>
              <w:t>Expansion/</w:t>
            </w: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jc w:val="right"/>
              <w:ind w:right="279"/>
              <w:spacing w:after="0" w:line="72" w:lineRule="exact"/>
              <w:rPr>
                <w:sz w:val="20"/>
                <w:szCs w:val="20"/>
                <w:color w:val="auto"/>
              </w:rPr>
            </w:pPr>
            <w:r>
              <w:rPr>
                <w:rFonts w:ascii="Arial" w:cs="Arial" w:eastAsia="Arial" w:hAnsi="Arial"/>
                <w:sz w:val="7"/>
                <w:szCs w:val="7"/>
                <w:b w:val="1"/>
                <w:bCs w:val="1"/>
                <w:color w:val="auto"/>
              </w:rPr>
              <w:t>Freestanding</w:t>
            </w:r>
          </w:p>
        </w:tc>
        <w:tc>
          <w:tcPr>
            <w:tcW w:w="100" w:type="dxa"/>
            <w:vAlign w:val="bottom"/>
          </w:tcPr>
          <w:p>
            <w:pPr>
              <w:spacing w:after="0"/>
              <w:rPr>
                <w:sz w:val="6"/>
                <w:szCs w:val="6"/>
                <w:color w:val="auto"/>
              </w:rPr>
            </w:pPr>
          </w:p>
        </w:tc>
        <w:tc>
          <w:tcPr>
            <w:tcW w:w="1020" w:type="dxa"/>
            <w:vAlign w:val="bottom"/>
          </w:tcPr>
          <w:p>
            <w:pPr>
              <w:jc w:val="center"/>
              <w:ind w:left="140"/>
              <w:spacing w:after="0" w:line="72" w:lineRule="exact"/>
              <w:rPr>
                <w:sz w:val="20"/>
                <w:szCs w:val="20"/>
                <w:color w:val="auto"/>
              </w:rPr>
            </w:pPr>
            <w:r>
              <w:rPr>
                <w:rFonts w:ascii="Arial" w:cs="Arial" w:eastAsia="Arial" w:hAnsi="Arial"/>
                <w:sz w:val="7"/>
                <w:szCs w:val="7"/>
                <w:b w:val="1"/>
                <w:bCs w:val="1"/>
                <w:color w:val="auto"/>
                <w:w w:val="90"/>
              </w:rPr>
              <w:t>Freestanding</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340" w:type="dxa"/>
            <w:vAlign w:val="bottom"/>
            <w:vMerge w:val="restart"/>
          </w:tcPr>
          <w:p>
            <w:pPr>
              <w:jc w:val="center"/>
              <w:ind w:left="178"/>
              <w:spacing w:after="0"/>
              <w:rPr>
                <w:sz w:val="20"/>
                <w:szCs w:val="20"/>
                <w:color w:val="auto"/>
              </w:rPr>
            </w:pPr>
            <w:r>
              <w:rPr>
                <w:rFonts w:ascii="Arial" w:cs="Arial" w:eastAsia="Arial" w:hAnsi="Arial"/>
                <w:sz w:val="7"/>
                <w:szCs w:val="7"/>
                <w:b w:val="1"/>
                <w:bCs w:val="1"/>
                <w:color w:val="auto"/>
                <w:w w:val="93"/>
              </w:rPr>
              <w:t>Company-Owned Anchors (3)</w:t>
            </w:r>
          </w:p>
        </w:tc>
        <w:tc>
          <w:tcPr>
            <w:tcW w:w="0" w:type="dxa"/>
            <w:vAlign w:val="bottom"/>
          </w:tcPr>
          <w:p>
            <w:pPr>
              <w:spacing w:after="0"/>
              <w:rPr>
                <w:sz w:val="1"/>
                <w:szCs w:val="1"/>
                <w:color w:val="auto"/>
              </w:rPr>
            </w:pPr>
          </w:p>
        </w:tc>
      </w:tr>
      <w:tr>
        <w:trPr>
          <w:trHeight w:val="100"/>
        </w:trPr>
        <w:tc>
          <w:tcPr>
            <w:tcW w:w="520" w:type="dxa"/>
            <w:vAlign w:val="bottom"/>
            <w:vMerge w:val="continue"/>
          </w:tcPr>
          <w:p>
            <w:pPr>
              <w:spacing w:after="0"/>
              <w:rPr>
                <w:sz w:val="8"/>
                <w:szCs w:val="8"/>
                <w:color w:val="auto"/>
              </w:rPr>
            </w:pPr>
          </w:p>
        </w:tc>
        <w:tc>
          <w:tcPr>
            <w:tcW w:w="1060" w:type="dxa"/>
            <w:vAlign w:val="bottom"/>
            <w:gridSpan w:val="3"/>
          </w:tcPr>
          <w:p>
            <w:pPr>
              <w:ind w:left="100"/>
              <w:spacing w:after="0"/>
              <w:rPr>
                <w:sz w:val="20"/>
                <w:szCs w:val="20"/>
                <w:color w:val="auto"/>
              </w:rPr>
            </w:pPr>
            <w:r>
              <w:rPr>
                <w:rFonts w:ascii="Arial" w:cs="Arial" w:eastAsia="Arial" w:hAnsi="Arial"/>
                <w:sz w:val="7"/>
                <w:szCs w:val="7"/>
                <w:b w:val="1"/>
                <w:bCs w:val="1"/>
                <w:color w:val="auto"/>
              </w:rPr>
              <w:t>Ownership(1)</w:t>
            </w:r>
          </w:p>
        </w:tc>
        <w:tc>
          <w:tcPr>
            <w:tcW w:w="1640" w:type="dxa"/>
            <w:vAlign w:val="bottom"/>
            <w:gridSpan w:val="3"/>
          </w:tcPr>
          <w:p>
            <w:pPr>
              <w:ind w:left="380"/>
              <w:spacing w:after="0"/>
              <w:rPr>
                <w:sz w:val="20"/>
                <w:szCs w:val="20"/>
                <w:color w:val="auto"/>
              </w:rPr>
            </w:pPr>
            <w:r>
              <w:rPr>
                <w:rFonts w:ascii="Arial" w:cs="Arial" w:eastAsia="Arial" w:hAnsi="Arial"/>
                <w:sz w:val="7"/>
                <w:szCs w:val="7"/>
                <w:b w:val="1"/>
                <w:bCs w:val="1"/>
                <w:color w:val="auto"/>
              </w:rPr>
              <w:t>Center/Location(2)</w:t>
            </w:r>
          </w:p>
        </w:tc>
        <w:tc>
          <w:tcPr>
            <w:tcW w:w="800" w:type="dxa"/>
            <w:vAlign w:val="bottom"/>
            <w:gridSpan w:val="2"/>
          </w:tcPr>
          <w:p>
            <w:pPr>
              <w:jc w:val="center"/>
              <w:ind w:right="260"/>
              <w:spacing w:after="0"/>
              <w:rPr>
                <w:sz w:val="20"/>
                <w:szCs w:val="20"/>
                <w:color w:val="auto"/>
              </w:rPr>
            </w:pPr>
            <w:r>
              <w:rPr>
                <w:rFonts w:ascii="Arial" w:cs="Arial" w:eastAsia="Arial" w:hAnsi="Arial"/>
                <w:sz w:val="7"/>
                <w:szCs w:val="7"/>
                <w:b w:val="1"/>
                <w:bCs w:val="1"/>
                <w:color w:val="auto"/>
                <w:w w:val="89"/>
              </w:rPr>
              <w:t>Acquisition</w:t>
            </w:r>
          </w:p>
        </w:tc>
        <w:tc>
          <w:tcPr>
            <w:tcW w:w="88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4"/>
              </w:rPr>
              <w:t>Renovation</w:t>
            </w:r>
          </w:p>
        </w:tc>
        <w:tc>
          <w:tcPr>
            <w:tcW w:w="900" w:type="dxa"/>
            <w:vAlign w:val="bottom"/>
          </w:tcPr>
          <w:p>
            <w:pPr>
              <w:jc w:val="right"/>
              <w:ind w:right="298"/>
              <w:spacing w:after="0"/>
              <w:rPr>
                <w:sz w:val="20"/>
                <w:szCs w:val="20"/>
                <w:color w:val="auto"/>
              </w:rPr>
            </w:pPr>
            <w:r>
              <w:rPr>
                <w:rFonts w:ascii="Arial" w:cs="Arial" w:eastAsia="Arial" w:hAnsi="Arial"/>
                <w:sz w:val="7"/>
                <w:szCs w:val="7"/>
                <w:b w:val="1"/>
                <w:bCs w:val="1"/>
                <w:color w:val="auto"/>
              </w:rPr>
              <w:t>GLA(3)</w:t>
            </w:r>
          </w:p>
        </w:tc>
        <w:tc>
          <w:tcPr>
            <w:tcW w:w="80" w:type="dxa"/>
            <w:vAlign w:val="bottom"/>
          </w:tcPr>
          <w:p>
            <w:pPr>
              <w:spacing w:after="0"/>
              <w:rPr>
                <w:sz w:val="8"/>
                <w:szCs w:val="8"/>
                <w:color w:val="auto"/>
              </w:rPr>
            </w:pPr>
          </w:p>
        </w:tc>
        <w:tc>
          <w:tcPr>
            <w:tcW w:w="1040" w:type="dxa"/>
            <w:vAlign w:val="bottom"/>
          </w:tcPr>
          <w:p>
            <w:pPr>
              <w:jc w:val="right"/>
              <w:ind w:right="399"/>
              <w:spacing w:after="0"/>
              <w:rPr>
                <w:sz w:val="20"/>
                <w:szCs w:val="20"/>
                <w:color w:val="auto"/>
              </w:rPr>
            </w:pPr>
            <w:r>
              <w:rPr>
                <w:rFonts w:ascii="Arial" w:cs="Arial" w:eastAsia="Arial" w:hAnsi="Arial"/>
                <w:sz w:val="7"/>
                <w:szCs w:val="7"/>
                <w:b w:val="1"/>
                <w:bCs w:val="1"/>
                <w:color w:val="auto"/>
              </w:rPr>
              <w:t>GLA</w:t>
            </w:r>
          </w:p>
        </w:tc>
        <w:tc>
          <w:tcPr>
            <w:tcW w:w="100" w:type="dxa"/>
            <w:vAlign w:val="bottom"/>
          </w:tcPr>
          <w:p>
            <w:pPr>
              <w:spacing w:after="0"/>
              <w:rPr>
                <w:sz w:val="8"/>
                <w:szCs w:val="8"/>
                <w:color w:val="auto"/>
              </w:rPr>
            </w:pPr>
          </w:p>
        </w:tc>
        <w:tc>
          <w:tcPr>
            <w:tcW w:w="1020" w:type="dxa"/>
            <w:vAlign w:val="bottom"/>
          </w:tcPr>
          <w:p>
            <w:pPr>
              <w:jc w:val="center"/>
              <w:ind w:left="120"/>
              <w:spacing w:after="0"/>
              <w:rPr>
                <w:sz w:val="20"/>
                <w:szCs w:val="20"/>
                <w:color w:val="auto"/>
              </w:rPr>
            </w:pPr>
            <w:r>
              <w:rPr>
                <w:rFonts w:ascii="Arial" w:cs="Arial" w:eastAsia="Arial" w:hAnsi="Arial"/>
                <w:sz w:val="7"/>
                <w:szCs w:val="7"/>
                <w:b w:val="1"/>
                <w:bCs w:val="1"/>
                <w:color w:val="auto"/>
                <w:w w:val="92"/>
              </w:rPr>
              <w:t>GLA Leased</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jc w:val="center"/>
              <w:ind w:right="59"/>
              <w:spacing w:after="0"/>
              <w:rPr>
                <w:sz w:val="20"/>
                <w:szCs w:val="20"/>
                <w:color w:val="auto"/>
              </w:rPr>
            </w:pPr>
            <w:r>
              <w:rPr>
                <w:rFonts w:ascii="Arial" w:cs="Arial" w:eastAsia="Arial" w:hAnsi="Arial"/>
                <w:sz w:val="7"/>
                <w:szCs w:val="7"/>
                <w:b w:val="1"/>
                <w:bCs w:val="1"/>
                <w:color w:val="auto"/>
                <w:w w:val="92"/>
              </w:rPr>
              <w:t>Anchors (3)</w:t>
            </w: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5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520" w:type="dxa"/>
            <w:vAlign w:val="bottom"/>
            <w:shd w:val="clear" w:color="auto" w:fill="CCEEFF"/>
          </w:tcPr>
          <w:p>
            <w:pPr>
              <w:jc w:val="center"/>
              <w:ind w:left="278"/>
              <w:spacing w:after="0"/>
              <w:rPr>
                <w:sz w:val="20"/>
                <w:szCs w:val="20"/>
                <w:color w:val="auto"/>
              </w:rPr>
            </w:pPr>
            <w:r>
              <w:rPr>
                <w:rFonts w:ascii="Arial" w:cs="Arial" w:eastAsia="Arial" w:hAnsi="Arial"/>
                <w:sz w:val="8"/>
                <w:szCs w:val="8"/>
                <w:color w:val="auto"/>
                <w:w w:val="89"/>
              </w:rPr>
              <w:t>40</w:t>
            </w:r>
          </w:p>
        </w:tc>
        <w:tc>
          <w:tcPr>
            <w:tcW w:w="960" w:type="dxa"/>
            <w:vAlign w:val="bottom"/>
            <w:shd w:val="clear" w:color="auto" w:fill="CCEEFF"/>
          </w:tcPr>
          <w:p>
            <w:pPr>
              <w:jc w:val="center"/>
              <w:ind w:left="339"/>
              <w:spacing w:after="0"/>
              <w:rPr>
                <w:sz w:val="20"/>
                <w:szCs w:val="20"/>
                <w:color w:val="auto"/>
              </w:rPr>
            </w:pPr>
            <w:r>
              <w:rPr>
                <w:rFonts w:ascii="Arial" w:cs="Arial" w:eastAsia="Arial" w:hAnsi="Arial"/>
                <w:sz w:val="8"/>
                <w:szCs w:val="8"/>
                <w:color w:val="auto"/>
                <w:w w:val="87"/>
              </w:rPr>
              <w:t>60%</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South Plains Mall(4)</w:t>
            </w: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1972/1998</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2017</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1,136,000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494,000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90.3</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9"/>
              <w:spacing w:after="0"/>
              <w:rPr>
                <w:sz w:val="20"/>
                <w:szCs w:val="20"/>
                <w:color w:val="auto"/>
              </w:rPr>
            </w:pPr>
            <w:r>
              <w:rPr>
                <w:rFonts w:ascii="Arial" w:cs="Arial" w:eastAsia="Arial" w:hAnsi="Arial"/>
                <w:sz w:val="8"/>
                <w:szCs w:val="8"/>
                <w:color w:val="auto"/>
                <w:w w:val="99"/>
              </w:rPr>
              <w:t>—</w:t>
            </w:r>
          </w:p>
        </w:tc>
        <w:tc>
          <w:tcPr>
            <w:tcW w:w="1340" w:type="dxa"/>
            <w:vAlign w:val="bottom"/>
            <w:shd w:val="clear" w:color="auto" w:fill="CCEEFF"/>
          </w:tcPr>
          <w:p>
            <w:pPr>
              <w:jc w:val="center"/>
              <w:ind w:left="158"/>
              <w:spacing w:after="0"/>
              <w:rPr>
                <w:sz w:val="20"/>
                <w:szCs w:val="20"/>
                <w:color w:val="auto"/>
              </w:rPr>
            </w:pPr>
            <w:r>
              <w:rPr>
                <w:rFonts w:ascii="Arial" w:cs="Arial" w:eastAsia="Arial" w:hAnsi="Arial"/>
                <w:sz w:val="8"/>
                <w:szCs w:val="8"/>
                <w:color w:val="auto"/>
                <w:w w:val="95"/>
              </w:rPr>
              <w:t>Dillard's (two), JCPenney</w:t>
            </w:r>
          </w:p>
        </w:tc>
        <w:tc>
          <w:tcPr>
            <w:tcW w:w="0" w:type="dxa"/>
            <w:vAlign w:val="bottom"/>
          </w:tcPr>
          <w:p>
            <w:pPr>
              <w:spacing w:after="0"/>
              <w:rPr>
                <w:sz w:val="1"/>
                <w:szCs w:val="1"/>
                <w:color w:val="auto"/>
              </w:rPr>
            </w:pPr>
          </w:p>
        </w:tc>
      </w:tr>
      <w:tr>
        <w:trPr>
          <w:trHeight w:val="183"/>
        </w:trPr>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Lubbock, Texas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41</w:t>
            </w:r>
          </w:p>
        </w:tc>
        <w:tc>
          <w:tcPr>
            <w:tcW w:w="960" w:type="dxa"/>
            <w:vAlign w:val="bottom"/>
          </w:tcPr>
          <w:p>
            <w:pPr>
              <w:jc w:val="center"/>
              <w:ind w:left="339"/>
              <w:spacing w:after="0"/>
              <w:rPr>
                <w:sz w:val="20"/>
                <w:szCs w:val="20"/>
                <w:color w:val="auto"/>
              </w:rPr>
            </w:pPr>
            <w:r>
              <w:rPr>
                <w:rFonts w:ascii="Arial" w:cs="Arial" w:eastAsia="Arial" w:hAnsi="Arial"/>
                <w:sz w:val="8"/>
                <w:szCs w:val="8"/>
                <w:color w:val="auto"/>
                <w:w w:val="87"/>
              </w:rPr>
              <w:t>51%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Twenty Ninth Street(6)</w:t>
            </w:r>
          </w:p>
        </w:tc>
        <w:tc>
          <w:tcPr>
            <w:tcW w:w="720" w:type="dxa"/>
            <w:vAlign w:val="bottom"/>
          </w:tcPr>
          <w:p>
            <w:pPr>
              <w:jc w:val="right"/>
              <w:spacing w:after="0"/>
              <w:rPr>
                <w:sz w:val="20"/>
                <w:szCs w:val="20"/>
                <w:color w:val="auto"/>
              </w:rPr>
            </w:pPr>
            <w:r>
              <w:rPr>
                <w:rFonts w:ascii="Arial" w:cs="Arial" w:eastAsia="Arial" w:hAnsi="Arial"/>
                <w:sz w:val="8"/>
                <w:szCs w:val="8"/>
                <w:color w:val="auto"/>
              </w:rPr>
              <w:t>1963/1979</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2007</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703,000</w:t>
            </w:r>
          </w:p>
        </w:tc>
        <w:tc>
          <w:tcPr>
            <w:tcW w:w="1120" w:type="dxa"/>
            <w:vAlign w:val="bottom"/>
            <w:gridSpan w:val="2"/>
          </w:tcPr>
          <w:p>
            <w:pPr>
              <w:jc w:val="right"/>
              <w:spacing w:after="0"/>
              <w:rPr>
                <w:sz w:val="20"/>
                <w:szCs w:val="20"/>
                <w:color w:val="auto"/>
              </w:rPr>
            </w:pPr>
            <w:r>
              <w:rPr>
                <w:rFonts w:ascii="Arial" w:cs="Arial" w:eastAsia="Arial" w:hAnsi="Arial"/>
                <w:sz w:val="8"/>
                <w:szCs w:val="8"/>
                <w:color w:val="auto"/>
              </w:rPr>
              <w:t>561,000</w:t>
            </w:r>
          </w:p>
        </w:tc>
        <w:tc>
          <w:tcPr>
            <w:tcW w:w="1120" w:type="dxa"/>
            <w:vAlign w:val="bottom"/>
            <w:gridSpan w:val="2"/>
          </w:tcPr>
          <w:p>
            <w:pPr>
              <w:jc w:val="right"/>
              <w:ind w:right="200"/>
              <w:spacing w:after="0"/>
              <w:rPr>
                <w:sz w:val="20"/>
                <w:szCs w:val="20"/>
                <w:color w:val="auto"/>
              </w:rPr>
            </w:pPr>
            <w:r>
              <w:rPr>
                <w:rFonts w:ascii="Arial" w:cs="Arial" w:eastAsia="Arial" w:hAnsi="Arial"/>
                <w:sz w:val="8"/>
                <w:szCs w:val="8"/>
                <w:color w:val="auto"/>
              </w:rPr>
              <w:t>92.3</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9"/>
              <w:spacing w:after="0"/>
              <w:rPr>
                <w:sz w:val="20"/>
                <w:szCs w:val="20"/>
                <w:color w:val="auto"/>
              </w:rPr>
            </w:pPr>
            <w:r>
              <w:rPr>
                <w:rFonts w:ascii="Arial" w:cs="Arial" w:eastAsia="Arial" w:hAnsi="Arial"/>
                <w:sz w:val="8"/>
                <w:szCs w:val="8"/>
                <w:color w:val="auto"/>
                <w:w w:val="97"/>
              </w:rPr>
              <w:t>Macy's</w:t>
            </w:r>
          </w:p>
        </w:tc>
        <w:tc>
          <w:tcPr>
            <w:tcW w:w="1340" w:type="dxa"/>
            <w:vAlign w:val="bottom"/>
          </w:tcPr>
          <w:p>
            <w:pPr>
              <w:jc w:val="center"/>
              <w:ind w:left="158"/>
              <w:spacing w:after="0"/>
              <w:rPr>
                <w:sz w:val="20"/>
                <w:szCs w:val="20"/>
                <w:color w:val="auto"/>
              </w:rPr>
            </w:pPr>
            <w:r>
              <w:rPr>
                <w:rFonts w:ascii="Arial" w:cs="Arial" w:eastAsia="Arial" w:hAnsi="Arial"/>
                <w:sz w:val="8"/>
                <w:szCs w:val="8"/>
                <w:color w:val="auto"/>
                <w:w w:val="93"/>
              </w:rPr>
              <w:t>Home Depot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Boulder, Colorado</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520" w:type="dxa"/>
            <w:vAlign w:val="bottom"/>
            <w:shd w:val="clear" w:color="auto" w:fill="CCEEFF"/>
          </w:tcPr>
          <w:p>
            <w:pPr>
              <w:jc w:val="center"/>
              <w:ind w:left="278"/>
              <w:spacing w:after="0" w:line="81" w:lineRule="exact"/>
              <w:rPr>
                <w:sz w:val="20"/>
                <w:szCs w:val="20"/>
                <w:color w:val="auto"/>
              </w:rPr>
            </w:pPr>
            <w:r>
              <w:rPr>
                <w:rFonts w:ascii="Arial" w:cs="Arial" w:eastAsia="Arial" w:hAnsi="Arial"/>
                <w:sz w:val="8"/>
                <w:szCs w:val="8"/>
                <w:color w:val="auto"/>
                <w:w w:val="89"/>
              </w:rPr>
              <w:t>42</w:t>
            </w:r>
          </w:p>
        </w:tc>
        <w:tc>
          <w:tcPr>
            <w:tcW w:w="960" w:type="dxa"/>
            <w:vAlign w:val="bottom"/>
            <w:shd w:val="clear" w:color="auto" w:fill="CCEEFF"/>
          </w:tcPr>
          <w:p>
            <w:pPr>
              <w:jc w:val="center"/>
              <w:ind w:left="339"/>
              <w:spacing w:after="0" w:line="81" w:lineRule="exact"/>
              <w:rPr>
                <w:sz w:val="20"/>
                <w:szCs w:val="20"/>
                <w:color w:val="auto"/>
              </w:rPr>
            </w:pPr>
            <w:r>
              <w:rPr>
                <w:rFonts w:ascii="Arial" w:cs="Arial" w:eastAsia="Arial" w:hAnsi="Arial"/>
                <w:sz w:val="8"/>
                <w:szCs w:val="8"/>
                <w:color w:val="auto"/>
                <w:w w:val="87"/>
              </w:rPr>
              <w:t>50%</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40" w:type="dxa"/>
            <w:vAlign w:val="bottom"/>
            <w:gridSpan w:val="3"/>
            <w:shd w:val="clear" w:color="auto" w:fill="CCEEFF"/>
          </w:tcPr>
          <w:p>
            <w:pPr>
              <w:ind w:left="300"/>
              <w:spacing w:after="0" w:line="81" w:lineRule="exact"/>
              <w:rPr>
                <w:sz w:val="20"/>
                <w:szCs w:val="20"/>
                <w:color w:val="auto"/>
              </w:rPr>
            </w:pPr>
            <w:r>
              <w:rPr>
                <w:rFonts w:ascii="Arial" w:cs="Arial" w:eastAsia="Arial" w:hAnsi="Arial"/>
                <w:sz w:val="8"/>
                <w:szCs w:val="8"/>
                <w:color w:val="auto"/>
              </w:rPr>
              <w:t>Tysons Corner Center(9)</w:t>
            </w:r>
          </w:p>
        </w:tc>
        <w:tc>
          <w:tcPr>
            <w:tcW w:w="7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1968/2005</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2014</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1,827,000</w:t>
            </w:r>
          </w:p>
        </w:tc>
        <w:tc>
          <w:tcPr>
            <w:tcW w:w="1120" w:type="dxa"/>
            <w:vAlign w:val="bottom"/>
            <w:gridSpan w:val="2"/>
            <w:shd w:val="clear" w:color="auto" w:fill="CCEEFF"/>
          </w:tcPr>
          <w:p>
            <w:pPr>
              <w:jc w:val="right"/>
              <w:spacing w:after="0" w:line="81" w:lineRule="exact"/>
              <w:rPr>
                <w:sz w:val="20"/>
                <w:szCs w:val="20"/>
                <w:color w:val="auto"/>
              </w:rPr>
            </w:pPr>
            <w:r>
              <w:rPr>
                <w:rFonts w:ascii="Arial" w:cs="Arial" w:eastAsia="Arial" w:hAnsi="Arial"/>
                <w:sz w:val="8"/>
                <w:szCs w:val="8"/>
                <w:color w:val="auto"/>
              </w:rPr>
              <w:t>1,087,000</w:t>
            </w:r>
          </w:p>
        </w:tc>
        <w:tc>
          <w:tcPr>
            <w:tcW w:w="1120" w:type="dxa"/>
            <w:vAlign w:val="bottom"/>
            <w:gridSpan w:val="2"/>
            <w:shd w:val="clear" w:color="auto" w:fill="CCEEFF"/>
          </w:tcPr>
          <w:p>
            <w:pPr>
              <w:jc w:val="right"/>
              <w:ind w:right="200"/>
              <w:spacing w:after="0" w:line="81" w:lineRule="exact"/>
              <w:rPr>
                <w:sz w:val="20"/>
                <w:szCs w:val="20"/>
                <w:color w:val="auto"/>
              </w:rPr>
            </w:pPr>
            <w:r>
              <w:rPr>
                <w:rFonts w:ascii="Arial" w:cs="Arial" w:eastAsia="Arial" w:hAnsi="Arial"/>
                <w:sz w:val="8"/>
                <w:szCs w:val="8"/>
                <w:color w:val="auto"/>
              </w:rPr>
              <w:t>89.0</w:t>
            </w:r>
          </w:p>
        </w:tc>
        <w:tc>
          <w:tcPr>
            <w:tcW w:w="1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9"/>
              <w:spacing w:after="0" w:line="81" w:lineRule="exact"/>
              <w:rPr>
                <w:sz w:val="20"/>
                <w:szCs w:val="20"/>
                <w:color w:val="auto"/>
              </w:rPr>
            </w:pPr>
            <w:r>
              <w:rPr>
                <w:rFonts w:ascii="Arial" w:cs="Arial" w:eastAsia="Arial" w:hAnsi="Arial"/>
                <w:sz w:val="8"/>
                <w:szCs w:val="8"/>
                <w:color w:val="auto"/>
                <w:w w:val="99"/>
              </w:rPr>
              <w:t>—</w:t>
            </w:r>
          </w:p>
        </w:tc>
        <w:tc>
          <w:tcPr>
            <w:tcW w:w="1340" w:type="dxa"/>
            <w:vAlign w:val="bottom"/>
            <w:shd w:val="clear" w:color="auto" w:fill="CCEEFF"/>
          </w:tcPr>
          <w:p>
            <w:pPr>
              <w:jc w:val="center"/>
              <w:ind w:left="158"/>
              <w:spacing w:after="0" w:line="81" w:lineRule="exact"/>
              <w:rPr>
                <w:sz w:val="20"/>
                <w:szCs w:val="20"/>
                <w:color w:val="auto"/>
              </w:rPr>
            </w:pPr>
            <w:r>
              <w:rPr>
                <w:rFonts w:ascii="Arial" w:cs="Arial" w:eastAsia="Arial" w:hAnsi="Arial"/>
                <w:sz w:val="8"/>
                <w:szCs w:val="8"/>
                <w:color w:val="auto"/>
                <w:w w:val="96"/>
              </w:rPr>
              <w:t>Bloomingdale's, Macy's,</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40" w:type="dxa"/>
            <w:vAlign w:val="bottom"/>
            <w:shd w:val="clear" w:color="auto" w:fill="CCEEFF"/>
          </w:tcPr>
          <w:p>
            <w:pPr>
              <w:jc w:val="center"/>
              <w:ind w:right="38"/>
              <w:spacing w:after="0"/>
              <w:rPr>
                <w:sz w:val="20"/>
                <w:szCs w:val="20"/>
                <w:color w:val="auto"/>
              </w:rPr>
            </w:pPr>
            <w:r>
              <w:rPr>
                <w:rFonts w:ascii="Arial" w:cs="Arial" w:eastAsia="Arial" w:hAnsi="Arial"/>
                <w:sz w:val="8"/>
                <w:szCs w:val="8"/>
                <w:color w:val="auto"/>
                <w:w w:val="98"/>
              </w:rPr>
              <w:t>Nordstrom, Primark(7)</w:t>
            </w:r>
          </w:p>
        </w:tc>
        <w:tc>
          <w:tcPr>
            <w:tcW w:w="0" w:type="dxa"/>
            <w:vAlign w:val="bottom"/>
          </w:tcPr>
          <w:p>
            <w:pPr>
              <w:spacing w:after="0"/>
              <w:rPr>
                <w:sz w:val="1"/>
                <w:szCs w:val="1"/>
                <w:color w:val="auto"/>
              </w:rPr>
            </w:pPr>
          </w:p>
        </w:tc>
      </w:tr>
      <w:tr>
        <w:trPr>
          <w:trHeight w:val="135"/>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Tysons Corner, Virginia</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20" w:type="dxa"/>
            <w:vAlign w:val="bottom"/>
          </w:tcPr>
          <w:p>
            <w:pPr>
              <w:jc w:val="center"/>
              <w:ind w:left="278"/>
              <w:spacing w:after="0" w:line="81" w:lineRule="exact"/>
              <w:rPr>
                <w:sz w:val="20"/>
                <w:szCs w:val="20"/>
                <w:color w:val="auto"/>
              </w:rPr>
            </w:pPr>
            <w:r>
              <w:rPr>
                <w:rFonts w:ascii="Arial" w:cs="Arial" w:eastAsia="Arial" w:hAnsi="Arial"/>
                <w:sz w:val="8"/>
                <w:szCs w:val="8"/>
                <w:color w:val="auto"/>
                <w:w w:val="89"/>
              </w:rPr>
              <w:t>43</w:t>
            </w:r>
          </w:p>
        </w:tc>
        <w:tc>
          <w:tcPr>
            <w:tcW w:w="960" w:type="dxa"/>
            <w:vAlign w:val="bottom"/>
          </w:tcPr>
          <w:p>
            <w:pPr>
              <w:jc w:val="center"/>
              <w:ind w:left="339"/>
              <w:spacing w:after="0" w:line="81" w:lineRule="exact"/>
              <w:rPr>
                <w:sz w:val="20"/>
                <w:szCs w:val="20"/>
                <w:color w:val="auto"/>
              </w:rPr>
            </w:pPr>
            <w:r>
              <w:rPr>
                <w:rFonts w:ascii="Arial" w:cs="Arial" w:eastAsia="Arial" w:hAnsi="Arial"/>
                <w:sz w:val="8"/>
                <w:szCs w:val="8"/>
                <w:color w:val="auto"/>
                <w:w w:val="87"/>
              </w:rPr>
              <w:t>60%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gridSpan w:val="3"/>
          </w:tcPr>
          <w:p>
            <w:pPr>
              <w:ind w:left="300"/>
              <w:spacing w:after="0" w:line="81" w:lineRule="exact"/>
              <w:rPr>
                <w:sz w:val="20"/>
                <w:szCs w:val="20"/>
                <w:color w:val="auto"/>
              </w:rPr>
            </w:pPr>
            <w:r>
              <w:rPr>
                <w:rFonts w:ascii="Arial" w:cs="Arial" w:eastAsia="Arial" w:hAnsi="Arial"/>
                <w:sz w:val="8"/>
                <w:szCs w:val="8"/>
                <w:color w:val="auto"/>
              </w:rPr>
              <w:t>Washington Square(9)</w:t>
            </w:r>
          </w:p>
        </w:tc>
        <w:tc>
          <w:tcPr>
            <w:tcW w:w="720" w:type="dxa"/>
            <w:vAlign w:val="bottom"/>
          </w:tcPr>
          <w:p>
            <w:pPr>
              <w:jc w:val="right"/>
              <w:spacing w:after="0" w:line="81" w:lineRule="exact"/>
              <w:rPr>
                <w:sz w:val="20"/>
                <w:szCs w:val="20"/>
                <w:color w:val="auto"/>
              </w:rPr>
            </w:pPr>
            <w:r>
              <w:rPr>
                <w:rFonts w:ascii="Arial" w:cs="Arial" w:eastAsia="Arial" w:hAnsi="Arial"/>
                <w:sz w:val="8"/>
                <w:szCs w:val="8"/>
                <w:color w:val="auto"/>
              </w:rPr>
              <w:t>1974/1999</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2005</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1,300,000</w:t>
            </w:r>
          </w:p>
        </w:tc>
        <w:tc>
          <w:tcPr>
            <w:tcW w:w="1120" w:type="dxa"/>
            <w:vAlign w:val="bottom"/>
            <w:gridSpan w:val="2"/>
          </w:tcPr>
          <w:p>
            <w:pPr>
              <w:jc w:val="right"/>
              <w:spacing w:after="0" w:line="81" w:lineRule="exact"/>
              <w:rPr>
                <w:sz w:val="20"/>
                <w:szCs w:val="20"/>
                <w:color w:val="auto"/>
              </w:rPr>
            </w:pPr>
            <w:r>
              <w:rPr>
                <w:rFonts w:ascii="Arial" w:cs="Arial" w:eastAsia="Arial" w:hAnsi="Arial"/>
                <w:sz w:val="8"/>
                <w:szCs w:val="8"/>
                <w:color w:val="auto"/>
              </w:rPr>
              <w:t>577,000</w:t>
            </w:r>
          </w:p>
        </w:tc>
        <w:tc>
          <w:tcPr>
            <w:tcW w:w="1120" w:type="dxa"/>
            <w:vAlign w:val="bottom"/>
            <w:gridSpan w:val="2"/>
          </w:tcPr>
          <w:p>
            <w:pPr>
              <w:jc w:val="right"/>
              <w:ind w:right="200"/>
              <w:spacing w:after="0" w:line="81" w:lineRule="exact"/>
              <w:rPr>
                <w:sz w:val="20"/>
                <w:szCs w:val="20"/>
                <w:color w:val="auto"/>
              </w:rPr>
            </w:pPr>
            <w:r>
              <w:rPr>
                <w:rFonts w:ascii="Arial" w:cs="Arial" w:eastAsia="Arial" w:hAnsi="Arial"/>
                <w:sz w:val="8"/>
                <w:szCs w:val="8"/>
                <w:color w:val="auto"/>
              </w:rPr>
              <w:t>93.9</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9"/>
              <w:spacing w:after="0" w:line="81" w:lineRule="exact"/>
              <w:rPr>
                <w:sz w:val="20"/>
                <w:szCs w:val="20"/>
                <w:color w:val="auto"/>
              </w:rPr>
            </w:pPr>
            <w:r>
              <w:rPr>
                <w:rFonts w:ascii="Arial" w:cs="Arial" w:eastAsia="Arial" w:hAnsi="Arial"/>
                <w:sz w:val="8"/>
                <w:szCs w:val="8"/>
                <w:color w:val="auto"/>
                <w:w w:val="97"/>
              </w:rPr>
              <w:t>Macy's</w:t>
            </w:r>
          </w:p>
        </w:tc>
        <w:tc>
          <w:tcPr>
            <w:tcW w:w="1340" w:type="dxa"/>
            <w:vAlign w:val="bottom"/>
          </w:tcPr>
          <w:p>
            <w:pPr>
              <w:jc w:val="center"/>
              <w:ind w:left="158"/>
              <w:spacing w:after="0" w:line="81" w:lineRule="exact"/>
              <w:rPr>
                <w:sz w:val="20"/>
                <w:szCs w:val="20"/>
                <w:color w:val="auto"/>
              </w:rPr>
            </w:pPr>
            <w:r>
              <w:rPr>
                <w:rFonts w:ascii="Arial" w:cs="Arial" w:eastAsia="Arial" w:hAnsi="Arial"/>
                <w:sz w:val="8"/>
                <w:szCs w:val="8"/>
                <w:color w:val="auto"/>
                <w:w w:val="96"/>
              </w:rPr>
              <w:t>Dick's Sporting Goods,</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40" w:type="dxa"/>
            <w:vAlign w:val="bottom"/>
          </w:tcPr>
          <w:p>
            <w:pPr>
              <w:jc w:val="center"/>
              <w:ind w:right="38"/>
              <w:spacing w:after="0"/>
              <w:rPr>
                <w:sz w:val="20"/>
                <w:szCs w:val="20"/>
                <w:color w:val="auto"/>
              </w:rPr>
            </w:pPr>
            <w:r>
              <w:rPr>
                <w:rFonts w:ascii="Arial" w:cs="Arial" w:eastAsia="Arial" w:hAnsi="Arial"/>
                <w:sz w:val="8"/>
                <w:szCs w:val="8"/>
                <w:color w:val="auto"/>
                <w:w w:val="93"/>
              </w:rPr>
              <w:t>JCPenney, Nordstrom</w:t>
            </w: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Portland, Oregon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jc w:val="center"/>
              <w:ind w:left="278"/>
              <w:spacing w:after="0"/>
              <w:rPr>
                <w:sz w:val="20"/>
                <w:szCs w:val="20"/>
                <w:color w:val="auto"/>
              </w:rPr>
            </w:pPr>
            <w:r>
              <w:rPr>
                <w:rFonts w:ascii="Arial" w:cs="Arial" w:eastAsia="Arial" w:hAnsi="Arial"/>
                <w:sz w:val="8"/>
                <w:szCs w:val="8"/>
                <w:color w:val="auto"/>
                <w:w w:val="89"/>
              </w:rPr>
              <w:t>44</w:t>
            </w:r>
          </w:p>
        </w:tc>
        <w:tc>
          <w:tcPr>
            <w:tcW w:w="960" w:type="dxa"/>
            <w:vAlign w:val="bottom"/>
            <w:shd w:val="clear" w:color="auto" w:fill="CCEEFF"/>
          </w:tcPr>
          <w:p>
            <w:pPr>
              <w:jc w:val="center"/>
              <w:ind w:left="339"/>
              <w:spacing w:after="0"/>
              <w:rPr>
                <w:sz w:val="20"/>
                <w:szCs w:val="20"/>
                <w:color w:val="auto"/>
              </w:rPr>
            </w:pPr>
            <w:r>
              <w:rPr>
                <w:rFonts w:ascii="Arial" w:cs="Arial" w:eastAsia="Arial" w:hAnsi="Arial"/>
                <w:sz w:val="8"/>
                <w:szCs w:val="8"/>
                <w:color w:val="auto"/>
                <w:w w:val="87"/>
              </w:rPr>
              <w:t>19%</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West Acres</w:t>
            </w: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1972/1986</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2001</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692,000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426,000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94.7</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9"/>
              <w:spacing w:after="0"/>
              <w:rPr>
                <w:sz w:val="20"/>
                <w:szCs w:val="20"/>
                <w:color w:val="auto"/>
              </w:rPr>
            </w:pPr>
            <w:r>
              <w:rPr>
                <w:rFonts w:ascii="Arial" w:cs="Arial" w:eastAsia="Arial" w:hAnsi="Arial"/>
                <w:sz w:val="8"/>
                <w:szCs w:val="8"/>
                <w:color w:val="auto"/>
                <w:w w:val="97"/>
              </w:rPr>
              <w:t>Macy's</w:t>
            </w:r>
          </w:p>
        </w:tc>
        <w:tc>
          <w:tcPr>
            <w:tcW w:w="1340" w:type="dxa"/>
            <w:vAlign w:val="bottom"/>
            <w:shd w:val="clear" w:color="auto" w:fill="CCEEFF"/>
          </w:tcPr>
          <w:p>
            <w:pPr>
              <w:jc w:val="center"/>
              <w:ind w:left="158"/>
              <w:spacing w:after="0"/>
              <w:rPr>
                <w:sz w:val="20"/>
                <w:szCs w:val="20"/>
                <w:color w:val="auto"/>
              </w:rPr>
            </w:pPr>
            <w:r>
              <w:rPr>
                <w:rFonts w:ascii="Arial" w:cs="Arial" w:eastAsia="Arial" w:hAnsi="Arial"/>
                <w:sz w:val="8"/>
                <w:szCs w:val="8"/>
                <w:color w:val="auto"/>
                <w:w w:val="91"/>
              </w:rPr>
              <w:t>JCPenney</w:t>
            </w:r>
          </w:p>
        </w:tc>
        <w:tc>
          <w:tcPr>
            <w:tcW w:w="0" w:type="dxa"/>
            <w:vAlign w:val="bottom"/>
          </w:tcPr>
          <w:p>
            <w:pPr>
              <w:spacing w:after="0"/>
              <w:rPr>
                <w:sz w:val="1"/>
                <w:szCs w:val="1"/>
                <w:color w:val="auto"/>
              </w:rPr>
            </w:pPr>
          </w:p>
        </w:tc>
      </w:tr>
      <w:tr>
        <w:trPr>
          <w:trHeight w:val="183"/>
        </w:trPr>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Fargo, North Dakota</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b w:val="1"/>
                <w:bCs w:val="1"/>
                <w:color w:val="auto"/>
                <w:w w:val="94"/>
              </w:rPr>
              <w:t>Total Unconsolidated Joint Ventures</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17,505,000</w:t>
            </w:r>
          </w:p>
        </w:tc>
        <w:tc>
          <w:tcPr>
            <w:tcW w:w="80" w:type="dxa"/>
            <w:vAlign w:val="bottom"/>
          </w:tcPr>
          <w:p>
            <w:pPr>
              <w:spacing w:after="0"/>
              <w:rPr>
                <w:sz w:val="8"/>
                <w:szCs w:val="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9,447,000</w:t>
            </w:r>
          </w:p>
        </w:tc>
        <w:tc>
          <w:tcPr>
            <w:tcW w:w="1120" w:type="dxa"/>
            <w:vAlign w:val="bottom"/>
            <w:gridSpan w:val="2"/>
          </w:tcPr>
          <w:p>
            <w:pPr>
              <w:jc w:val="right"/>
              <w:ind w:right="200"/>
              <w:spacing w:after="0"/>
              <w:rPr>
                <w:sz w:val="20"/>
                <w:szCs w:val="20"/>
                <w:color w:val="auto"/>
              </w:rPr>
            </w:pPr>
            <w:r>
              <w:rPr>
                <w:rFonts w:ascii="Arial" w:cs="Arial" w:eastAsia="Arial" w:hAnsi="Arial"/>
                <w:sz w:val="8"/>
                <w:szCs w:val="8"/>
                <w:color w:val="auto"/>
              </w:rPr>
              <w:t>92.4</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44</w:t>
            </w: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b w:val="1"/>
                <w:bCs w:val="1"/>
                <w:color w:val="auto"/>
              </w:rPr>
              <w:t>Total Regional Town Centers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42,822,000</w:t>
            </w:r>
          </w:p>
        </w:tc>
        <w:tc>
          <w:tcPr>
            <w:tcW w:w="1120" w:type="dxa"/>
            <w:vAlign w:val="bottom"/>
            <w:gridSpan w:val="2"/>
          </w:tcPr>
          <w:p>
            <w:pPr>
              <w:jc w:val="right"/>
              <w:spacing w:after="0"/>
              <w:rPr>
                <w:sz w:val="20"/>
                <w:szCs w:val="20"/>
                <w:color w:val="auto"/>
              </w:rPr>
            </w:pPr>
            <w:r>
              <w:rPr>
                <w:rFonts w:ascii="Arial" w:cs="Arial" w:eastAsia="Arial" w:hAnsi="Arial"/>
                <w:sz w:val="8"/>
                <w:szCs w:val="8"/>
                <w:color w:val="auto"/>
              </w:rPr>
              <w:t>22,007,000</w:t>
            </w:r>
          </w:p>
        </w:tc>
        <w:tc>
          <w:tcPr>
            <w:tcW w:w="1120" w:type="dxa"/>
            <w:vAlign w:val="bottom"/>
            <w:gridSpan w:val="2"/>
          </w:tcPr>
          <w:p>
            <w:pPr>
              <w:jc w:val="right"/>
              <w:ind w:right="200"/>
              <w:spacing w:after="0"/>
              <w:rPr>
                <w:sz w:val="20"/>
                <w:szCs w:val="20"/>
                <w:color w:val="auto"/>
              </w:rPr>
            </w:pPr>
            <w:r>
              <w:rPr>
                <w:rFonts w:ascii="Arial" w:cs="Arial" w:eastAsia="Arial" w:hAnsi="Arial"/>
                <w:sz w:val="8"/>
                <w:szCs w:val="8"/>
                <w:color w:val="auto"/>
              </w:rPr>
              <w:t>91.5</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20" w:type="dxa"/>
            <w:vAlign w:val="bottom"/>
            <w:tcBorders>
              <w:top w:val="single" w:sz="8" w:color="CCEEFF"/>
            </w:tcBorders>
            <w:shd w:val="clear" w:color="auto" w:fill="CCEEFF"/>
          </w:tcPr>
          <w:p>
            <w:pPr>
              <w:spacing w:after="0"/>
              <w:rPr>
                <w:sz w:val="8"/>
                <w:szCs w:val="8"/>
                <w:color w:val="auto"/>
              </w:rPr>
            </w:pPr>
          </w:p>
        </w:tc>
        <w:tc>
          <w:tcPr>
            <w:tcW w:w="2700" w:type="dxa"/>
            <w:vAlign w:val="bottom"/>
            <w:tcBorders>
              <w:top w:val="single" w:sz="8" w:color="CCEEFF"/>
            </w:tcBorders>
            <w:gridSpan w:val="6"/>
            <w:shd w:val="clear" w:color="auto" w:fill="CCEEFF"/>
          </w:tcPr>
          <w:p>
            <w:pPr>
              <w:ind w:left="400"/>
              <w:spacing w:after="0"/>
              <w:rPr>
                <w:sz w:val="20"/>
                <w:szCs w:val="20"/>
                <w:color w:val="auto"/>
              </w:rPr>
            </w:pPr>
            <w:r>
              <w:rPr>
                <w:rFonts w:ascii="Arial" w:cs="Arial" w:eastAsia="Arial" w:hAnsi="Arial"/>
                <w:sz w:val="8"/>
                <w:szCs w:val="8"/>
                <w:b w:val="1"/>
                <w:bCs w:val="1"/>
                <w:color w:val="auto"/>
              </w:rPr>
              <w:t>COMMUNITY/POWER SHOPPING CENTERS</w:t>
            </w: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8"/>
              </w:rPr>
              <w:t>1</w:t>
            </w:r>
          </w:p>
        </w:tc>
        <w:tc>
          <w:tcPr>
            <w:tcW w:w="960" w:type="dxa"/>
            <w:vAlign w:val="bottom"/>
          </w:tcPr>
          <w:p>
            <w:pPr>
              <w:jc w:val="center"/>
              <w:ind w:left="339"/>
              <w:spacing w:after="0"/>
              <w:rPr>
                <w:sz w:val="20"/>
                <w:szCs w:val="20"/>
                <w:color w:val="auto"/>
              </w:rPr>
            </w:pPr>
            <w:r>
              <w:rPr>
                <w:rFonts w:ascii="Arial" w:cs="Arial" w:eastAsia="Arial" w:hAnsi="Arial"/>
                <w:sz w:val="8"/>
                <w:szCs w:val="8"/>
                <w:color w:val="auto"/>
                <w:w w:val="87"/>
              </w:rPr>
              <w:t>50%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Atlas Park, The Shops at(11)</w:t>
            </w:r>
          </w:p>
        </w:tc>
        <w:tc>
          <w:tcPr>
            <w:tcW w:w="720" w:type="dxa"/>
            <w:vAlign w:val="bottom"/>
          </w:tcPr>
          <w:p>
            <w:pPr>
              <w:jc w:val="right"/>
              <w:spacing w:after="0"/>
              <w:rPr>
                <w:sz w:val="20"/>
                <w:szCs w:val="20"/>
                <w:color w:val="auto"/>
              </w:rPr>
            </w:pPr>
            <w:r>
              <w:rPr>
                <w:rFonts w:ascii="Arial" w:cs="Arial" w:eastAsia="Arial" w:hAnsi="Arial"/>
                <w:sz w:val="8"/>
                <w:szCs w:val="8"/>
                <w:color w:val="auto"/>
              </w:rPr>
              <w:t>2006/2011</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2013</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373,000</w:t>
            </w:r>
          </w:p>
        </w:tc>
        <w:tc>
          <w:tcPr>
            <w:tcW w:w="1120" w:type="dxa"/>
            <w:vAlign w:val="bottom"/>
            <w:gridSpan w:val="2"/>
          </w:tcPr>
          <w:p>
            <w:pPr>
              <w:jc w:val="right"/>
              <w:spacing w:after="0"/>
              <w:rPr>
                <w:sz w:val="20"/>
                <w:szCs w:val="20"/>
                <w:color w:val="auto"/>
              </w:rPr>
            </w:pPr>
            <w:r>
              <w:rPr>
                <w:rFonts w:ascii="Arial" w:cs="Arial" w:eastAsia="Arial" w:hAnsi="Arial"/>
                <w:sz w:val="8"/>
                <w:szCs w:val="8"/>
                <w:color w:val="auto"/>
              </w:rPr>
              <w:t>373,000</w:t>
            </w:r>
          </w:p>
        </w:tc>
        <w:tc>
          <w:tcPr>
            <w:tcW w:w="1120" w:type="dxa"/>
            <w:vAlign w:val="bottom"/>
            <w:gridSpan w:val="2"/>
          </w:tcPr>
          <w:p>
            <w:pPr>
              <w:jc w:val="right"/>
              <w:ind w:right="200"/>
              <w:spacing w:after="0"/>
              <w:rPr>
                <w:sz w:val="20"/>
                <w:szCs w:val="20"/>
                <w:color w:val="auto"/>
              </w:rPr>
            </w:pPr>
            <w:r>
              <w:rPr>
                <w:rFonts w:ascii="Arial" w:cs="Arial" w:eastAsia="Arial" w:hAnsi="Arial"/>
                <w:sz w:val="8"/>
                <w:szCs w:val="8"/>
                <w:color w:val="auto"/>
              </w:rPr>
              <w:t>90.1</w:t>
            </w: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1020" w:type="dxa"/>
            <w:vAlign w:val="bottom"/>
          </w:tcPr>
          <w:p>
            <w:pPr>
              <w:jc w:val="center"/>
              <w:ind w:left="179"/>
              <w:spacing w:after="0"/>
              <w:rPr>
                <w:sz w:val="20"/>
                <w:szCs w:val="20"/>
                <w:color w:val="auto"/>
              </w:rPr>
            </w:pPr>
            <w:r>
              <w:rPr>
                <w:rFonts w:ascii="Arial" w:cs="Arial" w:eastAsia="Arial" w:hAnsi="Arial"/>
                <w:sz w:val="8"/>
                <w:szCs w:val="8"/>
                <w:color w:val="auto"/>
                <w:w w:val="99"/>
              </w:rPr>
              <w:t>—</w:t>
            </w:r>
          </w:p>
        </w:tc>
        <w:tc>
          <w:tcPr>
            <w:tcW w:w="1340" w:type="dxa"/>
            <w:vAlign w:val="bottom"/>
          </w:tcPr>
          <w:p>
            <w:pPr>
              <w:jc w:val="center"/>
              <w:ind w:left="178"/>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3"/>
        </w:trPr>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Queens, New York</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jc w:val="center"/>
              <w:ind w:left="278"/>
              <w:spacing w:after="0"/>
              <w:rPr>
                <w:sz w:val="20"/>
                <w:szCs w:val="20"/>
                <w:color w:val="auto"/>
              </w:rPr>
            </w:pPr>
            <w:r>
              <w:rPr>
                <w:rFonts w:ascii="Arial" w:cs="Arial" w:eastAsia="Arial" w:hAnsi="Arial"/>
                <w:sz w:val="8"/>
                <w:szCs w:val="8"/>
                <w:color w:val="auto"/>
                <w:w w:val="88"/>
              </w:rPr>
              <w:t>2</w:t>
            </w:r>
          </w:p>
        </w:tc>
        <w:tc>
          <w:tcPr>
            <w:tcW w:w="960" w:type="dxa"/>
            <w:vAlign w:val="bottom"/>
            <w:shd w:val="clear" w:color="auto" w:fill="CCEEFF"/>
          </w:tcPr>
          <w:p>
            <w:pPr>
              <w:jc w:val="center"/>
              <w:ind w:left="339"/>
              <w:spacing w:after="0"/>
              <w:rPr>
                <w:sz w:val="20"/>
                <w:szCs w:val="20"/>
                <w:color w:val="auto"/>
              </w:rPr>
            </w:pPr>
            <w:r>
              <w:rPr>
                <w:rFonts w:ascii="Arial" w:cs="Arial" w:eastAsia="Arial" w:hAnsi="Arial"/>
                <w:sz w:val="8"/>
                <w:szCs w:val="8"/>
                <w:color w:val="auto"/>
                <w:w w:val="87"/>
              </w:rPr>
              <w:t>50%</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Boulevard Shops(11)</w:t>
            </w: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2001/2002</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2004</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185,000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185,000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94.8</w:t>
            </w:r>
          </w:p>
        </w:tc>
        <w:tc>
          <w:tcPr>
            <w:tcW w:w="1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9"/>
              <w:spacing w:after="0"/>
              <w:rPr>
                <w:sz w:val="20"/>
                <w:szCs w:val="20"/>
                <w:color w:val="auto"/>
              </w:rPr>
            </w:pPr>
            <w:r>
              <w:rPr>
                <w:rFonts w:ascii="Arial" w:cs="Arial" w:eastAsia="Arial" w:hAnsi="Arial"/>
                <w:sz w:val="8"/>
                <w:szCs w:val="8"/>
                <w:color w:val="auto"/>
                <w:w w:val="99"/>
              </w:rPr>
              <w:t>—</w:t>
            </w:r>
          </w:p>
        </w:tc>
        <w:tc>
          <w:tcPr>
            <w:tcW w:w="134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Chandler, Arizona</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0" w:type="dxa"/>
            <w:vAlign w:val="bottom"/>
          </w:tcPr>
          <w:p>
            <w:pPr>
              <w:jc w:val="center"/>
              <w:ind w:left="278"/>
              <w:spacing w:after="0" w:line="81" w:lineRule="exact"/>
              <w:rPr>
                <w:sz w:val="20"/>
                <w:szCs w:val="20"/>
                <w:color w:val="auto"/>
              </w:rPr>
            </w:pPr>
            <w:r>
              <w:rPr>
                <w:rFonts w:ascii="Arial" w:cs="Arial" w:eastAsia="Arial" w:hAnsi="Arial"/>
                <w:sz w:val="8"/>
                <w:szCs w:val="8"/>
                <w:color w:val="auto"/>
                <w:w w:val="88"/>
              </w:rPr>
              <w:t>3</w:t>
            </w:r>
          </w:p>
        </w:tc>
        <w:tc>
          <w:tcPr>
            <w:tcW w:w="960" w:type="dxa"/>
            <w:vAlign w:val="bottom"/>
          </w:tcPr>
          <w:p>
            <w:pPr>
              <w:jc w:val="center"/>
              <w:ind w:left="339"/>
              <w:spacing w:after="0" w:line="81" w:lineRule="exact"/>
              <w:rPr>
                <w:sz w:val="20"/>
                <w:szCs w:val="20"/>
                <w:color w:val="auto"/>
              </w:rPr>
            </w:pPr>
            <w:r>
              <w:rPr>
                <w:rFonts w:ascii="Arial" w:cs="Arial" w:eastAsia="Arial" w:hAnsi="Arial"/>
                <w:sz w:val="8"/>
                <w:szCs w:val="8"/>
                <w:color w:val="auto"/>
                <w:w w:val="87"/>
              </w:rPr>
              <w:t>100%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gridSpan w:val="3"/>
          </w:tcPr>
          <w:p>
            <w:pPr>
              <w:ind w:left="300"/>
              <w:spacing w:after="0" w:line="81" w:lineRule="exact"/>
              <w:rPr>
                <w:sz w:val="20"/>
                <w:szCs w:val="20"/>
                <w:color w:val="auto"/>
              </w:rPr>
            </w:pPr>
            <w:r>
              <w:rPr>
                <w:rFonts w:ascii="Arial" w:cs="Arial" w:eastAsia="Arial" w:hAnsi="Arial"/>
                <w:sz w:val="8"/>
                <w:szCs w:val="8"/>
                <w:color w:val="auto"/>
              </w:rPr>
              <w:t>Southridge Center(4)(10)</w:t>
            </w:r>
          </w:p>
        </w:tc>
        <w:tc>
          <w:tcPr>
            <w:tcW w:w="720" w:type="dxa"/>
            <w:vAlign w:val="bottom"/>
          </w:tcPr>
          <w:p>
            <w:pPr>
              <w:jc w:val="right"/>
              <w:spacing w:after="0" w:line="81" w:lineRule="exact"/>
              <w:rPr>
                <w:sz w:val="20"/>
                <w:szCs w:val="20"/>
                <w:color w:val="auto"/>
              </w:rPr>
            </w:pPr>
            <w:r>
              <w:rPr>
                <w:rFonts w:ascii="Arial" w:cs="Arial" w:eastAsia="Arial" w:hAnsi="Arial"/>
                <w:sz w:val="8"/>
                <w:szCs w:val="8"/>
                <w:color w:val="auto"/>
              </w:rPr>
              <w:t>1975/1998</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2013</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801,000</w:t>
            </w:r>
          </w:p>
        </w:tc>
        <w:tc>
          <w:tcPr>
            <w:tcW w:w="1120" w:type="dxa"/>
            <w:vAlign w:val="bottom"/>
            <w:gridSpan w:val="2"/>
          </w:tcPr>
          <w:p>
            <w:pPr>
              <w:jc w:val="right"/>
              <w:spacing w:after="0" w:line="81" w:lineRule="exact"/>
              <w:rPr>
                <w:sz w:val="20"/>
                <w:szCs w:val="20"/>
                <w:color w:val="auto"/>
              </w:rPr>
            </w:pPr>
            <w:r>
              <w:rPr>
                <w:rFonts w:ascii="Arial" w:cs="Arial" w:eastAsia="Arial" w:hAnsi="Arial"/>
                <w:sz w:val="8"/>
                <w:szCs w:val="8"/>
                <w:color w:val="auto"/>
              </w:rPr>
              <w:t>520,000</w:t>
            </w:r>
          </w:p>
        </w:tc>
        <w:tc>
          <w:tcPr>
            <w:tcW w:w="1120" w:type="dxa"/>
            <w:vAlign w:val="bottom"/>
            <w:gridSpan w:val="2"/>
          </w:tcPr>
          <w:p>
            <w:pPr>
              <w:jc w:val="right"/>
              <w:ind w:right="200"/>
              <w:spacing w:after="0" w:line="81" w:lineRule="exact"/>
              <w:rPr>
                <w:sz w:val="20"/>
                <w:szCs w:val="20"/>
                <w:color w:val="auto"/>
              </w:rPr>
            </w:pPr>
            <w:r>
              <w:rPr>
                <w:rFonts w:ascii="Arial" w:cs="Arial" w:eastAsia="Arial" w:hAnsi="Arial"/>
                <w:sz w:val="8"/>
                <w:szCs w:val="8"/>
                <w:color w:val="auto"/>
              </w:rPr>
              <w:t>77.6</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59"/>
              <w:spacing w:after="0" w:line="81" w:lineRule="exact"/>
              <w:rPr>
                <w:sz w:val="20"/>
                <w:szCs w:val="20"/>
                <w:color w:val="auto"/>
              </w:rPr>
            </w:pPr>
            <w:r>
              <w:rPr>
                <w:rFonts w:ascii="Arial" w:cs="Arial" w:eastAsia="Arial" w:hAnsi="Arial"/>
                <w:sz w:val="8"/>
                <w:szCs w:val="8"/>
                <w:color w:val="auto"/>
                <w:w w:val="94"/>
              </w:rPr>
              <w:t>Des Moines Area</w:t>
            </w:r>
          </w:p>
        </w:tc>
        <w:tc>
          <w:tcPr>
            <w:tcW w:w="1340" w:type="dxa"/>
            <w:vAlign w:val="bottom"/>
          </w:tcPr>
          <w:p>
            <w:pPr>
              <w:jc w:val="center"/>
              <w:ind w:left="158"/>
              <w:spacing w:after="0" w:line="81" w:lineRule="exact"/>
              <w:rPr>
                <w:sz w:val="20"/>
                <w:szCs w:val="20"/>
                <w:color w:val="auto"/>
              </w:rPr>
            </w:pPr>
            <w:r>
              <w:rPr>
                <w:rFonts w:ascii="Arial" w:cs="Arial" w:eastAsia="Arial" w:hAnsi="Arial"/>
                <w:sz w:val="8"/>
                <w:szCs w:val="8"/>
                <w:color w:val="auto"/>
                <w:w w:val="94"/>
              </w:rPr>
              <w:t>Target</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right="59"/>
              <w:spacing w:after="0"/>
              <w:rPr>
                <w:sz w:val="20"/>
                <w:szCs w:val="20"/>
                <w:color w:val="auto"/>
              </w:rPr>
            </w:pPr>
            <w:r>
              <w:rPr>
                <w:rFonts w:ascii="Arial" w:cs="Arial" w:eastAsia="Arial" w:hAnsi="Arial"/>
                <w:sz w:val="8"/>
                <w:szCs w:val="8"/>
                <w:color w:val="auto"/>
                <w:w w:val="97"/>
              </w:rPr>
              <w:t>Community College</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Des Moines, Iowa</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20" w:type="dxa"/>
            <w:vAlign w:val="bottom"/>
            <w:shd w:val="clear" w:color="auto" w:fill="CCEEFF"/>
          </w:tcPr>
          <w:p>
            <w:pPr>
              <w:jc w:val="center"/>
              <w:ind w:left="278"/>
              <w:spacing w:after="0" w:line="81" w:lineRule="exact"/>
              <w:rPr>
                <w:sz w:val="20"/>
                <w:szCs w:val="20"/>
                <w:color w:val="auto"/>
              </w:rPr>
            </w:pPr>
            <w:r>
              <w:rPr>
                <w:rFonts w:ascii="Arial" w:cs="Arial" w:eastAsia="Arial" w:hAnsi="Arial"/>
                <w:sz w:val="8"/>
                <w:szCs w:val="8"/>
                <w:color w:val="auto"/>
                <w:w w:val="88"/>
              </w:rPr>
              <w:t>4</w:t>
            </w:r>
          </w:p>
        </w:tc>
        <w:tc>
          <w:tcPr>
            <w:tcW w:w="960" w:type="dxa"/>
            <w:vAlign w:val="bottom"/>
            <w:shd w:val="clear" w:color="auto" w:fill="CCEEFF"/>
          </w:tcPr>
          <w:p>
            <w:pPr>
              <w:jc w:val="center"/>
              <w:ind w:left="339"/>
              <w:spacing w:after="0" w:line="81" w:lineRule="exact"/>
              <w:rPr>
                <w:sz w:val="20"/>
                <w:szCs w:val="20"/>
                <w:color w:val="auto"/>
              </w:rPr>
            </w:pPr>
            <w:r>
              <w:rPr>
                <w:rFonts w:ascii="Arial" w:cs="Arial" w:eastAsia="Arial" w:hAnsi="Arial"/>
                <w:sz w:val="8"/>
                <w:szCs w:val="8"/>
                <w:color w:val="auto"/>
                <w:w w:val="87"/>
              </w:rPr>
              <w:t>100%</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40" w:type="dxa"/>
            <w:vAlign w:val="bottom"/>
            <w:gridSpan w:val="3"/>
            <w:shd w:val="clear" w:color="auto" w:fill="CCEEFF"/>
          </w:tcPr>
          <w:p>
            <w:pPr>
              <w:ind w:left="300"/>
              <w:spacing w:after="0" w:line="81" w:lineRule="exact"/>
              <w:rPr>
                <w:sz w:val="20"/>
                <w:szCs w:val="20"/>
                <w:color w:val="auto"/>
              </w:rPr>
            </w:pPr>
            <w:r>
              <w:rPr>
                <w:rFonts w:ascii="Arial" w:cs="Arial" w:eastAsia="Arial" w:hAnsi="Arial"/>
                <w:sz w:val="8"/>
                <w:szCs w:val="8"/>
                <w:color w:val="auto"/>
              </w:rPr>
              <w:t>Superstition Springs Power</w:t>
            </w:r>
          </w:p>
        </w:tc>
        <w:tc>
          <w:tcPr>
            <w:tcW w:w="72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1990/2002</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206,000</w:t>
            </w:r>
          </w:p>
        </w:tc>
        <w:tc>
          <w:tcPr>
            <w:tcW w:w="1120" w:type="dxa"/>
            <w:vAlign w:val="bottom"/>
            <w:gridSpan w:val="2"/>
            <w:shd w:val="clear" w:color="auto" w:fill="CCEEFF"/>
          </w:tcPr>
          <w:p>
            <w:pPr>
              <w:jc w:val="right"/>
              <w:spacing w:after="0" w:line="81" w:lineRule="exact"/>
              <w:rPr>
                <w:sz w:val="20"/>
                <w:szCs w:val="20"/>
                <w:color w:val="auto"/>
              </w:rPr>
            </w:pPr>
            <w:r>
              <w:rPr>
                <w:rFonts w:ascii="Arial" w:cs="Arial" w:eastAsia="Arial" w:hAnsi="Arial"/>
                <w:sz w:val="8"/>
                <w:szCs w:val="8"/>
                <w:color w:val="auto"/>
              </w:rPr>
              <w:t>53,000</w:t>
            </w:r>
          </w:p>
        </w:tc>
        <w:tc>
          <w:tcPr>
            <w:tcW w:w="1120" w:type="dxa"/>
            <w:vAlign w:val="bottom"/>
            <w:gridSpan w:val="2"/>
            <w:shd w:val="clear" w:color="auto" w:fill="CCEEFF"/>
          </w:tcPr>
          <w:p>
            <w:pPr>
              <w:jc w:val="right"/>
              <w:ind w:right="200"/>
              <w:spacing w:after="0" w:line="81" w:lineRule="exact"/>
              <w:rPr>
                <w:sz w:val="20"/>
                <w:szCs w:val="20"/>
                <w:color w:val="auto"/>
              </w:rPr>
            </w:pPr>
            <w:r>
              <w:rPr>
                <w:rFonts w:ascii="Arial" w:cs="Arial" w:eastAsia="Arial" w:hAnsi="Arial"/>
                <w:sz w:val="8"/>
                <w:szCs w:val="8"/>
                <w:color w:val="auto"/>
              </w:rPr>
              <w:t>95.9</w:t>
            </w:r>
          </w:p>
        </w:tc>
        <w:tc>
          <w:tcPr>
            <w:tcW w:w="180" w:type="dxa"/>
            <w:vAlign w:val="bottom"/>
            <w:shd w:val="clear" w:color="auto" w:fill="CCEEFF"/>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9"/>
              <w:spacing w:after="0" w:line="81" w:lineRule="exact"/>
              <w:rPr>
                <w:sz w:val="20"/>
                <w:szCs w:val="20"/>
                <w:color w:val="auto"/>
              </w:rPr>
            </w:pPr>
            <w:r>
              <w:rPr>
                <w:rFonts w:ascii="Arial" w:cs="Arial" w:eastAsia="Arial" w:hAnsi="Arial"/>
                <w:sz w:val="8"/>
                <w:szCs w:val="8"/>
                <w:color w:val="auto"/>
                <w:w w:val="93"/>
              </w:rPr>
              <w:t>Best Buy,</w:t>
            </w:r>
          </w:p>
        </w:tc>
        <w:tc>
          <w:tcPr>
            <w:tcW w:w="1340" w:type="dxa"/>
            <w:vAlign w:val="bottom"/>
            <w:shd w:val="clear" w:color="auto" w:fill="CCEEFF"/>
          </w:tcPr>
          <w:p>
            <w:pPr>
              <w:jc w:val="center"/>
              <w:ind w:left="178"/>
              <w:spacing w:after="0" w:line="81"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8"/>
                <w:szCs w:val="8"/>
                <w:color w:val="auto"/>
              </w:rPr>
              <w:t>Center(10)</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right="59"/>
              <w:spacing w:after="0"/>
              <w:rPr>
                <w:sz w:val="20"/>
                <w:szCs w:val="20"/>
                <w:color w:val="auto"/>
              </w:rPr>
            </w:pPr>
            <w:r>
              <w:rPr>
                <w:rFonts w:ascii="Arial" w:cs="Arial" w:eastAsia="Arial" w:hAnsi="Arial"/>
                <w:sz w:val="8"/>
                <w:szCs w:val="8"/>
                <w:color w:val="auto"/>
                <w:w w:val="99"/>
              </w:rPr>
              <w:t>Burlington</w:t>
            </w: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5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8"/>
                <w:szCs w:val="8"/>
                <w:color w:val="auto"/>
              </w:rPr>
              <w:t>Mesa, Arizona</w:t>
            </w: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20" w:type="dxa"/>
            <w:vAlign w:val="bottom"/>
          </w:tcPr>
          <w:p>
            <w:pPr>
              <w:jc w:val="center"/>
              <w:ind w:left="278"/>
              <w:spacing w:after="0" w:line="81" w:lineRule="exact"/>
              <w:rPr>
                <w:sz w:val="20"/>
                <w:szCs w:val="20"/>
                <w:color w:val="auto"/>
              </w:rPr>
            </w:pPr>
            <w:r>
              <w:rPr>
                <w:rFonts w:ascii="Arial" w:cs="Arial" w:eastAsia="Arial" w:hAnsi="Arial"/>
                <w:sz w:val="8"/>
                <w:szCs w:val="8"/>
                <w:color w:val="auto"/>
                <w:w w:val="88"/>
              </w:rPr>
              <w:t>5</w:t>
            </w:r>
          </w:p>
        </w:tc>
        <w:tc>
          <w:tcPr>
            <w:tcW w:w="960" w:type="dxa"/>
            <w:vAlign w:val="bottom"/>
          </w:tcPr>
          <w:p>
            <w:pPr>
              <w:jc w:val="center"/>
              <w:ind w:left="339"/>
              <w:spacing w:after="0" w:line="81" w:lineRule="exact"/>
              <w:rPr>
                <w:sz w:val="20"/>
                <w:szCs w:val="20"/>
                <w:color w:val="auto"/>
              </w:rPr>
            </w:pPr>
            <w:r>
              <w:rPr>
                <w:rFonts w:ascii="Arial" w:cs="Arial" w:eastAsia="Arial" w:hAnsi="Arial"/>
                <w:sz w:val="8"/>
                <w:szCs w:val="8"/>
                <w:color w:val="auto"/>
                <w:w w:val="87"/>
              </w:rPr>
              <w:t>100%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gridSpan w:val="3"/>
          </w:tcPr>
          <w:p>
            <w:pPr>
              <w:ind w:left="300"/>
              <w:spacing w:after="0" w:line="81" w:lineRule="exact"/>
              <w:rPr>
                <w:sz w:val="20"/>
                <w:szCs w:val="20"/>
                <w:color w:val="auto"/>
              </w:rPr>
            </w:pPr>
            <w:r>
              <w:rPr>
                <w:rFonts w:ascii="Arial" w:cs="Arial" w:eastAsia="Arial" w:hAnsi="Arial"/>
                <w:sz w:val="8"/>
                <w:szCs w:val="8"/>
                <w:color w:val="auto"/>
              </w:rPr>
              <w:t>The Marketplace at</w:t>
            </w:r>
          </w:p>
        </w:tc>
        <w:tc>
          <w:tcPr>
            <w:tcW w:w="800" w:type="dxa"/>
            <w:vAlign w:val="bottom"/>
            <w:gridSpan w:val="2"/>
          </w:tcPr>
          <w:p>
            <w:pPr>
              <w:jc w:val="right"/>
              <w:ind w:right="100"/>
              <w:spacing w:after="0" w:line="81" w:lineRule="exact"/>
              <w:rPr>
                <w:sz w:val="20"/>
                <w:szCs w:val="20"/>
                <w:color w:val="auto"/>
              </w:rPr>
            </w:pPr>
            <w:r>
              <w:rPr>
                <w:rFonts w:ascii="Arial" w:cs="Arial" w:eastAsia="Arial" w:hAnsi="Arial"/>
                <w:sz w:val="8"/>
                <w:szCs w:val="8"/>
                <w:color w:val="auto"/>
              </w:rPr>
              <w:t>2007/—</w:t>
            </w: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268,000</w:t>
            </w:r>
          </w:p>
        </w:tc>
        <w:tc>
          <w:tcPr>
            <w:tcW w:w="1120" w:type="dxa"/>
            <w:vAlign w:val="bottom"/>
            <w:gridSpan w:val="2"/>
          </w:tcPr>
          <w:p>
            <w:pPr>
              <w:jc w:val="right"/>
              <w:spacing w:after="0" w:line="81" w:lineRule="exact"/>
              <w:rPr>
                <w:sz w:val="20"/>
                <w:szCs w:val="20"/>
                <w:color w:val="auto"/>
              </w:rPr>
            </w:pPr>
            <w:r>
              <w:rPr>
                <w:rFonts w:ascii="Arial" w:cs="Arial" w:eastAsia="Arial" w:hAnsi="Arial"/>
                <w:sz w:val="8"/>
                <w:szCs w:val="8"/>
                <w:color w:val="auto"/>
              </w:rPr>
              <w:t>147,000</w:t>
            </w:r>
          </w:p>
        </w:tc>
        <w:tc>
          <w:tcPr>
            <w:tcW w:w="1120" w:type="dxa"/>
            <w:vAlign w:val="bottom"/>
            <w:gridSpan w:val="2"/>
          </w:tcPr>
          <w:p>
            <w:pPr>
              <w:jc w:val="right"/>
              <w:ind w:right="200"/>
              <w:spacing w:after="0" w:line="81" w:lineRule="exact"/>
              <w:rPr>
                <w:sz w:val="20"/>
                <w:szCs w:val="20"/>
                <w:color w:val="auto"/>
              </w:rPr>
            </w:pPr>
            <w:r>
              <w:rPr>
                <w:rFonts w:ascii="Arial" w:cs="Arial" w:eastAsia="Arial" w:hAnsi="Arial"/>
                <w:sz w:val="8"/>
                <w:szCs w:val="8"/>
                <w:color w:val="auto"/>
              </w:rPr>
              <w:t>100.0</w:t>
            </w:r>
          </w:p>
        </w:tc>
        <w:tc>
          <w:tcPr>
            <w:tcW w:w="18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20" w:type="dxa"/>
            <w:vAlign w:val="bottom"/>
          </w:tcPr>
          <w:p>
            <w:pPr>
              <w:jc w:val="center"/>
              <w:ind w:left="179"/>
              <w:spacing w:after="0" w:line="81" w:lineRule="exact"/>
              <w:rPr>
                <w:sz w:val="20"/>
                <w:szCs w:val="20"/>
                <w:color w:val="auto"/>
              </w:rPr>
            </w:pPr>
            <w:r>
              <w:rPr>
                <w:rFonts w:ascii="Arial" w:cs="Arial" w:eastAsia="Arial" w:hAnsi="Arial"/>
                <w:sz w:val="8"/>
                <w:szCs w:val="8"/>
                <w:color w:val="auto"/>
                <w:w w:val="99"/>
              </w:rPr>
              <w:t>—</w:t>
            </w:r>
          </w:p>
        </w:tc>
        <w:tc>
          <w:tcPr>
            <w:tcW w:w="1340" w:type="dxa"/>
            <w:vAlign w:val="bottom"/>
          </w:tcPr>
          <w:p>
            <w:pPr>
              <w:jc w:val="center"/>
              <w:ind w:left="158"/>
              <w:spacing w:after="0" w:line="81" w:lineRule="exact"/>
              <w:rPr>
                <w:sz w:val="20"/>
                <w:szCs w:val="20"/>
                <w:color w:val="auto"/>
              </w:rPr>
            </w:pPr>
            <w:r>
              <w:rPr>
                <w:rFonts w:ascii="Arial" w:cs="Arial" w:eastAsia="Arial" w:hAnsi="Arial"/>
                <w:sz w:val="8"/>
                <w:szCs w:val="8"/>
                <w:color w:val="auto"/>
                <w:w w:val="93"/>
              </w:rPr>
              <w:t>Home Depot</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tcPr>
          <w:p>
            <w:pPr>
              <w:spacing w:after="0"/>
              <w:rPr>
                <w:sz w:val="20"/>
                <w:szCs w:val="20"/>
                <w:color w:val="auto"/>
              </w:rPr>
            </w:pPr>
            <w:r>
              <w:rPr>
                <w:rFonts w:ascii="Arial" w:cs="Arial" w:eastAsia="Arial" w:hAnsi="Arial"/>
                <w:sz w:val="8"/>
                <w:szCs w:val="8"/>
                <w:color w:val="auto"/>
              </w:rPr>
              <w:t>Flagstaff(6)(10)</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Flagstaff, Arizona</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20" w:type="dxa"/>
            <w:vAlign w:val="bottom"/>
            <w:tcBorders>
              <w:bottom w:val="single" w:sz="8" w:color="auto"/>
            </w:tcBorders>
            <w:shd w:val="clear" w:color="auto" w:fill="CCEEFF"/>
          </w:tcPr>
          <w:p>
            <w:pPr>
              <w:jc w:val="center"/>
              <w:ind w:left="278"/>
              <w:spacing w:after="0"/>
              <w:rPr>
                <w:sz w:val="20"/>
                <w:szCs w:val="20"/>
                <w:color w:val="auto"/>
              </w:rPr>
            </w:pPr>
            <w:r>
              <w:rPr>
                <w:rFonts w:ascii="Arial" w:cs="Arial" w:eastAsia="Arial" w:hAnsi="Arial"/>
                <w:sz w:val="8"/>
                <w:szCs w:val="8"/>
                <w:color w:val="auto"/>
                <w:w w:val="88"/>
              </w:rPr>
              <w:t>5</w:t>
            </w: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40" w:type="dxa"/>
            <w:vAlign w:val="bottom"/>
            <w:gridSpan w:val="5"/>
            <w:shd w:val="clear" w:color="auto" w:fill="CCEEFF"/>
          </w:tcPr>
          <w:p>
            <w:pPr>
              <w:ind w:left="300"/>
              <w:spacing w:after="0"/>
              <w:rPr>
                <w:sz w:val="20"/>
                <w:szCs w:val="20"/>
                <w:color w:val="auto"/>
              </w:rPr>
            </w:pPr>
            <w:r>
              <w:rPr>
                <w:rFonts w:ascii="Arial" w:cs="Arial" w:eastAsia="Arial" w:hAnsi="Arial"/>
                <w:sz w:val="8"/>
                <w:szCs w:val="8"/>
                <w:b w:val="1"/>
                <w:bCs w:val="1"/>
                <w:color w:val="auto"/>
              </w:rPr>
              <w:t>Total Community/Power Shopping Centers</w:t>
            </w: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1,833,000</w:t>
            </w:r>
          </w:p>
        </w:tc>
        <w:tc>
          <w:tcPr>
            <w:tcW w:w="80" w:type="dxa"/>
            <w:vAlign w:val="bottom"/>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1,278,000</w:t>
            </w:r>
          </w:p>
        </w:tc>
        <w:tc>
          <w:tcPr>
            <w:tcW w:w="1120" w:type="dxa"/>
            <w:vAlign w:val="bottom"/>
            <w:gridSpan w:val="2"/>
            <w:shd w:val="clear" w:color="auto" w:fill="CCEEFF"/>
          </w:tcPr>
          <w:p>
            <w:pPr>
              <w:jc w:val="right"/>
              <w:ind w:right="200"/>
              <w:spacing w:after="0" w:line="85" w:lineRule="exact"/>
              <w:rPr>
                <w:sz w:val="20"/>
                <w:szCs w:val="20"/>
                <w:color w:val="auto"/>
              </w:rPr>
            </w:pPr>
            <w:r>
              <w:rPr>
                <w:rFonts w:ascii="Arial" w:cs="Arial" w:eastAsia="Arial" w:hAnsi="Arial"/>
                <w:sz w:val="8"/>
                <w:szCs w:val="8"/>
                <w:color w:val="auto"/>
              </w:rPr>
              <w:t>85.9</w:t>
            </w: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20" w:type="dxa"/>
            <w:vAlign w:val="bottom"/>
          </w:tcPr>
          <w:p>
            <w:pPr>
              <w:jc w:val="center"/>
              <w:ind w:left="278"/>
              <w:spacing w:after="0"/>
              <w:rPr>
                <w:sz w:val="20"/>
                <w:szCs w:val="20"/>
                <w:color w:val="auto"/>
              </w:rPr>
            </w:pPr>
            <w:r>
              <w:rPr>
                <w:rFonts w:ascii="Arial" w:cs="Arial" w:eastAsia="Arial" w:hAnsi="Arial"/>
                <w:sz w:val="8"/>
                <w:szCs w:val="8"/>
                <w:color w:val="auto"/>
                <w:w w:val="89"/>
              </w:rPr>
              <w:t>49</w:t>
            </w: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b w:val="1"/>
                <w:bCs w:val="1"/>
                <w:color w:val="auto"/>
              </w:rPr>
              <w:t>Total before Other Assets</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44,655,000</w:t>
            </w:r>
          </w:p>
        </w:tc>
        <w:tc>
          <w:tcPr>
            <w:tcW w:w="1120" w:type="dxa"/>
            <w:vAlign w:val="bottom"/>
            <w:gridSpan w:val="2"/>
          </w:tcPr>
          <w:p>
            <w:pPr>
              <w:jc w:val="right"/>
              <w:spacing w:after="0"/>
              <w:rPr>
                <w:sz w:val="20"/>
                <w:szCs w:val="20"/>
                <w:color w:val="auto"/>
              </w:rPr>
            </w:pPr>
            <w:r>
              <w:rPr>
                <w:rFonts w:ascii="Arial" w:cs="Arial" w:eastAsia="Arial" w:hAnsi="Arial"/>
                <w:sz w:val="8"/>
                <w:szCs w:val="8"/>
                <w:color w:val="auto"/>
              </w:rPr>
              <w:t>23,285,000</w:t>
            </w: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2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CCEEFF"/>
            </w:tcBorders>
            <w:gridSpan w:val="3"/>
            <w:shd w:val="clear" w:color="auto" w:fill="CCEEFF"/>
          </w:tcPr>
          <w:p>
            <w:pPr>
              <w:ind w:left="400"/>
              <w:spacing w:after="0"/>
              <w:rPr>
                <w:sz w:val="20"/>
                <w:szCs w:val="20"/>
                <w:color w:val="auto"/>
              </w:rPr>
            </w:pPr>
            <w:r>
              <w:rPr>
                <w:rFonts w:ascii="Arial" w:cs="Arial" w:eastAsia="Arial" w:hAnsi="Arial"/>
                <w:sz w:val="8"/>
                <w:szCs w:val="8"/>
                <w:b w:val="1"/>
                <w:bCs w:val="1"/>
                <w:color w:val="auto"/>
                <w:w w:val="98"/>
              </w:rPr>
              <w:t>OTHER ASSETS:</w:t>
            </w:r>
          </w:p>
        </w:tc>
        <w:tc>
          <w:tcPr>
            <w:tcW w:w="13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20" w:type="dxa"/>
            <w:vAlign w:val="bottom"/>
          </w:tcPr>
          <w:p>
            <w:pPr>
              <w:spacing w:after="0"/>
              <w:rPr>
                <w:sz w:val="9"/>
                <w:szCs w:val="9"/>
                <w:color w:val="auto"/>
              </w:rPr>
            </w:pPr>
          </w:p>
        </w:tc>
        <w:tc>
          <w:tcPr>
            <w:tcW w:w="960" w:type="dxa"/>
            <w:vAlign w:val="bottom"/>
          </w:tcPr>
          <w:p>
            <w:pPr>
              <w:jc w:val="center"/>
              <w:ind w:left="339"/>
              <w:spacing w:after="0"/>
              <w:rPr>
                <w:sz w:val="20"/>
                <w:szCs w:val="20"/>
                <w:color w:val="auto"/>
              </w:rPr>
            </w:pPr>
            <w:r>
              <w:rPr>
                <w:rFonts w:ascii="Arial" w:cs="Arial" w:eastAsia="Arial" w:hAnsi="Arial"/>
                <w:sz w:val="8"/>
                <w:szCs w:val="8"/>
                <w:color w:val="auto"/>
                <w:w w:val="87"/>
              </w:rPr>
              <w:t>100%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Various(10)(12)</w:t>
            </w: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348,000</w:t>
            </w:r>
          </w:p>
        </w:tc>
        <w:tc>
          <w:tcPr>
            <w:tcW w:w="1120" w:type="dxa"/>
            <w:vAlign w:val="bottom"/>
            <w:gridSpan w:val="2"/>
          </w:tcPr>
          <w:p>
            <w:pPr>
              <w:jc w:val="right"/>
              <w:spacing w:after="0"/>
              <w:rPr>
                <w:sz w:val="20"/>
                <w:szCs w:val="20"/>
                <w:color w:val="auto"/>
              </w:rPr>
            </w:pPr>
            <w:r>
              <w:rPr>
                <w:rFonts w:ascii="Arial" w:cs="Arial" w:eastAsia="Arial" w:hAnsi="Arial"/>
                <w:sz w:val="8"/>
                <w:szCs w:val="8"/>
                <w:color w:val="auto"/>
              </w:rPr>
              <w:t>265,000</w:t>
            </w:r>
          </w:p>
        </w:tc>
        <w:tc>
          <w:tcPr>
            <w:tcW w:w="100" w:type="dxa"/>
            <w:vAlign w:val="bottom"/>
          </w:tcPr>
          <w:p>
            <w:pPr>
              <w:spacing w:after="0"/>
              <w:rPr>
                <w:sz w:val="9"/>
                <w:szCs w:val="9"/>
                <w:color w:val="auto"/>
              </w:rPr>
            </w:pPr>
          </w:p>
        </w:tc>
        <w:tc>
          <w:tcPr>
            <w:tcW w:w="1020" w:type="dxa"/>
            <w:vAlign w:val="bottom"/>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left="179"/>
              <w:spacing w:after="0"/>
              <w:rPr>
                <w:sz w:val="20"/>
                <w:szCs w:val="20"/>
                <w:color w:val="auto"/>
              </w:rPr>
            </w:pPr>
            <w:r>
              <w:rPr>
                <w:rFonts w:ascii="Arial" w:cs="Arial" w:eastAsia="Arial" w:hAnsi="Arial"/>
                <w:sz w:val="8"/>
                <w:szCs w:val="8"/>
                <w:color w:val="auto"/>
                <w:w w:val="99"/>
              </w:rPr>
              <w:t>—</w:t>
            </w:r>
          </w:p>
        </w:tc>
        <w:tc>
          <w:tcPr>
            <w:tcW w:w="1340" w:type="dxa"/>
            <w:vAlign w:val="bottom"/>
          </w:tcPr>
          <w:p>
            <w:pPr>
              <w:jc w:val="center"/>
              <w:ind w:left="158"/>
              <w:spacing w:after="0"/>
              <w:rPr>
                <w:sz w:val="20"/>
                <w:szCs w:val="20"/>
                <w:color w:val="auto"/>
              </w:rPr>
            </w:pPr>
            <w:r>
              <w:rPr>
                <w:rFonts w:ascii="Arial" w:cs="Arial" w:eastAsia="Arial" w:hAnsi="Arial"/>
                <w:sz w:val="8"/>
                <w:szCs w:val="8"/>
                <w:color w:val="auto"/>
              </w:rPr>
              <w:t>Kohl's</w:t>
            </w:r>
          </w:p>
        </w:tc>
        <w:tc>
          <w:tcPr>
            <w:tcW w:w="0" w:type="dxa"/>
            <w:vAlign w:val="bottom"/>
          </w:tcPr>
          <w:p>
            <w:pPr>
              <w:spacing w:after="0"/>
              <w:rPr>
                <w:sz w:val="1"/>
                <w:szCs w:val="1"/>
                <w:color w:val="auto"/>
              </w:rPr>
            </w:pPr>
          </w:p>
        </w:tc>
      </w:tr>
      <w:tr>
        <w:trPr>
          <w:trHeight w:val="87"/>
        </w:trPr>
        <w:tc>
          <w:tcPr>
            <w:tcW w:w="520" w:type="dxa"/>
            <w:vAlign w:val="bottom"/>
            <w:shd w:val="clear" w:color="auto" w:fill="CCEEFF"/>
          </w:tcPr>
          <w:p>
            <w:pPr>
              <w:spacing w:after="0"/>
              <w:rPr>
                <w:sz w:val="7"/>
                <w:szCs w:val="7"/>
                <w:color w:val="auto"/>
              </w:rPr>
            </w:pPr>
          </w:p>
        </w:tc>
        <w:tc>
          <w:tcPr>
            <w:tcW w:w="960" w:type="dxa"/>
            <w:vAlign w:val="bottom"/>
            <w:shd w:val="clear" w:color="auto" w:fill="CCEEFF"/>
          </w:tcPr>
          <w:p>
            <w:pPr>
              <w:jc w:val="center"/>
              <w:ind w:left="339"/>
              <w:spacing w:after="0" w:line="88" w:lineRule="exact"/>
              <w:rPr>
                <w:sz w:val="20"/>
                <w:szCs w:val="20"/>
                <w:color w:val="auto"/>
              </w:rPr>
            </w:pPr>
            <w:r>
              <w:rPr>
                <w:rFonts w:ascii="Arial" w:cs="Arial" w:eastAsia="Arial" w:hAnsi="Arial"/>
                <w:sz w:val="8"/>
                <w:szCs w:val="8"/>
                <w:color w:val="auto"/>
                <w:w w:val="87"/>
              </w:rPr>
              <w:t>50%</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40" w:type="dxa"/>
            <w:vAlign w:val="bottom"/>
            <w:gridSpan w:val="3"/>
            <w:shd w:val="clear" w:color="auto" w:fill="CCEEFF"/>
          </w:tcPr>
          <w:p>
            <w:pPr>
              <w:ind w:left="300"/>
              <w:spacing w:after="0" w:line="88" w:lineRule="exact"/>
              <w:rPr>
                <w:sz w:val="20"/>
                <w:szCs w:val="20"/>
                <w:color w:val="auto"/>
              </w:rPr>
            </w:pPr>
            <w:r>
              <w:rPr>
                <w:rFonts w:ascii="Arial" w:cs="Arial" w:eastAsia="Arial" w:hAnsi="Arial"/>
                <w:sz w:val="8"/>
                <w:szCs w:val="8"/>
                <w:color w:val="auto"/>
              </w:rPr>
              <w:t>Scottsdale Fashion Square-</w:t>
            </w:r>
          </w:p>
        </w:tc>
        <w:tc>
          <w:tcPr>
            <w:tcW w:w="7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1984/2002</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2016</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127,000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9"/>
              <w:spacing w:after="0" w:line="88" w:lineRule="exact"/>
              <w:rPr>
                <w:sz w:val="20"/>
                <w:szCs w:val="20"/>
                <w:color w:val="auto"/>
              </w:rPr>
            </w:pPr>
            <w:r>
              <w:rPr>
                <w:rFonts w:ascii="Arial" w:cs="Arial" w:eastAsia="Arial" w:hAnsi="Arial"/>
                <w:sz w:val="8"/>
                <w:szCs w:val="8"/>
                <w:color w:val="auto"/>
                <w:w w:val="99"/>
              </w:rPr>
              <w:t>—</w:t>
            </w:r>
          </w:p>
        </w:tc>
        <w:tc>
          <w:tcPr>
            <w:tcW w:w="134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8"/>
                <w:szCs w:val="8"/>
                <w:color w:val="auto"/>
              </w:rPr>
              <w:t>Office(11)</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Scottsdale, Arizona</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960" w:type="dxa"/>
            <w:vAlign w:val="bottom"/>
          </w:tcPr>
          <w:p>
            <w:pPr>
              <w:jc w:val="center"/>
              <w:ind w:left="339"/>
              <w:spacing w:after="0" w:line="81" w:lineRule="exact"/>
              <w:rPr>
                <w:sz w:val="20"/>
                <w:szCs w:val="20"/>
                <w:color w:val="auto"/>
              </w:rPr>
            </w:pPr>
            <w:r>
              <w:rPr>
                <w:rFonts w:ascii="Arial" w:cs="Arial" w:eastAsia="Arial" w:hAnsi="Arial"/>
                <w:sz w:val="8"/>
                <w:szCs w:val="8"/>
                <w:color w:val="auto"/>
                <w:w w:val="87"/>
              </w:rPr>
              <w:t>50%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gridSpan w:val="3"/>
          </w:tcPr>
          <w:p>
            <w:pPr>
              <w:ind w:left="300"/>
              <w:spacing w:after="0" w:line="81" w:lineRule="exact"/>
              <w:rPr>
                <w:sz w:val="20"/>
                <w:szCs w:val="20"/>
                <w:color w:val="auto"/>
              </w:rPr>
            </w:pPr>
            <w:r>
              <w:rPr>
                <w:rFonts w:ascii="Arial" w:cs="Arial" w:eastAsia="Arial" w:hAnsi="Arial"/>
                <w:sz w:val="8"/>
                <w:szCs w:val="8"/>
                <w:color w:val="auto"/>
              </w:rPr>
              <w:t>Tysons Corner Center-</w:t>
            </w:r>
          </w:p>
        </w:tc>
        <w:tc>
          <w:tcPr>
            <w:tcW w:w="720" w:type="dxa"/>
            <w:vAlign w:val="bottom"/>
          </w:tcPr>
          <w:p>
            <w:pPr>
              <w:jc w:val="right"/>
              <w:spacing w:after="0" w:line="81" w:lineRule="exact"/>
              <w:rPr>
                <w:sz w:val="20"/>
                <w:szCs w:val="20"/>
                <w:color w:val="auto"/>
              </w:rPr>
            </w:pPr>
            <w:r>
              <w:rPr>
                <w:rFonts w:ascii="Arial" w:cs="Arial" w:eastAsia="Arial" w:hAnsi="Arial"/>
                <w:sz w:val="8"/>
                <w:szCs w:val="8"/>
                <w:color w:val="auto"/>
              </w:rPr>
              <w:t>1999/2005</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2012</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174,000</w:t>
            </w:r>
          </w:p>
        </w:tc>
        <w:tc>
          <w:tcPr>
            <w:tcW w:w="80" w:type="dxa"/>
            <w:vAlign w:val="bottom"/>
          </w:tcPr>
          <w:p>
            <w:pPr>
              <w:spacing w:after="0"/>
              <w:rPr>
                <w:sz w:val="7"/>
                <w:szCs w:val="7"/>
                <w:color w:val="auto"/>
              </w:rPr>
            </w:pP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1020" w:type="dxa"/>
            <w:vAlign w:val="bottom"/>
          </w:tcPr>
          <w:p>
            <w:pPr>
              <w:jc w:val="right"/>
              <w:ind w:right="200"/>
              <w:spacing w:after="0" w:line="8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jc w:val="center"/>
              <w:ind w:left="179"/>
              <w:spacing w:after="0" w:line="81" w:lineRule="exact"/>
              <w:rPr>
                <w:sz w:val="20"/>
                <w:szCs w:val="20"/>
                <w:color w:val="auto"/>
              </w:rPr>
            </w:pPr>
            <w:r>
              <w:rPr>
                <w:rFonts w:ascii="Arial" w:cs="Arial" w:eastAsia="Arial" w:hAnsi="Arial"/>
                <w:sz w:val="8"/>
                <w:szCs w:val="8"/>
                <w:color w:val="auto"/>
                <w:w w:val="99"/>
              </w:rPr>
              <w:t>—</w:t>
            </w:r>
          </w:p>
        </w:tc>
        <w:tc>
          <w:tcPr>
            <w:tcW w:w="1340" w:type="dxa"/>
            <w:vAlign w:val="bottom"/>
          </w:tcPr>
          <w:p>
            <w:pPr>
              <w:jc w:val="center"/>
              <w:ind w:left="178"/>
              <w:spacing w:after="0" w:line="81"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tcPr>
          <w:p>
            <w:pPr>
              <w:spacing w:after="0"/>
              <w:rPr>
                <w:sz w:val="20"/>
                <w:szCs w:val="20"/>
                <w:color w:val="auto"/>
              </w:rPr>
            </w:pPr>
            <w:r>
              <w:rPr>
                <w:rFonts w:ascii="Arial" w:cs="Arial" w:eastAsia="Arial" w:hAnsi="Arial"/>
                <w:sz w:val="8"/>
                <w:szCs w:val="8"/>
                <w:color w:val="auto"/>
              </w:rPr>
              <w:t>Office(11)</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Tysons Corner, Virginia</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20" w:type="dxa"/>
            <w:vAlign w:val="bottom"/>
            <w:shd w:val="clear" w:color="auto" w:fill="CCEEFF"/>
          </w:tcPr>
          <w:p>
            <w:pPr>
              <w:spacing w:after="0"/>
              <w:rPr>
                <w:sz w:val="7"/>
                <w:szCs w:val="7"/>
                <w:color w:val="auto"/>
              </w:rPr>
            </w:pPr>
          </w:p>
        </w:tc>
        <w:tc>
          <w:tcPr>
            <w:tcW w:w="960" w:type="dxa"/>
            <w:vAlign w:val="bottom"/>
            <w:shd w:val="clear" w:color="auto" w:fill="CCEEFF"/>
          </w:tcPr>
          <w:p>
            <w:pPr>
              <w:jc w:val="center"/>
              <w:ind w:left="339"/>
              <w:spacing w:after="0" w:line="88" w:lineRule="exact"/>
              <w:rPr>
                <w:sz w:val="20"/>
                <w:szCs w:val="20"/>
                <w:color w:val="auto"/>
              </w:rPr>
            </w:pPr>
            <w:r>
              <w:rPr>
                <w:rFonts w:ascii="Arial" w:cs="Arial" w:eastAsia="Arial" w:hAnsi="Arial"/>
                <w:sz w:val="8"/>
                <w:szCs w:val="8"/>
                <w:color w:val="auto"/>
                <w:w w:val="87"/>
              </w:rPr>
              <w:t>50%</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40" w:type="dxa"/>
            <w:vAlign w:val="bottom"/>
            <w:gridSpan w:val="3"/>
            <w:shd w:val="clear" w:color="auto" w:fill="CCEEFF"/>
          </w:tcPr>
          <w:p>
            <w:pPr>
              <w:ind w:left="300"/>
              <w:spacing w:after="0" w:line="88" w:lineRule="exact"/>
              <w:rPr>
                <w:sz w:val="20"/>
                <w:szCs w:val="20"/>
                <w:color w:val="auto"/>
              </w:rPr>
            </w:pPr>
            <w:r>
              <w:rPr>
                <w:rFonts w:ascii="Arial" w:cs="Arial" w:eastAsia="Arial" w:hAnsi="Arial"/>
                <w:sz w:val="8"/>
                <w:szCs w:val="8"/>
                <w:color w:val="auto"/>
              </w:rPr>
              <w:t>Hyatt Regency Tysons Corner</w:t>
            </w:r>
          </w:p>
        </w:tc>
        <w:tc>
          <w:tcPr>
            <w:tcW w:w="7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2015</w:t>
            </w: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2015</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290,000</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jc w:val="center"/>
              <w:ind w:left="179"/>
              <w:spacing w:after="0" w:line="88" w:lineRule="exact"/>
              <w:rPr>
                <w:sz w:val="20"/>
                <w:szCs w:val="20"/>
                <w:color w:val="auto"/>
              </w:rPr>
            </w:pPr>
            <w:r>
              <w:rPr>
                <w:rFonts w:ascii="Arial" w:cs="Arial" w:eastAsia="Arial" w:hAnsi="Arial"/>
                <w:sz w:val="8"/>
                <w:szCs w:val="8"/>
                <w:color w:val="auto"/>
                <w:w w:val="99"/>
              </w:rPr>
              <w:t>—</w:t>
            </w:r>
          </w:p>
        </w:tc>
        <w:tc>
          <w:tcPr>
            <w:tcW w:w="1340" w:type="dxa"/>
            <w:vAlign w:val="bottom"/>
            <w:shd w:val="clear" w:color="auto" w:fill="CCEEFF"/>
          </w:tcPr>
          <w:p>
            <w:pPr>
              <w:jc w:val="center"/>
              <w:ind w:left="178"/>
              <w:spacing w:after="0" w:line="88"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spacing w:after="0"/>
              <w:rPr>
                <w:sz w:val="20"/>
                <w:szCs w:val="20"/>
                <w:color w:val="auto"/>
              </w:rPr>
            </w:pPr>
            <w:r>
              <w:rPr>
                <w:rFonts w:ascii="Arial" w:cs="Arial" w:eastAsia="Arial" w:hAnsi="Arial"/>
                <w:sz w:val="8"/>
                <w:szCs w:val="8"/>
                <w:color w:val="auto"/>
              </w:rPr>
              <w:t>Center(11)</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Tysons Corner, Virginia</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960" w:type="dxa"/>
            <w:vAlign w:val="bottom"/>
          </w:tcPr>
          <w:p>
            <w:pPr>
              <w:jc w:val="center"/>
              <w:ind w:left="339"/>
              <w:spacing w:after="0" w:line="81" w:lineRule="exact"/>
              <w:rPr>
                <w:sz w:val="20"/>
                <w:szCs w:val="20"/>
                <w:color w:val="auto"/>
              </w:rPr>
            </w:pPr>
            <w:r>
              <w:rPr>
                <w:rFonts w:ascii="Arial" w:cs="Arial" w:eastAsia="Arial" w:hAnsi="Arial"/>
                <w:sz w:val="8"/>
                <w:szCs w:val="8"/>
                <w:color w:val="auto"/>
                <w:w w:val="87"/>
              </w:rPr>
              <w:t>50%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gridSpan w:val="3"/>
          </w:tcPr>
          <w:p>
            <w:pPr>
              <w:ind w:left="300"/>
              <w:spacing w:after="0" w:line="81" w:lineRule="exact"/>
              <w:rPr>
                <w:sz w:val="20"/>
                <w:szCs w:val="20"/>
                <w:color w:val="auto"/>
              </w:rPr>
            </w:pPr>
            <w:r>
              <w:rPr>
                <w:rFonts w:ascii="Arial" w:cs="Arial" w:eastAsia="Arial" w:hAnsi="Arial"/>
                <w:sz w:val="8"/>
                <w:szCs w:val="8"/>
                <w:color w:val="auto"/>
              </w:rPr>
              <w:t>VITA Tysons Corner</w:t>
            </w:r>
          </w:p>
        </w:tc>
        <w:tc>
          <w:tcPr>
            <w:tcW w:w="720" w:type="dxa"/>
            <w:vAlign w:val="bottom"/>
          </w:tcPr>
          <w:p>
            <w:pPr>
              <w:jc w:val="right"/>
              <w:spacing w:after="0" w:line="81" w:lineRule="exact"/>
              <w:rPr>
                <w:sz w:val="20"/>
                <w:szCs w:val="20"/>
                <w:color w:val="auto"/>
              </w:rPr>
            </w:pPr>
            <w:r>
              <w:rPr>
                <w:rFonts w:ascii="Arial" w:cs="Arial" w:eastAsia="Arial" w:hAnsi="Arial"/>
                <w:sz w:val="8"/>
                <w:szCs w:val="8"/>
                <w:color w:val="auto"/>
              </w:rPr>
              <w:t>2015</w:t>
            </w:r>
          </w:p>
        </w:tc>
        <w:tc>
          <w:tcPr>
            <w:tcW w:w="80" w:type="dxa"/>
            <w:vAlign w:val="bottom"/>
          </w:tcPr>
          <w:p>
            <w:pPr>
              <w:spacing w:after="0"/>
              <w:rPr>
                <w:sz w:val="7"/>
                <w:szCs w:val="7"/>
                <w:color w:val="auto"/>
              </w:rPr>
            </w:pPr>
          </w:p>
        </w:tc>
        <w:tc>
          <w:tcPr>
            <w:tcW w:w="780" w:type="dxa"/>
            <w:vAlign w:val="bottom"/>
          </w:tcPr>
          <w:p>
            <w:pPr>
              <w:jc w:val="right"/>
              <w:spacing w:after="0" w:line="81" w:lineRule="exact"/>
              <w:rPr>
                <w:sz w:val="20"/>
                <w:szCs w:val="20"/>
                <w:color w:val="auto"/>
              </w:rPr>
            </w:pPr>
            <w:r>
              <w:rPr>
                <w:rFonts w:ascii="Arial" w:cs="Arial" w:eastAsia="Arial" w:hAnsi="Arial"/>
                <w:sz w:val="8"/>
                <w:szCs w:val="8"/>
                <w:color w:val="auto"/>
              </w:rPr>
              <w:t>2015</w:t>
            </w:r>
          </w:p>
        </w:tc>
        <w:tc>
          <w:tcPr>
            <w:tcW w:w="100" w:type="dxa"/>
            <w:vAlign w:val="bottom"/>
          </w:tcPr>
          <w:p>
            <w:pPr>
              <w:spacing w:after="0"/>
              <w:rPr>
                <w:sz w:val="7"/>
                <w:szCs w:val="7"/>
                <w:color w:val="auto"/>
              </w:rPr>
            </w:pPr>
          </w:p>
        </w:tc>
        <w:tc>
          <w:tcPr>
            <w:tcW w:w="900" w:type="dxa"/>
            <w:vAlign w:val="bottom"/>
          </w:tcPr>
          <w:p>
            <w:pPr>
              <w:jc w:val="right"/>
              <w:spacing w:after="0" w:line="81" w:lineRule="exact"/>
              <w:rPr>
                <w:sz w:val="20"/>
                <w:szCs w:val="20"/>
                <w:color w:val="auto"/>
              </w:rPr>
            </w:pPr>
            <w:r>
              <w:rPr>
                <w:rFonts w:ascii="Arial" w:cs="Arial" w:eastAsia="Arial" w:hAnsi="Arial"/>
                <w:sz w:val="8"/>
                <w:szCs w:val="8"/>
                <w:color w:val="auto"/>
              </w:rPr>
              <w:t>510,000</w:t>
            </w:r>
          </w:p>
        </w:tc>
        <w:tc>
          <w:tcPr>
            <w:tcW w:w="80" w:type="dxa"/>
            <w:vAlign w:val="bottom"/>
          </w:tcPr>
          <w:p>
            <w:pPr>
              <w:spacing w:after="0"/>
              <w:rPr>
                <w:sz w:val="7"/>
                <w:szCs w:val="7"/>
                <w:color w:val="auto"/>
              </w:rPr>
            </w:pPr>
          </w:p>
        </w:tc>
        <w:tc>
          <w:tcPr>
            <w:tcW w:w="1040" w:type="dxa"/>
            <w:vAlign w:val="bottom"/>
          </w:tcPr>
          <w:p>
            <w:pPr>
              <w:jc w:val="right"/>
              <w:spacing w:after="0" w:line="8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1020" w:type="dxa"/>
            <w:vAlign w:val="bottom"/>
          </w:tcPr>
          <w:p>
            <w:pPr>
              <w:jc w:val="right"/>
              <w:ind w:right="200"/>
              <w:spacing w:after="0" w:line="81"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jc w:val="center"/>
              <w:ind w:left="179"/>
              <w:spacing w:after="0" w:line="81" w:lineRule="exact"/>
              <w:rPr>
                <w:sz w:val="20"/>
                <w:szCs w:val="20"/>
                <w:color w:val="auto"/>
              </w:rPr>
            </w:pPr>
            <w:r>
              <w:rPr>
                <w:rFonts w:ascii="Arial" w:cs="Arial" w:eastAsia="Arial" w:hAnsi="Arial"/>
                <w:sz w:val="8"/>
                <w:szCs w:val="8"/>
                <w:color w:val="auto"/>
                <w:w w:val="99"/>
              </w:rPr>
              <w:t>—</w:t>
            </w:r>
          </w:p>
        </w:tc>
        <w:tc>
          <w:tcPr>
            <w:tcW w:w="1340" w:type="dxa"/>
            <w:vAlign w:val="bottom"/>
          </w:tcPr>
          <w:p>
            <w:pPr>
              <w:jc w:val="center"/>
              <w:ind w:left="178"/>
              <w:spacing w:after="0" w:line="81" w:lineRule="exact"/>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tcPr>
          <w:p>
            <w:pPr>
              <w:spacing w:after="0"/>
              <w:rPr>
                <w:sz w:val="20"/>
                <w:szCs w:val="20"/>
                <w:color w:val="auto"/>
              </w:rPr>
            </w:pPr>
            <w:r>
              <w:rPr>
                <w:rFonts w:ascii="Arial" w:cs="Arial" w:eastAsia="Arial" w:hAnsi="Arial"/>
                <w:sz w:val="8"/>
                <w:szCs w:val="8"/>
                <w:color w:val="auto"/>
              </w:rPr>
              <w:t>Center(11)</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Tysons Corner, Virginia</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jc w:val="center"/>
              <w:ind w:left="339"/>
              <w:spacing w:after="0"/>
              <w:rPr>
                <w:sz w:val="20"/>
                <w:szCs w:val="20"/>
                <w:color w:val="auto"/>
              </w:rPr>
            </w:pPr>
            <w:r>
              <w:rPr>
                <w:rFonts w:ascii="Arial" w:cs="Arial" w:eastAsia="Arial" w:hAnsi="Arial"/>
                <w:sz w:val="8"/>
                <w:szCs w:val="8"/>
                <w:color w:val="auto"/>
                <w:w w:val="87"/>
              </w:rPr>
              <w:t>50%</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Tysons Tower(11)</w:t>
            </w: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2014</w:t>
            </w: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2014</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529,000</w:t>
            </w: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9"/>
              <w:spacing w:after="0"/>
              <w:rPr>
                <w:sz w:val="20"/>
                <w:szCs w:val="20"/>
                <w:color w:val="auto"/>
              </w:rPr>
            </w:pPr>
            <w:r>
              <w:rPr>
                <w:rFonts w:ascii="Arial" w:cs="Arial" w:eastAsia="Arial" w:hAnsi="Arial"/>
                <w:sz w:val="8"/>
                <w:szCs w:val="8"/>
                <w:color w:val="auto"/>
                <w:w w:val="99"/>
              </w:rPr>
              <w:t>—</w:t>
            </w:r>
          </w:p>
        </w:tc>
        <w:tc>
          <w:tcPr>
            <w:tcW w:w="134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Tysons Corner, Virginia</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20" w:type="dxa"/>
            <w:vAlign w:val="bottom"/>
          </w:tcPr>
          <w:p>
            <w:pPr>
              <w:spacing w:after="0"/>
              <w:rPr>
                <w:sz w:val="9"/>
                <w:szCs w:val="9"/>
                <w:color w:val="auto"/>
              </w:rPr>
            </w:pPr>
          </w:p>
        </w:tc>
        <w:tc>
          <w:tcPr>
            <w:tcW w:w="2700" w:type="dxa"/>
            <w:vAlign w:val="bottom"/>
            <w:gridSpan w:val="6"/>
          </w:tcPr>
          <w:p>
            <w:pPr>
              <w:ind w:left="400"/>
              <w:spacing w:after="0"/>
              <w:rPr>
                <w:sz w:val="20"/>
                <w:szCs w:val="20"/>
                <w:color w:val="auto"/>
              </w:rPr>
            </w:pPr>
            <w:r>
              <w:rPr>
                <w:rFonts w:ascii="Arial" w:cs="Arial" w:eastAsia="Arial" w:hAnsi="Arial"/>
                <w:sz w:val="8"/>
                <w:szCs w:val="8"/>
                <w:b w:val="1"/>
                <w:bCs w:val="1"/>
                <w:color w:val="auto"/>
              </w:rPr>
              <w:t>OTHER ASSETS UNDER DEVELOPMENT: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jc w:val="center"/>
              <w:ind w:left="339"/>
              <w:spacing w:after="0"/>
              <w:rPr>
                <w:sz w:val="20"/>
                <w:szCs w:val="20"/>
                <w:color w:val="auto"/>
              </w:rPr>
            </w:pPr>
            <w:r>
              <w:rPr>
                <w:rFonts w:ascii="Arial" w:cs="Arial" w:eastAsia="Arial" w:hAnsi="Arial"/>
                <w:sz w:val="8"/>
                <w:szCs w:val="8"/>
                <w:color w:val="auto"/>
                <w:w w:val="87"/>
              </w:rPr>
              <w:t>25%</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One Westside(11)(13)</w:t>
            </w: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1985/1998</w:t>
            </w: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8"/>
                <w:szCs w:val="8"/>
                <w:color w:val="auto"/>
              </w:rPr>
              <w:t>Ongoing</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680,000</w:t>
            </w: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jc w:val="center"/>
              <w:ind w:left="179"/>
              <w:spacing w:after="0"/>
              <w:rPr>
                <w:sz w:val="20"/>
                <w:szCs w:val="20"/>
                <w:color w:val="auto"/>
              </w:rPr>
            </w:pPr>
            <w:r>
              <w:rPr>
                <w:rFonts w:ascii="Arial" w:cs="Arial" w:eastAsia="Arial" w:hAnsi="Arial"/>
                <w:sz w:val="8"/>
                <w:szCs w:val="8"/>
                <w:color w:val="auto"/>
                <w:w w:val="99"/>
              </w:rPr>
              <w:t>—</w:t>
            </w:r>
          </w:p>
        </w:tc>
        <w:tc>
          <w:tcPr>
            <w:tcW w:w="1340" w:type="dxa"/>
            <w:vAlign w:val="bottom"/>
            <w:shd w:val="clear" w:color="auto" w:fill="CCEEFF"/>
          </w:tcPr>
          <w:p>
            <w:pPr>
              <w:jc w:val="center"/>
              <w:ind w:left="178"/>
              <w:spacing w:after="0"/>
              <w:rPr>
                <w:sz w:val="20"/>
                <w:szCs w:val="20"/>
                <w:color w:val="auto"/>
              </w:rPr>
            </w:pPr>
            <w:r>
              <w:rPr>
                <w:rFonts w:ascii="Arial" w:cs="Arial" w:eastAsia="Arial" w:hAnsi="Arial"/>
                <w:sz w:val="8"/>
                <w:szCs w:val="8"/>
                <w:color w:val="auto"/>
                <w:w w:val="99"/>
              </w:rPr>
              <w:t>—</w:t>
            </w:r>
          </w:p>
        </w:tc>
        <w:tc>
          <w:tcPr>
            <w:tcW w:w="0" w:type="dxa"/>
            <w:vAlign w:val="bottom"/>
          </w:tcPr>
          <w:p>
            <w:pPr>
              <w:spacing w:after="0"/>
              <w:rPr>
                <w:sz w:val="1"/>
                <w:szCs w:val="1"/>
                <w:color w:val="auto"/>
              </w:rPr>
            </w:pP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color w:val="auto"/>
              </w:rPr>
              <w:t>Los Angeles, California</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960" w:type="dxa"/>
            <w:vAlign w:val="bottom"/>
          </w:tcPr>
          <w:p>
            <w:pPr>
              <w:jc w:val="center"/>
              <w:ind w:left="339"/>
              <w:spacing w:after="0"/>
              <w:rPr>
                <w:sz w:val="20"/>
                <w:szCs w:val="20"/>
                <w:color w:val="auto"/>
              </w:rPr>
            </w:pPr>
            <w:r>
              <w:rPr>
                <w:rFonts w:ascii="Arial" w:cs="Arial" w:eastAsia="Arial" w:hAnsi="Arial"/>
                <w:sz w:val="8"/>
                <w:szCs w:val="8"/>
                <w:color w:val="auto"/>
                <w:w w:val="86"/>
              </w:rPr>
              <w:t>5%</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Paradise Valley Mall(11)(14)</w:t>
            </w:r>
          </w:p>
        </w:tc>
        <w:tc>
          <w:tcPr>
            <w:tcW w:w="720" w:type="dxa"/>
            <w:vAlign w:val="bottom"/>
          </w:tcPr>
          <w:p>
            <w:pPr>
              <w:jc w:val="right"/>
              <w:spacing w:after="0"/>
              <w:rPr>
                <w:sz w:val="20"/>
                <w:szCs w:val="20"/>
                <w:color w:val="auto"/>
              </w:rPr>
            </w:pPr>
            <w:r>
              <w:rPr>
                <w:rFonts w:ascii="Arial" w:cs="Arial" w:eastAsia="Arial" w:hAnsi="Arial"/>
                <w:sz w:val="8"/>
                <w:szCs w:val="8"/>
                <w:color w:val="auto"/>
              </w:rPr>
              <w:t>1979/2002</w:t>
            </w:r>
          </w:p>
        </w:tc>
        <w:tc>
          <w:tcPr>
            <w:tcW w:w="80" w:type="dxa"/>
            <w:vAlign w:val="bottom"/>
          </w:tcPr>
          <w:p>
            <w:pPr>
              <w:spacing w:after="0"/>
              <w:rPr>
                <w:sz w:val="9"/>
                <w:szCs w:val="9"/>
                <w:color w:val="auto"/>
              </w:rPr>
            </w:pPr>
          </w:p>
        </w:tc>
        <w:tc>
          <w:tcPr>
            <w:tcW w:w="880" w:type="dxa"/>
            <w:vAlign w:val="bottom"/>
            <w:gridSpan w:val="2"/>
          </w:tcPr>
          <w:p>
            <w:pPr>
              <w:ind w:left="480"/>
              <w:spacing w:after="0"/>
              <w:rPr>
                <w:sz w:val="20"/>
                <w:szCs w:val="20"/>
                <w:color w:val="auto"/>
              </w:rPr>
            </w:pPr>
            <w:r>
              <w:rPr>
                <w:rFonts w:ascii="Arial" w:cs="Arial" w:eastAsia="Arial" w:hAnsi="Arial"/>
                <w:sz w:val="8"/>
                <w:szCs w:val="8"/>
                <w:color w:val="auto"/>
              </w:rPr>
              <w:t>Ongoing</w:t>
            </w:r>
          </w:p>
        </w:tc>
        <w:tc>
          <w:tcPr>
            <w:tcW w:w="900" w:type="dxa"/>
            <w:vAlign w:val="bottom"/>
          </w:tcPr>
          <w:p>
            <w:pPr>
              <w:jc w:val="right"/>
              <w:spacing w:after="0"/>
              <w:rPr>
                <w:sz w:val="20"/>
                <w:szCs w:val="20"/>
                <w:color w:val="auto"/>
              </w:rPr>
            </w:pPr>
            <w:r>
              <w:rPr>
                <w:rFonts w:ascii="Arial" w:cs="Arial" w:eastAsia="Arial" w:hAnsi="Arial"/>
                <w:sz w:val="8"/>
                <w:szCs w:val="8"/>
                <w:color w:val="auto"/>
              </w:rPr>
              <w:t>303,000</w:t>
            </w:r>
          </w:p>
        </w:tc>
        <w:tc>
          <w:tcPr>
            <w:tcW w:w="8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020" w:type="dxa"/>
            <w:vAlign w:val="bottom"/>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left="199"/>
              <w:spacing w:after="0"/>
              <w:rPr>
                <w:sz w:val="20"/>
                <w:szCs w:val="20"/>
                <w:color w:val="auto"/>
              </w:rPr>
            </w:pPr>
            <w:r>
              <w:rPr>
                <w:rFonts w:ascii="Arial" w:cs="Arial" w:eastAsia="Arial" w:hAnsi="Arial"/>
                <w:sz w:val="8"/>
                <w:szCs w:val="8"/>
                <w:color w:val="auto"/>
                <w:w w:val="91"/>
              </w:rPr>
              <w:t>JCPenney</w:t>
            </w:r>
          </w:p>
        </w:tc>
        <w:tc>
          <w:tcPr>
            <w:tcW w:w="1340" w:type="dxa"/>
            <w:vAlign w:val="bottom"/>
          </w:tcPr>
          <w:p>
            <w:pPr>
              <w:jc w:val="center"/>
              <w:ind w:left="178"/>
              <w:spacing w:after="0"/>
              <w:rPr>
                <w:sz w:val="20"/>
                <w:szCs w:val="20"/>
                <w:color w:val="auto"/>
              </w:rPr>
            </w:pPr>
            <w:r>
              <w:rPr>
                <w:rFonts w:ascii="Arial" w:cs="Arial" w:eastAsia="Arial" w:hAnsi="Arial"/>
                <w:sz w:val="8"/>
                <w:szCs w:val="8"/>
                <w:color w:val="auto"/>
                <w:w w:val="96"/>
              </w:rPr>
              <w:t>Costco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3"/>
          </w:tcPr>
          <w:p>
            <w:pPr>
              <w:ind w:left="300"/>
              <w:spacing w:after="0"/>
              <w:rPr>
                <w:sz w:val="20"/>
                <w:szCs w:val="20"/>
                <w:color w:val="auto"/>
              </w:rPr>
            </w:pPr>
            <w:r>
              <w:rPr>
                <w:rFonts w:ascii="Arial" w:cs="Arial" w:eastAsia="Arial" w:hAnsi="Arial"/>
                <w:sz w:val="8"/>
                <w:szCs w:val="8"/>
                <w:color w:val="auto"/>
              </w:rPr>
              <w:t>Phoenix, Arizona</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40" w:type="dxa"/>
            <w:vAlign w:val="bottom"/>
            <w:gridSpan w:val="3"/>
            <w:shd w:val="clear" w:color="auto" w:fill="CCEEFF"/>
          </w:tcPr>
          <w:p>
            <w:pPr>
              <w:ind w:left="300"/>
              <w:spacing w:after="0"/>
              <w:rPr>
                <w:sz w:val="20"/>
                <w:szCs w:val="20"/>
                <w:color w:val="auto"/>
              </w:rPr>
            </w:pPr>
            <w:r>
              <w:rPr>
                <w:rFonts w:ascii="Arial" w:cs="Arial" w:eastAsia="Arial" w:hAnsi="Arial"/>
                <w:sz w:val="8"/>
                <w:szCs w:val="8"/>
                <w:b w:val="1"/>
                <w:bCs w:val="1"/>
                <w:color w:val="auto"/>
              </w:rPr>
              <w:t>Total Other Assets</w:t>
            </w: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2,961,000</w:t>
            </w:r>
          </w:p>
        </w:tc>
        <w:tc>
          <w:tcPr>
            <w:tcW w:w="80" w:type="dxa"/>
            <w:vAlign w:val="bottom"/>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265,000</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gridSpan w:val="3"/>
          </w:tcPr>
          <w:p>
            <w:pPr>
              <w:ind w:left="300"/>
              <w:spacing w:after="0" w:line="87" w:lineRule="exact"/>
              <w:rPr>
                <w:sz w:val="20"/>
                <w:szCs w:val="20"/>
                <w:color w:val="auto"/>
              </w:rPr>
            </w:pPr>
            <w:r>
              <w:rPr>
                <w:rFonts w:ascii="Arial" w:cs="Arial" w:eastAsia="Arial" w:hAnsi="Arial"/>
                <w:sz w:val="8"/>
                <w:szCs w:val="8"/>
                <w:b w:val="1"/>
                <w:bCs w:val="1"/>
                <w:color w:val="auto"/>
              </w:rPr>
              <w:t>Grand Total</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47,616,000</w:t>
            </w:r>
          </w:p>
        </w:tc>
        <w:tc>
          <w:tcPr>
            <w:tcW w:w="1120" w:type="dxa"/>
            <w:vAlign w:val="bottom"/>
            <w:gridSpan w:val="2"/>
          </w:tcPr>
          <w:p>
            <w:pPr>
              <w:jc w:val="right"/>
              <w:spacing w:after="0"/>
              <w:rPr>
                <w:sz w:val="20"/>
                <w:szCs w:val="20"/>
                <w:color w:val="auto"/>
              </w:rPr>
            </w:pPr>
            <w:r>
              <w:rPr>
                <w:rFonts w:ascii="Arial" w:cs="Arial" w:eastAsia="Arial" w:hAnsi="Arial"/>
                <w:sz w:val="8"/>
                <w:szCs w:val="8"/>
                <w:color w:val="auto"/>
              </w:rPr>
              <w:t>23,550,000</w:t>
            </w: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60"/>
          </w:cols>
          <w:pgMar w:left="580" w:top="626" w:right="659" w:bottom="1440" w:gutter="0" w:footer="0" w:header="0"/>
        </w:sectPr>
      </w:pPr>
    </w:p>
    <w:bookmarkStart w:id="31" w:name="page32"/>
    <w:bookmarkEnd w:id="31"/>
    <w:p>
      <w:pPr>
        <w:spacing w:after="0"/>
        <w:rPr>
          <w:sz w:val="20"/>
          <w:szCs w:val="20"/>
          <w:color w:val="auto"/>
        </w:rPr>
      </w:pPr>
      <w:r>
        <w:rPr>
          <w:rFonts w:ascii="Arial" w:cs="Arial" w:eastAsia="Arial" w:hAnsi="Arial"/>
          <w:sz w:val="10"/>
          <w:szCs w:val="10"/>
          <w:color w:val="auto"/>
        </w:rPr>
        <w:t>________________________</w:t>
      </w:r>
    </w:p>
    <w:p>
      <w:pPr>
        <w:spacing w:after="0" w:line="92" w:lineRule="exact"/>
        <w:rPr>
          <w:sz w:val="20"/>
          <w:szCs w:val="20"/>
          <w:color w:val="auto"/>
        </w:rPr>
      </w:pPr>
    </w:p>
    <w:p>
      <w:pPr>
        <w:ind w:left="540" w:right="60" w:hanging="278"/>
        <w:spacing w:after="0" w:line="231" w:lineRule="auto"/>
        <w:tabs>
          <w:tab w:leader="none" w:pos="535"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 Company's ownership interest in this table reflects its direct or indirect legal ownership interest.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 See “Item 1A.—Risks Related to Our Organizational Structure—Outside partners in Joint Venture Centers result in additional risks to our stockholders.”</w:t>
      </w:r>
    </w:p>
    <w:p>
      <w:pPr>
        <w:spacing w:after="0" w:line="76" w:lineRule="exact"/>
        <w:rPr>
          <w:rFonts w:ascii="Arial" w:cs="Arial" w:eastAsia="Arial" w:hAnsi="Arial"/>
          <w:sz w:val="10"/>
          <w:szCs w:val="10"/>
          <w:color w:val="auto"/>
        </w:rPr>
      </w:pPr>
    </w:p>
    <w:p>
      <w:pPr>
        <w:ind w:left="540" w:hanging="278"/>
        <w:spacing w:after="0" w:line="307" w:lineRule="auto"/>
        <w:tabs>
          <w:tab w:leader="none" w:pos="535" w:val="left"/>
        </w:tabs>
        <w:numPr>
          <w:ilvl w:val="0"/>
          <w:numId w:val="20"/>
        </w:numPr>
        <w:rPr>
          <w:rFonts w:ascii="Arial" w:cs="Arial" w:eastAsia="Arial" w:hAnsi="Arial"/>
          <w:sz w:val="8"/>
          <w:szCs w:val="8"/>
          <w:color w:val="auto"/>
        </w:rPr>
      </w:pPr>
      <w:r>
        <w:rPr>
          <w:rFonts w:ascii="Arial" w:cs="Arial" w:eastAsia="Arial" w:hAnsi="Arial"/>
          <w:sz w:val="8"/>
          <w:szCs w:val="8"/>
          <w:color w:val="auto"/>
        </w:rPr>
        <w:t>The Company owned or had an ownership interest in 44 regional town centers, five community/power shopping centers and office, hotel and residential space adjacent to these shopping centers. With the exception of the eight Centers indicated with footnote (6) in the table above, the underlying land controlled by the Company is owned in fee entirely by the Company or, in the case of Joint Venture Centers, by the joint venture property partnership or limited liability company. With respect to these eight Centers, portions of the underlying land controlled by the Company are owned by third parties and leased to the Company, or the joint venture property partnership or limited liability company, pursuant to long-term ground leases. Under the terms of a typical ground lease, the Company, or the joint venture property partnership or limited liability company, has an option or right of first refusal to purchase the land. The termination dates of the ground leases range from 2028 to 2098.</w:t>
      </w:r>
    </w:p>
    <w:p>
      <w:pPr>
        <w:spacing w:after="0" w:line="60" w:lineRule="exact"/>
        <w:rPr>
          <w:rFonts w:ascii="Arial" w:cs="Arial" w:eastAsia="Arial" w:hAnsi="Arial"/>
          <w:sz w:val="8"/>
          <w:szCs w:val="8"/>
          <w:color w:val="auto"/>
        </w:rPr>
      </w:pPr>
    </w:p>
    <w:p>
      <w:pPr>
        <w:ind w:left="540" w:right="80" w:hanging="278"/>
        <w:spacing w:after="0" w:line="234" w:lineRule="auto"/>
        <w:tabs>
          <w:tab w:leader="none" w:pos="535" w:val="left"/>
        </w:tabs>
        <w:numPr>
          <w:ilvl w:val="0"/>
          <w:numId w:val="20"/>
        </w:numPr>
        <w:rPr>
          <w:rFonts w:ascii="Arial" w:cs="Arial" w:eastAsia="Arial" w:hAnsi="Arial"/>
          <w:sz w:val="10"/>
          <w:szCs w:val="10"/>
          <w:color w:val="auto"/>
        </w:rPr>
      </w:pPr>
      <w:r>
        <w:rPr>
          <w:rFonts w:ascii="Arial" w:cs="Arial" w:eastAsia="Arial" w:hAnsi="Arial"/>
          <w:sz w:val="10"/>
          <w:szCs w:val="10"/>
          <w:color w:val="auto"/>
        </w:rPr>
        <w:t>Total GLA includes GLA attributable to Anchors (whether owned or non-owned) and Mall and Freestanding Stores as of December 31, 2021. “Non-owned Anchors” is space not owned by the Company (or, in the case of Joint Venture Centers, by the joint venture property partnership or limited liability company) which is occupied by Anchor tenants. “Company-owned Anchors” is space owned (or leased) by the Company (or, in the case of Joint Venture Centers, by the joint venture property partnership or limited liability company) and leased (or subleased) to Anchor.</w:t>
      </w:r>
    </w:p>
    <w:p>
      <w:pPr>
        <w:spacing w:after="0" w:line="86" w:lineRule="exact"/>
        <w:rPr>
          <w:rFonts w:ascii="Arial" w:cs="Arial" w:eastAsia="Arial" w:hAnsi="Arial"/>
          <w:sz w:val="10"/>
          <w:szCs w:val="10"/>
          <w:color w:val="auto"/>
        </w:rPr>
      </w:pPr>
    </w:p>
    <w:p>
      <w:pPr>
        <w:ind w:left="540" w:right="140" w:hanging="278"/>
        <w:spacing w:after="0" w:line="239" w:lineRule="auto"/>
        <w:tabs>
          <w:tab w:leader="none" w:pos="535"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These Centers have vacant Anchor locations. The Company is actively seeking replacement tenants or has entered into replacement leases for many of these vacant sites and/or is currently executing or considering redevelopment opportunities for these locations. The Company continues to collect rent under the terms of an agreement regarding four of these vacant Anchors.</w:t>
      </w:r>
    </w:p>
    <w:p>
      <w:pPr>
        <w:spacing w:after="0" w:line="76" w:lineRule="exact"/>
        <w:rPr>
          <w:rFonts w:ascii="Arial" w:cs="Arial" w:eastAsia="Arial" w:hAnsi="Arial"/>
          <w:sz w:val="10"/>
          <w:szCs w:val="10"/>
          <w:color w:val="auto"/>
        </w:rPr>
      </w:pPr>
    </w:p>
    <w:p>
      <w:pPr>
        <w:ind w:left="520" w:hanging="258"/>
        <w:spacing w:after="0"/>
        <w:tabs>
          <w:tab w:leader="none" w:pos="520" w:val="left"/>
        </w:tabs>
        <w:numPr>
          <w:ilvl w:val="0"/>
          <w:numId w:val="20"/>
        </w:numPr>
        <w:rPr>
          <w:rFonts w:ascii="Arial" w:cs="Arial" w:eastAsia="Arial" w:hAnsi="Arial"/>
          <w:sz w:val="8"/>
          <w:szCs w:val="8"/>
          <w:color w:val="auto"/>
        </w:rPr>
      </w:pPr>
      <w:r>
        <w:rPr>
          <w:rFonts w:ascii="Arial" w:cs="Arial" w:eastAsia="Arial" w:hAnsi="Arial"/>
          <w:sz w:val="8"/>
          <w:szCs w:val="8"/>
          <w:color w:val="auto"/>
        </w:rPr>
        <w:t>Scheels All Sports has announced plans to expand and build a two-level 222,000 square foot store at Chandler Fashion Center utilizing the vacant 144,000 square foot location formerly occupied by Nordstrom. The store is anticipated to open in fall 2023.</w:t>
      </w:r>
    </w:p>
    <w:p>
      <w:pPr>
        <w:spacing w:after="0" w:line="115" w:lineRule="exact"/>
        <w:rPr>
          <w:rFonts w:ascii="Arial" w:cs="Arial" w:eastAsia="Arial" w:hAnsi="Arial"/>
          <w:sz w:val="8"/>
          <w:szCs w:val="8"/>
          <w:color w:val="auto"/>
        </w:rPr>
      </w:pPr>
    </w:p>
    <w:p>
      <w:pPr>
        <w:ind w:left="520" w:hanging="258"/>
        <w:spacing w:after="0"/>
        <w:tabs>
          <w:tab w:leader="none" w:pos="5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Portions of the land on which the Center is situated are subject to one or more long-term ground leases.</w:t>
      </w:r>
    </w:p>
    <w:p>
      <w:pPr>
        <w:spacing w:after="0" w:line="92" w:lineRule="exact"/>
        <w:rPr>
          <w:rFonts w:ascii="Arial" w:cs="Arial" w:eastAsia="Arial" w:hAnsi="Arial"/>
          <w:sz w:val="10"/>
          <w:szCs w:val="10"/>
          <w:color w:val="auto"/>
        </w:rPr>
      </w:pPr>
    </w:p>
    <w:p>
      <w:pPr>
        <w:ind w:left="520" w:hanging="258"/>
        <w:spacing w:after="0"/>
        <w:tabs>
          <w:tab w:leader="none" w:pos="5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Primark has announced plans to open two new two-level stores at Green Acres Mall and Tysons Corner Center.</w:t>
      </w:r>
    </w:p>
    <w:p>
      <w:pPr>
        <w:spacing w:after="0" w:line="83" w:lineRule="exact"/>
        <w:rPr>
          <w:rFonts w:ascii="Arial" w:cs="Arial" w:eastAsia="Arial" w:hAnsi="Arial"/>
          <w:sz w:val="10"/>
          <w:szCs w:val="10"/>
          <w:color w:val="auto"/>
        </w:rPr>
      </w:pPr>
    </w:p>
    <w:p>
      <w:pPr>
        <w:ind w:left="520" w:hanging="258"/>
        <w:spacing w:after="0"/>
        <w:tabs>
          <w:tab w:leader="none" w:pos="5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Target has announced plans to open a three-level, 90,000 square foot store at Kings Plaza.</w:t>
      </w:r>
    </w:p>
    <w:p>
      <w:pPr>
        <w:spacing w:after="0" w:line="92" w:lineRule="exact"/>
        <w:rPr>
          <w:rFonts w:ascii="Arial" w:cs="Arial" w:eastAsia="Arial" w:hAnsi="Arial"/>
          <w:sz w:val="10"/>
          <w:szCs w:val="10"/>
          <w:color w:val="auto"/>
        </w:rPr>
      </w:pPr>
    </w:p>
    <w:p>
      <w:pPr>
        <w:ind w:left="520" w:hanging="258"/>
        <w:spacing w:after="0"/>
        <w:tabs>
          <w:tab w:leader="none" w:pos="5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 Center has a vacant former anchor store to be demolished for redevelopment.</w:t>
      </w:r>
    </w:p>
    <w:p>
      <w:pPr>
        <w:spacing w:after="0" w:line="92" w:lineRule="exact"/>
        <w:rPr>
          <w:rFonts w:ascii="Arial" w:cs="Arial" w:eastAsia="Arial" w:hAnsi="Arial"/>
          <w:sz w:val="10"/>
          <w:szCs w:val="10"/>
          <w:color w:val="auto"/>
        </w:rPr>
      </w:pPr>
    </w:p>
    <w:p>
      <w:pPr>
        <w:ind w:left="520" w:hanging="258"/>
        <w:spacing w:after="0"/>
        <w:tabs>
          <w:tab w:leader="none" w:pos="5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Included in Consolidated Centers.</w:t>
      </w:r>
    </w:p>
    <w:p>
      <w:pPr>
        <w:spacing w:after="0" w:line="83" w:lineRule="exact"/>
        <w:rPr>
          <w:rFonts w:ascii="Arial" w:cs="Arial" w:eastAsia="Arial" w:hAnsi="Arial"/>
          <w:sz w:val="10"/>
          <w:szCs w:val="10"/>
          <w:color w:val="auto"/>
        </w:rPr>
      </w:pPr>
    </w:p>
    <w:p>
      <w:pPr>
        <w:ind w:left="520" w:hanging="258"/>
        <w:spacing w:after="0"/>
        <w:tabs>
          <w:tab w:leader="none" w:pos="5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Included in Unconsolidated Joint Venture Centers.</w:t>
      </w:r>
    </w:p>
    <w:p>
      <w:pPr>
        <w:spacing w:after="0" w:line="92" w:lineRule="exact"/>
        <w:rPr>
          <w:rFonts w:ascii="Arial" w:cs="Arial" w:eastAsia="Arial" w:hAnsi="Arial"/>
          <w:sz w:val="10"/>
          <w:szCs w:val="10"/>
          <w:color w:val="auto"/>
        </w:rPr>
      </w:pPr>
    </w:p>
    <w:p>
      <w:pPr>
        <w:ind w:left="540" w:right="20" w:hanging="278"/>
        <w:spacing w:after="0" w:line="232" w:lineRule="auto"/>
        <w:tabs>
          <w:tab w:leader="none" w:pos="538"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 Company owns an office building and four stores located at shopping centers not owned by the Company. Of the four stores, one has been leased to Kohl's and three have been leased for non-Anchor uses. With respect to the office building and two of the four stores, the underlying land is owned in fee entirely by the Company. With respect to the remaining two stores, the underlying land is owned by third parties and leased to the Company pursuant to long-term building or ground leases. Under the terms 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two ground leases terminate in years 2026 and 2027.</w:t>
      </w:r>
    </w:p>
    <w:p>
      <w:pPr>
        <w:spacing w:after="0" w:line="86" w:lineRule="exact"/>
        <w:rPr>
          <w:rFonts w:ascii="Arial" w:cs="Arial" w:eastAsia="Arial" w:hAnsi="Arial"/>
          <w:sz w:val="10"/>
          <w:szCs w:val="10"/>
          <w:color w:val="auto"/>
        </w:rPr>
      </w:pPr>
    </w:p>
    <w:p>
      <w:pPr>
        <w:ind w:left="540" w:right="160" w:hanging="278"/>
        <w:spacing w:after="0" w:line="239" w:lineRule="auto"/>
        <w:tabs>
          <w:tab w:leader="none" w:pos="538" w:val="left"/>
        </w:tabs>
        <w:numPr>
          <w:ilvl w:val="0"/>
          <w:numId w:val="20"/>
        </w:numPr>
        <w:rPr>
          <w:rFonts w:ascii="Arial" w:cs="Arial" w:eastAsia="Arial" w:hAnsi="Arial"/>
          <w:sz w:val="10"/>
          <w:szCs w:val="10"/>
          <w:color w:val="auto"/>
        </w:rPr>
      </w:pPr>
      <w:r>
        <w:rPr>
          <w:rFonts w:ascii="Arial" w:cs="Arial" w:eastAsia="Arial" w:hAnsi="Arial"/>
          <w:sz w:val="10"/>
          <w:szCs w:val="10"/>
          <w:color w:val="auto"/>
        </w:rPr>
        <w:t>One Westside, formerly known as Westside Pavilion, was a regional town center that closed in January 2019. This property is under redevelopment into 584,000 square feet of creative office leased entirely to Google, along with 96,000 square feet of existing entertainment and retail space.</w:t>
      </w:r>
    </w:p>
    <w:p>
      <w:pPr>
        <w:spacing w:after="0" w:line="76" w:lineRule="exact"/>
        <w:rPr>
          <w:rFonts w:ascii="Arial" w:cs="Arial" w:eastAsia="Arial" w:hAnsi="Arial"/>
          <w:sz w:val="10"/>
          <w:szCs w:val="10"/>
          <w:color w:val="auto"/>
        </w:rPr>
      </w:pPr>
    </w:p>
    <w:p>
      <w:pPr>
        <w:ind w:left="540" w:right="100" w:hanging="278"/>
        <w:spacing w:after="0" w:line="239" w:lineRule="auto"/>
        <w:tabs>
          <w:tab w:leader="none" w:pos="538" w:val="left"/>
        </w:tabs>
        <w:numPr>
          <w:ilvl w:val="0"/>
          <w:numId w:val="20"/>
        </w:numPr>
        <w:rPr>
          <w:rFonts w:ascii="Arial" w:cs="Arial" w:eastAsia="Arial" w:hAnsi="Arial"/>
          <w:sz w:val="10"/>
          <w:szCs w:val="10"/>
          <w:color w:val="auto"/>
        </w:rPr>
      </w:pPr>
      <w:r>
        <w:rPr>
          <w:rFonts w:ascii="Arial" w:cs="Arial" w:eastAsia="Arial" w:hAnsi="Arial"/>
          <w:sz w:val="10"/>
          <w:szCs w:val="10"/>
          <w:color w:val="auto"/>
        </w:rPr>
        <w:t>Construction started in summer 2021 on the first phase of a multi-phase, multi-year project to convert the former regional town center Paradise Valley Mall into a mixed-used development with high-end grocery, restaurants, multi-family residences, offices, retail shops and other elements on the 92-acre site. The existing Costco and JCPenney stores remain open, while all of the other stores at the property have closed.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Mortgage Debt</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table sets forth certain information regarding the mortgages encumbering the Centers, including those Centers in which the Company has less than a 100% interest. The information set forth below is as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2021 (dollars in thousands):</w:t>
      </w:r>
    </w:p>
    <w:tbl>
      <w:tblPr>
        <w:tblLayout w:type="fixed"/>
        <w:tblInd w:w="0" w:type="dxa"/>
        <w:tblCellMar>
          <w:top w:w="0" w:type="dxa"/>
          <w:left w:w="0" w:type="dxa"/>
          <w:bottom w:w="0" w:type="dxa"/>
          <w:right w:w="0" w:type="dxa"/>
        </w:tblCellMar>
      </w:tblPr>
      <w:tr>
        <w:trPr>
          <w:trHeight w:val="114"/>
        </w:trPr>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Annual</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Balance</w:t>
            </w:r>
          </w:p>
        </w:tc>
        <w:tc>
          <w:tcPr>
            <w:tcW w:w="1060" w:type="dxa"/>
            <w:vAlign w:val="bottom"/>
          </w:tcPr>
          <w:p>
            <w:pPr>
              <w:jc w:val="center"/>
              <w:ind w:left="252"/>
              <w:spacing w:after="0"/>
              <w:rPr>
                <w:sz w:val="20"/>
                <w:szCs w:val="20"/>
                <w:color w:val="auto"/>
              </w:rPr>
            </w:pPr>
            <w:r>
              <w:rPr>
                <w:rFonts w:ascii="Arial" w:cs="Arial" w:eastAsia="Arial" w:hAnsi="Arial"/>
                <w:sz w:val="10"/>
                <w:szCs w:val="10"/>
                <w:b w:val="1"/>
                <w:bCs w:val="1"/>
                <w:color w:val="auto"/>
                <w:w w:val="85"/>
              </w:rPr>
              <w:t>Earliest Date</w:t>
            </w:r>
          </w:p>
        </w:tc>
        <w:tc>
          <w:tcPr>
            <w:tcW w:w="0" w:type="dxa"/>
            <w:vAlign w:val="bottom"/>
          </w:tcPr>
          <w:p>
            <w:pPr>
              <w:spacing w:after="0"/>
              <w:rPr>
                <w:sz w:val="1"/>
                <w:szCs w:val="1"/>
                <w:color w:val="auto"/>
              </w:rPr>
            </w:pPr>
          </w:p>
        </w:tc>
      </w:tr>
      <w:tr>
        <w:trPr>
          <w:trHeight w:val="90"/>
        </w:trPr>
        <w:tc>
          <w:tcPr>
            <w:tcW w:w="2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restart"/>
          </w:tcPr>
          <w:p>
            <w:pPr>
              <w:jc w:val="center"/>
              <w:ind w:left="152"/>
              <w:spacing w:after="0"/>
              <w:rPr>
                <w:sz w:val="20"/>
                <w:szCs w:val="20"/>
                <w:color w:val="auto"/>
              </w:rPr>
            </w:pPr>
            <w:r>
              <w:rPr>
                <w:rFonts w:ascii="Arial" w:cs="Arial" w:eastAsia="Arial" w:hAnsi="Arial"/>
                <w:sz w:val="10"/>
                <w:szCs w:val="10"/>
                <w:b w:val="1"/>
                <w:bCs w:val="1"/>
                <w:color w:val="auto"/>
                <w:w w:val="87"/>
              </w:rPr>
              <w:t>Fixed or</w:t>
            </w:r>
          </w:p>
        </w:tc>
        <w:tc>
          <w:tcPr>
            <w:tcW w:w="400" w:type="dxa"/>
            <w:vAlign w:val="bottom"/>
          </w:tcPr>
          <w:p>
            <w:pPr>
              <w:spacing w:after="0"/>
              <w:rPr>
                <w:sz w:val="7"/>
                <w:szCs w:val="7"/>
                <w:color w:val="auto"/>
              </w:rPr>
            </w:pPr>
          </w:p>
        </w:tc>
        <w:tc>
          <w:tcPr>
            <w:tcW w:w="960" w:type="dxa"/>
            <w:vAlign w:val="bottom"/>
            <w:vMerge w:val="restart"/>
          </w:tcPr>
          <w:p>
            <w:pPr>
              <w:jc w:val="right"/>
              <w:ind w:right="292"/>
              <w:spacing w:after="0"/>
              <w:rPr>
                <w:sz w:val="20"/>
                <w:szCs w:val="20"/>
                <w:color w:val="auto"/>
              </w:rPr>
            </w:pPr>
            <w:r>
              <w:rPr>
                <w:rFonts w:ascii="Arial" w:cs="Arial" w:eastAsia="Arial" w:hAnsi="Arial"/>
                <w:sz w:val="10"/>
                <w:szCs w:val="10"/>
                <w:b w:val="1"/>
                <w:bCs w:val="1"/>
                <w:color w:val="auto"/>
              </w:rPr>
              <w:t>Carrying</w:t>
            </w:r>
          </w:p>
        </w:tc>
        <w:tc>
          <w:tcPr>
            <w:tcW w:w="10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Effective Interest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rPr>
              <w:t>Maturity</w:t>
            </w:r>
          </w:p>
        </w:tc>
        <w:tc>
          <w:tcPr>
            <w:tcW w:w="4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6"/>
              </w:rPr>
              <w:t>Notes Can Be</w:t>
            </w:r>
          </w:p>
        </w:tc>
        <w:tc>
          <w:tcPr>
            <w:tcW w:w="0" w:type="dxa"/>
            <w:vAlign w:val="bottom"/>
          </w:tcPr>
          <w:p>
            <w:pPr>
              <w:spacing w:after="0"/>
              <w:rPr>
                <w:sz w:val="1"/>
                <w:szCs w:val="1"/>
                <w:color w:val="auto"/>
              </w:rPr>
            </w:pPr>
          </w:p>
        </w:tc>
      </w:tr>
      <w:tr>
        <w:trPr>
          <w:trHeight w:val="90"/>
        </w:trPr>
        <w:tc>
          <w:tcPr>
            <w:tcW w:w="244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Property Pledged as Collateral</w:t>
            </w:r>
          </w:p>
        </w:tc>
        <w:tc>
          <w:tcPr>
            <w:tcW w:w="80" w:type="dxa"/>
            <w:vAlign w:val="bottom"/>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center"/>
              <w:ind w:left="272"/>
              <w:spacing w:after="0" w:line="90" w:lineRule="exact"/>
              <w:rPr>
                <w:sz w:val="20"/>
                <w:szCs w:val="20"/>
                <w:color w:val="auto"/>
              </w:rPr>
            </w:pPr>
            <w:r>
              <w:rPr>
                <w:rFonts w:ascii="Arial" w:cs="Arial" w:eastAsia="Arial" w:hAnsi="Arial"/>
                <w:sz w:val="10"/>
                <w:szCs w:val="10"/>
                <w:b w:val="1"/>
                <w:bCs w:val="1"/>
                <w:color w:val="auto"/>
                <w:w w:val="89"/>
              </w:rPr>
              <w:t>Debt</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Due on</w:t>
            </w:r>
          </w:p>
        </w:tc>
        <w:tc>
          <w:tcPr>
            <w:tcW w:w="10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3"/>
              </w:rPr>
              <w:t>Defeased or</w:t>
            </w:r>
          </w:p>
        </w:tc>
        <w:tc>
          <w:tcPr>
            <w:tcW w:w="0" w:type="dxa"/>
            <w:vAlign w:val="bottom"/>
          </w:tcPr>
          <w:p>
            <w:pPr>
              <w:spacing w:after="0"/>
              <w:rPr>
                <w:sz w:val="1"/>
                <w:szCs w:val="1"/>
                <w:color w:val="auto"/>
              </w:rPr>
            </w:pPr>
          </w:p>
        </w:tc>
      </w:tr>
      <w:tr>
        <w:trPr>
          <w:trHeight w:val="125"/>
        </w:trPr>
        <w:tc>
          <w:tcPr>
            <w:tcW w:w="24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Floating</w:t>
            </w:r>
          </w:p>
        </w:tc>
        <w:tc>
          <w:tcPr>
            <w:tcW w:w="1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w w:val="95"/>
              </w:rPr>
              <w:t>Amount(1)</w:t>
            </w:r>
          </w:p>
        </w:tc>
        <w:tc>
          <w:tcPr>
            <w:tcW w:w="10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Rate(2)</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center"/>
              <w:ind w:left="252"/>
              <w:spacing w:after="0"/>
              <w:rPr>
                <w:sz w:val="20"/>
                <w:szCs w:val="20"/>
                <w:color w:val="auto"/>
              </w:rPr>
            </w:pPr>
            <w:r>
              <w:rPr>
                <w:rFonts w:ascii="Arial" w:cs="Arial" w:eastAsia="Arial" w:hAnsi="Arial"/>
                <w:sz w:val="10"/>
                <w:szCs w:val="10"/>
                <w:b w:val="1"/>
                <w:bCs w:val="1"/>
                <w:color w:val="auto"/>
                <w:w w:val="87"/>
              </w:rPr>
              <w:t>Service(3)</w:t>
            </w: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Date(4)</w:t>
            </w: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Maturity</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Be Prepaid</w:t>
            </w:r>
          </w:p>
        </w:tc>
        <w:tc>
          <w:tcPr>
            <w:tcW w:w="0" w:type="dxa"/>
            <w:vAlign w:val="bottom"/>
          </w:tcPr>
          <w:p>
            <w:pPr>
              <w:spacing w:after="0"/>
              <w:rPr>
                <w:sz w:val="1"/>
                <w:szCs w:val="1"/>
                <w:color w:val="auto"/>
              </w:rPr>
            </w:pPr>
          </w:p>
        </w:tc>
      </w:tr>
      <w:tr>
        <w:trPr>
          <w:trHeight w:val="143"/>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b w:val="1"/>
                <w:bCs w:val="1"/>
                <w:color w:val="auto"/>
              </w:rPr>
              <w:t>Consolidated Centers: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Chandler Fashion Center(5)</w:t>
            </w:r>
          </w:p>
        </w:tc>
        <w:tc>
          <w:tcPr>
            <w:tcW w:w="1060" w:type="dxa"/>
            <w:vAlign w:val="bottom"/>
            <w:gridSpan w:val="2"/>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255,548</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4.18</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jc w:val="right"/>
              <w:ind w:right="512"/>
              <w:spacing w:after="0"/>
              <w:rPr>
                <w:sz w:val="20"/>
                <w:szCs w:val="20"/>
                <w:color w:val="auto"/>
              </w:rPr>
            </w:pPr>
            <w:r>
              <w:rPr>
                <w:rFonts w:ascii="Arial" w:cs="Arial" w:eastAsia="Arial" w:hAnsi="Arial"/>
                <w:sz w:val="10"/>
                <w:szCs w:val="10"/>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w w:val="78"/>
              </w:rPr>
              <w:t>10,496</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7/5/24</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256,000</w:t>
            </w:r>
          </w:p>
        </w:tc>
        <w:tc>
          <w:tcPr>
            <w:tcW w:w="80" w:type="dxa"/>
            <w:vAlign w:val="bottom"/>
          </w:tcPr>
          <w:p>
            <w:pPr>
              <w:spacing w:after="0"/>
              <w:rPr>
                <w:sz w:val="10"/>
                <w:szCs w:val="10"/>
                <w:color w:val="auto"/>
              </w:rPr>
            </w:pPr>
          </w:p>
        </w:tc>
        <w:tc>
          <w:tcPr>
            <w:tcW w:w="1060" w:type="dxa"/>
            <w:vAlign w:val="bottom"/>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8"/>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Danbury Fair Mall</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168,037</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5.71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8"/>
              </w:rPr>
              <w:t>18,451</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7/1/22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163,677</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Fashion District Philadelphia</w:t>
            </w:r>
          </w:p>
        </w:tc>
        <w:tc>
          <w:tcPr>
            <w:tcW w:w="1060" w:type="dxa"/>
            <w:vAlign w:val="bottom"/>
            <w:gridSpan w:val="2"/>
          </w:tcPr>
          <w:p>
            <w:pPr>
              <w:jc w:val="center"/>
              <w:ind w:left="172"/>
              <w:spacing w:after="0"/>
              <w:rPr>
                <w:sz w:val="20"/>
                <w:szCs w:val="20"/>
                <w:color w:val="auto"/>
              </w:rPr>
            </w:pPr>
            <w:r>
              <w:rPr>
                <w:rFonts w:ascii="Arial" w:cs="Arial" w:eastAsia="Arial" w:hAnsi="Arial"/>
                <w:sz w:val="10"/>
                <w:szCs w:val="10"/>
                <w:color w:val="auto"/>
                <w:w w:val="89"/>
              </w:rPr>
              <w:t>Floating</w:t>
            </w:r>
          </w:p>
        </w:tc>
        <w:tc>
          <w:tcPr>
            <w:tcW w:w="4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194,602</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4.00</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95"/>
              </w:rPr>
              <w:t>7,784</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1/22/24</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184,602</w:t>
            </w:r>
          </w:p>
        </w:tc>
        <w:tc>
          <w:tcPr>
            <w:tcW w:w="80" w:type="dxa"/>
            <w:vAlign w:val="bottom"/>
          </w:tcPr>
          <w:p>
            <w:pPr>
              <w:spacing w:after="0"/>
              <w:rPr>
                <w:sz w:val="10"/>
                <w:szCs w:val="10"/>
                <w:color w:val="auto"/>
              </w:rPr>
            </w:pPr>
          </w:p>
        </w:tc>
        <w:tc>
          <w:tcPr>
            <w:tcW w:w="1060" w:type="dxa"/>
            <w:vAlign w:val="bottom"/>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8"/>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Fashion Outlets of Chicago</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299,274</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4.61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8"/>
              </w:rPr>
              <w:t>13,740</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2/1/31</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300,000</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Fashion Outlets of Niagara Falls USA</w:t>
            </w:r>
          </w:p>
        </w:tc>
        <w:tc>
          <w:tcPr>
            <w:tcW w:w="1060" w:type="dxa"/>
            <w:vAlign w:val="bottom"/>
            <w:gridSpan w:val="2"/>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95,329</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6.45</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95"/>
              </w:rPr>
              <w:t>8,719</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10/6/23</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91,135</w:t>
            </w:r>
          </w:p>
        </w:tc>
        <w:tc>
          <w:tcPr>
            <w:tcW w:w="80" w:type="dxa"/>
            <w:vAlign w:val="bottom"/>
          </w:tcPr>
          <w:p>
            <w:pPr>
              <w:spacing w:after="0"/>
              <w:rPr>
                <w:sz w:val="10"/>
                <w:szCs w:val="10"/>
                <w:color w:val="auto"/>
              </w:rPr>
            </w:pPr>
          </w:p>
        </w:tc>
        <w:tc>
          <w:tcPr>
            <w:tcW w:w="1060" w:type="dxa"/>
            <w:vAlign w:val="bottom"/>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8"/>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Freehold Raceway Mall(5)</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398,711</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3.94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8"/>
              </w:rPr>
              <w:t>15,600</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11/1/29</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386,013</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83"/>
              </w:rPr>
              <w:t>11/1/22</w:t>
            </w: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Fresno Fashion Fair</w:t>
            </w:r>
          </w:p>
        </w:tc>
        <w:tc>
          <w:tcPr>
            <w:tcW w:w="1060" w:type="dxa"/>
            <w:vAlign w:val="bottom"/>
            <w:gridSpan w:val="2"/>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324,056</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3.67</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78"/>
              </w:rPr>
              <w:t>11,658</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11/1/26</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325,000</w:t>
            </w:r>
          </w:p>
        </w:tc>
        <w:tc>
          <w:tcPr>
            <w:tcW w:w="80" w:type="dxa"/>
            <w:vAlign w:val="bottom"/>
          </w:tcPr>
          <w:p>
            <w:pPr>
              <w:spacing w:after="0"/>
              <w:rPr>
                <w:sz w:val="10"/>
                <w:szCs w:val="10"/>
                <w:color w:val="auto"/>
              </w:rPr>
            </w:pPr>
          </w:p>
        </w:tc>
        <w:tc>
          <w:tcPr>
            <w:tcW w:w="1060" w:type="dxa"/>
            <w:vAlign w:val="bottom"/>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8"/>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Green Acres Commons(6)</w:t>
            </w:r>
          </w:p>
        </w:tc>
        <w:tc>
          <w:tcPr>
            <w:tcW w:w="106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9"/>
              </w:rPr>
              <w:t>Floating</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124,875</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5"/>
              </w:rPr>
              <w:t>3,571</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3/29/23</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125,320</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Green Acres Mall(7)</w:t>
            </w:r>
          </w:p>
        </w:tc>
        <w:tc>
          <w:tcPr>
            <w:tcW w:w="1060" w:type="dxa"/>
            <w:vAlign w:val="bottom"/>
            <w:gridSpan w:val="2"/>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246,061</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3.94</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78"/>
              </w:rPr>
              <w:t>17,366</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2/3/23</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236,628</w:t>
            </w:r>
          </w:p>
        </w:tc>
        <w:tc>
          <w:tcPr>
            <w:tcW w:w="80" w:type="dxa"/>
            <w:vAlign w:val="bottom"/>
          </w:tcPr>
          <w:p>
            <w:pPr>
              <w:spacing w:after="0"/>
              <w:rPr>
                <w:sz w:val="10"/>
                <w:szCs w:val="10"/>
                <w:color w:val="auto"/>
              </w:rPr>
            </w:pPr>
          </w:p>
        </w:tc>
        <w:tc>
          <w:tcPr>
            <w:tcW w:w="1060" w:type="dxa"/>
            <w:vAlign w:val="bottom"/>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8"/>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Kings Plaza Shopping Center</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535,928</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3.71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8"/>
              </w:rPr>
              <w:t>19,543</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540,000</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left="272"/>
              <w:spacing w:after="0"/>
              <w:rPr>
                <w:sz w:val="20"/>
                <w:szCs w:val="20"/>
                <w:color w:val="auto"/>
              </w:rPr>
            </w:pPr>
            <w:r>
              <w:rPr>
                <w:rFonts w:ascii="Arial" w:cs="Arial" w:eastAsia="Arial" w:hAnsi="Arial"/>
                <w:sz w:val="10"/>
                <w:szCs w:val="10"/>
                <w:color w:val="auto"/>
                <w:w w:val="87"/>
              </w:rPr>
              <w:t>2/1/2023</w:t>
            </w: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Oaks, The</w:t>
            </w:r>
          </w:p>
        </w:tc>
        <w:tc>
          <w:tcPr>
            <w:tcW w:w="1060" w:type="dxa"/>
            <w:vAlign w:val="bottom"/>
            <w:gridSpan w:val="2"/>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176,721</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4.14</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78"/>
              </w:rPr>
              <w:t>12,772</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6/5/22</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174,433</w:t>
            </w:r>
          </w:p>
        </w:tc>
        <w:tc>
          <w:tcPr>
            <w:tcW w:w="80" w:type="dxa"/>
            <w:vAlign w:val="bottom"/>
          </w:tcPr>
          <w:p>
            <w:pPr>
              <w:spacing w:after="0"/>
              <w:rPr>
                <w:sz w:val="10"/>
                <w:szCs w:val="10"/>
                <w:color w:val="auto"/>
              </w:rPr>
            </w:pPr>
          </w:p>
        </w:tc>
        <w:tc>
          <w:tcPr>
            <w:tcW w:w="1060" w:type="dxa"/>
            <w:vAlign w:val="bottom"/>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8"/>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Pacific View</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111,481</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5"/>
              </w:rPr>
              <w:t>8,021</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110,597</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Queens Center</w:t>
            </w:r>
          </w:p>
        </w:tc>
        <w:tc>
          <w:tcPr>
            <w:tcW w:w="1060" w:type="dxa"/>
            <w:vAlign w:val="bottom"/>
            <w:gridSpan w:val="2"/>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600,000</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3.49</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78"/>
              </w:rPr>
              <w:t>20,922</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1/1/25</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600,000</w:t>
            </w:r>
          </w:p>
        </w:tc>
        <w:tc>
          <w:tcPr>
            <w:tcW w:w="80" w:type="dxa"/>
            <w:vAlign w:val="bottom"/>
          </w:tcPr>
          <w:p>
            <w:pPr>
              <w:spacing w:after="0"/>
              <w:rPr>
                <w:sz w:val="10"/>
                <w:szCs w:val="10"/>
                <w:color w:val="auto"/>
              </w:rPr>
            </w:pPr>
          </w:p>
        </w:tc>
        <w:tc>
          <w:tcPr>
            <w:tcW w:w="1060" w:type="dxa"/>
            <w:vAlign w:val="bottom"/>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8"/>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Santa Monica Place(8)</w:t>
            </w:r>
          </w:p>
        </w:tc>
        <w:tc>
          <w:tcPr>
            <w:tcW w:w="106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9"/>
              </w:rPr>
              <w:t>Floating</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299,314</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1.84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5"/>
              </w:rPr>
              <w:t>4,755</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12/9/22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300,000</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SanTan Village Regional Center</w:t>
            </w:r>
          </w:p>
        </w:tc>
        <w:tc>
          <w:tcPr>
            <w:tcW w:w="1060" w:type="dxa"/>
            <w:vAlign w:val="bottom"/>
            <w:gridSpan w:val="2"/>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219,323</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4.34</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95"/>
              </w:rPr>
              <w:t>9,460</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7/1/29</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220,000</w:t>
            </w:r>
          </w:p>
        </w:tc>
        <w:tc>
          <w:tcPr>
            <w:tcW w:w="80" w:type="dxa"/>
            <w:vAlign w:val="bottom"/>
          </w:tcPr>
          <w:p>
            <w:pPr>
              <w:spacing w:after="0"/>
              <w:rPr>
                <w:sz w:val="10"/>
                <w:szCs w:val="10"/>
                <w:color w:val="auto"/>
              </w:rPr>
            </w:pPr>
          </w:p>
        </w:tc>
        <w:tc>
          <w:tcPr>
            <w:tcW w:w="1060" w:type="dxa"/>
            <w:vAlign w:val="bottom"/>
          </w:tcPr>
          <w:p>
            <w:pPr>
              <w:jc w:val="center"/>
              <w:ind w:left="272"/>
              <w:spacing w:after="0"/>
              <w:rPr>
                <w:sz w:val="20"/>
                <w:szCs w:val="20"/>
                <w:color w:val="auto"/>
              </w:rPr>
            </w:pPr>
            <w:r>
              <w:rPr>
                <w:rFonts w:ascii="Arial" w:cs="Arial" w:eastAsia="Arial" w:hAnsi="Arial"/>
                <w:sz w:val="10"/>
                <w:szCs w:val="10"/>
                <w:color w:val="auto"/>
                <w:w w:val="87"/>
              </w:rPr>
              <w:t>7/1/2023</w:t>
            </w:r>
          </w:p>
        </w:tc>
        <w:tc>
          <w:tcPr>
            <w:tcW w:w="0" w:type="dxa"/>
            <w:vAlign w:val="bottom"/>
          </w:tcPr>
          <w:p>
            <w:pPr>
              <w:spacing w:after="0"/>
              <w:rPr>
                <w:sz w:val="1"/>
                <w:szCs w:val="1"/>
                <w:color w:val="auto"/>
              </w:rPr>
            </w:pPr>
          </w:p>
        </w:tc>
      </w:tr>
      <w:tr>
        <w:trPr>
          <w:trHeight w:val="128"/>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Towne Mall</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19,320</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4.48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5"/>
              </w:rPr>
              <w:t>1,404</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11/1/22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18,886</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4"/>
        </w:trPr>
        <w:tc>
          <w:tcPr>
            <w:tcW w:w="2520" w:type="dxa"/>
            <w:vAlign w:val="bottom"/>
            <w:gridSpan w:val="2"/>
          </w:tcPr>
          <w:p>
            <w:pPr>
              <w:ind w:left="300"/>
              <w:spacing w:after="0"/>
              <w:rPr>
                <w:sz w:val="20"/>
                <w:szCs w:val="20"/>
                <w:color w:val="auto"/>
              </w:rPr>
            </w:pPr>
            <w:r>
              <w:rPr>
                <w:rFonts w:ascii="Arial" w:cs="Arial" w:eastAsia="Arial" w:hAnsi="Arial"/>
                <w:sz w:val="10"/>
                <w:szCs w:val="10"/>
                <w:color w:val="auto"/>
              </w:rPr>
              <w:t>Victor Valley, Mall of</w:t>
            </w:r>
          </w:p>
        </w:tc>
        <w:tc>
          <w:tcPr>
            <w:tcW w:w="1060" w:type="dxa"/>
            <w:vAlign w:val="bottom"/>
            <w:gridSpan w:val="2"/>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114,850</w:t>
            </w:r>
          </w:p>
        </w:tc>
        <w:tc>
          <w:tcPr>
            <w:tcW w:w="1200" w:type="dxa"/>
            <w:vAlign w:val="bottom"/>
            <w:gridSpan w:val="2"/>
          </w:tcPr>
          <w:p>
            <w:pPr>
              <w:jc w:val="right"/>
              <w:ind w:right="272"/>
              <w:spacing w:after="0"/>
              <w:rPr>
                <w:sz w:val="20"/>
                <w:szCs w:val="20"/>
                <w:color w:val="auto"/>
              </w:rPr>
            </w:pPr>
            <w:r>
              <w:rPr>
                <w:rFonts w:ascii="Arial" w:cs="Arial" w:eastAsia="Arial" w:hAnsi="Arial"/>
                <w:sz w:val="10"/>
                <w:szCs w:val="10"/>
                <w:color w:val="auto"/>
              </w:rPr>
              <w:t>4.00</w:t>
            </w:r>
          </w:p>
        </w:tc>
        <w:tc>
          <w:tcPr>
            <w:tcW w:w="10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95"/>
              </w:rPr>
              <w:t>4,560</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9/1/24</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115,000</w:t>
            </w:r>
          </w:p>
        </w:tc>
        <w:tc>
          <w:tcPr>
            <w:tcW w:w="80" w:type="dxa"/>
            <w:vAlign w:val="bottom"/>
          </w:tcPr>
          <w:p>
            <w:pPr>
              <w:spacing w:after="0"/>
              <w:rPr>
                <w:sz w:val="10"/>
                <w:szCs w:val="10"/>
                <w:color w:val="auto"/>
              </w:rPr>
            </w:pPr>
          </w:p>
        </w:tc>
        <w:tc>
          <w:tcPr>
            <w:tcW w:w="1060" w:type="dxa"/>
            <w:vAlign w:val="bottom"/>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26"/>
        </w:trPr>
        <w:tc>
          <w:tcPr>
            <w:tcW w:w="2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Vintage Faire Mall</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0"/>
                <w:szCs w:val="10"/>
                <w:color w:val="auto"/>
                <w:w w:val="89"/>
              </w:rPr>
              <w:t>Fixed</w:t>
            </w:r>
          </w:p>
        </w:tc>
        <w:tc>
          <w:tcPr>
            <w:tcW w:w="40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240,124</w:t>
            </w: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0"/>
                <w:szCs w:val="10"/>
                <w:color w:val="auto"/>
              </w:rPr>
              <w:t>3.55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8"/>
              </w:rPr>
              <w:t>15,069</w:t>
            </w: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3/6/26</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211,507</w:t>
            </w: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94"/>
              </w:rPr>
              <w:t>Any Time</w:t>
            </w:r>
          </w:p>
        </w:tc>
        <w:tc>
          <w:tcPr>
            <w:tcW w:w="0" w:type="dxa"/>
            <w:vAlign w:val="bottom"/>
          </w:tcPr>
          <w:p>
            <w:pPr>
              <w:spacing w:after="0"/>
              <w:rPr>
                <w:sz w:val="1"/>
                <w:szCs w:val="1"/>
                <w:color w:val="auto"/>
              </w:rPr>
            </w:pPr>
          </w:p>
        </w:tc>
      </w:tr>
      <w:tr>
        <w:trPr>
          <w:trHeight w:val="115"/>
        </w:trPr>
        <w:tc>
          <w:tcPr>
            <w:tcW w:w="2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4,423,554</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604"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15"/>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8"/>
              </w:rPr>
              <w:t>Annual</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83"/>
              </w:rPr>
              <w:t>Balance</w:t>
            </w: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89"/>
              </w:rPr>
              <w:t>Earliest Date</w:t>
            </w:r>
          </w:p>
        </w:tc>
        <w:tc>
          <w:tcPr>
            <w:tcW w:w="0" w:type="dxa"/>
            <w:vAlign w:val="bottom"/>
          </w:tcPr>
          <w:p>
            <w:pPr>
              <w:spacing w:after="0"/>
              <w:rPr>
                <w:sz w:val="1"/>
                <w:szCs w:val="1"/>
                <w:color w:val="auto"/>
              </w:rPr>
            </w:pPr>
          </w:p>
        </w:tc>
      </w:tr>
      <w:tr>
        <w:trPr>
          <w:trHeight w:val="90"/>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2"/>
              </w:rPr>
              <w:t>Fixed or</w:t>
            </w:r>
          </w:p>
        </w:tc>
        <w:tc>
          <w:tcPr>
            <w:tcW w:w="180" w:type="dxa"/>
            <w:vAlign w:val="bottom"/>
          </w:tcPr>
          <w:p>
            <w:pPr>
              <w:spacing w:after="0"/>
              <w:rPr>
                <w:sz w:val="7"/>
                <w:szCs w:val="7"/>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Carrying</w:t>
            </w:r>
          </w:p>
        </w:tc>
        <w:tc>
          <w:tcPr>
            <w:tcW w:w="100" w:type="dxa"/>
            <w:vAlign w:val="bottom"/>
          </w:tcPr>
          <w:p>
            <w:pPr>
              <w:spacing w:after="0"/>
              <w:rPr>
                <w:sz w:val="7"/>
                <w:szCs w:val="7"/>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0"/>
                <w:szCs w:val="10"/>
                <w:b w:val="1"/>
                <w:bCs w:val="1"/>
                <w:color w:val="auto"/>
                <w:w w:val="86"/>
              </w:rPr>
              <w:t>Effective Interest</w:t>
            </w:r>
          </w:p>
        </w:tc>
        <w:tc>
          <w:tcPr>
            <w:tcW w:w="900" w:type="dxa"/>
            <w:vAlign w:val="bottom"/>
            <w:gridSpan w:val="2"/>
            <w:vMerge w:val="continue"/>
          </w:tcPr>
          <w:p>
            <w:pPr>
              <w:spacing w:after="0"/>
              <w:rPr>
                <w:sz w:val="7"/>
                <w:szCs w:val="7"/>
                <w:color w:val="auto"/>
              </w:rPr>
            </w:pPr>
          </w:p>
        </w:tc>
        <w:tc>
          <w:tcPr>
            <w:tcW w:w="1380" w:type="dxa"/>
            <w:vAlign w:val="bottom"/>
            <w:gridSpan w:val="3"/>
            <w:vMerge w:val="restart"/>
          </w:tcPr>
          <w:p>
            <w:pPr>
              <w:jc w:val="right"/>
              <w:ind w:right="640"/>
              <w:spacing w:after="0"/>
              <w:rPr>
                <w:sz w:val="20"/>
                <w:szCs w:val="20"/>
                <w:color w:val="auto"/>
              </w:rPr>
            </w:pPr>
            <w:r>
              <w:rPr>
                <w:rFonts w:ascii="Arial" w:cs="Arial" w:eastAsia="Arial" w:hAnsi="Arial"/>
                <w:sz w:val="10"/>
                <w:szCs w:val="10"/>
                <w:b w:val="1"/>
                <w:bCs w:val="1"/>
                <w:color w:val="auto"/>
              </w:rPr>
              <w:t>Maturity</w:t>
            </w:r>
          </w:p>
        </w:tc>
        <w:tc>
          <w:tcPr>
            <w:tcW w:w="900" w:type="dxa"/>
            <w:vAlign w:val="bottom"/>
            <w:gridSpan w:val="2"/>
            <w:vMerge w:val="continue"/>
          </w:tcPr>
          <w:p>
            <w:pPr>
              <w:spacing w:after="0"/>
              <w:rPr>
                <w:sz w:val="7"/>
                <w:szCs w:val="7"/>
                <w:color w:val="auto"/>
              </w:rPr>
            </w:pPr>
          </w:p>
        </w:tc>
        <w:tc>
          <w:tcPr>
            <w:tcW w:w="12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6"/>
              </w:rPr>
              <w:t>Notes Can Be</w:t>
            </w:r>
          </w:p>
        </w:tc>
        <w:tc>
          <w:tcPr>
            <w:tcW w:w="0" w:type="dxa"/>
            <w:vAlign w:val="bottom"/>
          </w:tcPr>
          <w:p>
            <w:pPr>
              <w:spacing w:after="0"/>
              <w:rPr>
                <w:sz w:val="1"/>
                <w:szCs w:val="1"/>
                <w:color w:val="auto"/>
              </w:rPr>
            </w:pPr>
          </w:p>
        </w:tc>
      </w:tr>
      <w:tr>
        <w:trPr>
          <w:trHeight w:val="90"/>
        </w:trPr>
        <w:tc>
          <w:tcPr>
            <w:tcW w:w="3080" w:type="dxa"/>
            <w:vAlign w:val="bottom"/>
            <w:vMerge w:val="restart"/>
          </w:tcPr>
          <w:p>
            <w:pPr>
              <w:spacing w:after="0"/>
              <w:rPr>
                <w:sz w:val="20"/>
                <w:szCs w:val="20"/>
                <w:color w:val="auto"/>
              </w:rPr>
            </w:pPr>
            <w:r>
              <w:rPr>
                <w:rFonts w:ascii="Arial" w:cs="Arial" w:eastAsia="Arial" w:hAnsi="Arial"/>
                <w:sz w:val="10"/>
                <w:szCs w:val="10"/>
                <w:b w:val="1"/>
                <w:bCs w:val="1"/>
                <w:color w:val="auto"/>
              </w:rPr>
              <w:t>Property Pledged as Collateral</w:t>
            </w:r>
          </w:p>
        </w:tc>
        <w:tc>
          <w:tcPr>
            <w:tcW w:w="100" w:type="dxa"/>
            <w:vAlign w:val="bottom"/>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900" w:type="dxa"/>
            <w:vAlign w:val="bottom"/>
            <w:gridSpan w:val="2"/>
          </w:tcPr>
          <w:p>
            <w:pPr>
              <w:jc w:val="center"/>
              <w:ind w:right="260"/>
              <w:spacing w:after="0" w:line="90" w:lineRule="exact"/>
              <w:rPr>
                <w:sz w:val="20"/>
                <w:szCs w:val="20"/>
                <w:color w:val="auto"/>
              </w:rPr>
            </w:pPr>
            <w:r>
              <w:rPr>
                <w:rFonts w:ascii="Arial" w:cs="Arial" w:eastAsia="Arial" w:hAnsi="Arial"/>
                <w:sz w:val="10"/>
                <w:szCs w:val="10"/>
                <w:b w:val="1"/>
                <w:bCs w:val="1"/>
                <w:color w:val="auto"/>
                <w:w w:val="89"/>
              </w:rPr>
              <w:t>Debt</w:t>
            </w:r>
          </w:p>
        </w:tc>
        <w:tc>
          <w:tcPr>
            <w:tcW w:w="1380" w:type="dxa"/>
            <w:vAlign w:val="bottom"/>
            <w:gridSpan w:val="3"/>
            <w:vMerge w:val="continue"/>
          </w:tcPr>
          <w:p>
            <w:pPr>
              <w:spacing w:after="0"/>
              <w:rPr>
                <w:sz w:val="7"/>
                <w:szCs w:val="7"/>
                <w:color w:val="auto"/>
              </w:rPr>
            </w:pPr>
          </w:p>
        </w:tc>
        <w:tc>
          <w:tcPr>
            <w:tcW w:w="900" w:type="dxa"/>
            <w:vAlign w:val="bottom"/>
            <w:gridSpan w:val="2"/>
          </w:tcPr>
          <w:p>
            <w:pPr>
              <w:jc w:val="center"/>
              <w:ind w:right="280"/>
              <w:spacing w:after="0" w:line="90" w:lineRule="exact"/>
              <w:rPr>
                <w:sz w:val="20"/>
                <w:szCs w:val="20"/>
                <w:color w:val="auto"/>
              </w:rPr>
            </w:pPr>
            <w:r>
              <w:rPr>
                <w:rFonts w:ascii="Arial" w:cs="Arial" w:eastAsia="Arial" w:hAnsi="Arial"/>
                <w:sz w:val="10"/>
                <w:szCs w:val="10"/>
                <w:b w:val="1"/>
                <w:bCs w:val="1"/>
                <w:color w:val="auto"/>
                <w:w w:val="88"/>
              </w:rPr>
              <w:t>Due on</w:t>
            </w:r>
          </w:p>
        </w:tc>
        <w:tc>
          <w:tcPr>
            <w:tcW w:w="12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3"/>
              </w:rPr>
              <w:t>Defeased or</w:t>
            </w:r>
          </w:p>
        </w:tc>
        <w:tc>
          <w:tcPr>
            <w:tcW w:w="0" w:type="dxa"/>
            <w:vAlign w:val="bottom"/>
          </w:tcPr>
          <w:p>
            <w:pPr>
              <w:spacing w:after="0"/>
              <w:rPr>
                <w:sz w:val="1"/>
                <w:szCs w:val="1"/>
                <w:color w:val="auto"/>
              </w:rPr>
            </w:pPr>
          </w:p>
        </w:tc>
      </w:tr>
      <w:tr>
        <w:trPr>
          <w:trHeight w:val="125"/>
        </w:trPr>
        <w:tc>
          <w:tcPr>
            <w:tcW w:w="30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Floating</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Amount(1)</w:t>
            </w: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Rate(2)</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83"/>
              </w:rPr>
              <w:t>Service(3)</w:t>
            </w:r>
          </w:p>
        </w:tc>
        <w:tc>
          <w:tcPr>
            <w:tcW w:w="8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Date(4)</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52"/>
              <w:spacing w:after="0"/>
              <w:rPr>
                <w:sz w:val="20"/>
                <w:szCs w:val="20"/>
                <w:color w:val="auto"/>
              </w:rPr>
            </w:pPr>
            <w:r>
              <w:rPr>
                <w:rFonts w:ascii="Arial" w:cs="Arial" w:eastAsia="Arial" w:hAnsi="Arial"/>
                <w:sz w:val="10"/>
                <w:szCs w:val="10"/>
                <w:b w:val="1"/>
                <w:bCs w:val="1"/>
                <w:color w:val="auto"/>
                <w:w w:val="97"/>
              </w:rPr>
              <w:t>Maturity</w:t>
            </w:r>
          </w:p>
        </w:tc>
        <w:tc>
          <w:tcPr>
            <w:tcW w:w="80" w:type="dxa"/>
            <w:vAlign w:val="bottom"/>
            <w:tcBorders>
              <w:bottom w:val="single" w:sz="8" w:color="CCEEFF"/>
            </w:tcBorders>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Be Prepaid</w:t>
            </w:r>
          </w:p>
        </w:tc>
        <w:tc>
          <w:tcPr>
            <w:tcW w:w="0" w:type="dxa"/>
            <w:vAlign w:val="bottom"/>
          </w:tcPr>
          <w:p>
            <w:pPr>
              <w:spacing w:after="0"/>
              <w:rPr>
                <w:sz w:val="1"/>
                <w:szCs w:val="1"/>
                <w:color w:val="auto"/>
              </w:rPr>
            </w:pPr>
          </w:p>
        </w:tc>
      </w:tr>
      <w:tr>
        <w:trPr>
          <w:trHeight w:val="143"/>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w w:val="89"/>
              </w:rPr>
              <w:t>Unconsolidated Joint Venture Centers (at the Company's Pro Rata Share):</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Arrowhead Towne Center(60%)</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240,000</w:t>
            </w:r>
          </w:p>
        </w:tc>
        <w:tc>
          <w:tcPr>
            <w:tcW w:w="1260" w:type="dxa"/>
            <w:vAlign w:val="bottom"/>
            <w:gridSpan w:val="4"/>
          </w:tcPr>
          <w:p>
            <w:pPr>
              <w:ind w:left="700"/>
              <w:spacing w:after="0"/>
              <w:rPr>
                <w:sz w:val="20"/>
                <w:szCs w:val="20"/>
                <w:color w:val="auto"/>
              </w:rPr>
            </w:pPr>
            <w:r>
              <w:rPr>
                <w:rFonts w:ascii="Arial" w:cs="Arial" w:eastAsia="Arial" w:hAnsi="Arial"/>
                <w:sz w:val="10"/>
                <w:szCs w:val="10"/>
                <w:color w:val="auto"/>
              </w:rPr>
              <w:t>4.05 %   $</w:t>
            </w:r>
          </w:p>
        </w:tc>
        <w:tc>
          <w:tcPr>
            <w:tcW w:w="820" w:type="dxa"/>
            <w:vAlign w:val="bottom"/>
          </w:tcPr>
          <w:p>
            <w:pPr>
              <w:jc w:val="right"/>
              <w:spacing w:after="0"/>
              <w:rPr>
                <w:sz w:val="20"/>
                <w:szCs w:val="20"/>
                <w:color w:val="auto"/>
              </w:rPr>
            </w:pPr>
            <w:r>
              <w:rPr>
                <w:rFonts w:ascii="Arial" w:cs="Arial" w:eastAsia="Arial" w:hAnsi="Arial"/>
                <w:sz w:val="10"/>
                <w:szCs w:val="10"/>
                <w:color w:val="auto"/>
              </w:rPr>
              <w:t>13,147</w:t>
            </w:r>
          </w:p>
        </w:tc>
        <w:tc>
          <w:tcPr>
            <w:tcW w:w="80" w:type="dxa"/>
            <w:vAlign w:val="bottom"/>
          </w:tcPr>
          <w:p>
            <w:pPr>
              <w:spacing w:after="0"/>
              <w:rPr>
                <w:sz w:val="10"/>
                <w:szCs w:val="1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0"/>
                <w:szCs w:val="10"/>
                <w:color w:val="auto"/>
              </w:rPr>
              <w:t>2/1/28   $</w:t>
            </w:r>
          </w:p>
        </w:tc>
        <w:tc>
          <w:tcPr>
            <w:tcW w:w="820" w:type="dxa"/>
            <w:vAlign w:val="bottom"/>
          </w:tcPr>
          <w:p>
            <w:pPr>
              <w:jc w:val="right"/>
              <w:spacing w:after="0"/>
              <w:rPr>
                <w:sz w:val="20"/>
                <w:szCs w:val="20"/>
                <w:color w:val="auto"/>
              </w:rPr>
            </w:pPr>
            <w:r>
              <w:rPr>
                <w:rFonts w:ascii="Arial" w:cs="Arial" w:eastAsia="Arial" w:hAnsi="Arial"/>
                <w:sz w:val="10"/>
                <w:szCs w:val="10"/>
                <w:color w:val="auto"/>
              </w:rPr>
              <w:t>212,555</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6"/>
              </w:rPr>
              <w:t>2/1/22</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Atlas Park, The Shops at(50%)(9)</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Floating</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31,525</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4.92 %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1,398</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11/9/26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32,500</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Boulevard Shops(50%)(10)</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9"/>
              </w:rPr>
              <w:t>Floating</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11,428</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2.28 %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225</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12/5/23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11,500</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Broadway Plaza(50%)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224,568</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4.19 %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12,230</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189,724</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4/1/22</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Corte Madera, The Village at(50.1%)</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112,465</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3.53 %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4,478</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9/1/28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98,753</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Country Club Plaza(50%)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151,833</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3.88 %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9,001</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137,525</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Deptford Mall(51%)</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85,251</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3.55 %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5,795</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4/3/23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81,750</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FlatIron Crossing(51%)(11)</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100,476</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4.38 %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6,585</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100,270</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Kierland Commons(50%)</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102,350</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3.98 %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6,407</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4/1/27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88,724</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Lakewood Center(60%)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206,434</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4.15 %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13,144</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6/1/26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185,306</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Los Cerritos Center(60%)</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314,546</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4.00 %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18,046</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11/1/27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278,711</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One Westside(25%)(12)</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Floating</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59,646</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2.13 %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1,086</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12/18/24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60,349</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Paradise Valley(5%)</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3,116</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5.00 %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156</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9/29/24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3,116</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Scottsdale Fashion Square(50%)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210,021</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3.02 %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13,281</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201,331</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South Plains Mall(60%)</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120,000</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4.22 %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5,065</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11/6/25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120,000</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Twenty Ninth Street(51%)</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4.10 %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3,137</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76,500</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Tysons Corner Center(50%)</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353,963</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4.13 %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24,643</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1/1/24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333,233</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Tysons Tower(50%)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94,506</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3.38 %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3,164</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10/11/29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95,000</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Tysons Vita(50%)</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44,475</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3.43 %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1,485</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12/1/30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45,000</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6"/>
              </w:rPr>
              <w:t>1/1/24</w:t>
            </w:r>
          </w:p>
        </w:tc>
        <w:tc>
          <w:tcPr>
            <w:tcW w:w="0" w:type="dxa"/>
            <w:vAlign w:val="bottom"/>
          </w:tcPr>
          <w:p>
            <w:pPr>
              <w:spacing w:after="0"/>
              <w:rPr>
                <w:sz w:val="1"/>
                <w:szCs w:val="1"/>
                <w:color w:val="auto"/>
              </w:rPr>
            </w:pPr>
          </w:p>
        </w:tc>
      </w:tr>
      <w:tr>
        <w:trPr>
          <w:trHeight w:val="128"/>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Washington Square(60%)</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316,881</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3.65 %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18,115</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11/1/22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311,348</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4"/>
        </w:trPr>
        <w:tc>
          <w:tcPr>
            <w:tcW w:w="3180" w:type="dxa"/>
            <w:vAlign w:val="bottom"/>
            <w:gridSpan w:val="2"/>
          </w:tcPr>
          <w:p>
            <w:pPr>
              <w:spacing w:after="0"/>
              <w:rPr>
                <w:sz w:val="20"/>
                <w:szCs w:val="20"/>
                <w:color w:val="auto"/>
              </w:rPr>
            </w:pPr>
            <w:r>
              <w:rPr>
                <w:rFonts w:ascii="Arial" w:cs="Arial" w:eastAsia="Arial" w:hAnsi="Arial"/>
                <w:sz w:val="10"/>
                <w:szCs w:val="10"/>
                <w:color w:val="auto"/>
              </w:rPr>
              <w:t>West Acres - Development(19%)</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430</w:t>
            </w:r>
          </w:p>
        </w:tc>
        <w:tc>
          <w:tcPr>
            <w:tcW w:w="980" w:type="dxa"/>
            <w:vAlign w:val="bottom"/>
            <w:gridSpan w:val="2"/>
          </w:tcPr>
          <w:p>
            <w:pPr>
              <w:ind w:left="700"/>
              <w:spacing w:after="0"/>
              <w:rPr>
                <w:sz w:val="20"/>
                <w:szCs w:val="20"/>
                <w:color w:val="auto"/>
              </w:rPr>
            </w:pPr>
            <w:r>
              <w:rPr>
                <w:rFonts w:ascii="Arial" w:cs="Arial" w:eastAsia="Arial" w:hAnsi="Arial"/>
                <w:sz w:val="10"/>
                <w:szCs w:val="10"/>
                <w:color w:val="auto"/>
                <w:w w:val="83"/>
              </w:rPr>
              <w:t>3.72 %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10/10/29</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436</w:t>
            </w:r>
          </w:p>
        </w:tc>
        <w:tc>
          <w:tcPr>
            <w:tcW w:w="8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26"/>
        </w:trPr>
        <w:tc>
          <w:tcPr>
            <w:tcW w:w="31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West Acres(19%)</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1"/>
              </w:rPr>
              <w:t>Fixed</w:t>
            </w:r>
          </w:p>
        </w:tc>
        <w:tc>
          <w:tcPr>
            <w:tcW w:w="1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13,432</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0"/>
                <w:szCs w:val="10"/>
                <w:color w:val="auto"/>
                <w:w w:val="83"/>
              </w:rPr>
              <w:t>4.61 %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1,025</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3/1/32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8,256</w:t>
            </w: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Any Time</w:t>
            </w:r>
          </w:p>
        </w:tc>
        <w:tc>
          <w:tcPr>
            <w:tcW w:w="0" w:type="dxa"/>
            <w:vAlign w:val="bottom"/>
          </w:tcPr>
          <w:p>
            <w:pPr>
              <w:spacing w:after="0"/>
              <w:rPr>
                <w:sz w:val="1"/>
                <w:szCs w:val="1"/>
                <w:color w:val="auto"/>
              </w:rPr>
            </w:pPr>
          </w:p>
        </w:tc>
      </w:tr>
      <w:tr>
        <w:trPr>
          <w:trHeight w:val="115"/>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2,873,846</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245" w:lineRule="exact"/>
        <w:rPr>
          <w:sz w:val="20"/>
          <w:szCs w:val="20"/>
          <w:color w:val="auto"/>
        </w:rPr>
      </w:pPr>
    </w:p>
    <w:p>
      <w:pPr>
        <w:ind w:left="540" w:hanging="278"/>
        <w:spacing w:after="0" w:line="239" w:lineRule="auto"/>
        <w:tabs>
          <w:tab w:leader="none" w:pos="535"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The mortgage notes payable balances include the unamortized debt premiums (discounts). Debt premiums (discounts) represent the excess (deficiency) of the fair value of debt over (under) the principal value of debt assumed in various acquisitions. The debt premiums (discounts) are being amortized into interest expense over the term of the related debt in a manner which approximates the effective interest method.</w:t>
      </w:r>
    </w:p>
    <w:p>
      <w:pPr>
        <w:spacing w:after="0" w:line="85" w:lineRule="exact"/>
        <w:rPr>
          <w:rFonts w:ascii="Arial" w:cs="Arial" w:eastAsia="Arial" w:hAnsi="Arial"/>
          <w:sz w:val="10"/>
          <w:szCs w:val="10"/>
          <w:color w:val="auto"/>
        </w:rPr>
      </w:pPr>
    </w:p>
    <w:p>
      <w:pPr>
        <w:ind w:left="540"/>
        <w:spacing w:after="0"/>
        <w:rPr>
          <w:rFonts w:ascii="Arial" w:cs="Arial" w:eastAsia="Arial" w:hAnsi="Arial"/>
          <w:sz w:val="10"/>
          <w:szCs w:val="10"/>
          <w:color w:val="auto"/>
        </w:rPr>
      </w:pPr>
      <w:r>
        <w:rPr>
          <w:rFonts w:ascii="Arial" w:cs="Arial" w:eastAsia="Arial" w:hAnsi="Arial"/>
          <w:sz w:val="10"/>
          <w:szCs w:val="10"/>
          <w:color w:val="auto"/>
        </w:rPr>
        <w:t>The debt premiums (discounts) as of December 31, 2021 consisted of the following:</w:t>
      </w:r>
    </w:p>
    <w:p>
      <w:pPr>
        <w:spacing w:after="0" w:line="7" w:lineRule="exact"/>
        <w:rPr>
          <w:sz w:val="20"/>
          <w:szCs w:val="20"/>
          <w:color w:val="auto"/>
        </w:rPr>
      </w:pPr>
    </w:p>
    <w:tbl>
      <w:tblPr>
        <w:tblLayout w:type="fixed"/>
        <w:tblInd w:w="540" w:type="dxa"/>
        <w:tblCellMar>
          <w:top w:w="0" w:type="dxa"/>
          <w:left w:w="0" w:type="dxa"/>
          <w:bottom w:w="0" w:type="dxa"/>
          <w:right w:w="0" w:type="dxa"/>
        </w:tblCellMar>
      </w:tblPr>
      <w:tr>
        <w:trPr>
          <w:trHeight w:val="122"/>
        </w:trPr>
        <w:tc>
          <w:tcPr>
            <w:tcW w:w="1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85"/>
              </w:rPr>
              <w:t>Property Pledged as Collateral</w:t>
            </w:r>
          </w:p>
        </w:tc>
        <w:tc>
          <w:tcPr>
            <w:tcW w:w="7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6"/>
        </w:trPr>
        <w:tc>
          <w:tcPr>
            <w:tcW w:w="8240" w:type="dxa"/>
            <w:vAlign w:val="bottom"/>
            <w:gridSpan w:val="2"/>
            <w:shd w:val="clear" w:color="auto" w:fill="CCEEFF"/>
          </w:tcPr>
          <w:p>
            <w:pPr>
              <w:spacing w:after="0"/>
              <w:rPr>
                <w:sz w:val="20"/>
                <w:szCs w:val="20"/>
                <w:color w:val="auto"/>
              </w:rPr>
            </w:pPr>
            <w:r>
              <w:rPr>
                <w:rFonts w:ascii="Arial" w:cs="Arial" w:eastAsia="Arial" w:hAnsi="Arial"/>
                <w:sz w:val="10"/>
                <w:szCs w:val="10"/>
                <w:i w:val="1"/>
                <w:iCs w:val="1"/>
                <w:color w:val="auto"/>
              </w:rPr>
              <w:t>Unconsolidated Joint Venture Centers (at the Company's Pro Rata Share):</w:t>
            </w: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24"/>
        </w:trPr>
        <w:tc>
          <w:tcPr>
            <w:tcW w:w="8240" w:type="dxa"/>
            <w:vAlign w:val="bottom"/>
            <w:gridSpan w:val="2"/>
          </w:tcPr>
          <w:p>
            <w:pPr>
              <w:spacing w:after="0"/>
              <w:rPr>
                <w:sz w:val="20"/>
                <w:szCs w:val="20"/>
                <w:color w:val="auto"/>
              </w:rPr>
            </w:pPr>
            <w:r>
              <w:rPr>
                <w:rFonts w:ascii="Arial" w:cs="Arial" w:eastAsia="Arial" w:hAnsi="Arial"/>
                <w:sz w:val="10"/>
                <w:szCs w:val="10"/>
                <w:color w:val="auto"/>
              </w:rPr>
              <w:t>Deptford Mall</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194</w:t>
            </w:r>
          </w:p>
        </w:tc>
      </w:tr>
      <w:tr>
        <w:trPr>
          <w:trHeight w:val="126"/>
        </w:trPr>
        <w:tc>
          <w:tcPr>
            <w:tcW w:w="8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Lakewood Center</w:t>
            </w:r>
          </w:p>
        </w:tc>
        <w:tc>
          <w:tcPr>
            <w:tcW w:w="4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(6,249)</w:t>
            </w:r>
          </w:p>
        </w:tc>
      </w:tr>
      <w:tr>
        <w:trPr>
          <w:trHeight w:val="115"/>
        </w:trPr>
        <w:tc>
          <w:tcPr>
            <w:tcW w:w="118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(6,055)</w:t>
            </w:r>
          </w:p>
        </w:tc>
      </w:tr>
      <w:tr>
        <w:trPr>
          <w:trHeight w:val="20"/>
        </w:trPr>
        <w:tc>
          <w:tcPr>
            <w:tcW w:w="11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540" w:right="460"/>
        <w:spacing w:after="0" w:line="239" w:lineRule="auto"/>
        <w:rPr>
          <w:sz w:val="20"/>
          <w:szCs w:val="20"/>
          <w:color w:val="auto"/>
        </w:rPr>
      </w:pPr>
      <w:r>
        <w:rPr>
          <w:rFonts w:ascii="Arial" w:cs="Arial" w:eastAsia="Arial" w:hAnsi="Arial"/>
          <w:sz w:val="10"/>
          <w:szCs w:val="10"/>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at December 31, 2021 were $11.9 million for Consolidated Centers and $4.2 million for Unconsolidated Joint Venture Centers (at the Company's pro rata share).</w:t>
      </w:r>
    </w:p>
    <w:p>
      <w:pPr>
        <w:spacing w:after="0" w:line="86" w:lineRule="exact"/>
        <w:rPr>
          <w:sz w:val="20"/>
          <w:szCs w:val="20"/>
          <w:color w:val="auto"/>
        </w:rPr>
      </w:pPr>
    </w:p>
    <w:p>
      <w:pPr>
        <w:ind w:left="520" w:hanging="258"/>
        <w:spacing w:after="0"/>
        <w:tabs>
          <w:tab w:leader="none" w:pos="5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interest rate disclosed represents the effective interest rate, including the debt premiums (discounts) and deferred finance costs.</w:t>
      </w:r>
    </w:p>
    <w:p>
      <w:pPr>
        <w:spacing w:after="0" w:line="92" w:lineRule="exact"/>
        <w:rPr>
          <w:rFonts w:ascii="Arial" w:cs="Arial" w:eastAsia="Arial" w:hAnsi="Arial"/>
          <w:sz w:val="10"/>
          <w:szCs w:val="10"/>
          <w:color w:val="auto"/>
        </w:rPr>
      </w:pPr>
    </w:p>
    <w:p>
      <w:pPr>
        <w:ind w:left="520" w:hanging="258"/>
        <w:spacing w:after="0"/>
        <w:tabs>
          <w:tab w:leader="none" w:pos="5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annual debt service represents the annual payment of principal and interest.</w:t>
      </w:r>
    </w:p>
    <w:p>
      <w:pPr>
        <w:spacing w:after="0" w:line="83" w:lineRule="exact"/>
        <w:rPr>
          <w:rFonts w:ascii="Arial" w:cs="Arial" w:eastAsia="Arial" w:hAnsi="Arial"/>
          <w:sz w:val="10"/>
          <w:szCs w:val="10"/>
          <w:color w:val="auto"/>
        </w:rPr>
      </w:pPr>
    </w:p>
    <w:p>
      <w:pPr>
        <w:ind w:left="520" w:hanging="258"/>
        <w:spacing w:after="0"/>
        <w:tabs>
          <w:tab w:leader="none" w:pos="520" w:val="left"/>
        </w:tabs>
        <w:numPr>
          <w:ilvl w:val="0"/>
          <w:numId w:val="22"/>
        </w:numPr>
        <w:rPr>
          <w:rFonts w:ascii="Arial" w:cs="Arial" w:eastAsia="Arial" w:hAnsi="Arial"/>
          <w:sz w:val="8"/>
          <w:szCs w:val="8"/>
          <w:color w:val="auto"/>
        </w:rPr>
      </w:pPr>
      <w:r>
        <w:rPr>
          <w:rFonts w:ascii="Arial" w:cs="Arial" w:eastAsia="Arial" w:hAnsi="Arial"/>
          <w:sz w:val="8"/>
          <w:szCs w:val="8"/>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15" w:lineRule="exact"/>
        <w:rPr>
          <w:rFonts w:ascii="Arial" w:cs="Arial" w:eastAsia="Arial" w:hAnsi="Arial"/>
          <w:sz w:val="8"/>
          <w:szCs w:val="8"/>
          <w:color w:val="auto"/>
        </w:rPr>
      </w:pPr>
    </w:p>
    <w:p>
      <w:pPr>
        <w:ind w:left="520" w:hanging="258"/>
        <w:spacing w:after="0"/>
        <w:tabs>
          <w:tab w:leader="none" w:pos="5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A 49.9% interest in the loan has been assumed by a third party in connection with a financing arrangement.</w:t>
      </w:r>
    </w:p>
    <w:p>
      <w:pPr>
        <w:spacing w:after="0" w:line="92" w:lineRule="exact"/>
        <w:rPr>
          <w:rFonts w:ascii="Arial" w:cs="Arial" w:eastAsia="Arial" w:hAnsi="Arial"/>
          <w:sz w:val="10"/>
          <w:szCs w:val="10"/>
          <w:color w:val="auto"/>
        </w:rPr>
      </w:pPr>
    </w:p>
    <w:p>
      <w:pPr>
        <w:ind w:left="520" w:hanging="258"/>
        <w:spacing w:after="0"/>
        <w:tabs>
          <w:tab w:leader="none" w:pos="5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On March 25, 2021, the Company closed on a two-year extension of the loan to March 29, 2023. The interest rate is LIBOR plus 2.75% and the Company repaid $4.7 million of the outstanding loan balance at closing.</w:t>
      </w:r>
    </w:p>
    <w:p>
      <w:pPr>
        <w:spacing w:after="0" w:line="83" w:lineRule="exact"/>
        <w:rPr>
          <w:rFonts w:ascii="Arial" w:cs="Arial" w:eastAsia="Arial" w:hAnsi="Arial"/>
          <w:sz w:val="10"/>
          <w:szCs w:val="10"/>
          <w:color w:val="auto"/>
        </w:rPr>
      </w:pPr>
    </w:p>
    <w:p>
      <w:pPr>
        <w:ind w:left="540" w:right="140" w:hanging="278"/>
        <w:spacing w:after="0" w:line="239" w:lineRule="auto"/>
        <w:tabs>
          <w:tab w:leader="none" w:pos="535" w:val="left"/>
        </w:tabs>
        <w:numPr>
          <w:ilvl w:val="0"/>
          <w:numId w:val="22"/>
        </w:numPr>
        <w:rPr>
          <w:rFonts w:ascii="Arial" w:cs="Arial" w:eastAsia="Arial" w:hAnsi="Arial"/>
          <w:sz w:val="10"/>
          <w:szCs w:val="10"/>
          <w:color w:val="auto"/>
        </w:rPr>
      </w:pPr>
      <w:r>
        <w:rPr>
          <w:rFonts w:ascii="Arial" w:cs="Arial" w:eastAsia="Arial" w:hAnsi="Arial"/>
          <w:sz w:val="10"/>
          <w:szCs w:val="10"/>
          <w:color w:val="auto"/>
        </w:rPr>
        <w:t>On January 22, 2021, the Company closed on a one-year extension of the loan to February 3, 2022, which also included a one-year extension option to February 3, 2023 which has been exercised. The interest rate remained unchanged, and the Company repaid $9 million of the outstanding loan balance at closing.</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4" w:name="page35"/>
    <w:bookmarkEnd w:id="34"/>
    <w:p>
      <w:pPr>
        <w:ind w:left="520" w:hanging="258"/>
        <w:spacing w:after="0"/>
        <w:tabs>
          <w:tab w:leader="none" w:pos="5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The loan bears interest at LIBOR plus 1.48%. The loan is covered by an interest rate cap agreement that effectively prevents LIBOR from exceeding 4.0% during the period ending December 9, 2022.</w:t>
      </w:r>
    </w:p>
    <w:p>
      <w:pPr>
        <w:spacing w:after="0" w:line="83" w:lineRule="exact"/>
        <w:rPr>
          <w:rFonts w:ascii="Arial" w:cs="Arial" w:eastAsia="Arial" w:hAnsi="Arial"/>
          <w:sz w:val="10"/>
          <w:szCs w:val="10"/>
          <w:color w:val="auto"/>
        </w:rPr>
      </w:pPr>
    </w:p>
    <w:p>
      <w:pPr>
        <w:ind w:left="540" w:right="140" w:hanging="278"/>
        <w:spacing w:after="0" w:line="239" w:lineRule="auto"/>
        <w:tabs>
          <w:tab w:leader="none" w:pos="535" w:val="left"/>
        </w:tabs>
        <w:numPr>
          <w:ilvl w:val="0"/>
          <w:numId w:val="23"/>
        </w:numPr>
        <w:rPr>
          <w:rFonts w:ascii="Arial" w:cs="Arial" w:eastAsia="Arial" w:hAnsi="Arial"/>
          <w:sz w:val="10"/>
          <w:szCs w:val="10"/>
          <w:color w:val="auto"/>
        </w:rPr>
      </w:pPr>
      <w:r>
        <w:rPr>
          <w:rFonts w:ascii="Arial" w:cs="Arial" w:eastAsia="Arial" w:hAnsi="Arial"/>
          <w:sz w:val="10"/>
          <w:szCs w:val="10"/>
          <w:color w:val="auto"/>
        </w:rPr>
        <w:t>On October 26, 2021, the Company’s joint venture in The Shops at Atlas Park replaced the existing loan on the property with a new $65 million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85" w:lineRule="exact"/>
        <w:rPr>
          <w:rFonts w:ascii="Arial" w:cs="Arial" w:eastAsia="Arial" w:hAnsi="Arial"/>
          <w:sz w:val="10"/>
          <w:szCs w:val="10"/>
          <w:color w:val="auto"/>
        </w:rPr>
      </w:pPr>
    </w:p>
    <w:p>
      <w:pPr>
        <w:ind w:left="520" w:hanging="258"/>
        <w:spacing w:after="0"/>
        <w:tabs>
          <w:tab w:leader="none" w:pos="5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The loan bears interest at LIBOR plus 1.85% and matures on December 5, 2023.</w:t>
      </w:r>
    </w:p>
    <w:p>
      <w:pPr>
        <w:spacing w:after="0" w:line="92" w:lineRule="exact"/>
        <w:rPr>
          <w:rFonts w:ascii="Arial" w:cs="Arial" w:eastAsia="Arial" w:hAnsi="Arial"/>
          <w:sz w:val="10"/>
          <w:szCs w:val="10"/>
          <w:color w:val="auto"/>
        </w:rPr>
      </w:pPr>
    </w:p>
    <w:p>
      <w:pPr>
        <w:ind w:left="540" w:hanging="278"/>
        <w:spacing w:after="0" w:line="239" w:lineRule="auto"/>
        <w:tabs>
          <w:tab w:leader="none" w:pos="534" w:val="left"/>
        </w:tabs>
        <w:numPr>
          <w:ilvl w:val="0"/>
          <w:numId w:val="23"/>
        </w:numPr>
        <w:rPr>
          <w:rFonts w:ascii="Arial" w:cs="Arial" w:eastAsia="Arial" w:hAnsi="Arial"/>
          <w:sz w:val="10"/>
          <w:szCs w:val="10"/>
          <w:color w:val="auto"/>
        </w:rPr>
      </w:pPr>
      <w:r>
        <w:rPr>
          <w:rFonts w:ascii="Arial" w:cs="Arial" w:eastAsia="Arial" w:hAnsi="Arial"/>
          <w:sz w:val="10"/>
          <w:szCs w:val="10"/>
          <w:color w:val="auto"/>
        </w:rPr>
        <w:t>On February 2, 2022, the Company’s joint venture in FlatIron Crossing replaced the existing $197 million loan on the property with a new $175 million loan that bears interest at SOFR plus 3.45% and matures on February 9, 2027, including extension options. The loan is covered by an interest rate cap agreement that effectively prevents SOFR from exceeding 4.0% through February 15, 2024.</w:t>
      </w:r>
    </w:p>
    <w:p>
      <w:pPr>
        <w:spacing w:after="0" w:line="76" w:lineRule="exact"/>
        <w:rPr>
          <w:rFonts w:ascii="Arial" w:cs="Arial" w:eastAsia="Arial" w:hAnsi="Arial"/>
          <w:sz w:val="10"/>
          <w:szCs w:val="10"/>
          <w:color w:val="auto"/>
        </w:rPr>
      </w:pPr>
    </w:p>
    <w:p>
      <w:pPr>
        <w:ind w:left="540" w:right="140" w:hanging="278"/>
        <w:spacing w:after="0" w:line="239" w:lineRule="auto"/>
        <w:tabs>
          <w:tab w:leader="none" w:pos="538" w:val="left"/>
        </w:tabs>
        <w:numPr>
          <w:ilvl w:val="0"/>
          <w:numId w:val="23"/>
        </w:numPr>
        <w:rPr>
          <w:rFonts w:ascii="Arial" w:cs="Arial" w:eastAsia="Arial" w:hAnsi="Arial"/>
          <w:sz w:val="10"/>
          <w:szCs w:val="10"/>
          <w:color w:val="auto"/>
        </w:rPr>
      </w:pPr>
      <w:r>
        <w:rPr>
          <w:rFonts w:ascii="Arial" w:cs="Arial" w:eastAsia="Arial" w:hAnsi="Arial"/>
          <w:sz w:val="10"/>
          <w:szCs w:val="10"/>
          <w:color w:val="auto"/>
        </w:rPr>
        <w:t>On December 18, 2019, the Company’s joint venture in One Westside placed a construction loan on the property that allows for borrowing of up to $414.6 million, bears interest at LIBOR plus 1.70%, which can be reduced to LIBOR plus 1.50% upon the completion of certain conditions, and matures on December 18, 2024.</w:t>
      </w:r>
    </w:p>
    <w:p>
      <w:pPr>
        <w:spacing w:after="0" w:line="8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 of the Company, the Operating Partnership, the Management Companies or their respective affiliates is currently involved in any material legal proceedings.</w:t>
      </w:r>
    </w:p>
    <w:p>
      <w:pPr>
        <w:spacing w:after="0" w:line="92"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04" w:right="339" w:bottom="1440" w:gutter="0" w:footer="0" w:header="0"/>
        </w:sectPr>
      </w:pPr>
    </w:p>
    <w:bookmarkStart w:id="35" w:name="page36"/>
    <w:bookmarkEnd w:id="35"/>
    <w:p>
      <w:pPr>
        <w:ind w:left="5420"/>
        <w:spacing w:after="0"/>
        <w:rPr>
          <w:sz w:val="20"/>
          <w:szCs w:val="20"/>
          <w:color w:val="auto"/>
        </w:rPr>
      </w:pPr>
      <w:r>
        <w:rPr>
          <w:rFonts w:ascii="Arial" w:cs="Arial" w:eastAsia="Arial" w:hAnsi="Arial"/>
          <w:sz w:val="12"/>
          <w:szCs w:val="12"/>
          <w:b w:val="1"/>
          <w:bCs w:val="1"/>
          <w:color w:val="auto"/>
        </w:rPr>
        <w:t>PART II</w:t>
      </w:r>
    </w:p>
    <w:p>
      <w:pPr>
        <w:spacing w:after="0" w:line="9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5.</w:t>
        <w:tab/>
        <w:t>MARKET FOR REGISTRANT'S COMMON EQUITY, RELATED STOCKHOLDER MATTERS AND ISSUER PURCHASES OF EQUITY SECURITIES</w:t>
      </w:r>
    </w:p>
    <w:p>
      <w:pPr>
        <w:spacing w:after="0" w:line="109" w:lineRule="exact"/>
        <w:rPr>
          <w:sz w:val="20"/>
          <w:szCs w:val="20"/>
          <w:color w:val="auto"/>
        </w:rPr>
      </w:pPr>
    </w:p>
    <w:p>
      <w:pPr>
        <w:ind w:right="20" w:firstLine="297"/>
        <w:spacing w:after="0" w:line="276" w:lineRule="auto"/>
        <w:rPr>
          <w:sz w:val="20"/>
          <w:szCs w:val="20"/>
          <w:color w:val="auto"/>
        </w:rPr>
      </w:pPr>
      <w:r>
        <w:rPr>
          <w:rFonts w:ascii="Arial" w:cs="Arial" w:eastAsia="Arial" w:hAnsi="Arial"/>
          <w:sz w:val="12"/>
          <w:szCs w:val="12"/>
          <w:color w:val="auto"/>
        </w:rPr>
        <w:t>The common stock of the Company is listed and traded on the New York Stock Exchange under the symbol "MAC". The common stock began trading on March 10, 1994 at a price of $19 per share. As of February 22, 2022, there were approximately 590 stockholders of record.</w:t>
      </w:r>
    </w:p>
    <w:p>
      <w:pPr>
        <w:spacing w:after="0" w:line="70" w:lineRule="exact"/>
        <w:rPr>
          <w:sz w:val="20"/>
          <w:szCs w:val="20"/>
          <w:color w:val="auto"/>
        </w:rPr>
      </w:pPr>
    </w:p>
    <w:p>
      <w:pPr>
        <w:ind w:right="120" w:firstLine="297"/>
        <w:spacing w:after="0" w:line="264" w:lineRule="auto"/>
        <w:rPr>
          <w:sz w:val="20"/>
          <w:szCs w:val="20"/>
          <w:color w:val="auto"/>
        </w:rPr>
      </w:pPr>
      <w:r>
        <w:rPr>
          <w:rFonts w:ascii="Arial" w:cs="Arial" w:eastAsia="Arial" w:hAnsi="Arial"/>
          <w:sz w:val="11"/>
          <w:szCs w:val="11"/>
          <w:color w:val="auto"/>
        </w:rPr>
        <w:t>To maintain its qualification as a REIT, the Company is required each year to distribute to stockholders at least 90% of its net taxable income after certain adjustments. During 2020, the Company took numerous measures to preserve its liquidity, including paying a reduced dividend in the second, third and fourth quarters. Other than its dividend declared in March 2020 and paid in June 2020, which was paid in a combination of cash and shares of its common stock, the Company paid all of its 2021 and 2020 quarterly dividends in cash.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("FFO")") and only if no default under the financing agreements has occurred, unless, under certain circumstances, payment of the distribution is necessary to enable the Company to continue to qualify as a REIT under the Code.</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 Graph</w:t>
      </w:r>
    </w:p>
    <w:p>
      <w:pPr>
        <w:spacing w:after="0" w:line="109" w:lineRule="exact"/>
        <w:rPr>
          <w:sz w:val="20"/>
          <w:szCs w:val="20"/>
          <w:color w:val="auto"/>
        </w:rPr>
      </w:pPr>
    </w:p>
    <w:p>
      <w:pPr>
        <w:ind w:firstLine="297"/>
        <w:spacing w:after="0" w:line="323" w:lineRule="auto"/>
        <w:rPr>
          <w:sz w:val="20"/>
          <w:szCs w:val="20"/>
          <w:color w:val="auto"/>
        </w:rPr>
      </w:pPr>
      <w:r>
        <w:rPr>
          <w:rFonts w:ascii="Arial" w:cs="Arial" w:eastAsia="Arial" w:hAnsi="Arial"/>
          <w:sz w:val="11"/>
          <w:szCs w:val="11"/>
          <w:color w:val="auto"/>
        </w:rPr>
        <w:t>The following graph provides a comparison, from December 31, 2016 through December 31, 2021, of the yearly percentage change in the cumulative total stockholder return (assuming reinvestment of dividends) of the Company, the Standard &amp; Poors ("S&amp;P") Midcap 400 Index, and the FTSE Nareit Equity Retail Index. The FTSE Nareit Equity Retail Index is an industry index of publicly-traded REITs that include the Company.</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graph assumes that the value of the investment in each of the Company's common stock and the indices was $100 at the close of the market on December 31, 2016.</w:t>
      </w:r>
    </w:p>
    <w:p>
      <w:pPr>
        <w:spacing w:after="0" w:line="96" w:lineRule="exact"/>
        <w:rPr>
          <w:sz w:val="20"/>
          <w:szCs w:val="20"/>
          <w:color w:val="auto"/>
        </w:rPr>
      </w:pPr>
    </w:p>
    <w:p>
      <w:pPr>
        <w:ind w:right="40" w:firstLine="297"/>
        <w:spacing w:after="0" w:line="276" w:lineRule="auto"/>
        <w:rPr>
          <w:sz w:val="20"/>
          <w:szCs w:val="20"/>
          <w:color w:val="auto"/>
        </w:rPr>
      </w:pPr>
      <w:r>
        <w:rPr>
          <w:rFonts w:ascii="Arial" w:cs="Arial" w:eastAsia="Arial" w:hAnsi="Arial"/>
          <w:sz w:val="12"/>
          <w:szCs w:val="12"/>
          <w:color w:val="auto"/>
        </w:rPr>
        <w:t>Upon written request directed to the Secretary of the Company, the Company will provide any stockholder with a list of the REITs included in the FTSE Nareit Equity Retail Index. The historical information set forth below is not necessarily indicative of future performance.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36" w:name="page37"/>
    <w:bookmarkEnd w:id="36"/>
    <w:p>
      <w:pPr>
        <w:ind w:left="280"/>
        <w:spacing w:after="0"/>
        <w:rPr>
          <w:sz w:val="20"/>
          <w:szCs w:val="20"/>
          <w:color w:val="auto"/>
        </w:rPr>
      </w:pPr>
      <w:r>
        <w:rPr>
          <w:rFonts w:ascii="Arial" w:cs="Arial" w:eastAsia="Arial" w:hAnsi="Arial"/>
          <w:sz w:val="12"/>
          <w:szCs w:val="12"/>
          <w:color w:val="auto"/>
        </w:rPr>
        <w:t>Data for the S&amp;P Midcap 400 Index and the FTSE Nareit Equity Retail Index were provided by Research Data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66675</wp:posOffset>
            </wp:positionV>
            <wp:extent cx="3754755" cy="2743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5475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Copyright© 2022 S&amp;P, a division of The McGraw-Hill Companies Inc. All rights reserved.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84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8"/>
                <w:szCs w:val="8"/>
                <w:b w:val="1"/>
                <w:bCs w:val="1"/>
                <w:color w:val="auto"/>
              </w:rPr>
              <w:t>12/31/16</w:t>
            </w:r>
          </w:p>
        </w:tc>
        <w:tc>
          <w:tcPr>
            <w:tcW w:w="10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8"/>
                <w:szCs w:val="8"/>
                <w:b w:val="1"/>
                <w:bCs w:val="1"/>
                <w:color w:val="auto"/>
              </w:rPr>
              <w:t>12/31/17</w:t>
            </w:r>
          </w:p>
        </w:tc>
        <w:tc>
          <w:tcPr>
            <w:tcW w:w="10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8"/>
                <w:szCs w:val="8"/>
                <w:b w:val="1"/>
                <w:bCs w:val="1"/>
                <w:color w:val="auto"/>
              </w:rPr>
              <w:t>12/31/18</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8"/>
                <w:szCs w:val="8"/>
                <w:b w:val="1"/>
                <w:bCs w:val="1"/>
                <w:color w:val="auto"/>
              </w:rPr>
              <w:t>12/31/19</w:t>
            </w:r>
          </w:p>
        </w:tc>
        <w:tc>
          <w:tcPr>
            <w:tcW w:w="8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8"/>
                <w:szCs w:val="8"/>
                <w:b w:val="1"/>
                <w:bCs w:val="1"/>
                <w:color w:val="auto"/>
              </w:rPr>
              <w:t>12/31/20</w:t>
            </w:r>
          </w:p>
        </w:tc>
        <w:tc>
          <w:tcPr>
            <w:tcW w:w="10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8"/>
                <w:szCs w:val="8"/>
                <w:b w:val="1"/>
                <w:bCs w:val="1"/>
                <w:color w:val="auto"/>
              </w:rPr>
              <w:t>12/31/21</w:t>
            </w:r>
          </w:p>
        </w:tc>
      </w:tr>
      <w:tr>
        <w:trPr>
          <w:trHeight w:val="121"/>
        </w:trPr>
        <w:tc>
          <w:tcPr>
            <w:tcW w:w="2840" w:type="dxa"/>
            <w:vAlign w:val="bottom"/>
            <w:shd w:val="clear" w:color="auto" w:fill="CCEEFF"/>
          </w:tcPr>
          <w:p>
            <w:pPr>
              <w:ind w:left="300"/>
              <w:spacing w:after="0" w:line="113" w:lineRule="exact"/>
              <w:rPr>
                <w:sz w:val="20"/>
                <w:szCs w:val="20"/>
                <w:color w:val="auto"/>
              </w:rPr>
            </w:pPr>
            <w:r>
              <w:rPr>
                <w:rFonts w:ascii="Arial" w:cs="Arial" w:eastAsia="Arial" w:hAnsi="Arial"/>
                <w:sz w:val="10"/>
                <w:szCs w:val="10"/>
                <w:color w:val="auto"/>
              </w:rPr>
              <w:t>The Macerich Company</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97.14</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67.46</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45.76</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20.91</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35.24</w:t>
            </w:r>
          </w:p>
        </w:tc>
      </w:tr>
      <w:tr>
        <w:trPr>
          <w:trHeight w:val="124"/>
        </w:trPr>
        <w:tc>
          <w:tcPr>
            <w:tcW w:w="2840" w:type="dxa"/>
            <w:vAlign w:val="bottom"/>
          </w:tcPr>
          <w:p>
            <w:pPr>
              <w:ind w:left="300"/>
              <w:spacing w:after="0"/>
              <w:rPr>
                <w:sz w:val="20"/>
                <w:szCs w:val="20"/>
                <w:color w:val="auto"/>
              </w:rPr>
            </w:pPr>
            <w:r>
              <w:rPr>
                <w:rFonts w:ascii="Arial" w:cs="Arial" w:eastAsia="Arial" w:hAnsi="Arial"/>
                <w:sz w:val="10"/>
                <w:szCs w:val="10"/>
                <w:color w:val="auto"/>
              </w:rPr>
              <w:t>S&amp;P Midcap 400 Index</w:t>
            </w:r>
          </w:p>
        </w:tc>
        <w:tc>
          <w:tcPr>
            <w:tcW w:w="860" w:type="dxa"/>
            <w:vAlign w:val="bottom"/>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116.24</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103.36</w:t>
            </w:r>
          </w:p>
        </w:tc>
        <w:tc>
          <w:tcPr>
            <w:tcW w:w="80" w:type="dxa"/>
            <w:vAlign w:val="bottom"/>
          </w:tcPr>
          <w:p>
            <w:pPr>
              <w:spacing w:after="0"/>
              <w:rPr>
                <w:sz w:val="10"/>
                <w:szCs w:val="10"/>
                <w:color w:val="auto"/>
              </w:rPr>
            </w:pPr>
          </w:p>
        </w:tc>
        <w:tc>
          <w:tcPr>
            <w:tcW w:w="880" w:type="dxa"/>
            <w:vAlign w:val="bottom"/>
          </w:tcPr>
          <w:p>
            <w:pPr>
              <w:jc w:val="right"/>
              <w:ind w:right="14"/>
              <w:spacing w:after="0"/>
              <w:rPr>
                <w:sz w:val="20"/>
                <w:szCs w:val="20"/>
                <w:color w:val="auto"/>
              </w:rPr>
            </w:pPr>
            <w:r>
              <w:rPr>
                <w:rFonts w:ascii="Arial" w:cs="Arial" w:eastAsia="Arial" w:hAnsi="Arial"/>
                <w:sz w:val="10"/>
                <w:szCs w:val="10"/>
                <w:color w:val="auto"/>
              </w:rPr>
              <w:t>130.44</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148.26</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184.96</w:t>
            </w:r>
          </w:p>
        </w:tc>
      </w:tr>
      <w:tr>
        <w:trPr>
          <w:trHeight w:val="128"/>
        </w:trPr>
        <w:tc>
          <w:tcPr>
            <w:tcW w:w="2840" w:type="dxa"/>
            <w:vAlign w:val="bottom"/>
            <w:shd w:val="clear" w:color="auto" w:fill="CCEEFF"/>
          </w:tcPr>
          <w:p>
            <w:pPr>
              <w:ind w:left="300"/>
              <w:spacing w:after="0"/>
              <w:rPr>
                <w:sz w:val="20"/>
                <w:szCs w:val="20"/>
                <w:color w:val="auto"/>
              </w:rPr>
            </w:pPr>
            <w:r>
              <w:rPr>
                <w:rFonts w:ascii="Arial" w:cs="Arial" w:eastAsia="Arial" w:hAnsi="Arial"/>
                <w:sz w:val="10"/>
                <w:szCs w:val="10"/>
                <w:color w:val="auto"/>
              </w:rPr>
              <w:t>FTSE Nareit Equity Retail Index</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95.23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90.51</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100.14</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74.92</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113.82</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54" w:lineRule="exact"/>
        <w:rPr>
          <w:sz w:val="20"/>
          <w:szCs w:val="20"/>
          <w:color w:val="auto"/>
        </w:rPr>
      </w:pPr>
    </w:p>
    <w:p>
      <w:pPr>
        <w:ind w:firstLine="297"/>
        <w:spacing w:after="0" w:line="379" w:lineRule="auto"/>
        <w:rPr>
          <w:sz w:val="20"/>
          <w:szCs w:val="20"/>
          <w:color w:val="auto"/>
        </w:rPr>
      </w:pPr>
      <w:r>
        <w:rPr>
          <w:rFonts w:ascii="Arial" w:cs="Arial" w:eastAsia="Arial" w:hAnsi="Arial"/>
          <w:sz w:val="10"/>
          <w:szCs w:val="10"/>
          <w:color w:val="auto"/>
        </w:rPr>
        <w:t>On November 29, 2021, the Company, as general partner of the Operating Partnership, issued 1,407,366 shares of common stock of the Company upon the redemption of 1,407,366 common partnership units of the Operating Partnership. These shares of common stock were issued in a private placement to a limited partner of the Operating Partnership, who is an accredited investor, pursuant to Section 4(a)(2)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40"/>
          </w:cols>
          <w:pgMar w:left="300" w:top="770" w:right="55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Total Number of Shares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Pr>
          <w:p>
            <w:pPr>
              <w:jc w:val="center"/>
              <w:ind w:right="246"/>
              <w:spacing w:after="0"/>
              <w:rPr>
                <w:sz w:val="20"/>
                <w:szCs w:val="20"/>
                <w:color w:val="auto"/>
              </w:rPr>
            </w:pPr>
            <w:r>
              <w:rPr>
                <w:rFonts w:ascii="Arial" w:cs="Arial" w:eastAsia="Arial" w:hAnsi="Arial"/>
                <w:sz w:val="11"/>
                <w:szCs w:val="11"/>
                <w:b w:val="1"/>
                <w:bCs w:val="1"/>
                <w:color w:val="auto"/>
                <w:w w:val="89"/>
              </w:rPr>
              <w:t>Approximate Dollar Value of</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restart"/>
          </w:tcPr>
          <w:p>
            <w:pPr>
              <w:jc w:val="right"/>
              <w:ind w:right="105"/>
              <w:spacing w:after="0"/>
              <w:rPr>
                <w:sz w:val="20"/>
                <w:szCs w:val="20"/>
                <w:color w:val="auto"/>
              </w:rPr>
            </w:pPr>
            <w:r>
              <w:rPr>
                <w:rFonts w:ascii="Arial" w:cs="Arial" w:eastAsia="Arial" w:hAnsi="Arial"/>
                <w:sz w:val="11"/>
                <w:szCs w:val="11"/>
                <w:b w:val="1"/>
                <w:bCs w:val="1"/>
                <w:color w:val="auto"/>
                <w:w w:val="99"/>
              </w:rPr>
              <w:t>Total Number of Shares</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Average Price Paid per</w:t>
            </w:r>
          </w:p>
        </w:tc>
        <w:tc>
          <w:tcPr>
            <w:tcW w:w="15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jc w:val="center"/>
              <w:ind w:right="246"/>
              <w:spacing w:after="0" w:line="108" w:lineRule="exact"/>
              <w:rPr>
                <w:sz w:val="20"/>
                <w:szCs w:val="20"/>
                <w:color w:val="auto"/>
              </w:rPr>
            </w:pPr>
            <w:r>
              <w:rPr>
                <w:rFonts w:ascii="Arial" w:cs="Arial" w:eastAsia="Arial" w:hAnsi="Arial"/>
                <w:sz w:val="11"/>
                <w:szCs w:val="11"/>
                <w:b w:val="1"/>
                <w:bCs w:val="1"/>
                <w:color w:val="auto"/>
                <w:w w:val="89"/>
              </w:rPr>
              <w:t>Shares That May Yet Be</w:t>
            </w:r>
          </w:p>
        </w:tc>
        <w:tc>
          <w:tcPr>
            <w:tcW w:w="0" w:type="dxa"/>
            <w:vAlign w:val="bottom"/>
          </w:tcPr>
          <w:p>
            <w:pPr>
              <w:spacing w:after="0"/>
              <w:rPr>
                <w:sz w:val="1"/>
                <w:szCs w:val="1"/>
                <w:color w:val="auto"/>
              </w:rPr>
            </w:pPr>
          </w:p>
        </w:tc>
      </w:tr>
      <w:tr>
        <w:trPr>
          <w:trHeight w:val="108"/>
        </w:trPr>
        <w:tc>
          <w:tcPr>
            <w:tcW w:w="3200" w:type="dxa"/>
            <w:vAlign w:val="bottom"/>
            <w:vMerge w:val="restart"/>
          </w:tcPr>
          <w:p>
            <w:pPr>
              <w:spacing w:after="0"/>
              <w:rPr>
                <w:sz w:val="20"/>
                <w:szCs w:val="20"/>
                <w:color w:val="auto"/>
              </w:rPr>
            </w:pPr>
            <w:r>
              <w:rPr>
                <w:rFonts w:ascii="Arial" w:cs="Arial" w:eastAsia="Arial" w:hAnsi="Arial"/>
                <w:sz w:val="11"/>
                <w:szCs w:val="11"/>
                <w:b w:val="1"/>
                <w:bCs w:val="1"/>
                <w:color w:val="auto"/>
              </w:rPr>
              <w:t>Period</w:t>
            </w:r>
          </w:p>
        </w:tc>
        <w:tc>
          <w:tcPr>
            <w:tcW w:w="100" w:type="dxa"/>
            <w:vAlign w:val="bottom"/>
            <w:vMerge w:val="restart"/>
          </w:tcPr>
          <w:p>
            <w:pPr>
              <w:spacing w:after="0"/>
              <w:rPr>
                <w:sz w:val="9"/>
                <w:szCs w:val="9"/>
                <w:color w:val="auto"/>
              </w:rPr>
            </w:pPr>
          </w:p>
        </w:tc>
        <w:tc>
          <w:tcPr>
            <w:tcW w:w="1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5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Purchased as Part of Publicly</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jc w:val="center"/>
              <w:ind w:right="246"/>
              <w:spacing w:after="0" w:line="108" w:lineRule="exact"/>
              <w:rPr>
                <w:sz w:val="20"/>
                <w:szCs w:val="20"/>
                <w:color w:val="auto"/>
              </w:rPr>
            </w:pPr>
            <w:r>
              <w:rPr>
                <w:rFonts w:ascii="Arial" w:cs="Arial" w:eastAsia="Arial" w:hAnsi="Arial"/>
                <w:sz w:val="11"/>
                <w:szCs w:val="11"/>
                <w:b w:val="1"/>
                <w:bCs w:val="1"/>
                <w:color w:val="auto"/>
                <w:w w:val="89"/>
              </w:rPr>
              <w:t>Purchased Under the Plans or</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420" w:type="dxa"/>
            <w:vAlign w:val="bottom"/>
            <w:tcBorders>
              <w:bottom w:val="single" w:sz="8" w:color="auto"/>
            </w:tcBorders>
          </w:tcPr>
          <w:p>
            <w:pPr>
              <w:jc w:val="right"/>
              <w:ind w:right="425"/>
              <w:spacing w:after="0"/>
              <w:rPr>
                <w:sz w:val="20"/>
                <w:szCs w:val="20"/>
                <w:color w:val="auto"/>
              </w:rPr>
            </w:pPr>
            <w:r>
              <w:rPr>
                <w:rFonts w:ascii="Arial" w:cs="Arial" w:eastAsia="Arial" w:hAnsi="Arial"/>
                <w:sz w:val="11"/>
                <w:szCs w:val="11"/>
                <w:b w:val="1"/>
                <w:bCs w:val="1"/>
                <w:color w:val="auto"/>
              </w:rPr>
              <w:t>Purchased</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Share</w:t>
            </w: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Announced Plans or Programs</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88"/>
              </w:rPr>
              <w:t>Programs (1)</w:t>
            </w:r>
          </w:p>
        </w:tc>
        <w:tc>
          <w:tcPr>
            <w:tcW w:w="0" w:type="dxa"/>
            <w:vAlign w:val="bottom"/>
          </w:tcPr>
          <w:p>
            <w:pPr>
              <w:spacing w:after="0"/>
              <w:rPr>
                <w:sz w:val="1"/>
                <w:szCs w:val="1"/>
                <w:color w:val="auto"/>
              </w:rPr>
            </w:pPr>
          </w:p>
        </w:tc>
      </w:tr>
      <w:tr>
        <w:trPr>
          <w:trHeight w:val="144"/>
        </w:trPr>
        <w:tc>
          <w:tcPr>
            <w:tcW w:w="3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October 1, 2021 to October 31, 2021</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7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278,707,048</w:t>
            </w:r>
          </w:p>
        </w:tc>
        <w:tc>
          <w:tcPr>
            <w:tcW w:w="0" w:type="dxa"/>
            <w:vAlign w:val="bottom"/>
          </w:tcPr>
          <w:p>
            <w:pPr>
              <w:spacing w:after="0"/>
              <w:rPr>
                <w:sz w:val="1"/>
                <w:szCs w:val="1"/>
                <w:color w:val="auto"/>
              </w:rPr>
            </w:pPr>
          </w:p>
        </w:tc>
      </w:tr>
      <w:tr>
        <w:trPr>
          <w:trHeight w:val="153"/>
        </w:trPr>
        <w:tc>
          <w:tcPr>
            <w:tcW w:w="3300" w:type="dxa"/>
            <w:vAlign w:val="bottom"/>
            <w:gridSpan w:val="2"/>
          </w:tcPr>
          <w:p>
            <w:pPr>
              <w:spacing w:after="0"/>
              <w:rPr>
                <w:sz w:val="20"/>
                <w:szCs w:val="20"/>
                <w:color w:val="auto"/>
              </w:rPr>
            </w:pPr>
            <w:r>
              <w:rPr>
                <w:rFonts w:ascii="Arial" w:cs="Arial" w:eastAsia="Arial" w:hAnsi="Arial"/>
                <w:sz w:val="11"/>
                <w:szCs w:val="11"/>
                <w:color w:val="auto"/>
              </w:rPr>
              <w:t>November 1, 2021 to November 30, 2021</w:t>
            </w: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158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1740" w:type="dxa"/>
            <w:vAlign w:val="bottom"/>
          </w:tcPr>
          <w:p>
            <w:pPr>
              <w:jc w:val="right"/>
              <w:ind w:right="206"/>
              <w:spacing w:after="0"/>
              <w:rPr>
                <w:sz w:val="20"/>
                <w:szCs w:val="20"/>
                <w:color w:val="auto"/>
              </w:rPr>
            </w:pPr>
            <w:r>
              <w:rPr>
                <w:rFonts w:ascii="Arial" w:cs="Arial" w:eastAsia="Arial" w:hAnsi="Arial"/>
                <w:sz w:val="11"/>
                <w:szCs w:val="11"/>
                <w:color w:val="auto"/>
              </w:rPr>
              <w:t>278,707,048</w:t>
            </w:r>
          </w:p>
        </w:tc>
        <w:tc>
          <w:tcPr>
            <w:tcW w:w="0" w:type="dxa"/>
            <w:vAlign w:val="bottom"/>
          </w:tcPr>
          <w:p>
            <w:pPr>
              <w:spacing w:after="0"/>
              <w:rPr>
                <w:sz w:val="1"/>
                <w:szCs w:val="1"/>
                <w:color w:val="auto"/>
              </w:rPr>
            </w:pPr>
          </w:p>
        </w:tc>
      </w:tr>
      <w:tr>
        <w:trPr>
          <w:trHeight w:val="153"/>
        </w:trPr>
        <w:tc>
          <w:tcPr>
            <w:tcW w:w="3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1, 2021 to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7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278,707,048</w:t>
            </w: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3"/>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260" w:type="dxa"/>
            <w:vAlign w:val="bottom"/>
            <w:gridSpan w:val="2"/>
          </w:tcPr>
          <w:p>
            <w:pPr>
              <w:ind w:left="1000"/>
              <w:spacing w:after="0" w:line="133" w:lineRule="exact"/>
              <w:rPr>
                <w:sz w:val="20"/>
                <w:szCs w:val="20"/>
                <w:color w:val="auto"/>
              </w:rPr>
            </w:pPr>
            <w:r>
              <w:rPr>
                <w:rFonts w:ascii="Arial" w:cs="Arial" w:eastAsia="Arial" w:hAnsi="Arial"/>
                <w:sz w:val="12"/>
                <w:szCs w:val="12"/>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800" w:hanging="376"/>
        <w:spacing w:after="0"/>
        <w:tabs>
          <w:tab w:leader="none" w:pos="800" w:val="left"/>
        </w:tabs>
        <w:numPr>
          <w:ilvl w:val="0"/>
          <w:numId w:val="24"/>
        </w:numPr>
        <w:rPr>
          <w:rFonts w:ascii="Arial" w:cs="Arial" w:eastAsia="Arial" w:hAnsi="Arial"/>
          <w:sz w:val="10"/>
          <w:szCs w:val="10"/>
          <w:color w:val="auto"/>
        </w:rPr>
      </w:pPr>
      <w:r>
        <w:rPr>
          <w:rFonts w:ascii="Arial" w:cs="Arial" w:eastAsia="Arial" w:hAnsi="Arial"/>
          <w:sz w:val="10"/>
          <w:szCs w:val="10"/>
          <w:color w:val="auto"/>
        </w:rPr>
        <w:t>On February 12, 2017, the Company's Board of Directors authorized the repurchase of up to $500.0 million of the Company's outstanding common shares from time to time as market conditions warrant.</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363" w:lineRule="exact"/>
        <w:rPr>
          <w:rFonts w:ascii="Arial" w:cs="Arial" w:eastAsia="Arial" w:hAnsi="Arial"/>
          <w:sz w:val="10"/>
          <w:szCs w:val="10"/>
          <w:color w:val="auto"/>
        </w:rPr>
      </w:pPr>
    </w:p>
    <w:p>
      <w:pPr>
        <w:ind w:left="5580"/>
        <w:spacing w:after="0"/>
        <w:rPr>
          <w:rFonts w:ascii="Arial" w:cs="Arial" w:eastAsia="Arial" w:hAnsi="Arial"/>
          <w:sz w:val="10"/>
          <w:szCs w:val="1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380"/>
          </w:cols>
          <w:pgMar w:left="300" w:top="667" w:right="1219" w:bottom="1440" w:gutter="0" w:footer="0" w:header="0"/>
        </w:sectPr>
      </w:pPr>
    </w:p>
    <w:bookmarkStart w:id="38" w:name="page39"/>
    <w:bookmarkEnd w:id="38"/>
    <w:p>
      <w:pPr>
        <w:spacing w:after="0"/>
        <w:tabs>
          <w:tab w:leader="none" w:pos="54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RESERVED</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101"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Overview and Summary</w:t>
      </w:r>
    </w:p>
    <w:p>
      <w:pPr>
        <w:spacing w:after="0" w:line="100" w:lineRule="exact"/>
        <w:rPr>
          <w:sz w:val="20"/>
          <w:szCs w:val="20"/>
          <w:color w:val="auto"/>
        </w:rPr>
      </w:pPr>
    </w:p>
    <w:p>
      <w:pPr>
        <w:ind w:firstLine="297"/>
        <w:spacing w:after="0" w:line="285" w:lineRule="auto"/>
        <w:rPr>
          <w:sz w:val="20"/>
          <w:szCs w:val="20"/>
          <w:color w:val="auto"/>
        </w:rPr>
      </w:pPr>
      <w:r>
        <w:rPr>
          <w:rFonts w:ascii="Arial" w:cs="Arial" w:eastAsia="Arial" w:hAnsi="Arial"/>
          <w:sz w:val="11"/>
          <w:szCs w:val="11"/>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Operating Partnership. As of December 31, 2021, the Operating Partnership owned or had an ownership interest in 44 regional town centers and five community/power shopping centers. These 49 regional town centers and community/power shopping centers (which include any adjoining mixed-use improvements) consist of approximately 48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 The Company is a self-administered and self-managed REIT and conducts all of its operations through the Operating Partnership and the Management Companies.</w:t>
      </w:r>
    </w:p>
    <w:p>
      <w:pPr>
        <w:spacing w:after="0" w:line="68" w:lineRule="exact"/>
        <w:rPr>
          <w:sz w:val="20"/>
          <w:szCs w:val="20"/>
          <w:color w:val="auto"/>
        </w:rPr>
      </w:pPr>
    </w:p>
    <w:p>
      <w:pPr>
        <w:ind w:right="20" w:firstLine="297"/>
        <w:spacing w:after="0" w:line="298" w:lineRule="auto"/>
        <w:rPr>
          <w:sz w:val="20"/>
          <w:szCs w:val="20"/>
          <w:color w:val="auto"/>
        </w:rPr>
      </w:pPr>
      <w:r>
        <w:rPr>
          <w:rFonts w:ascii="Arial" w:cs="Arial" w:eastAsia="Arial" w:hAnsi="Arial"/>
          <w:sz w:val="11"/>
          <w:szCs w:val="11"/>
          <w:color w:val="auto"/>
        </w:rPr>
        <w:t>The following discussion is based primarily on the consolidated financial statements of the Company for the years ended December 31, 2021, 2020 and 2019. It compares the results of operations and cash flows for the year ended December 31, 2021 to the results of operations and cash flows for the year ended December 31, 2020. Also included is a comparison of the results of operations and cash flows for the year ended December 31, 2020 to the results of operations and cash flows for the year ended December 31, 2019. This information should be read in conjunction with the accompanying consolidated financial statements and notes thereto.</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Dispositions: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financial statements reflect the following dispositions and changes in ownership subsequent to the occurrence of each transaction.</w:t>
      </w:r>
    </w:p>
    <w:p>
      <w:pPr>
        <w:spacing w:after="0" w:line="105" w:lineRule="exact"/>
        <w:rPr>
          <w:sz w:val="20"/>
          <w:szCs w:val="20"/>
          <w:color w:val="auto"/>
        </w:rPr>
      </w:pPr>
    </w:p>
    <w:p>
      <w:pPr>
        <w:ind w:right="20" w:firstLine="297"/>
        <w:spacing w:after="0" w:line="323" w:lineRule="auto"/>
        <w:rPr>
          <w:sz w:val="20"/>
          <w:szCs w:val="20"/>
          <w:color w:val="auto"/>
        </w:rPr>
      </w:pPr>
      <w:r>
        <w:rPr>
          <w:rFonts w:ascii="Arial" w:cs="Arial" w:eastAsia="Arial" w:hAnsi="Arial"/>
          <w:sz w:val="11"/>
          <w:szCs w:val="11"/>
          <w:color w:val="auto"/>
        </w:rPr>
        <w:t>On March 29, 2021, the Company sold Paradise Valley Mall in Phoenix, Arizona to a newly formed joint venture for $100.0 million, resulting in a gain on sale of assets of approximately $5.6 million. Concurrent with the sale, the Company elected to reinvest into the new joint venture at a 5% ownership interest. The Company used the $95.3 million of net proceeds from the sale to pay down its line of credit (See "Liquidity and Capital Resources").</w:t>
      </w:r>
    </w:p>
    <w:p>
      <w:pPr>
        <w:spacing w:after="0" w:line="47" w:lineRule="exact"/>
        <w:rPr>
          <w:sz w:val="20"/>
          <w:szCs w:val="20"/>
          <w:color w:val="auto"/>
        </w:rPr>
      </w:pPr>
    </w:p>
    <w:p>
      <w:pPr>
        <w:ind w:right="540" w:firstLine="297"/>
        <w:spacing w:after="0" w:line="276" w:lineRule="auto"/>
        <w:rPr>
          <w:sz w:val="20"/>
          <w:szCs w:val="20"/>
          <w:color w:val="auto"/>
        </w:rPr>
      </w:pPr>
      <w:r>
        <w:rPr>
          <w:rFonts w:ascii="Arial" w:cs="Arial" w:eastAsia="Arial" w:hAnsi="Arial"/>
          <w:sz w:val="12"/>
          <w:szCs w:val="12"/>
          <w:color w:val="auto"/>
        </w:rPr>
        <w:t>On September 17, 2021, the Company sold Tucson La Encantada in Tucson, Arizona for $165.3 million, resulting in a gain on sale of assets of approximately $117.2 million. The Company used the net cash proceeds of approximately $100.1 million to pay down debt (See "Liquidity and Capital Resources").</w:t>
      </w:r>
    </w:p>
    <w:p>
      <w:pPr>
        <w:spacing w:after="0" w:line="61" w:lineRule="exact"/>
        <w:rPr>
          <w:sz w:val="20"/>
          <w:szCs w:val="20"/>
          <w:color w:val="auto"/>
        </w:rPr>
      </w:pPr>
    </w:p>
    <w:p>
      <w:pPr>
        <w:ind w:right="120" w:firstLine="297"/>
        <w:spacing w:after="0" w:line="323" w:lineRule="auto"/>
        <w:rPr>
          <w:sz w:val="20"/>
          <w:szCs w:val="20"/>
          <w:color w:val="auto"/>
        </w:rPr>
      </w:pPr>
      <w:r>
        <w:rPr>
          <w:rFonts w:ascii="Arial" w:cs="Arial" w:eastAsia="Arial" w:hAnsi="Arial"/>
          <w:sz w:val="11"/>
          <w:szCs w:val="11"/>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$28.3 million in connection with the assignment.</w:t>
      </w:r>
    </w:p>
    <w:p>
      <w:pPr>
        <w:spacing w:after="0" w:line="47"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On December 31, 2021, the Company sold its joint venture interest in the undeveloped property at 443 North Wabash Avenue in Chicago, Illinois to its partner in the joint venture for $21.0 million. The Company recognized an immaterial gain in connection with the sale.</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For the twelve months ended December 31, 2021, the Company and certain joint venture partners sold various land parcels in separate transactions, resulting in the Company’s share of the gain on sale of land of $19.6 million.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Company used its share of the proceeds from these sales of $46.5 million to pay down debt and for other general corporate purposes.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Financing Activities:</w:t>
      </w:r>
    </w:p>
    <w:p>
      <w:pPr>
        <w:spacing w:after="0" w:line="105"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70" w:lineRule="exact"/>
        <w:rPr>
          <w:sz w:val="20"/>
          <w:szCs w:val="20"/>
          <w:color w:val="auto"/>
        </w:rPr>
      </w:pPr>
    </w:p>
    <w:p>
      <w:pPr>
        <w:ind w:right="200" w:firstLine="297"/>
        <w:spacing w:after="0" w:line="263" w:lineRule="auto"/>
        <w:rPr>
          <w:sz w:val="20"/>
          <w:szCs w:val="20"/>
          <w:color w:val="auto"/>
        </w:rPr>
      </w:pPr>
      <w:r>
        <w:rPr>
          <w:rFonts w:ascii="Arial" w:cs="Arial" w:eastAsia="Arial" w:hAnsi="Arial"/>
          <w:sz w:val="12"/>
          <w:szCs w:val="12"/>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color w:val="auto"/>
        </w:rPr>
        <w:t>for general corporate purposes. As discussed below, the Company's joint venture replaced this loan with a new loan prior to its maturity date in October 2021.</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1"/>
          <w:szCs w:val="11"/>
          <w:color w:val="auto"/>
        </w:rPr>
        <w:t>On June 3, 2019, the Company’s joint venture in SanTan Village Regional Center replaced the existing loan on the property with a new $220.0 million loan that bears interest at an effective rate of 4.34% and matures on July 1,</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2029. The Company used its share of the additional proceeds to pay down its line of credit and for general corporate purposes.</w:t>
      </w:r>
    </w:p>
    <w:p>
      <w:pPr>
        <w:spacing w:after="0" w:line="96" w:lineRule="exact"/>
        <w:rPr>
          <w:sz w:val="20"/>
          <w:szCs w:val="20"/>
          <w:color w:val="auto"/>
        </w:rPr>
      </w:pPr>
    </w:p>
    <w:p>
      <w:pPr>
        <w:ind w:right="100" w:firstLine="297"/>
        <w:spacing w:after="0" w:line="276" w:lineRule="auto"/>
        <w:rPr>
          <w:sz w:val="20"/>
          <w:szCs w:val="20"/>
          <w:color w:val="auto"/>
        </w:rPr>
      </w:pPr>
      <w:r>
        <w:rPr>
          <w:rFonts w:ascii="Arial" w:cs="Arial" w:eastAsia="Arial" w:hAnsi="Arial"/>
          <w:sz w:val="12"/>
          <w:szCs w:val="12"/>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70"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On July 25, 2019, the Company's previously unconsolidated joint venture in Fashion District Philadelphia amended the existing term loan on the joint venture to allow for additional borrowings up to $100.0 million at LIBOR plus 2.00%. Concurrent with the amendment, the joint venture borrowed an additional $26.0 million. On August 16, 2019, the joint venture borrowed an additional $25.0 million. The Company used its share of the additional proceeds to pay down its line of credit and for general corporate purposes.</w:t>
      </w:r>
    </w:p>
    <w:p>
      <w:pPr>
        <w:spacing w:after="0" w:line="68" w:lineRule="exact"/>
        <w:rPr>
          <w:sz w:val="20"/>
          <w:szCs w:val="20"/>
          <w:color w:val="auto"/>
        </w:rPr>
      </w:pPr>
    </w:p>
    <w:p>
      <w:pPr>
        <w:ind w:right="200" w:firstLine="297"/>
        <w:spacing w:after="0" w:line="276" w:lineRule="auto"/>
        <w:rPr>
          <w:sz w:val="20"/>
          <w:szCs w:val="20"/>
          <w:color w:val="auto"/>
        </w:rPr>
      </w:pPr>
      <w:r>
        <w:rPr>
          <w:rFonts w:ascii="Arial" w:cs="Arial" w:eastAsia="Arial" w:hAnsi="Arial"/>
          <w:sz w:val="12"/>
          <w:szCs w:val="12"/>
          <w:color w:val="auto"/>
        </w:rPr>
        <w:t>On September 12, 2019, the Company’s joint venture in Tysons Tower placed a new $190.0 million loan on the property that bears interest at an effective rate of 3.38% and matures on October 11, 2029. The Company used its share of the proceeds to pay down its line of credit and for general corporate purposes.</w:t>
      </w:r>
    </w:p>
    <w:p>
      <w:pPr>
        <w:spacing w:after="0" w:line="70" w:lineRule="exact"/>
        <w:rPr>
          <w:sz w:val="20"/>
          <w:szCs w:val="20"/>
          <w:color w:val="auto"/>
        </w:rPr>
      </w:pPr>
    </w:p>
    <w:p>
      <w:pPr>
        <w:ind w:right="120" w:firstLine="297"/>
        <w:spacing w:after="0" w:line="276" w:lineRule="auto"/>
        <w:rPr>
          <w:sz w:val="20"/>
          <w:szCs w:val="20"/>
          <w:color w:val="auto"/>
        </w:rPr>
      </w:pPr>
      <w:r>
        <w:rPr>
          <w:rFonts w:ascii="Arial" w:cs="Arial" w:eastAsia="Arial" w:hAnsi="Arial"/>
          <w:sz w:val="12"/>
          <w:szCs w:val="12"/>
          <w:color w:val="auto"/>
        </w:rPr>
        <w:t>On October 17, 2019, the Company’s joint venture in West Acres placed a construction loan on the property that allows for borrowing of up to $6.5 million, bears interest at an effective rate of 3.72% and matures on October 10, 2029. The joint venture intends to use the proceeds from the loan to fund the expansion of the property.</w:t>
      </w:r>
    </w:p>
    <w:p>
      <w:pPr>
        <w:spacing w:after="0" w:line="70" w:lineRule="exact"/>
        <w:rPr>
          <w:sz w:val="20"/>
          <w:szCs w:val="20"/>
          <w:color w:val="auto"/>
        </w:rPr>
      </w:pPr>
    </w:p>
    <w:p>
      <w:pPr>
        <w:ind w:right="60" w:firstLine="297"/>
        <w:spacing w:after="0" w:line="276" w:lineRule="auto"/>
        <w:rPr>
          <w:sz w:val="20"/>
          <w:szCs w:val="20"/>
          <w:color w:val="auto"/>
        </w:rPr>
      </w:pPr>
      <w:r>
        <w:rPr>
          <w:rFonts w:ascii="Arial" w:cs="Arial" w:eastAsia="Arial" w:hAnsi="Arial"/>
          <w:sz w:val="12"/>
          <w:szCs w:val="12"/>
          <w:color w:val="auto"/>
        </w:rPr>
        <w:t>On December 3, 2019, the Company replaced the existing loan on Kings Plaza Shopping Center with a new $540.0 million loan that bears interest at an effective rate of 3.71% and matures on January 1, 2030. The Company used the additional proceeds to pay down its line of credit and for general corporate purposes.</w:t>
      </w:r>
    </w:p>
    <w:p>
      <w:pPr>
        <w:spacing w:after="0" w:line="61" w:lineRule="exact"/>
        <w:rPr>
          <w:sz w:val="20"/>
          <w:szCs w:val="20"/>
          <w:color w:val="auto"/>
        </w:rPr>
      </w:pPr>
    </w:p>
    <w:p>
      <w:pPr>
        <w:ind w:right="160" w:firstLine="297"/>
        <w:spacing w:after="0" w:line="379" w:lineRule="auto"/>
        <w:rPr>
          <w:sz w:val="20"/>
          <w:szCs w:val="20"/>
          <w:color w:val="auto"/>
        </w:rPr>
      </w:pPr>
      <w:r>
        <w:rPr>
          <w:rFonts w:ascii="Arial" w:cs="Arial" w:eastAsia="Arial" w:hAnsi="Arial"/>
          <w:sz w:val="10"/>
          <w:szCs w:val="10"/>
          <w:color w:val="auto"/>
        </w:rPr>
        <w:t>On December 18, 2019, the Company’s joint venture in One Westside placed a $414.6 million construction loan on the redevelopment project (See "—Redevelopment and Development Activities"). The loan bears interest at LIBOR plus 1.70%, which can be reduced to LIBOR plus 1.50% upon the completion of certain conditions and matures on December 18, 2024. The joint venture intends to use the loan proceeds to fund the completion of the project.</w:t>
      </w:r>
    </w:p>
    <w:p>
      <w:pPr>
        <w:spacing w:after="0" w:line="24" w:lineRule="exact"/>
        <w:rPr>
          <w:sz w:val="20"/>
          <w:szCs w:val="20"/>
          <w:color w:val="auto"/>
        </w:rPr>
      </w:pPr>
    </w:p>
    <w:p>
      <w:pPr>
        <w:jc w:val="both"/>
        <w:ind w:right="140" w:firstLine="297"/>
        <w:spacing w:after="0" w:line="263" w:lineRule="auto"/>
        <w:rPr>
          <w:sz w:val="20"/>
          <w:szCs w:val="20"/>
          <w:color w:val="auto"/>
        </w:rPr>
      </w:pPr>
      <w:r>
        <w:rPr>
          <w:rFonts w:ascii="Arial" w:cs="Arial" w:eastAsia="Arial" w:hAnsi="Arial"/>
          <w:sz w:val="12"/>
          <w:szCs w:val="12"/>
          <w:color w:val="auto"/>
        </w:rPr>
        <w:t>On September 15, 2020, the Company closed on a loan extension agreement for the $191.0 million loan on Danbury Fair Mall. Under the extension agreement, the original loan maturity date of October 1, 2020 was extended to April 1, 2021 and subsequently to October 1, 2021. The loan amount and interest rate were unchanged following these extensions. On September 15, 2021, the Company further extended the loan maturity to July 1, 2022. The interest rate remained unchanged, and the Company repaid $10.0 million of the outstanding loan balance at closing.</w:t>
      </w:r>
    </w:p>
    <w:p>
      <w:pPr>
        <w:spacing w:after="0" w:line="77" w:lineRule="exact"/>
        <w:rPr>
          <w:sz w:val="20"/>
          <w:szCs w:val="20"/>
          <w:color w:val="auto"/>
        </w:rPr>
      </w:pPr>
    </w:p>
    <w:p>
      <w:pPr>
        <w:ind w:right="40" w:firstLine="297"/>
        <w:spacing w:after="0" w:line="263" w:lineRule="auto"/>
        <w:rPr>
          <w:sz w:val="20"/>
          <w:szCs w:val="20"/>
          <w:color w:val="auto"/>
        </w:rPr>
      </w:pPr>
      <w:r>
        <w:rPr>
          <w:rFonts w:ascii="Arial" w:cs="Arial" w:eastAsia="Arial" w:hAnsi="Arial"/>
          <w:sz w:val="12"/>
          <w:szCs w:val="12"/>
          <w:color w:val="auto"/>
        </w:rPr>
        <w:t>On November 17, 2020, the Company’s joint venture in Tysons VITA, the residential tower at Tysons Corner Center, placed a new $95.0 million loan on the property that bears interest at an effective rate of 3.43% and matures on December 1, 2030. Initial loan funding for the Company’s joint venture was $90.0 million with future advance potential of up to $5.0 million. The Company used its share of the initial proceeds of $45.0 million for general corporate purposes.</w:t>
      </w:r>
    </w:p>
    <w:p>
      <w:pPr>
        <w:spacing w:after="0" w:line="68" w:lineRule="exact"/>
        <w:rPr>
          <w:sz w:val="20"/>
          <w:szCs w:val="20"/>
          <w:color w:val="auto"/>
        </w:rPr>
      </w:pPr>
    </w:p>
    <w:p>
      <w:pPr>
        <w:ind w:right="100" w:firstLine="297"/>
        <w:spacing w:after="0" w:line="309" w:lineRule="auto"/>
        <w:rPr>
          <w:sz w:val="20"/>
          <w:szCs w:val="20"/>
          <w:color w:val="auto"/>
        </w:rPr>
      </w:pPr>
      <w:r>
        <w:rPr>
          <w:rFonts w:ascii="Arial" w:cs="Arial" w:eastAsia="Arial" w:hAnsi="Arial"/>
          <w:sz w:val="10"/>
          <w:szCs w:val="10"/>
          <w:color w:val="auto"/>
        </w:rPr>
        <w:t>On December 10, 2020, the Company made a loan (the "Partnership Loan") to the Company’s previously unconsolidated joint venture in Fashion District Philadelphia to fund the entirety of a $100.0 million repayment to reduce the mortgage loan on Fashion District Philadelphia from $301.0 million to $201.0 million. This mortgage loan now matures on January 22, 2024, assuming exercise of a one-year extension option, and bears interest at LIBOR plus</w:t>
      </w:r>
    </w:p>
    <w:p>
      <w:pPr>
        <w:spacing w:after="0" w:line="1" w:lineRule="exact"/>
        <w:rPr>
          <w:sz w:val="20"/>
          <w:szCs w:val="20"/>
          <w:color w:val="auto"/>
        </w:rPr>
      </w:pPr>
    </w:p>
    <w:p>
      <w:pPr>
        <w:ind w:right="60"/>
        <w:spacing w:after="0" w:line="306" w:lineRule="auto"/>
        <w:rPr>
          <w:sz w:val="20"/>
          <w:szCs w:val="20"/>
          <w:color w:val="auto"/>
        </w:rPr>
      </w:pPr>
      <w:r>
        <w:rPr>
          <w:rFonts w:ascii="Arial" w:cs="Arial" w:eastAsia="Arial" w:hAnsi="Arial"/>
          <w:sz w:val="11"/>
          <w:szCs w:val="11"/>
          <w:color w:val="auto"/>
        </w:rPr>
        <w:t>3.5%, with a LIBOR floor of 0.50%.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(See Note 15–Consolidated Joint Venture and Acquisitions of the Company’s Consolidated Financial Statements).</w:t>
      </w:r>
    </w:p>
    <w:p>
      <w:pPr>
        <w:spacing w:after="0" w:line="56" w:lineRule="exact"/>
        <w:rPr>
          <w:sz w:val="20"/>
          <w:szCs w:val="20"/>
          <w:color w:val="auto"/>
        </w:rPr>
      </w:pPr>
    </w:p>
    <w:p>
      <w:pPr>
        <w:ind w:right="380" w:firstLine="297"/>
        <w:spacing w:after="0" w:line="276" w:lineRule="auto"/>
        <w:rPr>
          <w:sz w:val="20"/>
          <w:szCs w:val="20"/>
          <w:color w:val="auto"/>
        </w:rPr>
      </w:pPr>
      <w:r>
        <w:rPr>
          <w:rFonts w:ascii="Arial" w:cs="Arial" w:eastAsia="Arial" w:hAnsi="Arial"/>
          <w:sz w:val="12"/>
          <w:szCs w:val="12"/>
          <w:color w:val="auto"/>
        </w:rPr>
        <w:t>On December 15, 2020, the Company closed on a loan extension agreement for the $101.5 million loan on Fashion Outlets of Niagara. Under the extension agreement the original loan maturity date of October 6, 2020 was extended to October 6, 2023. The loan amount and interest rate were unchanged following the extension.</w:t>
      </w:r>
    </w:p>
    <w:p>
      <w:pPr>
        <w:spacing w:after="0" w:line="70" w:lineRule="exact"/>
        <w:rPr>
          <w:sz w:val="20"/>
          <w:szCs w:val="20"/>
          <w:color w:val="auto"/>
        </w:rPr>
      </w:pPr>
    </w:p>
    <w:p>
      <w:pPr>
        <w:ind w:right="220" w:firstLine="297"/>
        <w:spacing w:after="0" w:line="263" w:lineRule="auto"/>
        <w:rPr>
          <w:sz w:val="20"/>
          <w:szCs w:val="20"/>
          <w:color w:val="auto"/>
        </w:rPr>
      </w:pPr>
      <w:r>
        <w:rPr>
          <w:rFonts w:ascii="Arial" w:cs="Arial" w:eastAsia="Arial" w:hAnsi="Arial"/>
          <w:sz w:val="12"/>
          <w:szCs w:val="12"/>
          <w:color w:val="auto"/>
        </w:rPr>
        <w:t>On December 29, 2020, the Company’s joint venture closed on a one-year maturity date extension for the FlatIron Crossing loan to January 5, 2022. The interest rate increased from 3.85% to 4.10%, and the Company’s joint venture repaid $15.0 million, $7.6 million at the Company's pro rata share, of the outstanding loan balance at closing. As discussed below, the Company's joint venture replaced this loan with a new loan prior to its maturity date that was further extended to February 2022.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40" w:name="page41"/>
    <w:bookmarkEnd w:id="40"/>
    <w:p>
      <w:pPr>
        <w:ind w:right="460" w:firstLine="297"/>
        <w:spacing w:after="0" w:line="276" w:lineRule="auto"/>
        <w:rPr>
          <w:sz w:val="20"/>
          <w:szCs w:val="20"/>
          <w:color w:val="auto"/>
        </w:rPr>
      </w:pPr>
      <w:r>
        <w:rPr>
          <w:rFonts w:ascii="Arial" w:cs="Arial" w:eastAsia="Arial" w:hAnsi="Arial"/>
          <w:sz w:val="12"/>
          <w:szCs w:val="12"/>
          <w:color w:val="auto"/>
        </w:rPr>
        <w:t>On January 22, 2021, the Company closed on a one-year extension for the Green Acres Mall $258.2 million loan to February 3, 2022, which also included a one-year extension option to February 3, 2023 which has been exercised. The interest rate remained unchanged, and the Company repaid $9 million of the outstanding loan balance at closing.</w:t>
      </w:r>
    </w:p>
    <w:p>
      <w:pPr>
        <w:spacing w:after="0" w:line="61" w:lineRule="exact"/>
        <w:rPr>
          <w:sz w:val="20"/>
          <w:szCs w:val="20"/>
          <w:color w:val="auto"/>
        </w:rPr>
      </w:pPr>
    </w:p>
    <w:p>
      <w:pPr>
        <w:ind w:right="380" w:firstLine="297"/>
        <w:spacing w:after="0" w:line="276" w:lineRule="auto"/>
        <w:rPr>
          <w:sz w:val="20"/>
          <w:szCs w:val="20"/>
          <w:color w:val="auto"/>
        </w:rPr>
      </w:pPr>
      <w:r>
        <w:rPr>
          <w:rFonts w:ascii="Arial" w:cs="Arial" w:eastAsia="Arial" w:hAnsi="Arial"/>
          <w:sz w:val="12"/>
          <w:szCs w:val="12"/>
          <w:color w:val="auto"/>
        </w:rPr>
        <w:t>On March 25, 2021, the Company closed on a two-year extension for the Green Acres Commons $124.6 million loan to March 29, 2023. The interest rate is LIBOR plus 2.75% and the Company repaid $4.7 million of the outstanding loan balance at closing.</w:t>
      </w:r>
    </w:p>
    <w:p>
      <w:pPr>
        <w:spacing w:after="0" w:line="70" w:lineRule="exact"/>
        <w:rPr>
          <w:sz w:val="20"/>
          <w:szCs w:val="20"/>
          <w:color w:val="auto"/>
        </w:rPr>
      </w:pPr>
    </w:p>
    <w:p>
      <w:pPr>
        <w:ind w:right="100" w:firstLine="297"/>
        <w:spacing w:after="0" w:line="276" w:lineRule="auto"/>
        <w:rPr>
          <w:sz w:val="20"/>
          <w:szCs w:val="20"/>
          <w:color w:val="auto"/>
        </w:rPr>
      </w:pPr>
      <w:r>
        <w:rPr>
          <w:rFonts w:ascii="Arial" w:cs="Arial" w:eastAsia="Arial" w:hAnsi="Arial"/>
          <w:sz w:val="12"/>
          <w:szCs w:val="12"/>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(See "—Liquidity and Capital Resources").</w:t>
      </w:r>
    </w:p>
    <w:p>
      <w:pPr>
        <w:spacing w:after="0" w:line="70" w:lineRule="exact"/>
        <w:rPr>
          <w:sz w:val="20"/>
          <w:szCs w:val="20"/>
          <w:color w:val="auto"/>
        </w:rPr>
      </w:pPr>
    </w:p>
    <w:p>
      <w:pPr>
        <w:ind w:right="300" w:firstLine="297"/>
        <w:spacing w:after="0" w:line="323" w:lineRule="auto"/>
        <w:rPr>
          <w:sz w:val="20"/>
          <w:szCs w:val="20"/>
          <w:color w:val="auto"/>
        </w:rPr>
      </w:pPr>
      <w:r>
        <w:rPr>
          <w:rFonts w:ascii="Arial" w:cs="Arial" w:eastAsia="Arial" w:hAnsi="Arial"/>
          <w:sz w:val="11"/>
          <w:szCs w:val="11"/>
          <w:color w:val="auto"/>
        </w:rPr>
        <w:t>On October 26, 2021, the Company's joint venture in The Shops at Atlas Park replaced the existing loan on the property with a new $65 million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38" w:lineRule="exact"/>
        <w:rPr>
          <w:sz w:val="20"/>
          <w:szCs w:val="20"/>
          <w:color w:val="auto"/>
        </w:rPr>
      </w:pPr>
    </w:p>
    <w:p>
      <w:pPr>
        <w:ind w:right="200" w:firstLine="297"/>
        <w:spacing w:after="0" w:line="276" w:lineRule="auto"/>
        <w:rPr>
          <w:sz w:val="20"/>
          <w:szCs w:val="20"/>
          <w:color w:val="auto"/>
        </w:rPr>
      </w:pPr>
      <w:r>
        <w:rPr>
          <w:rFonts w:ascii="Arial" w:cs="Arial" w:eastAsia="Arial" w:hAnsi="Arial"/>
          <w:sz w:val="12"/>
          <w:szCs w:val="12"/>
          <w:color w:val="auto"/>
        </w:rPr>
        <w:t>On February 2, 2022, the Company’s joint venture in FlatIron Crossing replaced the existing $197 million loan on the property with a new $175 million loan that bears interest at SOFR plus 3.45% and matures on February 9, 2027, including extension options. The loan is covered by an interest rate cap agreement that effectively prevents SOFR from exceeding 4.0% through February 15, 2024.</w:t>
      </w:r>
    </w:p>
    <w:p>
      <w:pPr>
        <w:spacing w:after="0" w:line="70"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$28.1 million and $36.9 million was repaid in the three months and twelve months ended December 31, 2020, respectively; and the remaining balance was fully repaid during the first quarter of 2021.</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Redevelopment and Development Activities:</w:t>
      </w:r>
    </w:p>
    <w:p>
      <w:pPr>
        <w:spacing w:after="0" w:line="96" w:lineRule="exact"/>
        <w:rPr>
          <w:sz w:val="20"/>
          <w:szCs w:val="20"/>
          <w:color w:val="auto"/>
        </w:rPr>
      </w:pPr>
    </w:p>
    <w:p>
      <w:pPr>
        <w:ind w:firstLine="297"/>
        <w:spacing w:after="0" w:line="289" w:lineRule="auto"/>
        <w:rPr>
          <w:sz w:val="20"/>
          <w:szCs w:val="20"/>
          <w:color w:val="auto"/>
        </w:rPr>
      </w:pPr>
      <w:r>
        <w:rPr>
          <w:rFonts w:ascii="Arial" w:cs="Arial" w:eastAsia="Arial" w:hAnsi="Arial"/>
          <w:sz w:val="11"/>
          <w:szCs w:val="11"/>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During the fourth quarter of 2021, the joint venture delivered the office space to Google for tenant improvement work, which Google has commenced. The total cost of the project is estimated to be between $500.0 million and $550.0 million, with $125.0 million to $137.5 million estimated to be the Company's pro rata share. The Company has incurred $106.9 million of the total $427.7 million incurred by the joint venture as of December 31, 2021. The joint venture expects to fund the remaining costs of the development with its new $414.6 million construction loan (See "—Financing Activities").</w:t>
      </w:r>
    </w:p>
    <w:p>
      <w:pPr>
        <w:spacing w:after="0" w:line="66"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Company has a 50/50 joint venture with Simon Property Group, which was initially formed to develop Los Angeles Premium Outlets, a premium outlet center in Carson, California. The Company has funded $41.4 million of the total $82.8 million incurred by the joint venture as of December 31, 2021.</w:t>
      </w:r>
    </w:p>
    <w:p>
      <w:pPr>
        <w:spacing w:after="0" w:line="70" w:lineRule="exact"/>
        <w:rPr>
          <w:sz w:val="20"/>
          <w:szCs w:val="20"/>
          <w:color w:val="auto"/>
        </w:rPr>
      </w:pPr>
    </w:p>
    <w:p>
      <w:pPr>
        <w:jc w:val="both"/>
        <w:ind w:right="40" w:firstLine="297"/>
        <w:spacing w:after="0" w:line="263" w:lineRule="auto"/>
        <w:rPr>
          <w:sz w:val="20"/>
          <w:szCs w:val="20"/>
          <w:color w:val="auto"/>
        </w:rPr>
      </w:pPr>
      <w:r>
        <w:rPr>
          <w:rFonts w:ascii="Arial" w:cs="Arial" w:eastAsia="Arial" w:hAnsi="Arial"/>
          <w:sz w:val="12"/>
          <w:szCs w:val="12"/>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$40.9 million at its pro rata share as of December 31, 2021.</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Other Transactions and Events:</w:t>
      </w:r>
    </w:p>
    <w:p>
      <w:pPr>
        <w:spacing w:after="0" w:line="105" w:lineRule="exact"/>
        <w:rPr>
          <w:sz w:val="20"/>
          <w:szCs w:val="20"/>
          <w:color w:val="auto"/>
        </w:rPr>
      </w:pPr>
    </w:p>
    <w:p>
      <w:pPr>
        <w:ind w:right="240" w:firstLine="297"/>
        <w:spacing w:after="0" w:line="256" w:lineRule="auto"/>
        <w:rPr>
          <w:sz w:val="20"/>
          <w:szCs w:val="20"/>
          <w:color w:val="auto"/>
        </w:rPr>
      </w:pPr>
      <w:r>
        <w:rPr>
          <w:rFonts w:ascii="Arial" w:cs="Arial" w:eastAsia="Arial" w:hAnsi="Arial"/>
          <w:sz w:val="12"/>
          <w:szCs w:val="12"/>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Financial Accounting Standards Board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83" w:lineRule="exact"/>
        <w:rPr>
          <w:sz w:val="20"/>
          <w:szCs w:val="20"/>
          <w:color w:val="auto"/>
        </w:rPr>
      </w:pPr>
    </w:p>
    <w:p>
      <w:pPr>
        <w:ind w:right="340" w:firstLine="297"/>
        <w:spacing w:after="0" w:line="276" w:lineRule="auto"/>
        <w:rPr>
          <w:sz w:val="20"/>
          <w:szCs w:val="20"/>
          <w:color w:val="auto"/>
        </w:rPr>
      </w:pPr>
      <w:r>
        <w:rPr>
          <w:rFonts w:ascii="Arial" w:cs="Arial" w:eastAsia="Arial" w:hAnsi="Arial"/>
          <w:sz w:val="12"/>
          <w:szCs w:val="12"/>
          <w:color w:val="auto"/>
        </w:rPr>
        <w:t>Upon adoption of the new standard, the Company has presented all revenues associated with leases as leasing revenue on its consolidated statements of operations. The new standard requires the Company to reduce leasing revenue for credit losses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41" w:name="page42"/>
    <w:bookmarkEnd w:id="41"/>
    <w:p>
      <w:pPr>
        <w:ind w:right="440"/>
        <w:spacing w:after="0" w:line="276" w:lineRule="auto"/>
        <w:rPr>
          <w:sz w:val="20"/>
          <w:szCs w:val="20"/>
          <w:color w:val="auto"/>
        </w:rPr>
      </w:pPr>
      <w:r>
        <w:rPr>
          <w:rFonts w:ascii="Arial" w:cs="Arial" w:eastAsia="Arial" w:hAnsi="Arial"/>
          <w:sz w:val="12"/>
          <w:szCs w:val="12"/>
          <w:color w:val="auto"/>
        </w:rPr>
        <w:t>associated with lease receivables. In addition, straight-line rent receivables are written off when the Company believes there is reasonable uncertainty regarding a tenant's ability to complete the term of the lease. As a result, the Company recognized a cumulative effect adjustment of $2.2 million upon adoption for the write off of straight-line rent receivables of tenants that were in litigation or bankruptcy.</w:t>
      </w:r>
    </w:p>
    <w:p>
      <w:pPr>
        <w:spacing w:after="0" w:line="61" w:lineRule="exact"/>
        <w:rPr>
          <w:sz w:val="20"/>
          <w:szCs w:val="20"/>
          <w:color w:val="auto"/>
        </w:rPr>
      </w:pPr>
    </w:p>
    <w:p>
      <w:pPr>
        <w:ind w:right="280" w:firstLine="297"/>
        <w:spacing w:after="0" w:line="323" w:lineRule="auto"/>
        <w:rPr>
          <w:sz w:val="20"/>
          <w:szCs w:val="20"/>
          <w:color w:val="auto"/>
        </w:rPr>
      </w:pPr>
      <w:r>
        <w:rPr>
          <w:rFonts w:ascii="Arial" w:cs="Arial" w:eastAsia="Arial" w:hAnsi="Arial"/>
          <w:sz w:val="11"/>
          <w:szCs w:val="11"/>
          <w:color w:val="auto"/>
        </w:rPr>
        <w:t>The new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w:t>
      </w:r>
    </w:p>
    <w:p>
      <w:pPr>
        <w:spacing w:after="0" w:line="47"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As of the date of this Annual Report on Form 10-K, government-imposed capacity restrictions resulting from COVID-19 have been essentially eliminated across the Company’s markets. Although overall fundamentals at the Centers continued to improve during 2021, the Company expects that the COVID-19 pandemic, including the emergence of new variants, will continue to negatively impact its results for 2022 due, in part, to reduced occupancy relative to pre-COVID levels and additional Anchor closures, among other factors.</w:t>
      </w:r>
    </w:p>
    <w:p>
      <w:pPr>
        <w:spacing w:after="0" w:line="83" w:lineRule="exact"/>
        <w:rPr>
          <w:sz w:val="20"/>
          <w:szCs w:val="20"/>
          <w:color w:val="auto"/>
        </w:rPr>
      </w:pPr>
    </w:p>
    <w:p>
      <w:pPr>
        <w:ind w:firstLine="297"/>
        <w:spacing w:after="0" w:line="278" w:lineRule="auto"/>
        <w:rPr>
          <w:sz w:val="20"/>
          <w:szCs w:val="20"/>
          <w:color w:val="auto"/>
        </w:rPr>
      </w:pPr>
      <w:r>
        <w:rPr>
          <w:rFonts w:ascii="Arial" w:cs="Arial" w:eastAsia="Arial" w:hAnsi="Arial"/>
          <w:sz w:val="11"/>
          <w:szCs w:val="11"/>
          <w:color w:val="auto"/>
        </w:rPr>
        <w:t>The Company continues to work with all of its stakeholders to mitigate the impact of COVID-19. The Company has developed and implemented a long list of operational protocols based on Centers for Disease Control and Prevention recommendations designed to ensure the safety of its employees, tenants, service providers and shoppers. Those measures include among others: the use of sophisticated air filtration systems to increase air circulation and outside air flow and ventilation, significantly intensified cleaning and sanitizing procedures with special focus on high-touch and traffic areas, highly visible and accessible self-service sanitizing stations, providing masks at all properties as needed and requiring mask-wearing at nearly all properties in compliance with state and local requirements, touchless entries, social distance queuing including the use of digital technologies, path of travel guidelines including vertical transportation and deliveries, furniture placement and the use of sophisticated traffic-counting technology to ensure that its properties adhere to any relevant regulatory capacity constraints. The Company’s indoor properties feature vast interior common areas, most with two to three story ceiling clearances, ample floor space and a comfortable environment to practice effective social distancing even during peak retail periods. The Company provides round-the-clock security to enforce policies and regulations, to discourage congregation and to encourage proper distancing. Each property deploys robust messaging to inform all of the Company’s stakeholders of its operating standards and requirements within a multi-media platform that includes abundant on premise signage, digital and social messaging, and information within its property and corporate websites. The Company believes that, due to the quality of design and construction of its malls, it will be able to continue to provide a safe indoor environment for its employees, tenants, service providers and shoppers. Although the Company has incurred, and will continue to incur, some incremental costs associated with COVID-19 operating protocols and programs, these costs have not been, and are not anticipated to be, significant.</w:t>
      </w:r>
    </w:p>
    <w:p>
      <w:pPr>
        <w:spacing w:after="0" w:line="65" w:lineRule="exact"/>
        <w:rPr>
          <w:sz w:val="20"/>
          <w:szCs w:val="20"/>
          <w:color w:val="auto"/>
        </w:rPr>
      </w:pPr>
    </w:p>
    <w:p>
      <w:pPr>
        <w:ind w:right="180" w:firstLine="297"/>
        <w:spacing w:after="0" w:line="276" w:lineRule="auto"/>
        <w:rPr>
          <w:sz w:val="20"/>
          <w:szCs w:val="20"/>
          <w:color w:val="auto"/>
        </w:rPr>
      </w:pPr>
      <w:r>
        <w:rPr>
          <w:rFonts w:ascii="Arial" w:cs="Arial" w:eastAsia="Arial" w:hAnsi="Arial"/>
          <w:sz w:val="12"/>
          <w:szCs w:val="12"/>
          <w:color w:val="auto"/>
        </w:rPr>
        <w:t>See “Outlook” in Results of Operations for a further discussion of the forward-looking impact of COVID-19 and the Company’s strategic plan to mitigate the anticipated negative impact on its financial condition and results of operations.</w:t>
      </w:r>
    </w:p>
    <w:p>
      <w:pPr>
        <w:spacing w:after="0" w:line="70" w:lineRule="exact"/>
        <w:rPr>
          <w:sz w:val="20"/>
          <w:szCs w:val="20"/>
          <w:color w:val="auto"/>
        </w:rPr>
      </w:pPr>
    </w:p>
    <w:p>
      <w:pPr>
        <w:ind w:firstLine="297"/>
        <w:spacing w:after="0" w:line="281" w:lineRule="auto"/>
        <w:rPr>
          <w:sz w:val="20"/>
          <w:szCs w:val="20"/>
          <w:color w:val="auto"/>
        </w:rPr>
      </w:pPr>
      <w:r>
        <w:rPr>
          <w:rFonts w:ascii="Arial" w:cs="Arial" w:eastAsia="Arial" w:hAnsi="Arial"/>
          <w:sz w:val="11"/>
          <w:szCs w:val="11"/>
          <w:color w:val="auto"/>
        </w:rPr>
        <w:t>In March 2020, the Company declared a reduced second quarter dividend of $0.50 per share of its common stock, which was paid on June 3, 2020 in a combination of cash and shares of common stock, at the election of the stockholder, subject to a limitation that the aggregate amount of cash payable to holders of the Company’s common stock would not exceed 20% of the aggregate amount of the dividend, or $0.10 per share, for all stockholders of record on April 22, 2020. The amount of the dividend represented a reduction from the Company’s first quarter 2020 dividend, and was paid in a combination of cash and shares of common stock to preserve liquidity in light of the impact and uncertainty arising out of the COVID-19 pandemic. The Company declared a further reduced cash dividend of $0.15 per share of its common stock for the third and fourth quarters of 2020 and for the first, second and third quarters of 2021. On October 28, 2021, the Company declared a fourth quarter cash dividend of $0.15 per share of its common stock, which was paid on December 3, 2021 to stockholders of record on November 9, 2021. On January 27, 2022, the Company declared a fourth quarter cash dividend of $0.15 per share of its common stock, which will be paid on March 3, 2022 to stockholders of record on February 18, 2022. The dividend amount will be reviewed by the Board on a quarterly basis. See “—Liquidity and Capital Resources” for a further discussion of the Company’s anticipated liquidity needs, and the measures taken by the Company to meet those needs.</w:t>
      </w:r>
    </w:p>
    <w:p>
      <w:pPr>
        <w:spacing w:after="0" w:line="70" w:lineRule="exact"/>
        <w:rPr>
          <w:sz w:val="20"/>
          <w:szCs w:val="20"/>
          <w:color w:val="auto"/>
        </w:rPr>
      </w:pPr>
    </w:p>
    <w:p>
      <w:pPr>
        <w:ind w:right="40" w:firstLine="297"/>
        <w:spacing w:after="0" w:line="298" w:lineRule="auto"/>
        <w:rPr>
          <w:sz w:val="20"/>
          <w:szCs w:val="20"/>
          <w:color w:val="auto"/>
        </w:rPr>
      </w:pPr>
      <w:r>
        <w:rPr>
          <w:rFonts w:ascii="Arial" w:cs="Arial" w:eastAsia="Arial" w:hAnsi="Arial"/>
          <w:sz w:val="11"/>
          <w:szCs w:val="11"/>
          <w:color w:val="auto"/>
        </w:rPr>
        <w:t>On December 31, 2020, the Company and its joint venture partner, Seritage Growth Properties (“Seritage”),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Seritage. The joint venture partners agreed that the distributed properties were of equal value. The Company now owns 100% of the former Sears parcel at South Plains Mall. Effective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42" w:name="page43"/>
    <w:bookmarkEnd w:id="42"/>
    <w:p>
      <w:pPr>
        <w:ind w:right="20"/>
        <w:spacing w:after="0" w:line="276" w:lineRule="auto"/>
        <w:rPr>
          <w:sz w:val="20"/>
          <w:szCs w:val="20"/>
          <w:color w:val="auto"/>
        </w:rPr>
      </w:pPr>
      <w:r>
        <w:rPr>
          <w:rFonts w:ascii="Arial" w:cs="Arial" w:eastAsia="Arial" w:hAnsi="Arial"/>
          <w:sz w:val="12"/>
          <w:szCs w:val="12"/>
          <w:color w:val="auto"/>
        </w:rPr>
        <w:t>December 31, 2020, the Company consolidates its 100% interest in the Sears parcel at South Plains Mall in the Company’s consolidated financial statements (See Note 15-Consolidated Joint Venture and Acquisitions of the Company’s Consolidated Financial Statements).</w:t>
      </w:r>
    </w:p>
    <w:p>
      <w:pPr>
        <w:spacing w:after="0" w:line="61" w:lineRule="exact"/>
        <w:rPr>
          <w:sz w:val="20"/>
          <w:szCs w:val="20"/>
          <w:color w:val="auto"/>
        </w:rPr>
      </w:pPr>
    </w:p>
    <w:p>
      <w:pPr>
        <w:ind w:right="240" w:firstLine="297"/>
        <w:spacing w:after="0" w:line="326" w:lineRule="auto"/>
        <w:rPr>
          <w:sz w:val="20"/>
          <w:szCs w:val="20"/>
          <w:color w:val="auto"/>
        </w:rPr>
      </w:pPr>
      <w:r>
        <w:rPr>
          <w:rFonts w:ascii="Arial" w:cs="Arial" w:eastAsia="Arial" w:hAnsi="Arial"/>
          <w:sz w:val="10"/>
          <w:szCs w:val="10"/>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December 31, 2021, the Company had approximately $151.7 million of gross sales of its common stock available under the March 2021 ATM Program. The February 2021 ATM Program was fully utilized as of June 30, 2021 and is no longer active.</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See “—Liquidity and Capital Resources” for a further discussion of the Company’s anticipated liquidity needs, and the measures taken by the Company to meet those needs.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Inflation:</w:t>
      </w:r>
    </w:p>
    <w:p>
      <w:pPr>
        <w:spacing w:after="0" w:line="96" w:lineRule="exact"/>
        <w:rPr>
          <w:sz w:val="20"/>
          <w:szCs w:val="20"/>
          <w:color w:val="auto"/>
        </w:rPr>
      </w:pPr>
    </w:p>
    <w:p>
      <w:pPr>
        <w:ind w:firstLine="297"/>
        <w:spacing w:after="0" w:line="256" w:lineRule="auto"/>
        <w:rPr>
          <w:sz w:val="20"/>
          <w:szCs w:val="20"/>
          <w:color w:val="auto"/>
        </w:rPr>
      </w:pPr>
      <w:r>
        <w:rPr>
          <w:rFonts w:ascii="Arial" w:cs="Arial" w:eastAsia="Arial" w:hAnsi="Arial"/>
          <w:sz w:val="12"/>
          <w:szCs w:val="12"/>
          <w:color w:val="auto"/>
        </w:rPr>
        <w:t>In the last five years, inflation has not had a significant impact on the Company. 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(See "Item I. Business of the Company—Lease Expirations"),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09" w:lineRule="exact"/>
        <w:rPr>
          <w:sz w:val="20"/>
          <w:szCs w:val="20"/>
          <w:color w:val="auto"/>
        </w:rPr>
      </w:pPr>
    </w:p>
    <w:p>
      <w:pPr>
        <w:jc w:val="both"/>
        <w:ind w:right="160" w:firstLine="297"/>
        <w:spacing w:after="0" w:line="340" w:lineRule="auto"/>
        <w:rPr>
          <w:sz w:val="20"/>
          <w:szCs w:val="20"/>
          <w:color w:val="auto"/>
        </w:rPr>
      </w:pPr>
      <w:r>
        <w:rPr>
          <w:rFonts w:ascii="Arial" w:cs="Arial" w:eastAsia="Arial" w:hAnsi="Arial"/>
          <w:sz w:val="10"/>
          <w:szCs w:val="10"/>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Company’s significant accounting policies and estimates are described in more detail in Note 2-Summary of Significant Accounting Policies in the Company’s Notes to the Consolidated Financial Statements.</w:t>
      </w:r>
    </w:p>
    <w:p>
      <w:pPr>
        <w:spacing w:after="0" w:line="33" w:lineRule="exact"/>
        <w:rPr>
          <w:sz w:val="20"/>
          <w:szCs w:val="20"/>
          <w:color w:val="auto"/>
        </w:rPr>
      </w:pPr>
    </w:p>
    <w:p>
      <w:pPr>
        <w:ind w:right="20" w:firstLine="297"/>
        <w:spacing w:after="0" w:line="323" w:lineRule="auto"/>
        <w:rPr>
          <w:sz w:val="20"/>
          <w:szCs w:val="20"/>
          <w:color w:val="auto"/>
        </w:rPr>
      </w:pPr>
      <w:r>
        <w:rPr>
          <w:rFonts w:ascii="Arial" w:cs="Arial" w:eastAsia="Arial" w:hAnsi="Arial"/>
          <w:sz w:val="11"/>
          <w:szCs w:val="11"/>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 believes the following are its critical accounting estimates:</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Acquisitions:</w:t>
      </w:r>
    </w:p>
    <w:p>
      <w:pPr>
        <w:spacing w:after="0" w:line="105" w:lineRule="exact"/>
        <w:rPr>
          <w:sz w:val="20"/>
          <w:szCs w:val="20"/>
          <w:color w:val="auto"/>
        </w:rPr>
      </w:pPr>
    </w:p>
    <w:p>
      <w:pPr>
        <w:ind w:firstLine="297"/>
        <w:spacing w:after="0" w:line="278" w:lineRule="auto"/>
        <w:rPr>
          <w:sz w:val="20"/>
          <w:szCs w:val="20"/>
          <w:color w:val="auto"/>
        </w:rPr>
      </w:pPr>
      <w:r>
        <w:rPr>
          <w:rFonts w:ascii="Arial" w:cs="Arial" w:eastAsia="Arial" w:hAnsi="Arial"/>
          <w:sz w:val="11"/>
          <w:szCs w:val="11"/>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is recorded in deferred charges and other assets and amortized over the remaining lease terms plus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2"/>
          <w:szCs w:val="12"/>
          <w:color w:val="auto"/>
        </w:rPr>
        <w:t>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70" w:lineRule="exact"/>
        <w:rPr>
          <w:sz w:val="20"/>
          <w:szCs w:val="20"/>
          <w:color w:val="auto"/>
        </w:rPr>
      </w:pPr>
    </w:p>
    <w:p>
      <w:pPr>
        <w:jc w:val="both"/>
        <w:ind w:right="60" w:firstLine="297"/>
        <w:spacing w:after="0" w:line="263" w:lineRule="auto"/>
        <w:rPr>
          <w:sz w:val="20"/>
          <w:szCs w:val="20"/>
          <w:color w:val="auto"/>
        </w:rPr>
      </w:pPr>
      <w:r>
        <w:rPr>
          <w:rFonts w:ascii="Arial" w:cs="Arial" w:eastAsia="Arial" w:hAnsi="Arial"/>
          <w:sz w:val="12"/>
          <w:szCs w:val="12"/>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Asset Impairment:</w:t>
      </w:r>
    </w:p>
    <w:p>
      <w:pPr>
        <w:spacing w:after="0" w:line="105" w:lineRule="exact"/>
        <w:rPr>
          <w:sz w:val="20"/>
          <w:szCs w:val="20"/>
          <w:color w:val="auto"/>
        </w:rPr>
      </w:pPr>
    </w:p>
    <w:p>
      <w:pPr>
        <w:ind w:firstLine="297"/>
        <w:spacing w:after="0" w:line="320" w:lineRule="auto"/>
        <w:rPr>
          <w:sz w:val="20"/>
          <w:szCs w:val="20"/>
          <w:color w:val="auto"/>
        </w:rPr>
      </w:pPr>
      <w:r>
        <w:rPr>
          <w:rFonts w:ascii="Arial" w:cs="Arial" w:eastAsia="Arial" w:hAnsi="Arial"/>
          <w:sz w:val="10"/>
          <w:szCs w:val="10"/>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Company reviews its investments in unconsolidated joint ventures for a series of operating losses and other factors that may indicate that a decrease in the value of its investments has occurred which is other-than-temporary.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investment in each unconsolidated joint venture is evaluated periodically, and as deemed necessary, for recoverability and valuation declines that are other-than-temporary.</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Fair Value of Financial Instruments:</w:t>
      </w:r>
    </w:p>
    <w:p>
      <w:pPr>
        <w:spacing w:after="0" w:line="105" w:lineRule="exact"/>
        <w:rPr>
          <w:sz w:val="20"/>
          <w:szCs w:val="20"/>
          <w:color w:val="auto"/>
        </w:rPr>
      </w:pPr>
    </w:p>
    <w:p>
      <w:pPr>
        <w:ind w:right="100" w:firstLine="297"/>
        <w:spacing w:after="0" w:line="276" w:lineRule="auto"/>
        <w:rPr>
          <w:sz w:val="20"/>
          <w:szCs w:val="20"/>
          <w:color w:val="auto"/>
        </w:rPr>
      </w:pPr>
      <w:r>
        <w:rPr>
          <w:rFonts w:ascii="Arial" w:cs="Arial" w:eastAsia="Arial" w:hAnsi="Arial"/>
          <w:sz w:val="12"/>
          <w:szCs w:val="12"/>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61" w:lineRule="exact"/>
        <w:rPr>
          <w:sz w:val="20"/>
          <w:szCs w:val="20"/>
          <w:color w:val="auto"/>
        </w:rPr>
      </w:pPr>
    </w:p>
    <w:p>
      <w:pPr>
        <w:ind w:firstLine="297"/>
        <w:spacing w:after="0" w:line="255" w:lineRule="auto"/>
        <w:rPr>
          <w:sz w:val="20"/>
          <w:szCs w:val="20"/>
          <w:color w:val="auto"/>
        </w:rPr>
      </w:pPr>
      <w:r>
        <w:rPr>
          <w:rFonts w:ascii="Arial" w:cs="Arial" w:eastAsia="Arial" w:hAnsi="Arial"/>
          <w:sz w:val="12"/>
          <w:szCs w:val="12"/>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83" w:lineRule="exact"/>
        <w:rPr>
          <w:sz w:val="20"/>
          <w:szCs w:val="20"/>
          <w:color w:val="auto"/>
        </w:rPr>
      </w:pPr>
    </w:p>
    <w:p>
      <w:pPr>
        <w:ind w:right="200" w:firstLine="297"/>
        <w:spacing w:after="0" w:line="276" w:lineRule="auto"/>
        <w:rPr>
          <w:sz w:val="20"/>
          <w:szCs w:val="20"/>
          <w:color w:val="auto"/>
        </w:rPr>
      </w:pPr>
      <w:r>
        <w:rPr>
          <w:rFonts w:ascii="Arial" w:cs="Arial" w:eastAsia="Arial" w:hAnsi="Arial"/>
          <w:sz w:val="12"/>
          <w:szCs w:val="12"/>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70"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Results of Operations</w:t>
      </w:r>
    </w:p>
    <w:p>
      <w:pPr>
        <w:spacing w:after="0" w:line="100" w:lineRule="exact"/>
        <w:rPr>
          <w:sz w:val="20"/>
          <w:szCs w:val="20"/>
          <w:color w:val="auto"/>
        </w:rPr>
      </w:pPr>
    </w:p>
    <w:p>
      <w:pPr>
        <w:ind w:right="340" w:firstLine="297"/>
        <w:spacing w:after="0" w:line="276" w:lineRule="auto"/>
        <w:rPr>
          <w:sz w:val="20"/>
          <w:szCs w:val="20"/>
          <w:color w:val="auto"/>
        </w:rPr>
      </w:pPr>
      <w:r>
        <w:rPr>
          <w:rFonts w:ascii="Arial" w:cs="Arial" w:eastAsia="Arial" w:hAnsi="Arial"/>
          <w:sz w:val="12"/>
          <w:szCs w:val="12"/>
          <w:color w:val="auto"/>
        </w:rPr>
        <w:t>Many of the variations in the results of operations, discussed below, occurred because of the transactions affecting the Company's properties described above, including those related to the Redevelopment Properties, the JV Transition Centers and the Disposition Properties (each as defined below).</w:t>
      </w:r>
    </w:p>
    <w:p>
      <w:pPr>
        <w:spacing w:after="0" w:line="70" w:lineRule="exact"/>
        <w:rPr>
          <w:sz w:val="20"/>
          <w:szCs w:val="20"/>
          <w:color w:val="auto"/>
        </w:rPr>
      </w:pPr>
    </w:p>
    <w:p>
      <w:pPr>
        <w:ind w:firstLine="297"/>
        <w:spacing w:after="0" w:line="256" w:lineRule="auto"/>
        <w:rPr>
          <w:sz w:val="20"/>
          <w:szCs w:val="20"/>
          <w:color w:val="auto"/>
        </w:rPr>
      </w:pPr>
      <w:r>
        <w:rPr>
          <w:rFonts w:ascii="Arial" w:cs="Arial" w:eastAsia="Arial" w:hAnsi="Arial"/>
          <w:sz w:val="12"/>
          <w:szCs w:val="12"/>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Properties for the periods of comparison.</w:t>
      </w:r>
    </w:p>
    <w:p>
      <w:pPr>
        <w:spacing w:after="0" w:line="83" w:lineRule="exact"/>
        <w:rPr>
          <w:sz w:val="20"/>
          <w:szCs w:val="20"/>
          <w:color w:val="auto"/>
        </w:rPr>
      </w:pPr>
    </w:p>
    <w:p>
      <w:pPr>
        <w:ind w:right="100" w:firstLine="297"/>
        <w:spacing w:after="0" w:line="276" w:lineRule="auto"/>
        <w:rPr>
          <w:sz w:val="20"/>
          <w:szCs w:val="20"/>
          <w:color w:val="auto"/>
        </w:rPr>
      </w:pPr>
      <w:r>
        <w:rPr>
          <w:rFonts w:ascii="Arial" w:cs="Arial" w:eastAsia="Arial" w:hAnsi="Arial"/>
          <w:sz w:val="12"/>
          <w:szCs w:val="12"/>
          <w:color w:val="auto"/>
        </w:rPr>
        <w:t>For the comparison of the year ended December 31, 2021 to the year ended December 31, 2020 and the comparison of the year ended December 31, 2020 to the year ended December 31, 2019, the Redevelopment Properties are Paradise Valley Mall and certain ground up developments.</w:t>
      </w:r>
    </w:p>
    <w:p>
      <w:pPr>
        <w:spacing w:after="0" w:line="61"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For the comparison of the year ended December 31, 2021 to the year ended December 31, 2020 and the comparison of the year ended December 31, 2020 to the year ended December 31, 2019, the JV Transition Centers are Fashion District Philadelphia and Sears South Plains. The change in revenues and expenses at the JV Transition Centers is primarily due to the conversion of Fashion District Philadelphia from an Unconsolidated Joint Venture Center to a Consolidated Center (See Note 15–Consolidated Joint Venture and Acquisitions in the Company's Notes to the Consolidated Financial Statements).</w:t>
      </w:r>
    </w:p>
    <w:p>
      <w:pPr>
        <w:spacing w:after="0" w:line="77" w:lineRule="exact"/>
        <w:rPr>
          <w:sz w:val="20"/>
          <w:szCs w:val="20"/>
          <w:color w:val="auto"/>
        </w:rPr>
      </w:pPr>
    </w:p>
    <w:p>
      <w:pPr>
        <w:ind w:right="20" w:firstLine="297"/>
        <w:spacing w:after="0" w:line="276" w:lineRule="auto"/>
        <w:rPr>
          <w:sz w:val="20"/>
          <w:szCs w:val="20"/>
          <w:color w:val="auto"/>
        </w:rPr>
      </w:pPr>
      <w:r>
        <w:rPr>
          <w:rFonts w:ascii="Arial" w:cs="Arial" w:eastAsia="Arial" w:hAnsi="Arial"/>
          <w:sz w:val="12"/>
          <w:szCs w:val="12"/>
          <w:color w:val="auto"/>
        </w:rPr>
        <w:t>For comparison of the year ended December 31, 2021 to the year ended December 31, 2020, the Disposition Properties are Paradise Valley Mall and Tucson La Encantada. For comparison of the year ended December 31, 2020 to the year ended December 31, 2019, the Disposition Property is Promenade at Casa Grande</w:t>
      </w:r>
      <w:r>
        <w:rPr>
          <w:rFonts w:ascii="Arial" w:cs="Arial" w:eastAsia="Arial" w:hAnsi="Arial"/>
          <w:sz w:val="9"/>
          <w:szCs w:val="9"/>
          <w:color w:val="auto"/>
        </w:rPr>
        <w:t>.</w:t>
      </w:r>
    </w:p>
    <w:p>
      <w:pPr>
        <w:spacing w:after="0" w:line="70" w:lineRule="exact"/>
        <w:rPr>
          <w:sz w:val="20"/>
          <w:szCs w:val="20"/>
          <w:color w:val="auto"/>
        </w:rPr>
      </w:pPr>
    </w:p>
    <w:p>
      <w:pPr>
        <w:ind w:right="20" w:firstLine="297"/>
        <w:spacing w:after="0" w:line="276" w:lineRule="auto"/>
        <w:rPr>
          <w:sz w:val="20"/>
          <w:szCs w:val="20"/>
          <w:color w:val="auto"/>
        </w:rPr>
      </w:pPr>
      <w:r>
        <w:rPr>
          <w:rFonts w:ascii="Arial" w:cs="Arial" w:eastAsia="Arial" w:hAnsi="Arial"/>
          <w:sz w:val="12"/>
          <w:szCs w:val="12"/>
          <w:color w:val="auto"/>
        </w:rPr>
        <w:t>Unconsolidated joint ventures are reflected using the equity method of accounting. The Company's pro rata share of the results from these Centers is reflected in the consolidated statements of operations as equity in income (loss) of unconsolidated joint ventures.</w:t>
      </w:r>
    </w:p>
    <w:p>
      <w:pPr>
        <w:spacing w:after="0" w:line="61" w:lineRule="exact"/>
        <w:rPr>
          <w:sz w:val="20"/>
          <w:szCs w:val="20"/>
          <w:color w:val="auto"/>
        </w:rPr>
      </w:pPr>
    </w:p>
    <w:p>
      <w:pPr>
        <w:jc w:val="both"/>
        <w:ind w:right="260" w:firstLine="297"/>
        <w:spacing w:after="0" w:line="263" w:lineRule="auto"/>
        <w:rPr>
          <w:sz w:val="20"/>
          <w:szCs w:val="20"/>
          <w:color w:val="auto"/>
        </w:rPr>
      </w:pPr>
      <w:r>
        <w:rPr>
          <w:rFonts w:ascii="Arial" w:cs="Arial" w:eastAsia="Arial" w:hAnsi="Arial"/>
          <w:sz w:val="12"/>
          <w:szCs w:val="12"/>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77" w:lineRule="exact"/>
        <w:rPr>
          <w:sz w:val="20"/>
          <w:szCs w:val="20"/>
          <w:color w:val="auto"/>
        </w:rPr>
      </w:pPr>
    </w:p>
    <w:p>
      <w:pPr>
        <w:ind w:right="140" w:firstLine="297"/>
        <w:spacing w:after="0" w:line="259" w:lineRule="auto"/>
        <w:rPr>
          <w:sz w:val="20"/>
          <w:szCs w:val="20"/>
          <w:color w:val="auto"/>
        </w:rPr>
      </w:pPr>
      <w:r>
        <w:rPr>
          <w:rFonts w:ascii="Arial" w:cs="Arial" w:eastAsia="Arial" w:hAnsi="Arial"/>
          <w:sz w:val="12"/>
          <w:szCs w:val="12"/>
          <w:color w:val="auto"/>
        </w:rPr>
        <w:t>During the fourth quarter of 2021, comparable tenant sales for spaces less than 10,000 square feet across the portfolio increased by 12% relative to pre-COVID sales during the fourth quarter of 2019. The leased occupancy rate increased to 91.5%, a 1.80% increase from 89.7% at December 31, 2020 and a 3.0% increase from 88.5% at March 31, 2021, which was the Company’s lowest occupancy level since the start of the COVID-19 pandemic. Releasing spreads increased as the Company executed leases at an average rent of $60.02 for new and renewal leases executed compared to $57.23 on leasing expiring, resulting in a releasing spread increase of $2.79 per square foot, or 5%, for the twelve months ended December 31, 2021.</w:t>
      </w:r>
    </w:p>
    <w:p>
      <w:pPr>
        <w:spacing w:after="0" w:line="79" w:lineRule="exact"/>
        <w:rPr>
          <w:sz w:val="20"/>
          <w:szCs w:val="20"/>
          <w:color w:val="auto"/>
        </w:rPr>
      </w:pPr>
    </w:p>
    <w:p>
      <w:pPr>
        <w:ind w:right="140" w:firstLine="297"/>
        <w:spacing w:after="0" w:line="259" w:lineRule="auto"/>
        <w:rPr>
          <w:sz w:val="20"/>
          <w:szCs w:val="20"/>
          <w:color w:val="auto"/>
        </w:rPr>
      </w:pPr>
      <w:r>
        <w:rPr>
          <w:rFonts w:ascii="Arial" w:cs="Arial" w:eastAsia="Arial" w:hAnsi="Arial"/>
          <w:sz w:val="12"/>
          <w:szCs w:val="12"/>
          <w:color w:val="auto"/>
        </w:rPr>
        <w:t>The Company continues to renew or replace leases that are scheduled to expire in 2022, however, for a variety of factors, the Company cannot be certain of its ability to sign, renew or replace leases expiring in 2022 or beyond. These leases that are scheduled to expire in 2022 represent approximately 1.0 million square feet of the Centers, accounting for 16.93% of the GLA of mall stores and freestanding stores, for spaces 10,000 square feet and under, as of December 31, 2021. These calculations exclude Centers under development or redevelopment and property dispositions (See "Dispositions" and "Redevelopment and Development Activities" in Management's Overview and Summary), and include square footage of Centers owned by joint ventures at the Company’s share.</w:t>
      </w:r>
    </w:p>
    <w:p>
      <w:pPr>
        <w:spacing w:after="0" w:line="70" w:lineRule="exact"/>
        <w:rPr>
          <w:sz w:val="20"/>
          <w:szCs w:val="20"/>
          <w:color w:val="auto"/>
        </w:rPr>
      </w:pPr>
    </w:p>
    <w:p>
      <w:pPr>
        <w:ind w:right="60" w:firstLine="297"/>
        <w:spacing w:after="0" w:line="276" w:lineRule="auto"/>
        <w:rPr>
          <w:sz w:val="20"/>
          <w:szCs w:val="20"/>
          <w:color w:val="auto"/>
        </w:rPr>
      </w:pPr>
      <w:r>
        <w:rPr>
          <w:rFonts w:ascii="Arial" w:cs="Arial" w:eastAsia="Arial" w:hAnsi="Arial"/>
          <w:sz w:val="12"/>
          <w:szCs w:val="12"/>
          <w:color w:val="auto"/>
        </w:rPr>
        <w:t>2022 lease expirations continue to be an important focal point for the Company. The Company now has commitments on approximately 39% of the remaining 2022 expiring square footage with another approximately 55% in the letter of intent stage, disregarding leases for stores that have closed or for stores that tenants have indicated they intend to close.</w:t>
      </w:r>
    </w:p>
    <w:p>
      <w:pPr>
        <w:spacing w:after="0" w:line="61" w:lineRule="exact"/>
        <w:rPr>
          <w:sz w:val="20"/>
          <w:szCs w:val="20"/>
          <w:color w:val="auto"/>
        </w:rPr>
      </w:pPr>
    </w:p>
    <w:p>
      <w:pPr>
        <w:ind w:right="120" w:firstLine="297"/>
        <w:spacing w:after="0" w:line="245" w:lineRule="auto"/>
        <w:rPr>
          <w:sz w:val="20"/>
          <w:szCs w:val="20"/>
          <w:color w:val="auto"/>
        </w:rPr>
      </w:pPr>
      <w:r>
        <w:rPr>
          <w:rFonts w:ascii="Arial" w:cs="Arial" w:eastAsia="Arial" w:hAnsi="Arial"/>
          <w:sz w:val="12"/>
          <w:szCs w:val="12"/>
          <w:color w:val="auto"/>
        </w:rPr>
        <w:t>The Company has entered into 118 leases for new spaces totaling approximately 1.2 million square feet that have opened or are planned for opening in 2022, and another 15 leases for new spaces totaling approximately 840,000 square feet opening after 2022. While there may be additional new space openings in 2022, any such leases are not yet executed.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45" w:name="page46"/>
    <w:bookmarkEnd w:id="45"/>
    <w:p>
      <w:pPr>
        <w:ind w:right="160" w:firstLine="297"/>
        <w:spacing w:after="0" w:line="323" w:lineRule="auto"/>
        <w:rPr>
          <w:sz w:val="20"/>
          <w:szCs w:val="20"/>
          <w:color w:val="auto"/>
        </w:rPr>
      </w:pPr>
      <w:r>
        <w:rPr>
          <w:rFonts w:ascii="Arial" w:cs="Arial" w:eastAsia="Arial" w:hAnsi="Arial"/>
          <w:sz w:val="11"/>
          <w:szCs w:val="11"/>
          <w:color w:val="auto"/>
        </w:rPr>
        <w:t>During the trailing twelve months ended December 31, 2021, the Company signed 308 new leases and 525 renewal leases comprising approximately 3.5 million square feet of GLA, of which 2.2 million square feet is related to the consolidated Centers. The average tenant allowance was $22.46 per square foot. The majority of the Company's COVID-19 related lease amendments are excluded from these numbers.</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09"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The Company has a long-term four-pronged business strategy that focuses on the acquisition, leasing and management, redevelopment and development of Regional Town Centers. Although fundamentals at the Centers continued to improve during 2021, the Company expects that the COVID-19 pandemic, including the emergence of new variants, will continue to negatively impact its results for 2022 due, in part, to reduced occupancy relative to pre-COVID levels and additional Anchor closures, among other factors.</w:t>
      </w:r>
    </w:p>
    <w:p>
      <w:pPr>
        <w:spacing w:after="0" w:line="77" w:lineRule="exact"/>
        <w:rPr>
          <w:sz w:val="20"/>
          <w:szCs w:val="20"/>
          <w:color w:val="auto"/>
        </w:rPr>
      </w:pPr>
    </w:p>
    <w:p>
      <w:pPr>
        <w:ind w:right="20" w:firstLine="297"/>
        <w:spacing w:after="0" w:line="283" w:lineRule="auto"/>
        <w:rPr>
          <w:sz w:val="20"/>
          <w:szCs w:val="20"/>
          <w:color w:val="auto"/>
        </w:rPr>
      </w:pPr>
      <w:r>
        <w:rPr>
          <w:rFonts w:ascii="Arial" w:cs="Arial" w:eastAsia="Arial" w:hAnsi="Arial"/>
          <w:sz w:val="11"/>
          <w:szCs w:val="11"/>
          <w:color w:val="auto"/>
        </w:rPr>
        <w:t>All Centers have been open and operating since October 7, 2020. As of the date of this Annual Report on Form 10-K, government-imposed capacity restrictions resulting from COVID-19 have been essentially eliminated across the Company’s markets. The Company experienced a positive impact to its leasing revenue during the three and twelve months ended December 31, 2021. Leasing revenue increased by approximately 12.4% and 3.9%, including joint ventures at the Company’s share, compared to the three and twelve months ending December 31, 2020, respectively. This increase was primarily due to (i) increases in percentage rent, which was primarily driven by accelerating tenant sales and all of the Company’s Centers being fully open and operating in 2021 as compared to 2020; and (ii) decreases in bad debt reserves and decreases in retroactive rent abatements incurred in 2021 compared to 2020. During the twelve months ended December 31, 2021, certain of the Company’s previously reserved accounts receivable were collected resulting in a reduction of bad debt expense. These collections were a result of improving economic conditions that have become evident as the impact of the pandemic has eased as well as collection efforts by the Company.</w:t>
      </w:r>
    </w:p>
    <w:p>
      <w:pPr>
        <w:spacing w:after="0" w:line="59" w:lineRule="exact"/>
        <w:rPr>
          <w:sz w:val="20"/>
          <w:szCs w:val="20"/>
          <w:color w:val="auto"/>
        </w:rPr>
      </w:pPr>
    </w:p>
    <w:p>
      <w:pPr>
        <w:ind w:right="40" w:firstLine="297"/>
        <w:spacing w:after="0" w:line="289" w:lineRule="auto"/>
        <w:rPr>
          <w:sz w:val="20"/>
          <w:szCs w:val="20"/>
          <w:color w:val="auto"/>
        </w:rPr>
      </w:pPr>
      <w:r>
        <w:rPr>
          <w:rFonts w:ascii="Arial" w:cs="Arial" w:eastAsia="Arial" w:hAnsi="Arial"/>
          <w:sz w:val="11"/>
          <w:szCs w:val="11"/>
          <w:color w:val="auto"/>
        </w:rPr>
        <w:t>As a result of government-imposed capacity restrictions resulting from COVID-19 essentially being eliminated across the Company’s markets, combined with pent up demand, the positive economic impacts of consumer savings, fiscal stimulus and other factors, sales and traffic at the Company’s Centers continued to greatly improve during the fourth quarter of 2021 with extremely high customer conversion rates. Traffic levels continue to range in the mid 90%’s relative to 2019. Comparable tenant sales from spaces less than 10,000 square feet across the portfolio increased by 12% relative to pre-COVID sales during the fourth quarter of 2019. For the twelve months ended December 31, 2021, comparable tenant sales from spaces less than 10,000 square feet across the portfolio increased by 10% relative to sales during the same pre-COVID twelve-month period of 2019.</w:t>
      </w:r>
    </w:p>
    <w:p>
      <w:pPr>
        <w:spacing w:after="0" w:line="66"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For the three months ended December 31, 2021, the Company signed 146 leases for approximately 0.5 million square feet. For the twelve months ended December 31, 2021, the Company signed 833 leases for approximately 3.5 million square feet, which represents a 2% increase on a same center basis in the amount of leased square feet relative to what was leased over the same pre-COVID twelve-month period ended December 31, 2019. 2021 was the highest volume leasing year for the Company since 2015, when viewed on a same center basis.</w:t>
      </w:r>
    </w:p>
    <w:p>
      <w:pPr>
        <w:spacing w:after="0" w:line="77"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The Company believes that diversity of use within its tenant base will be a prominent internal growth catalyst at its Centers going forward, as new uses enhance the productivity and diversity of the tenant mix and have the potential to significantly increase customer traffic at the applicable Centers. During the year ended December 31, 2021, the Company signed deals for new stores with approximately 100 new-to-Macerich portfolio uses for over 840,000 square feet, with another nearly 300,000 square feet of such new-to-Macerich portfolio uses currently in negotiation as of the date of this Annual Report on Form 10-K.</w:t>
      </w:r>
    </w:p>
    <w:p>
      <w:pPr>
        <w:spacing w:after="0" w:line="68"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As of December 31, 2021, the leased occupancy rate increased to 91.5% compared to the leased occupancy rate of 90.3% at September 30, 2021 and 89.7% at December 31, 2020. The leased occupancy rate has improved by 3.0% from the lowest occupancy level since the start of the COVID-19 pandemic, which was 88.5% as of March 31, 2021.</w:t>
      </w:r>
    </w:p>
    <w:p>
      <w:pPr>
        <w:spacing w:after="0" w:line="70" w:lineRule="exact"/>
        <w:rPr>
          <w:sz w:val="20"/>
          <w:szCs w:val="20"/>
          <w:color w:val="auto"/>
        </w:rPr>
      </w:pPr>
    </w:p>
    <w:p>
      <w:pPr>
        <w:ind w:right="80" w:firstLine="297"/>
        <w:spacing w:after="0" w:line="255" w:lineRule="auto"/>
        <w:rPr>
          <w:sz w:val="20"/>
          <w:szCs w:val="20"/>
          <w:color w:val="auto"/>
        </w:rPr>
      </w:pPr>
      <w:r>
        <w:rPr>
          <w:rFonts w:ascii="Arial" w:cs="Arial" w:eastAsia="Arial" w:hAnsi="Arial"/>
          <w:sz w:val="12"/>
          <w:szCs w:val="12"/>
          <w:color w:val="auto"/>
        </w:rPr>
        <w:t>The Company’s rent collections have continued to significantly improve and are now comparable to pre-COVID levels. The Company has made significant progress in its negotiations with national and local tenants to secure rental payments, despite a significant portion of the Company’s tenants having requested rental assistance, whether in the form of deferral or rent reduction. This effort of negotiating COVID-19 rental assistance agreements is essentially now completed. The lease amendments negotiated by the Company related to COVID-19 have resulted in a combination of rent payment deferrals and rent abatements. The majority of the Company’s leases required continued payment of rent by the Company’s tenants during the period of government mandated closures caused by COVID-19. Additionally, many of the Company’s leases contain co-tenancy clauses. Certain Anchor or small tenant closures have become permanent following the re-opening of the Company’s Centers, and co-tenancy clauses within certain leases may be triggered as a result. The Company does not anticipate that the negative impact of such clauses on lease revenue will be significant.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46" w:name="page47"/>
    <w:bookmarkEnd w:id="46"/>
    <w:p>
      <w:pPr>
        <w:ind w:right="20" w:firstLine="297"/>
        <w:spacing w:after="0" w:line="256" w:lineRule="auto"/>
        <w:rPr>
          <w:sz w:val="20"/>
          <w:szCs w:val="20"/>
          <w:color w:val="auto"/>
        </w:rPr>
      </w:pPr>
      <w:r>
        <w:rPr>
          <w:rFonts w:ascii="Arial" w:cs="Arial" w:eastAsia="Arial" w:hAnsi="Arial"/>
          <w:sz w:val="12"/>
          <w:szCs w:val="12"/>
          <w:color w:val="auto"/>
        </w:rPr>
        <w:t>During the years ended December 31, 2021 and 2020, the Company incurred $47.6 million and $56.4 million, respectively, of rent abatements at the Company’s share, relating primarily to 2020 rents as a result of COVID-19 and negotiated $4.6 million and $32.9 million of rent deferrals during the years ended December 31, 2021 and 2020, respectively, at the Company’s share. During the three months ended December 31, 2021 and 2020, the Company incurred $1.3 million and $37.9 million, respectively, of rent abatements at the Company’s share relating primarily to 2020 rents as a result of COVID-19. The Company negotiated $0.3 million of rent deferrals during the three months ended December 31, 2021. As of December 31, 2021, $4.0 million of the rent deferrals remain outstanding, with $2.6 million scheduled to be repaid during the remainder of 2022 and the balance scheduled for repayment in 2023 and thereafter.</w:t>
      </w:r>
    </w:p>
    <w:p>
      <w:pPr>
        <w:spacing w:after="0" w:line="74" w:lineRule="exact"/>
        <w:rPr>
          <w:sz w:val="20"/>
          <w:szCs w:val="20"/>
          <w:color w:val="auto"/>
        </w:rPr>
      </w:pPr>
    </w:p>
    <w:p>
      <w:pPr>
        <w:ind w:right="140" w:firstLine="297"/>
        <w:spacing w:after="0" w:line="326" w:lineRule="auto"/>
        <w:rPr>
          <w:sz w:val="20"/>
          <w:szCs w:val="20"/>
          <w:color w:val="auto"/>
        </w:rPr>
      </w:pPr>
      <w:r>
        <w:rPr>
          <w:rFonts w:ascii="Arial" w:cs="Arial" w:eastAsia="Arial" w:hAnsi="Arial"/>
          <w:sz w:val="10"/>
          <w:szCs w:val="10"/>
          <w:color w:val="auto"/>
        </w:rPr>
        <w:t>During 2020, there were 42 bankruptcy filings involving the Company’s tenants, totaling 322 leases and involving approximately 6.0 million square feet and $85.4 million of annual leasing revenue at the Company’s share. During 2021, the pace of such filings has decreased substantially, as there were ten bankruptcy filings involving the Company’s tenants, totaling 62 leases and involving approximately 369,000 square feet and $11.9 million of annual leasing revenue at the Company’s share. This included two leases totaling 139,000 square feet with a single department store retailer that quickly emerged from bankruptcy and assumed both of its leases with the Company. Excluding this department store retailer, bankruptcy filings during 2021 only involved approximately 230,000 square feet. The Company anticipates that the pace of bankruptcy filings in 2022 will similarly be lower than years prior to 2020.</w:t>
      </w:r>
    </w:p>
    <w:p>
      <w:pPr>
        <w:spacing w:after="0" w:line="50" w:lineRule="exact"/>
        <w:rPr>
          <w:sz w:val="20"/>
          <w:szCs w:val="20"/>
          <w:color w:val="auto"/>
        </w:rPr>
      </w:pPr>
    </w:p>
    <w:p>
      <w:pPr>
        <w:ind w:right="100" w:firstLine="297"/>
        <w:spacing w:after="0" w:line="263" w:lineRule="auto"/>
        <w:rPr>
          <w:sz w:val="20"/>
          <w:szCs w:val="20"/>
          <w:color w:val="auto"/>
        </w:rPr>
      </w:pPr>
      <w:r>
        <w:rPr>
          <w:rFonts w:ascii="Arial" w:cs="Arial" w:eastAsia="Arial" w:hAnsi="Arial"/>
          <w:sz w:val="12"/>
          <w:szCs w:val="12"/>
          <w:color w:val="auto"/>
        </w:rPr>
        <w:t>During 2022,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de-lever the Company’s balance sheet as well as to fund the Company’s development and redevelopment pipeline (See "—Redevelopment and Development Activities" in Management's Overview and Summary).</w:t>
      </w:r>
    </w:p>
    <w:p>
      <w:pPr>
        <w:spacing w:after="0" w:line="77" w:lineRule="exact"/>
        <w:rPr>
          <w:sz w:val="20"/>
          <w:szCs w:val="20"/>
          <w:color w:val="auto"/>
        </w:rPr>
      </w:pPr>
    </w:p>
    <w:p>
      <w:pPr>
        <w:ind w:firstLine="297"/>
        <w:spacing w:after="0" w:line="256" w:lineRule="auto"/>
        <w:rPr>
          <w:sz w:val="20"/>
          <w:szCs w:val="20"/>
          <w:color w:val="auto"/>
        </w:rPr>
      </w:pPr>
      <w:r>
        <w:rPr>
          <w:rFonts w:ascii="Arial" w:cs="Arial" w:eastAsia="Arial" w:hAnsi="Arial"/>
          <w:sz w:val="12"/>
          <w:szCs w:val="12"/>
          <w:color w:val="auto"/>
        </w:rPr>
        <w:t>Given the prior disruption from COVID-19 and the related impacts on the capital markets, the Company has secured extensions of term from one to three years of its near-term maturing non-recourse mortgage loans totaling an aggregate of approximately $950 million on Danbury Fair Mall, The Shops at Atlas Park, Fashion Outlets of Niagara, FlatIron Crossing, Green Acres Mall and Green Acres Commons. On October 26, 2021, the Company’s joint venture closed a $65 million, five-year loan, including extension options, that bears interest at LIBOR plus 4.15% to refinance The Shops at Atlas Park, which replaced a $67.5 million loan on the property. Additionally, on February 2, 2022, the Company’s joint venture in FlatIron Crossing replaced the existing $197 million loan on the property with a new $175 million loan that bears interest at SOFR plus 3.45% and matures on February 9, 2027, including extension options. (See “—Financing Activities” in Management’s Overview and Summary).</w:t>
      </w:r>
    </w:p>
    <w:p>
      <w:pPr>
        <w:spacing w:after="0" w:line="74" w:lineRule="exact"/>
        <w:rPr>
          <w:sz w:val="20"/>
          <w:szCs w:val="20"/>
          <w:color w:val="auto"/>
        </w:rPr>
      </w:pPr>
    </w:p>
    <w:p>
      <w:pPr>
        <w:ind w:right="60" w:firstLine="297"/>
        <w:spacing w:after="0" w:line="289" w:lineRule="auto"/>
        <w:rPr>
          <w:sz w:val="20"/>
          <w:szCs w:val="20"/>
          <w:color w:val="auto"/>
        </w:rPr>
      </w:pPr>
      <w:r>
        <w:rPr>
          <w:rFonts w:ascii="Arial" w:cs="Arial" w:eastAsia="Arial" w:hAnsi="Arial"/>
          <w:sz w:val="11"/>
          <w:szCs w:val="11"/>
          <w:color w:val="auto"/>
        </w:rPr>
        <w:t>During the second quarter of 2021, the Company repaid and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Concurrent with the closing of this credit facility, the Company repaid $985.0 million of debt (See “—Liquidity and Capital Resources”). As of December 31, 2021, the outstanding balance on the revolving loan facility was $119 million, less the amount of unamortized deferred financing costs of $14.2 million. On September 20, 2021, the Company paid off the remaining balance outstanding on the term loan facility with proceeds from the sale of Tucson La Encantada (See “Dispositions” in Management’s Overview and Summary).</w:t>
      </w:r>
    </w:p>
    <w:p>
      <w:pPr>
        <w:spacing w:after="0" w:line="66" w:lineRule="exact"/>
        <w:rPr>
          <w:sz w:val="20"/>
          <w:szCs w:val="20"/>
          <w:color w:val="auto"/>
        </w:rPr>
      </w:pPr>
    </w:p>
    <w:p>
      <w:pPr>
        <w:ind w:right="40" w:firstLine="297"/>
        <w:spacing w:after="0" w:line="326" w:lineRule="auto"/>
        <w:rPr>
          <w:sz w:val="20"/>
          <w:szCs w:val="20"/>
          <w:color w:val="auto"/>
        </w:rPr>
      </w:pPr>
      <w:r>
        <w:rPr>
          <w:rFonts w:ascii="Arial" w:cs="Arial" w:eastAsia="Arial" w:hAnsi="Arial"/>
          <w:sz w:val="10"/>
          <w:szCs w:val="10"/>
          <w:color w:val="auto"/>
        </w:rPr>
        <w:t>Rising interest rates could increase the cost of the Company’s borrowings due to its outstanding floating-rate debt and lead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 For example, the Company’s prior swap agreements, which expired on September 30, 2021, resulted in increases in interest expense in 2021. The Company did not have any swap agreements in place as of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Years Ended December 31, 2021 and 2020</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Revenues:</w:t>
      </w:r>
    </w:p>
    <w:p>
      <w:pPr>
        <w:spacing w:after="0" w:line="105" w:lineRule="exact"/>
        <w:rPr>
          <w:sz w:val="20"/>
          <w:szCs w:val="20"/>
          <w:color w:val="auto"/>
        </w:rPr>
      </w:pPr>
    </w:p>
    <w:p>
      <w:pPr>
        <w:jc w:val="both"/>
        <w:ind w:right="60" w:firstLine="297"/>
        <w:spacing w:after="0" w:line="263" w:lineRule="auto"/>
        <w:rPr>
          <w:sz w:val="20"/>
          <w:szCs w:val="20"/>
          <w:color w:val="auto"/>
        </w:rPr>
      </w:pPr>
      <w:r>
        <w:rPr>
          <w:rFonts w:ascii="Arial" w:cs="Arial" w:eastAsia="Arial" w:hAnsi="Arial"/>
          <w:sz w:val="12"/>
          <w:szCs w:val="12"/>
          <w:color w:val="auto"/>
        </w:rPr>
        <w:t>Leasing revenue increased by $47.2 million, or 6.4%, from 2020 to 2021. The increase in leasing revenue is attributed to increases of $23.2 million from the Same Centers and $31.8 million from the JV Transition Centers offset in part by $7.8 million from the Disposition Properties. Leasing revenue includes the amortization of above and below-market leases, the amortization of straight-line rents, lease termination income and the provision for bad debts. The amortization of above and below-market leases decreased from $2.1 million in 2020 to $1.9 million in 2021. The amortization of straight-line rents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47" w:name="page48"/>
    <w:bookmarkEnd w:id="47"/>
    <w:p>
      <w:pPr>
        <w:ind w:right="20"/>
        <w:spacing w:after="0" w:line="298" w:lineRule="auto"/>
        <w:rPr>
          <w:sz w:val="20"/>
          <w:szCs w:val="20"/>
          <w:color w:val="auto"/>
        </w:rPr>
      </w:pPr>
      <w:r>
        <w:rPr>
          <w:rFonts w:ascii="Arial" w:cs="Arial" w:eastAsia="Arial" w:hAnsi="Arial"/>
          <w:sz w:val="11"/>
          <w:szCs w:val="11"/>
          <w:color w:val="auto"/>
        </w:rPr>
        <w:t>decreased from $24.8 million in 2020 to $5.9 million in 2021. Lease termination income increased from $8.3 million in 2020 to $19.1 million in 2021. Percentage rent increased from $15.5 million in 2020 to $58.8 million in 2021. Provision for bad debts decreased from $44.3 million in 2020 to a recovery of $(6.4) million in 2021. The increase in leasing revenue and decrease in bad debt at the Same Centers is primarily the result of all Centers being open in 2021 compared to the majority of Centers being closed for portions of 2020 and an increase in tenant sales to pre-COVID 2019 levels (See "Other Transactions and Events" in Management's Overview and Summary).</w:t>
      </w:r>
    </w:p>
    <w:p>
      <w:pPr>
        <w:spacing w:after="0" w:line="51" w:lineRule="exact"/>
        <w:rPr>
          <w:sz w:val="20"/>
          <w:szCs w:val="20"/>
          <w:color w:val="auto"/>
        </w:rPr>
      </w:pPr>
    </w:p>
    <w:p>
      <w:pPr>
        <w:ind w:right="380" w:firstLine="297"/>
        <w:spacing w:after="0" w:line="276" w:lineRule="auto"/>
        <w:rPr>
          <w:sz w:val="20"/>
          <w:szCs w:val="20"/>
          <w:color w:val="auto"/>
        </w:rPr>
      </w:pPr>
      <w:r>
        <w:rPr>
          <w:rFonts w:ascii="Arial" w:cs="Arial" w:eastAsia="Arial" w:hAnsi="Arial"/>
          <w:sz w:val="12"/>
          <w:szCs w:val="12"/>
          <w:color w:val="auto"/>
        </w:rPr>
        <w:t>Other income increased from $22.2 million in 2020 to $33.9 million in 2021. This is primarily due to increased parking garage income resulting from increased traffic at the Centers (See "Other Transactions and Events" in Management's Overview and Summary).</w:t>
      </w:r>
    </w:p>
    <w:p>
      <w:pPr>
        <w:spacing w:after="0" w:line="70" w:lineRule="exact"/>
        <w:rPr>
          <w:sz w:val="20"/>
          <w:szCs w:val="20"/>
          <w:color w:val="auto"/>
        </w:rPr>
      </w:pPr>
    </w:p>
    <w:p>
      <w:pPr>
        <w:ind w:right="320" w:firstLine="297"/>
        <w:spacing w:after="0" w:line="276" w:lineRule="auto"/>
        <w:rPr>
          <w:sz w:val="20"/>
          <w:szCs w:val="20"/>
          <w:color w:val="auto"/>
        </w:rPr>
      </w:pPr>
      <w:r>
        <w:rPr>
          <w:rFonts w:ascii="Arial" w:cs="Arial" w:eastAsia="Arial" w:hAnsi="Arial"/>
          <w:sz w:val="12"/>
          <w:szCs w:val="12"/>
          <w:color w:val="auto"/>
        </w:rPr>
        <w:t>Management Companies' revenue increased from $23.5 million in 2020 to $26.0 million in 2021. The increase is primarily the result of increased management fees in 2021 due to all Centers being open in 2021 compared to Centers being closed for portions of 2020.</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Shopping Center and Operating Expenses:</w:t>
      </w:r>
    </w:p>
    <w:p>
      <w:pPr>
        <w:spacing w:after="0" w:line="96" w:lineRule="exact"/>
        <w:rPr>
          <w:sz w:val="20"/>
          <w:szCs w:val="20"/>
          <w:color w:val="auto"/>
        </w:rPr>
      </w:pPr>
    </w:p>
    <w:p>
      <w:pPr>
        <w:ind w:right="100" w:firstLine="297"/>
        <w:spacing w:after="0" w:line="298" w:lineRule="auto"/>
        <w:rPr>
          <w:sz w:val="20"/>
          <w:szCs w:val="20"/>
          <w:color w:val="auto"/>
        </w:rPr>
      </w:pPr>
      <w:r>
        <w:rPr>
          <w:rFonts w:ascii="Arial" w:cs="Arial" w:eastAsia="Arial" w:hAnsi="Arial"/>
          <w:sz w:val="11"/>
          <w:szCs w:val="11"/>
          <w:color w:val="auto"/>
        </w:rPr>
        <w:t>Shopping center and operating expenses increased $37.8 million, or 14.7%, from 2020 to 2021. The increase in shopping center and operating expenses is attributed to increases of $21.4 million from the Same Centers, $19.6 million from the JV Transition Centers and $0.2 million from the Redevelopment Properties offset in part by $3.4 million from the Disposition Properties. The increase in shopping center and operating expenses at the Same Centers is primarily the result of all Centers being opened in 2021 compared to the majority of Centers being closed for portions of 2020 (See "Other Transactions and Events" in Management's Overview and Summary).</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Management Companies' Operating Expenses: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Management Companies' operating expenses decreased $4.5 million from 2020 to 2021 due to a decrease in compensation expense.</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Depreciation and Amortization:</w:t>
      </w:r>
    </w:p>
    <w:p>
      <w:pPr>
        <w:spacing w:after="0" w:line="105" w:lineRule="exact"/>
        <w:rPr>
          <w:sz w:val="20"/>
          <w:szCs w:val="20"/>
          <w:color w:val="auto"/>
        </w:rPr>
      </w:pPr>
    </w:p>
    <w:p>
      <w:pPr>
        <w:ind w:right="300" w:firstLine="297"/>
        <w:spacing w:after="0" w:line="276" w:lineRule="auto"/>
        <w:rPr>
          <w:sz w:val="20"/>
          <w:szCs w:val="20"/>
          <w:color w:val="auto"/>
        </w:rPr>
      </w:pPr>
      <w:r>
        <w:rPr>
          <w:rFonts w:ascii="Arial" w:cs="Arial" w:eastAsia="Arial" w:hAnsi="Arial"/>
          <w:sz w:val="12"/>
          <w:szCs w:val="12"/>
          <w:color w:val="auto"/>
        </w:rPr>
        <w:t>Depreciation and amortization decreased $8.5 million from 2020 to 2021. The decrease in depreciation and amortization is primarily attributed to a decrease of $18.0 million from the Same Centers and $4.7 million from the Disposition Properties offset in part by increases of $13.7 million from the JV Transition Centers and $0.5 million from the Redevelopment Properties.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Interest (Income) Expense:</w:t>
      </w:r>
    </w:p>
    <w:p>
      <w:pPr>
        <w:spacing w:after="0" w:line="96" w:lineRule="exact"/>
        <w:rPr>
          <w:sz w:val="20"/>
          <w:szCs w:val="20"/>
          <w:color w:val="auto"/>
        </w:rPr>
      </w:pPr>
    </w:p>
    <w:p>
      <w:pPr>
        <w:ind w:right="120" w:firstLine="297"/>
        <w:spacing w:after="0" w:line="259" w:lineRule="auto"/>
        <w:rPr>
          <w:sz w:val="20"/>
          <w:szCs w:val="20"/>
          <w:color w:val="auto"/>
        </w:rPr>
      </w:pPr>
      <w:r>
        <w:rPr>
          <w:rFonts w:ascii="Arial" w:cs="Arial" w:eastAsia="Arial" w:hAnsi="Arial"/>
          <w:sz w:val="12"/>
          <w:szCs w:val="12"/>
          <w:color w:val="auto"/>
        </w:rPr>
        <w:t>Interest (income) expense increased $117.1 million from 2020 to 2021. The increase in interest (income) expense is attributed to an increase of $131.6 million from the Financing Arrangement (See Note 12–Financing Arrangement in the Company's Notes to the Consolidated Financial Statements) and $5.9 million from the JV Transition Centers offset in part by decreases of $7.9 million from the Same Centers, $11.7 million from borrowings under the line of credit and $0.8 million from the Disposition Properties. The increase in interest expense from the Financing Arrangement is primarily due to the change in fair value of the underlying properties and the mortgage notes payable on the underlying properties.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above interest expense items are net of capitalized interest, which increased from $5.2 million in 2020 to $9.5 million in 2021.</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Equity in Income (Loss) of Unconsolidated Joint Ventures:</w:t>
      </w:r>
    </w:p>
    <w:p>
      <w:pPr>
        <w:spacing w:after="0" w:line="96" w:lineRule="exact"/>
        <w:rPr>
          <w:sz w:val="20"/>
          <w:szCs w:val="20"/>
          <w:color w:val="auto"/>
        </w:rPr>
      </w:pPr>
    </w:p>
    <w:p>
      <w:pPr>
        <w:ind w:right="140" w:firstLine="297"/>
        <w:spacing w:after="0" w:line="276" w:lineRule="auto"/>
        <w:rPr>
          <w:sz w:val="20"/>
          <w:szCs w:val="20"/>
          <w:color w:val="auto"/>
        </w:rPr>
      </w:pPr>
      <w:r>
        <w:rPr>
          <w:rFonts w:ascii="Arial" w:cs="Arial" w:eastAsia="Arial" w:hAnsi="Arial"/>
          <w:sz w:val="12"/>
          <w:szCs w:val="12"/>
          <w:color w:val="auto"/>
        </w:rPr>
        <w:t>Equity in income (loss) of unconsolidated joint ventures increased $42.7 million from 2020 to 2021. The increase in equity in income (loss) of unconsolidated joint ventures is primarily due to a decrease in the provision for bad debts and an increase in percentage rent in 2021 compared to 2020.</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Loss on Remeasurement of Assets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Loss on remeasurement of assets of $163.3 million in 2020 relates to Fashion District Philadelphia (See Note 15–Consolidated Joint Venture and Acquisitions in the Company's Notes to the Consolidated Financial Statements).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Gain (Loss) on Sale or Write Down of Assets, net:</w:t>
      </w:r>
    </w:p>
    <w:p>
      <w:pPr>
        <w:spacing w:after="0" w:line="105"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Gain (loss) on sale or write down of assets, net increased from a loss of $68.1 million in 2020 to a gain of $75.7 million in 2021. The increase is primarily due to the $36.7 million of impairment losses on Wilton Mall and Paradise Valley Mall, $4.2 million write-down of non-real estate assets and $36.7 million write-down of development costs in 2020 and $117.2 million gain on the sale of Tucson La Encantada and $29.4 million gain on land sales in 2021 offset in part by the sale and impairment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48" w:name="page49"/>
    <w:bookmarkEnd w:id="48"/>
    <w:p>
      <w:pPr>
        <w:ind w:right="180"/>
        <w:spacing w:after="0" w:line="276" w:lineRule="auto"/>
        <w:rPr>
          <w:sz w:val="20"/>
          <w:szCs w:val="20"/>
          <w:color w:val="auto"/>
        </w:rPr>
      </w:pPr>
      <w:r>
        <w:rPr>
          <w:rFonts w:ascii="Arial" w:cs="Arial" w:eastAsia="Arial" w:hAnsi="Arial"/>
          <w:sz w:val="12"/>
          <w:szCs w:val="12"/>
          <w:color w:val="auto"/>
        </w:rPr>
        <w:t>loss of $41.6 million on Estrella Falls and $28.3 million loss related to North Bridge in 2021 (See "Dispositions" in Management's Overview and Summary). The impairment losses were due to the reduction in the estimated holding periods of the properties.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Net Income (Loss):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Net income increased $261.6 million from 2020 to 2021. The increase in net income is primarily due to the variances noted above.</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Funds From Operations ("FFO"):</w:t>
      </w:r>
    </w:p>
    <w:p>
      <w:pPr>
        <w:spacing w:after="0" w:line="96" w:lineRule="exact"/>
        <w:rPr>
          <w:sz w:val="20"/>
          <w:szCs w:val="20"/>
          <w:color w:val="auto"/>
        </w:rPr>
      </w:pPr>
    </w:p>
    <w:p>
      <w:pPr>
        <w:ind w:right="180" w:firstLine="297"/>
        <w:spacing w:after="0" w:line="259" w:lineRule="auto"/>
        <w:rPr>
          <w:sz w:val="20"/>
          <w:szCs w:val="20"/>
          <w:color w:val="auto"/>
        </w:rPr>
      </w:pPr>
      <w:r>
        <w:rPr>
          <w:rFonts w:ascii="Arial" w:cs="Arial" w:eastAsia="Arial" w:hAnsi="Arial"/>
          <w:sz w:val="12"/>
          <w:szCs w:val="12"/>
          <w:color w:val="auto"/>
        </w:rPr>
        <w:t>Primarily as a result of the factors mentioned above, FFO attributable to common stockholders and unit holders—diluted, excluding financing expense in connection with Chandler Freehold and loss on extinguishment of debt increased 24.7% from $339.5 million in 2020 to $423.2 million in 2021. For a reconciliation of net income (loss) attributable to the Company, the most directly comparable GAAP financial measure, to FFO attributable to common stockholders and unit holders, excluding financing expense in connection with Chandler Freehold and loss on extinguishment of debt and FFO attributable to common stockholders and unit holders—diluted, excluding financing expense in connection with Chandler Freehold and loss on extinguishment of debt, see "Funds From Operations ("FFO")" below.</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Operating Activities: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provided by operating activities increased $161.5 million from 2020 to 2021. The increase is primarily due to the changes in assets and liabilities and the results, as discussed above.</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Investing Activities:</w:t>
      </w:r>
    </w:p>
    <w:p>
      <w:pPr>
        <w:spacing w:after="0" w:line="105" w:lineRule="exact"/>
        <w:rPr>
          <w:sz w:val="20"/>
          <w:szCs w:val="20"/>
          <w:color w:val="auto"/>
        </w:rPr>
      </w:pPr>
    </w:p>
    <w:p>
      <w:pPr>
        <w:ind w:right="140" w:firstLine="297"/>
        <w:spacing w:after="0" w:line="323" w:lineRule="auto"/>
        <w:rPr>
          <w:sz w:val="20"/>
          <w:szCs w:val="20"/>
          <w:color w:val="auto"/>
        </w:rPr>
      </w:pPr>
      <w:r>
        <w:rPr>
          <w:rFonts w:ascii="Arial" w:cs="Arial" w:eastAsia="Arial" w:hAnsi="Arial"/>
          <w:sz w:val="11"/>
          <w:szCs w:val="11"/>
          <w:color w:val="auto"/>
        </w:rPr>
        <w:t>Cash provided by investing activities increased $437.8 million from 2020 to 2021. The increase in cash provided by investing activities is primarily attributed to an increase in proceeds from the sale of assets of $320.6 million, proceeds from notes receivable of $1.3 million, a decrease in contributions to unconsolidated joint ventures of $45.6 million and an increase of $15.5 million in distributions from unconsolidated joint ventures.</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Financing Activities: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1"/>
          <w:szCs w:val="11"/>
          <w:color w:val="auto"/>
        </w:rPr>
        <w:t>Cash provided by financing activities decreased $1.3 billion from 2020 to 2021. The decrease in cash provided by financing activities is primarily due to decreases in proceeds from mortgages, bank and other notes payable of</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$140.0 million and an increase in payments on mortgages, bank and other notes payable of $2.0 billion offset in part by net proceeds from sales of common shares under the ATM Programs of $830.2 million and a decrease in dividends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and distributions of $36.4 million.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Years Ended December 31, 2020 and 2019</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Revenues:</w:t>
      </w:r>
    </w:p>
    <w:p>
      <w:pPr>
        <w:spacing w:after="0" w:line="96" w:lineRule="exact"/>
        <w:rPr>
          <w:sz w:val="20"/>
          <w:szCs w:val="20"/>
          <w:color w:val="auto"/>
        </w:rPr>
      </w:pPr>
    </w:p>
    <w:p>
      <w:pPr>
        <w:ind w:right="60" w:firstLine="297"/>
        <w:spacing w:after="0" w:line="281" w:lineRule="auto"/>
        <w:rPr>
          <w:sz w:val="20"/>
          <w:szCs w:val="20"/>
          <w:color w:val="auto"/>
        </w:rPr>
      </w:pPr>
      <w:r>
        <w:rPr>
          <w:rFonts w:ascii="Arial" w:cs="Arial" w:eastAsia="Arial" w:hAnsi="Arial"/>
          <w:sz w:val="11"/>
          <w:szCs w:val="11"/>
          <w:color w:val="auto"/>
        </w:rPr>
        <w:t>Leasing revenue decreased by $118.6 million, or 13.8%, from 2019 to 2020. The decrease in leasing revenue is attributed to decreases of $116.7 million from the Same Centers, $2.7 million from the Redevelopment Properties and $0.5 million from the Disposition Property offset in part by $1.3 million from the JV Transition Centers. Leasing revenue includes the amortization of above and below-market leases, the amortization of straight-line rents, lease termination income and the provision for bad debts. The amortization of above and below-market leases decreased from $5.2 million in 2019 to $2.1 million in 2020. The amortization of straight-line rents increased from $10.5 million in 2019 to $24.8 million in 2020. Lease termination income increased from $4.7 million in 2019 to $8.3 million in 2020. Provision for bad debts increased from $7.7 million in 2019 to $44.3 million in 2020. The increase in bad debt expense is a result of the Company assessing collectability by tenant and determining that it was no longer probable that substantially all leasing revenue would be collected from certain tenants, which includes tenants that have declared bankruptcy, tenants at risk of filing bankruptcy or other tenants where collectability was no longer probable. The decrease in leasing revenue and increase in bad debt at the Same Centers is primarily the result of COVID-19 (See "Other Transactions and Events" in Management's Overview and Summary).</w:t>
      </w:r>
    </w:p>
    <w:p>
      <w:pPr>
        <w:spacing w:after="0" w:line="70" w:lineRule="exact"/>
        <w:rPr>
          <w:sz w:val="20"/>
          <w:szCs w:val="20"/>
          <w:color w:val="auto"/>
        </w:rPr>
      </w:pPr>
    </w:p>
    <w:p>
      <w:pPr>
        <w:ind w:right="80" w:firstLine="297"/>
        <w:spacing w:after="0" w:line="276" w:lineRule="auto"/>
        <w:rPr>
          <w:sz w:val="20"/>
          <w:szCs w:val="20"/>
          <w:color w:val="auto"/>
        </w:rPr>
      </w:pPr>
      <w:r>
        <w:rPr>
          <w:rFonts w:ascii="Arial" w:cs="Arial" w:eastAsia="Arial" w:hAnsi="Arial"/>
          <w:sz w:val="12"/>
          <w:szCs w:val="12"/>
          <w:color w:val="auto"/>
        </w:rPr>
        <w:t>Other income decreased from $27.9 million in 2019 to $22.2 million in 2020. The decrease is primarily a decline in parking garage income due to the closures of properties as a result of COVID-19 (See "Other Transactions and Events" in Management's Overview and Summary).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Management Companies' revenue decreased from $40.7 million in 2019 to $23.5 million in 2020 due to a decrease in management fees, development fees and interest income due to the collection of notes receivable in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49" w:name="page50"/>
    <w:bookmarkEnd w:id="49"/>
    <w:p>
      <w:pPr>
        <w:ind w:left="280"/>
        <w:spacing w:after="0"/>
        <w:rPr>
          <w:sz w:val="20"/>
          <w:szCs w:val="20"/>
          <w:color w:val="auto"/>
        </w:rPr>
      </w:pPr>
      <w:r>
        <w:rPr>
          <w:rFonts w:ascii="Arial" w:cs="Arial" w:eastAsia="Arial" w:hAnsi="Arial"/>
          <w:sz w:val="12"/>
          <w:szCs w:val="12"/>
          <w:i w:val="1"/>
          <w:iCs w:val="1"/>
          <w:color w:val="auto"/>
        </w:rPr>
        <w:t>Shopping Center and Operating Expenses:</w:t>
      </w:r>
    </w:p>
    <w:p>
      <w:pPr>
        <w:spacing w:after="0" w:line="96" w:lineRule="exact"/>
        <w:rPr>
          <w:sz w:val="20"/>
          <w:szCs w:val="20"/>
          <w:color w:val="auto"/>
        </w:rPr>
      </w:pPr>
    </w:p>
    <w:p>
      <w:pPr>
        <w:jc w:val="both"/>
        <w:ind w:right="120" w:firstLine="297"/>
        <w:spacing w:after="0" w:line="263" w:lineRule="auto"/>
        <w:rPr>
          <w:sz w:val="20"/>
          <w:szCs w:val="20"/>
          <w:color w:val="auto"/>
        </w:rPr>
      </w:pPr>
      <w:r>
        <w:rPr>
          <w:rFonts w:ascii="Arial" w:cs="Arial" w:eastAsia="Arial" w:hAnsi="Arial"/>
          <w:sz w:val="12"/>
          <w:szCs w:val="12"/>
          <w:color w:val="auto"/>
        </w:rPr>
        <w:t>Shopping center and operating expenses decreased $14.3 million, or 5.3%, from 2019 to 2020. The decrease in shopping center and operating expenses is attributed to decreases of $14.6 million from the Same Centers and $0.8 million from the Redevelopment Properties offset in part by $0.6 million from the Disposition Property and $0.5 million from the JV Transition Centers. The decrease in shopping center and operating expenses at the Same Centers is primarily the result of COVID-19 (See "Other Transactions and Events" in Management's Overview and Summary).</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Leasing Expenses: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Leasing expenses decreased from $29.6 million in 2019 to $25.2 million in 2020 due to less leasing activity in 2020.</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REIT General and Administrative Expenses: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REIT general and administrative expenses increased $7.7 million from 2019 to 2020 due to an increase in compensation and consulting expense.</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Depreciation and Amortization:</w:t>
      </w:r>
    </w:p>
    <w:p>
      <w:pPr>
        <w:spacing w:after="0" w:line="96" w:lineRule="exact"/>
        <w:rPr>
          <w:sz w:val="20"/>
          <w:szCs w:val="20"/>
          <w:color w:val="auto"/>
        </w:rPr>
      </w:pPr>
    </w:p>
    <w:p>
      <w:pPr>
        <w:ind w:right="80" w:firstLine="297"/>
        <w:spacing w:after="0" w:line="276" w:lineRule="auto"/>
        <w:rPr>
          <w:sz w:val="20"/>
          <w:szCs w:val="20"/>
          <w:color w:val="auto"/>
        </w:rPr>
      </w:pPr>
      <w:r>
        <w:rPr>
          <w:rFonts w:ascii="Arial" w:cs="Arial" w:eastAsia="Arial" w:hAnsi="Arial"/>
          <w:sz w:val="12"/>
          <w:szCs w:val="12"/>
          <w:color w:val="auto"/>
        </w:rPr>
        <w:t>Depreciation and amortization decreased $11.1 million from 2019 to 2020. The decrease in depreciation and amortization is primarily attributed to a decrease of $13.1 million from the Same Centers offset in part by increases of $1.3 million from the Redevelopment Properties and $0.7 million from the JV Transition Centers.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Interest (Income) Expense:</w:t>
      </w:r>
    </w:p>
    <w:p>
      <w:pPr>
        <w:spacing w:after="0" w:line="105"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Interest (income) expense decreased $62.7 million from 2019 to 2020. The decrease in interest (income) expense is attributed to a decrease of $72.8 million from the Financing Arrangement (See Note 12–Financing Arrangement in the Company's Notes to the Consolidated Financial Statements), offset in part by increases of $6.3 million from the Same Centers, $3.3 million from borrowings under the line of credit and $0.5 million from the JV Transition Centers.</w:t>
      </w:r>
    </w:p>
    <w:p>
      <w:pPr>
        <w:spacing w:after="0" w:line="68" w:lineRule="exact"/>
        <w:rPr>
          <w:sz w:val="20"/>
          <w:szCs w:val="20"/>
          <w:color w:val="auto"/>
        </w:rPr>
      </w:pPr>
    </w:p>
    <w:p>
      <w:pPr>
        <w:ind w:right="100" w:firstLine="297"/>
        <w:spacing w:after="0" w:line="263" w:lineRule="auto"/>
        <w:rPr>
          <w:sz w:val="20"/>
          <w:szCs w:val="20"/>
          <w:color w:val="auto"/>
        </w:rPr>
      </w:pPr>
      <w:r>
        <w:rPr>
          <w:rFonts w:ascii="Arial" w:cs="Arial" w:eastAsia="Arial" w:hAnsi="Arial"/>
          <w:sz w:val="12"/>
          <w:szCs w:val="12"/>
          <w:color w:val="auto"/>
        </w:rPr>
        <w:t>The decrease in interest expense from the Financing Arrangement is primarily due to the change in fair value of the underlying properties and the mortgage notes payable on the underlying properties. The increase in interest expense at the Same Centers is primarily due to the new loans on Fashion Outlets of Chicago, Chandler Fashion Center, SanTan Village Regional Center and Kings Plaza Shopping Center (See "Financing Activities" in Management's Overview and Summary).</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above interest expense items are net of capitalized interest, which decreased from $9.6 million in 2019 to $5.2 million in 2020.</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Equity in (Loss) Income of Unconsolidated Joint Ventures:</w:t>
      </w:r>
    </w:p>
    <w:p>
      <w:pPr>
        <w:spacing w:after="0" w:line="96" w:lineRule="exact"/>
        <w:rPr>
          <w:sz w:val="20"/>
          <w:szCs w:val="20"/>
          <w:color w:val="auto"/>
        </w:rPr>
      </w:pPr>
    </w:p>
    <w:p>
      <w:pPr>
        <w:ind w:right="40" w:firstLine="297"/>
        <w:spacing w:after="0" w:line="263" w:lineRule="auto"/>
        <w:rPr>
          <w:sz w:val="20"/>
          <w:szCs w:val="20"/>
          <w:color w:val="auto"/>
        </w:rPr>
      </w:pPr>
      <w:r>
        <w:rPr>
          <w:rFonts w:ascii="Arial" w:cs="Arial" w:eastAsia="Arial" w:hAnsi="Arial"/>
          <w:sz w:val="12"/>
          <w:szCs w:val="12"/>
          <w:color w:val="auto"/>
        </w:rPr>
        <w:t>Equity in (loss) income of unconsolidated joint ventures decreased $75.5 million from 2019 to 2020. The decrease in equity in (loss) income of unconsolidated joint ventures is primarily due to a decrease in leasing revenue and other income as a result of COVID-19 (See "Other Transactions and Events" in Management's Overview and Summary). Leasing revenue includes a provision for bad debt which increased from $3.1 million in 2019 to $20.0 million in 2020.</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Loss on Remeasurement of Assets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Loss on remeasurement of assets of $163.3 million relates to Fashion District Philadelphia (See Note 15–Consolidated Joint Venture and Acquisitions in the Company's Notes to the Consolidated Financial Statements).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Loss on Sale or Write Down of Assets, net:</w:t>
      </w:r>
    </w:p>
    <w:p>
      <w:pPr>
        <w:spacing w:after="0" w:line="105" w:lineRule="exact"/>
        <w:rPr>
          <w:sz w:val="20"/>
          <w:szCs w:val="20"/>
          <w:color w:val="auto"/>
        </w:rPr>
      </w:pPr>
    </w:p>
    <w:p>
      <w:pPr>
        <w:ind w:right="60" w:firstLine="297"/>
        <w:spacing w:after="0" w:line="263" w:lineRule="auto"/>
        <w:rPr>
          <w:sz w:val="20"/>
          <w:szCs w:val="20"/>
          <w:color w:val="auto"/>
        </w:rPr>
      </w:pPr>
      <w:r>
        <w:rPr>
          <w:rFonts w:ascii="Arial" w:cs="Arial" w:eastAsia="Arial" w:hAnsi="Arial"/>
          <w:sz w:val="12"/>
          <w:szCs w:val="12"/>
          <w:color w:val="auto"/>
        </w:rPr>
        <w:t>Loss on sale or write down of assets, net increased $56.2 million from 2019 to 2020. The increase in loss on sale or write down of assets, net is primarily due to the $36.7 million of impairment losses, $4.2 million write-down of non-real estate assets and $36.7 million write-down of development costs in 2020, offset in part by $16.4 million in the write-down of development costs in 2019. The impairment losses in 2020 were due to the reduction in the estimated holding periods of Wilton Mall and Paradise Valley Mall.</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Net (Loss) Income:</w:t>
      </w:r>
    </w:p>
    <w:p>
      <w:pPr>
        <w:spacing w:after="0" w:line="105"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Net (loss) income decreased $348.0 million from 2019 to 2020. The decrease in net (loss) income is primarily the result of COVID-19 (See "Other Transactions and Events" in Management's Overview and Summary) and the loss on remeasurement of assets discussed above.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50" w:name="page51"/>
    <w:bookmarkEnd w:id="50"/>
    <w:p>
      <w:pPr>
        <w:ind w:left="280"/>
        <w:spacing w:after="0"/>
        <w:rPr>
          <w:sz w:val="20"/>
          <w:szCs w:val="20"/>
          <w:color w:val="auto"/>
        </w:rPr>
      </w:pPr>
      <w:r>
        <w:rPr>
          <w:rFonts w:ascii="Arial" w:cs="Arial" w:eastAsia="Arial" w:hAnsi="Arial"/>
          <w:sz w:val="12"/>
          <w:szCs w:val="12"/>
          <w:i w:val="1"/>
          <w:iCs w:val="1"/>
          <w:color w:val="auto"/>
        </w:rPr>
        <w:t>Funds From Operations ("FFO"):</w:t>
      </w:r>
    </w:p>
    <w:p>
      <w:pPr>
        <w:spacing w:after="0" w:line="96" w:lineRule="exact"/>
        <w:rPr>
          <w:sz w:val="20"/>
          <w:szCs w:val="20"/>
          <w:color w:val="auto"/>
        </w:rPr>
      </w:pPr>
    </w:p>
    <w:p>
      <w:pPr>
        <w:ind w:right="160" w:firstLine="297"/>
        <w:spacing w:after="0" w:line="259" w:lineRule="auto"/>
        <w:rPr>
          <w:sz w:val="20"/>
          <w:szCs w:val="20"/>
          <w:color w:val="auto"/>
        </w:rPr>
      </w:pPr>
      <w:r>
        <w:rPr>
          <w:rFonts w:ascii="Arial" w:cs="Arial" w:eastAsia="Arial" w:hAnsi="Arial"/>
          <w:sz w:val="12"/>
          <w:szCs w:val="12"/>
          <w:color w:val="auto"/>
        </w:rPr>
        <w:t>Primarily as a result of the factors mentioned above, FFO attributable to common stockholders and unit holders—diluted, excluding financing expense in connection with Chandler Freehold and loss on extinguishment of debt decreased 36.8% from $537.3 million in 2019 to $339.5 million in 2020. For a reconciliation of net (loss) income attributable to the Company, the most directly comparable GAAP financial measure, to FFO attributable to common stockholders and unit holders, excluding financing expense in connection with Chandler Freehold and loss on extinguishment of debt and FFO attributable to common stockholders and unit holders—diluted, excluding financing expense in connection with Chandler Freehold and loss on extinguishment of debt, see "Funds From Operations ("FFO")" below.</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Operating Activities:</w:t>
      </w:r>
    </w:p>
    <w:p>
      <w:pPr>
        <w:spacing w:after="0" w:line="105"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Cash provided by operating activities decreased $230.3 million from 2019 to 2020. The decrease is primarily due to a $96.0 million increase in tenant and other receivables, a $47.9 million decrease in other accrued liabilities and to the other changes in assets and liabilities and the results, as discussed above. The increase in tenant and other receivables and the decrease in other accrued liabilities is primarily attributed to a decrease in rents collected and a decrease in prepaid rent as a result of COVID-19 (See "Other Transactions and Events" in Management's Overview and Summary).</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Investing Activities:</w:t>
      </w:r>
    </w:p>
    <w:p>
      <w:pPr>
        <w:spacing w:after="0" w:line="105" w:lineRule="exact"/>
        <w:rPr>
          <w:sz w:val="20"/>
          <w:szCs w:val="20"/>
          <w:color w:val="auto"/>
        </w:rPr>
      </w:pPr>
    </w:p>
    <w:p>
      <w:pPr>
        <w:ind w:right="300" w:firstLine="297"/>
        <w:spacing w:after="0" w:line="276" w:lineRule="auto"/>
        <w:rPr>
          <w:sz w:val="20"/>
          <w:szCs w:val="20"/>
          <w:color w:val="auto"/>
        </w:rPr>
      </w:pPr>
      <w:r>
        <w:rPr>
          <w:rFonts w:ascii="Arial" w:cs="Arial" w:eastAsia="Arial" w:hAnsi="Arial"/>
          <w:sz w:val="12"/>
          <w:szCs w:val="12"/>
          <w:color w:val="auto"/>
        </w:rPr>
        <w:t>Cash used in investing activities increased $90.8 million from 2019 to 2020. The increase in cash used in investing activities is primarily attributed to a decrease in distributions from unconsolidated joint ventures of $187.9 million, offset in part by a decrease of $121.6 million in development, redevelopment, expansion and renovation of properties.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Financing Activities:</w:t>
      </w:r>
    </w:p>
    <w:p>
      <w:pPr>
        <w:spacing w:after="0" w:line="96" w:lineRule="exact"/>
        <w:rPr>
          <w:sz w:val="20"/>
          <w:szCs w:val="20"/>
          <w:color w:val="auto"/>
        </w:rPr>
      </w:pPr>
    </w:p>
    <w:p>
      <w:pPr>
        <w:ind w:right="100" w:firstLine="297"/>
        <w:spacing w:after="0" w:line="259" w:lineRule="auto"/>
        <w:rPr>
          <w:sz w:val="20"/>
          <w:szCs w:val="20"/>
          <w:color w:val="auto"/>
        </w:rPr>
      </w:pPr>
      <w:r>
        <w:rPr>
          <w:rFonts w:ascii="Arial" w:cs="Arial" w:eastAsia="Arial" w:hAnsi="Arial"/>
          <w:sz w:val="12"/>
          <w:szCs w:val="12"/>
          <w:color w:val="auto"/>
        </w:rPr>
        <w:t>Cash provided by financing activities increased $724.7 million from 2019 to 2020. The increase in cash provided by financing activities is primarily due to a decrease in payments on mortgages, bank and other notes payable of $1.5 billion and a decrease in dividends and distributions of $294.7 million which are offset by a decrease in proceeds from mortgages, bank and other notes payable of $1.1 billion. The decreases in payments on mortgages, bank and other notes payable, dividends and distributions and the proceeds from mortgages, bank and other notes payable are attributed to the Company's plan to increase liquidity in connection with COVID-19 (See "Other Transactions and Events" in Management's Overview and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3" w:right="35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91" w:lineRule="exact"/>
        <w:rPr>
          <w:sz w:val="20"/>
          <w:szCs w:val="20"/>
          <w:color w:val="auto"/>
        </w:rPr>
      </w:pPr>
    </w:p>
    <w:p>
      <w:pPr>
        <w:ind w:right="20" w:firstLine="297"/>
        <w:spacing w:after="0" w:line="230" w:lineRule="auto"/>
        <w:rPr>
          <w:sz w:val="20"/>
          <w:szCs w:val="20"/>
          <w:color w:val="auto"/>
        </w:rPr>
      </w:pPr>
      <w:r>
        <w:rPr>
          <w:rFonts w:ascii="Arial" w:cs="Arial" w:eastAsia="Arial" w:hAnsi="Arial"/>
          <w:sz w:val="12"/>
          <w:szCs w:val="12"/>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 Following the uncertain environment brought about by COVID-19, the Company took a number of previously disclosed measures in the year ended December 31, 2020 to enhance its liquidity position over the short-term, some of which continued into the year ended December 31, 2021. However, the Company currently anticipates meeting its liquidity needs for the next twelve months as it has done historically.</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Uses of Capital</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tables summarize capital expenditures and lease acquisition costs incurred at the Centers (at the Company's pro rata share) 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100" w:type="dxa"/>
            <w:vAlign w:val="bottom"/>
            <w:tcBorders>
              <w:bottom w:val="single" w:sz="8" w:color="CCEEFF"/>
            </w:tcBorders>
          </w:tcPr>
          <w:p>
            <w:pPr>
              <w:ind w:left="300"/>
              <w:spacing w:after="0"/>
              <w:rPr>
                <w:sz w:val="20"/>
                <w:szCs w:val="20"/>
                <w:color w:val="auto"/>
              </w:rPr>
            </w:pPr>
            <w:r>
              <w:rPr>
                <w:rFonts w:ascii="Arial" w:cs="Arial" w:eastAsia="Arial" w:hAnsi="Arial"/>
                <w:sz w:val="10"/>
                <w:szCs w:val="10"/>
                <w:b w:val="1"/>
                <w:bCs w:val="1"/>
                <w:color w:val="auto"/>
              </w:rPr>
              <w:t>(Dollars in thousands)</w:t>
            </w:r>
          </w:p>
        </w:tc>
        <w:tc>
          <w:tcPr>
            <w:tcW w:w="6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2019</w:t>
            </w:r>
          </w:p>
        </w:tc>
      </w:tr>
      <w:tr>
        <w:trPr>
          <w:trHeight w:val="146"/>
        </w:trPr>
        <w:tc>
          <w:tcPr>
            <w:tcW w:w="6100" w:type="dxa"/>
            <w:vAlign w:val="bottom"/>
            <w:shd w:val="clear" w:color="auto" w:fill="CCEEFF"/>
          </w:tcPr>
          <w:p>
            <w:pPr>
              <w:ind w:left="300"/>
              <w:spacing w:after="0"/>
              <w:rPr>
                <w:sz w:val="20"/>
                <w:szCs w:val="20"/>
                <w:color w:val="auto"/>
              </w:rPr>
            </w:pPr>
            <w:r>
              <w:rPr>
                <w:rFonts w:ascii="Arial" w:cs="Arial" w:eastAsia="Arial" w:hAnsi="Arial"/>
                <w:sz w:val="12"/>
                <w:szCs w:val="12"/>
                <w:b w:val="1"/>
                <w:bCs w:val="1"/>
                <w:i w:val="1"/>
                <w:iCs w:val="1"/>
                <w:color w:val="auto"/>
              </w:rPr>
              <w:t>Consolidated Centers: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3"/>
        </w:trPr>
        <w:tc>
          <w:tcPr>
            <w:tcW w:w="6100" w:type="dxa"/>
            <w:vAlign w:val="bottom"/>
          </w:tcPr>
          <w:p>
            <w:pPr>
              <w:ind w:left="300"/>
              <w:spacing w:after="0"/>
              <w:rPr>
                <w:sz w:val="20"/>
                <w:szCs w:val="20"/>
                <w:color w:val="auto"/>
              </w:rPr>
            </w:pPr>
            <w:r>
              <w:rPr>
                <w:rFonts w:ascii="Arial" w:cs="Arial" w:eastAsia="Arial" w:hAnsi="Arial"/>
                <w:sz w:val="12"/>
                <w:szCs w:val="12"/>
                <w:color w:val="auto"/>
              </w:rPr>
              <w:t>Acquisitions of property, building improvement and equipment</w:t>
            </w: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18,715</w:t>
            </w:r>
          </w:p>
        </w:tc>
        <w:tc>
          <w:tcPr>
            <w:tcW w:w="80" w:type="dxa"/>
            <w:vAlign w:val="bottom"/>
          </w:tcPr>
          <w:p>
            <w:pPr>
              <w:spacing w:after="0"/>
              <w:rPr>
                <w:sz w:val="13"/>
                <w:szCs w:val="13"/>
                <w:color w:val="auto"/>
              </w:rPr>
            </w:pPr>
          </w:p>
        </w:tc>
        <w:tc>
          <w:tcPr>
            <w:tcW w:w="1140" w:type="dxa"/>
            <w:vAlign w:val="bottom"/>
          </w:tcPr>
          <w:p>
            <w:pPr>
              <w:jc w:val="right"/>
              <w:ind w:right="70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9,570</w:t>
            </w:r>
          </w:p>
        </w:tc>
        <w:tc>
          <w:tcPr>
            <w:tcW w:w="80" w:type="dxa"/>
            <w:vAlign w:val="bottom"/>
          </w:tcPr>
          <w:p>
            <w:pPr>
              <w:spacing w:after="0"/>
              <w:rPr>
                <w:sz w:val="13"/>
                <w:szCs w:val="13"/>
                <w:color w:val="auto"/>
              </w:rPr>
            </w:pPr>
          </w:p>
        </w:tc>
        <w:tc>
          <w:tcPr>
            <w:tcW w:w="6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34,763</w:t>
            </w:r>
          </w:p>
        </w:tc>
      </w:tr>
      <w:tr>
        <w:trPr>
          <w:trHeight w:val="153"/>
        </w:trPr>
        <w:tc>
          <w:tcPr>
            <w:tcW w:w="61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Development, redevelopment, expansion and renovation of Centers</w:t>
            </w: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46,341</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38,405</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112,263</w:t>
            </w:r>
          </w:p>
        </w:tc>
      </w:tr>
      <w:tr>
        <w:trPr>
          <w:trHeight w:val="153"/>
        </w:trPr>
        <w:tc>
          <w:tcPr>
            <w:tcW w:w="6100" w:type="dxa"/>
            <w:vAlign w:val="bottom"/>
          </w:tcPr>
          <w:p>
            <w:pPr>
              <w:ind w:left="300"/>
              <w:spacing w:after="0"/>
              <w:rPr>
                <w:sz w:val="20"/>
                <w:szCs w:val="20"/>
                <w:color w:val="auto"/>
              </w:rPr>
            </w:pPr>
            <w:r>
              <w:rPr>
                <w:rFonts w:ascii="Arial" w:cs="Arial" w:eastAsia="Arial" w:hAnsi="Arial"/>
                <w:sz w:val="12"/>
                <w:szCs w:val="12"/>
                <w:color w:val="auto"/>
              </w:rPr>
              <w:t>Tenant allowances</w:t>
            </w: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22,101</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12,413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18,860</w:t>
            </w:r>
          </w:p>
        </w:tc>
      </w:tr>
      <w:tr>
        <w:trPr>
          <w:trHeight w:val="153"/>
        </w:trPr>
        <w:tc>
          <w:tcPr>
            <w:tcW w:w="61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Deferred leasing charges</w:t>
            </w: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2,585</w:t>
            </w:r>
          </w:p>
        </w:tc>
        <w:tc>
          <w:tcPr>
            <w:tcW w:w="8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3,044</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3,203</w:t>
            </w:r>
          </w:p>
        </w:tc>
      </w:tr>
      <w:tr>
        <w:trPr>
          <w:trHeight w:val="158"/>
        </w:trPr>
        <w:tc>
          <w:tcPr>
            <w:tcW w:w="6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89,742</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63,432</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169,089</w:t>
            </w:r>
          </w:p>
        </w:tc>
      </w:tr>
      <w:tr>
        <w:trPr>
          <w:trHeight w:val="153"/>
        </w:trPr>
        <w:tc>
          <w:tcPr>
            <w:tcW w:w="6100" w:type="dxa"/>
            <w:vAlign w:val="bottom"/>
            <w:shd w:val="clear" w:color="auto" w:fill="CCEEFF"/>
          </w:tcPr>
          <w:p>
            <w:pPr>
              <w:ind w:left="300"/>
              <w:spacing w:after="0"/>
              <w:rPr>
                <w:sz w:val="20"/>
                <w:szCs w:val="20"/>
                <w:color w:val="auto"/>
              </w:rPr>
            </w:pPr>
            <w:r>
              <w:rPr>
                <w:rFonts w:ascii="Arial" w:cs="Arial" w:eastAsia="Arial" w:hAnsi="Arial"/>
                <w:sz w:val="12"/>
                <w:szCs w:val="12"/>
                <w:b w:val="1"/>
                <w:bCs w:val="1"/>
                <w:i w:val="1"/>
                <w:iCs w:val="1"/>
                <w:color w:val="auto"/>
              </w:rPr>
              <w:t>Joint Venture Centers (at the Company's pro rata share):</w:t>
            </w: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3"/>
        </w:trPr>
        <w:tc>
          <w:tcPr>
            <w:tcW w:w="6100" w:type="dxa"/>
            <w:vAlign w:val="bottom"/>
          </w:tcPr>
          <w:p>
            <w:pPr>
              <w:ind w:left="300"/>
              <w:spacing w:after="0"/>
              <w:rPr>
                <w:sz w:val="20"/>
                <w:szCs w:val="20"/>
                <w:color w:val="auto"/>
              </w:rPr>
            </w:pPr>
            <w:r>
              <w:rPr>
                <w:rFonts w:ascii="Arial" w:cs="Arial" w:eastAsia="Arial" w:hAnsi="Arial"/>
                <w:sz w:val="12"/>
                <w:szCs w:val="12"/>
                <w:color w:val="auto"/>
              </w:rPr>
              <w:t>Acquisitions of property, building improvement and equipment</w:t>
            </w: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18,803</w:t>
            </w:r>
          </w:p>
        </w:tc>
        <w:tc>
          <w:tcPr>
            <w:tcW w:w="80" w:type="dxa"/>
            <w:vAlign w:val="bottom"/>
          </w:tcPr>
          <w:p>
            <w:pPr>
              <w:spacing w:after="0"/>
              <w:rPr>
                <w:sz w:val="13"/>
                <w:szCs w:val="13"/>
                <w:color w:val="auto"/>
              </w:rPr>
            </w:pPr>
          </w:p>
        </w:tc>
        <w:tc>
          <w:tcPr>
            <w:tcW w:w="1140" w:type="dxa"/>
            <w:vAlign w:val="bottom"/>
          </w:tcPr>
          <w:p>
            <w:pPr>
              <w:jc w:val="right"/>
              <w:ind w:right="70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6,497</w:t>
            </w:r>
          </w:p>
        </w:tc>
        <w:tc>
          <w:tcPr>
            <w:tcW w:w="80" w:type="dxa"/>
            <w:vAlign w:val="bottom"/>
          </w:tcPr>
          <w:p>
            <w:pPr>
              <w:spacing w:after="0"/>
              <w:rPr>
                <w:sz w:val="13"/>
                <w:szCs w:val="13"/>
                <w:color w:val="auto"/>
              </w:rPr>
            </w:pPr>
          </w:p>
        </w:tc>
        <w:tc>
          <w:tcPr>
            <w:tcW w:w="6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12,321</w:t>
            </w:r>
          </w:p>
        </w:tc>
      </w:tr>
      <w:tr>
        <w:trPr>
          <w:trHeight w:val="153"/>
        </w:trPr>
        <w:tc>
          <w:tcPr>
            <w:tcW w:w="61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Development, redevelopment, expansion and renovation of Centers</w:t>
            </w: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48,512</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109,902</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210,574</w:t>
            </w:r>
          </w:p>
        </w:tc>
      </w:tr>
      <w:tr>
        <w:trPr>
          <w:trHeight w:val="153"/>
        </w:trPr>
        <w:tc>
          <w:tcPr>
            <w:tcW w:w="6100" w:type="dxa"/>
            <w:vAlign w:val="bottom"/>
          </w:tcPr>
          <w:p>
            <w:pPr>
              <w:ind w:left="300"/>
              <w:spacing w:after="0"/>
              <w:rPr>
                <w:sz w:val="20"/>
                <w:szCs w:val="20"/>
                <w:color w:val="auto"/>
              </w:rPr>
            </w:pPr>
            <w:r>
              <w:rPr>
                <w:rFonts w:ascii="Arial" w:cs="Arial" w:eastAsia="Arial" w:hAnsi="Arial"/>
                <w:sz w:val="12"/>
                <w:szCs w:val="12"/>
                <w:color w:val="auto"/>
              </w:rPr>
              <w:t>Tenant allowances</w:t>
            </w: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11,594</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4,804</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9,339</w:t>
            </w:r>
          </w:p>
        </w:tc>
      </w:tr>
      <w:tr>
        <w:trPr>
          <w:trHeight w:val="153"/>
        </w:trPr>
        <w:tc>
          <w:tcPr>
            <w:tcW w:w="61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Deferred leasing charges</w:t>
            </w: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2,881</w:t>
            </w:r>
          </w:p>
        </w:tc>
        <w:tc>
          <w:tcPr>
            <w:tcW w:w="8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2,111</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3,386</w:t>
            </w:r>
          </w:p>
        </w:tc>
      </w:tr>
      <w:tr>
        <w:trPr>
          <w:trHeight w:val="142"/>
        </w:trPr>
        <w:tc>
          <w:tcPr>
            <w:tcW w:w="6100" w:type="dxa"/>
            <w:vAlign w:val="bottom"/>
          </w:tcPr>
          <w:p>
            <w:pPr>
              <w:spacing w:after="0"/>
              <w:rPr>
                <w:sz w:val="12"/>
                <w:szCs w:val="12"/>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81,790</w:t>
            </w:r>
          </w:p>
        </w:tc>
        <w:tc>
          <w:tcPr>
            <w:tcW w:w="80" w:type="dxa"/>
            <w:vAlign w:val="bottom"/>
          </w:tcPr>
          <w:p>
            <w:pPr>
              <w:spacing w:after="0"/>
              <w:rPr>
                <w:sz w:val="12"/>
                <w:szCs w:val="12"/>
                <w:color w:val="auto"/>
              </w:rPr>
            </w:pPr>
          </w:p>
        </w:tc>
        <w:tc>
          <w:tcPr>
            <w:tcW w:w="114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123,314</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235,620</w:t>
            </w:r>
          </w:p>
        </w:tc>
      </w:tr>
      <w:tr>
        <w:trPr>
          <w:trHeight w:val="20"/>
        </w:trPr>
        <w:tc>
          <w:tcPr>
            <w:tcW w:w="6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firstLine="297"/>
        <w:spacing w:after="0" w:line="259" w:lineRule="auto"/>
        <w:rPr>
          <w:sz w:val="20"/>
          <w:szCs w:val="20"/>
          <w:color w:val="auto"/>
        </w:rPr>
      </w:pPr>
      <w:r>
        <w:rPr>
          <w:rFonts w:ascii="Arial" w:cs="Arial" w:eastAsia="Arial" w:hAnsi="Arial"/>
          <w:sz w:val="12"/>
          <w:szCs w:val="12"/>
          <w:color w:val="auto"/>
        </w:rPr>
        <w:t>The Company expects amounts to be incurred during the next twelve months for tenant allowances and deferred leasing charges to be less than or comparable to 2021. The Company expects to incur approximately $150 million during 2022 for development, redevelopment, expansion and renovations. This includes the Company's share of the remaining development costs of One Westside of approximately $30.0 million, which is fully funded by a non-recourse construction facility.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Sources of Capital</w:t>
      </w:r>
    </w:p>
    <w:p>
      <w:pPr>
        <w:spacing w:after="0" w:line="96" w:lineRule="exact"/>
        <w:rPr>
          <w:sz w:val="20"/>
          <w:szCs w:val="20"/>
          <w:color w:val="auto"/>
        </w:rPr>
      </w:pPr>
    </w:p>
    <w:p>
      <w:pPr>
        <w:ind w:right="40" w:firstLine="297"/>
        <w:spacing w:after="0" w:line="230" w:lineRule="auto"/>
        <w:rPr>
          <w:sz w:val="20"/>
          <w:szCs w:val="20"/>
          <w:color w:val="auto"/>
        </w:rPr>
      </w:pPr>
      <w:r>
        <w:rPr>
          <w:rFonts w:ascii="Arial" w:cs="Arial" w:eastAsia="Arial" w:hAnsi="Arial"/>
          <w:sz w:val="12"/>
          <w:szCs w:val="12"/>
          <w:color w:val="auto"/>
        </w:rPr>
        <w:t>The Company has also generated liquidity in the past, and may continue to do so in the future, through equity offerings and issuances, property refinancings, joint venture transactions and the sale of non-core assets. For example, the Company sold Paradise Valley Mall in Phoenix, Arizona and Tucson La Encantada in Tucson, Arizona during the year ended December 31, 2021. The Company used the proceeds from these sales to pay down its line of credit and other debt obligations.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37" w:lineRule="exact"/>
        <w:rPr>
          <w:sz w:val="20"/>
          <w:szCs w:val="20"/>
          <w:color w:val="auto"/>
        </w:rPr>
      </w:pPr>
    </w:p>
    <w:p>
      <w:pPr>
        <w:ind w:right="60" w:firstLine="297"/>
        <w:spacing w:after="0" w:line="234" w:lineRule="auto"/>
        <w:rPr>
          <w:sz w:val="20"/>
          <w:szCs w:val="20"/>
          <w:color w:val="auto"/>
        </w:rPr>
      </w:pPr>
      <w:r>
        <w:rPr>
          <w:rFonts w:ascii="Arial" w:cs="Arial" w:eastAsia="Arial" w:hAnsi="Arial"/>
          <w:sz w:val="12"/>
          <w:szCs w:val="12"/>
          <w:color w:val="auto"/>
        </w:rPr>
        <w:t>On each of February 1, 2021 and March 26, 2021, the Company registered a separate "at the market" offering program, pursuant to which the Company may issue and sell shares of its common stock having an aggregate offering price of up to $500 million under each ATM Program, or a total of $1.0 billion under the ATM Programs, in amounts and at times to be determined by the Company. The following table sets forth certain information with respect to issuances made under each of the ATM Programs as of December 31, 2021.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52" w:name="page53"/>
    <w:bookmarkEnd w:id="52"/>
    <w:tbl>
      <w:tblPr>
        <w:tblLayout w:type="fixed"/>
        <w:tblInd w:w="280" w:type="dxa"/>
        <w:tblCellMar>
          <w:top w:w="0" w:type="dxa"/>
          <w:left w:w="0" w:type="dxa"/>
          <w:bottom w:w="0" w:type="dxa"/>
          <w:right w:w="0" w:type="dxa"/>
        </w:tblCellMar>
      </w:tblPr>
      <w:tr>
        <w:trPr>
          <w:trHeight w:val="127"/>
        </w:trPr>
        <w:tc>
          <w:tcPr>
            <w:tcW w:w="2300" w:type="dxa"/>
            <w:vAlign w:val="bottom"/>
          </w:tcPr>
          <w:p>
            <w:pPr>
              <w:ind w:left="320"/>
              <w:spacing w:after="0"/>
              <w:rPr>
                <w:sz w:val="20"/>
                <w:szCs w:val="20"/>
                <w:color w:val="auto"/>
              </w:rPr>
            </w:pPr>
            <w:r>
              <w:rPr>
                <w:rFonts w:ascii="Arial" w:cs="Arial" w:eastAsia="Arial" w:hAnsi="Arial"/>
                <w:sz w:val="10"/>
                <w:szCs w:val="10"/>
                <w:b w:val="1"/>
                <w:bCs w:val="1"/>
                <w:color w:val="auto"/>
              </w:rPr>
              <w:t>(Dollars and shares in thousands)</w:t>
            </w: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5"/>
              </w:rPr>
              <w:t>February 2021 ATM Program</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March 2021 ATM Program</w:t>
            </w: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30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For the Three Months Ended:</w:t>
            </w:r>
          </w:p>
        </w:tc>
        <w:tc>
          <w:tcPr>
            <w:tcW w:w="1160" w:type="dxa"/>
            <w:vAlign w:val="bottom"/>
            <w:gridSpan w:val="2"/>
          </w:tcPr>
          <w:p>
            <w:pPr>
              <w:ind w:left="320"/>
              <w:spacing w:after="0" w:line="83" w:lineRule="exact"/>
              <w:rPr>
                <w:sz w:val="20"/>
                <w:szCs w:val="20"/>
                <w:color w:val="auto"/>
              </w:rPr>
            </w:pPr>
            <w:r>
              <w:rPr>
                <w:rFonts w:ascii="Arial" w:cs="Arial" w:eastAsia="Arial" w:hAnsi="Arial"/>
                <w:sz w:val="8"/>
                <w:szCs w:val="8"/>
                <w:b w:val="1"/>
                <w:bCs w:val="1"/>
                <w:color w:val="auto"/>
              </w:rPr>
              <w:t>Number of Shares</w:t>
            </w:r>
          </w:p>
        </w:tc>
        <w:tc>
          <w:tcPr>
            <w:tcW w:w="360" w:type="dxa"/>
            <w:vAlign w:val="bottom"/>
          </w:tcPr>
          <w:p>
            <w:pPr>
              <w:spacing w:after="0"/>
              <w:rPr>
                <w:sz w:val="7"/>
                <w:szCs w:val="7"/>
                <w:color w:val="auto"/>
              </w:rPr>
            </w:pPr>
          </w:p>
        </w:tc>
        <w:tc>
          <w:tcPr>
            <w:tcW w:w="1340" w:type="dxa"/>
            <w:vAlign w:val="bottom"/>
            <w:gridSpan w:val="3"/>
            <w:vMerge w:val="restart"/>
          </w:tcPr>
          <w:p>
            <w:pPr>
              <w:ind w:left="220"/>
              <w:spacing w:after="0"/>
              <w:rPr>
                <w:sz w:val="20"/>
                <w:szCs w:val="20"/>
                <w:color w:val="auto"/>
              </w:rPr>
            </w:pPr>
            <w:r>
              <w:rPr>
                <w:rFonts w:ascii="Arial" w:cs="Arial" w:eastAsia="Arial" w:hAnsi="Arial"/>
                <w:sz w:val="10"/>
                <w:szCs w:val="10"/>
                <w:b w:val="1"/>
                <w:bCs w:val="1"/>
                <w:color w:val="auto"/>
              </w:rPr>
              <w:t>Net Proceeds</w:t>
            </w:r>
          </w:p>
        </w:tc>
        <w:tc>
          <w:tcPr>
            <w:tcW w:w="180" w:type="dxa"/>
            <w:vAlign w:val="bottom"/>
          </w:tcPr>
          <w:p>
            <w:pPr>
              <w:spacing w:after="0"/>
              <w:rPr>
                <w:sz w:val="7"/>
                <w:szCs w:val="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Sales Commissions</w:t>
            </w:r>
          </w:p>
        </w:tc>
        <w:tc>
          <w:tcPr>
            <w:tcW w:w="1160" w:type="dxa"/>
            <w:vAlign w:val="bottom"/>
            <w:gridSpan w:val="2"/>
          </w:tcPr>
          <w:p>
            <w:pPr>
              <w:ind w:left="320"/>
              <w:spacing w:after="0" w:line="83" w:lineRule="exact"/>
              <w:rPr>
                <w:sz w:val="20"/>
                <w:szCs w:val="20"/>
                <w:color w:val="auto"/>
              </w:rPr>
            </w:pPr>
            <w:r>
              <w:rPr>
                <w:rFonts w:ascii="Arial" w:cs="Arial" w:eastAsia="Arial" w:hAnsi="Arial"/>
                <w:sz w:val="8"/>
                <w:szCs w:val="8"/>
                <w:b w:val="1"/>
                <w:bCs w:val="1"/>
                <w:color w:val="auto"/>
              </w:rPr>
              <w:t>Number of Shares</w:t>
            </w:r>
          </w:p>
        </w:tc>
        <w:tc>
          <w:tcPr>
            <w:tcW w:w="400" w:type="dxa"/>
            <w:vAlign w:val="bottom"/>
          </w:tcPr>
          <w:p>
            <w:pPr>
              <w:spacing w:after="0"/>
              <w:rPr>
                <w:sz w:val="7"/>
                <w:szCs w:val="7"/>
                <w:color w:val="auto"/>
              </w:rPr>
            </w:pPr>
          </w:p>
        </w:tc>
        <w:tc>
          <w:tcPr>
            <w:tcW w:w="128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rPr>
              <w:t>Net Proceeds</w:t>
            </w:r>
          </w:p>
        </w:tc>
        <w:tc>
          <w:tcPr>
            <w:tcW w:w="200" w:type="dxa"/>
            <w:vAlign w:val="bottom"/>
          </w:tcPr>
          <w:p>
            <w:pPr>
              <w:spacing w:after="0"/>
              <w:rPr>
                <w:sz w:val="7"/>
                <w:szCs w:val="7"/>
                <w:color w:val="auto"/>
              </w:rPr>
            </w:pPr>
          </w:p>
        </w:tc>
        <w:tc>
          <w:tcPr>
            <w:tcW w:w="960" w:type="dxa"/>
            <w:vAlign w:val="bottom"/>
            <w:vMerge w:val="restart"/>
          </w:tcPr>
          <w:p>
            <w:pPr>
              <w:jc w:val="right"/>
              <w:ind w:right="82"/>
              <w:spacing w:after="0"/>
              <w:rPr>
                <w:sz w:val="20"/>
                <w:szCs w:val="20"/>
                <w:color w:val="auto"/>
              </w:rPr>
            </w:pPr>
            <w:r>
              <w:rPr>
                <w:rFonts w:ascii="Arial" w:cs="Arial" w:eastAsia="Arial" w:hAnsi="Arial"/>
                <w:sz w:val="10"/>
                <w:szCs w:val="10"/>
                <w:b w:val="1"/>
                <w:bCs w:val="1"/>
                <w:color w:val="auto"/>
                <w:w w:val="84"/>
              </w:rPr>
              <w:t>Sales Commissions</w:t>
            </w:r>
          </w:p>
        </w:tc>
        <w:tc>
          <w:tcPr>
            <w:tcW w:w="0" w:type="dxa"/>
            <w:vAlign w:val="bottom"/>
          </w:tcPr>
          <w:p>
            <w:pPr>
              <w:spacing w:after="0"/>
              <w:rPr>
                <w:sz w:val="1"/>
                <w:szCs w:val="1"/>
                <w:color w:val="auto"/>
              </w:rPr>
            </w:pPr>
          </w:p>
        </w:tc>
      </w:tr>
      <w:tr>
        <w:trPr>
          <w:trHeight w:val="125"/>
        </w:trPr>
        <w:tc>
          <w:tcPr>
            <w:tcW w:w="2300" w:type="dxa"/>
            <w:vAlign w:val="bottom"/>
            <w:vMerge w:val="continue"/>
          </w:tcPr>
          <w:p>
            <w:pPr>
              <w:spacing w:after="0"/>
              <w:rPr>
                <w:sz w:val="10"/>
                <w:szCs w:val="10"/>
                <w:color w:val="auto"/>
              </w:rPr>
            </w:pPr>
          </w:p>
        </w:tc>
        <w:tc>
          <w:tcPr>
            <w:tcW w:w="1160" w:type="dxa"/>
            <w:vAlign w:val="bottom"/>
            <w:gridSpan w:val="2"/>
          </w:tcPr>
          <w:p>
            <w:pPr>
              <w:ind w:left="400"/>
              <w:spacing w:after="0"/>
              <w:rPr>
                <w:sz w:val="20"/>
                <w:szCs w:val="20"/>
                <w:color w:val="auto"/>
              </w:rPr>
            </w:pPr>
            <w:r>
              <w:rPr>
                <w:rFonts w:ascii="Arial" w:cs="Arial" w:eastAsia="Arial" w:hAnsi="Arial"/>
                <w:sz w:val="10"/>
                <w:szCs w:val="10"/>
                <w:b w:val="1"/>
                <w:bCs w:val="1"/>
                <w:color w:val="auto"/>
              </w:rPr>
              <w:t>Issued</w:t>
            </w:r>
          </w:p>
        </w:tc>
        <w:tc>
          <w:tcPr>
            <w:tcW w:w="36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60" w:type="dxa"/>
            <w:vAlign w:val="bottom"/>
            <w:gridSpan w:val="2"/>
          </w:tcPr>
          <w:p>
            <w:pPr>
              <w:ind w:left="400"/>
              <w:spacing w:after="0"/>
              <w:rPr>
                <w:sz w:val="20"/>
                <w:szCs w:val="20"/>
                <w:color w:val="auto"/>
              </w:rPr>
            </w:pPr>
            <w:r>
              <w:rPr>
                <w:rFonts w:ascii="Arial" w:cs="Arial" w:eastAsia="Arial" w:hAnsi="Arial"/>
                <w:sz w:val="10"/>
                <w:szCs w:val="10"/>
                <w:b w:val="1"/>
                <w:bCs w:val="1"/>
                <w:color w:val="auto"/>
              </w:rPr>
              <w:t>Issued</w:t>
            </w:r>
          </w:p>
        </w:tc>
        <w:tc>
          <w:tcPr>
            <w:tcW w:w="4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3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March 31, 2021</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36,001</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477,283</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9,746</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9,991</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119,724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2,448</w:t>
            </w:r>
          </w:p>
        </w:tc>
        <w:tc>
          <w:tcPr>
            <w:tcW w:w="0" w:type="dxa"/>
            <w:vAlign w:val="bottom"/>
          </w:tcPr>
          <w:p>
            <w:pPr>
              <w:spacing w:after="0"/>
              <w:rPr>
                <w:sz w:val="1"/>
                <w:szCs w:val="1"/>
                <w:color w:val="auto"/>
              </w:rPr>
            </w:pPr>
          </w:p>
        </w:tc>
      </w:tr>
      <w:tr>
        <w:trPr>
          <w:trHeight w:val="153"/>
        </w:trPr>
        <w:tc>
          <w:tcPr>
            <w:tcW w:w="2300" w:type="dxa"/>
            <w:vAlign w:val="bottom"/>
          </w:tcPr>
          <w:p>
            <w:pPr>
              <w:ind w:left="320"/>
              <w:spacing w:after="0"/>
              <w:rPr>
                <w:sz w:val="20"/>
                <w:szCs w:val="20"/>
                <w:color w:val="auto"/>
              </w:rPr>
            </w:pPr>
            <w:r>
              <w:rPr>
                <w:rFonts w:ascii="Arial" w:cs="Arial" w:eastAsia="Arial" w:hAnsi="Arial"/>
                <w:sz w:val="12"/>
                <w:szCs w:val="12"/>
                <w:color w:val="auto"/>
              </w:rPr>
              <w:t>June 30, 2021</w:t>
            </w: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686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12,269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254</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13,229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182,149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3,720</w:t>
            </w: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September 30, 2021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38,449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w:t>
            </w:r>
          </w:p>
        </w:tc>
        <w:tc>
          <w:tcPr>
            <w:tcW w:w="0" w:type="dxa"/>
            <w:vAlign w:val="bottom"/>
          </w:tcPr>
          <w:p>
            <w:pPr>
              <w:spacing w:after="0"/>
              <w:rPr>
                <w:sz w:val="1"/>
                <w:szCs w:val="1"/>
                <w:color w:val="auto"/>
              </w:rPr>
            </w:pPr>
          </w:p>
        </w:tc>
      </w:tr>
      <w:tr>
        <w:trPr>
          <w:trHeight w:val="153"/>
        </w:trPr>
        <w:tc>
          <w:tcPr>
            <w:tcW w:w="2300" w:type="dxa"/>
            <w:vAlign w:val="bottom"/>
          </w:tcPr>
          <w:p>
            <w:pPr>
              <w:ind w:left="320"/>
              <w:spacing w:after="0"/>
              <w:rPr>
                <w:sz w:val="20"/>
                <w:szCs w:val="20"/>
                <w:color w:val="auto"/>
              </w:rPr>
            </w:pPr>
            <w:r>
              <w:rPr>
                <w:rFonts w:ascii="Arial" w:cs="Arial" w:eastAsia="Arial" w:hAnsi="Arial"/>
                <w:sz w:val="12"/>
                <w:szCs w:val="12"/>
                <w:color w:val="auto"/>
              </w:rPr>
              <w:t>December 31, 2021</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8"/>
        </w:trPr>
        <w:tc>
          <w:tcPr>
            <w:tcW w:w="23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36,687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489,552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25,361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340,689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180" w:firstLine="297"/>
        <w:spacing w:after="0" w:line="245" w:lineRule="auto"/>
        <w:rPr>
          <w:sz w:val="20"/>
          <w:szCs w:val="20"/>
          <w:color w:val="auto"/>
        </w:rPr>
      </w:pPr>
      <w:r>
        <w:rPr>
          <w:rFonts w:ascii="Arial" w:cs="Arial" w:eastAsia="Arial" w:hAnsi="Arial"/>
          <w:sz w:val="12"/>
          <w:szCs w:val="12"/>
          <w:color w:val="auto"/>
        </w:rPr>
        <w:t>As of December 31, 2021, the Company had approximately $151.7 million of gross sales of its common stock available under the March 2021 ATM Program. The February 2021 ATM Program was fully utilized as of June 30, 2021 and is no longer active.</w:t>
      </w:r>
    </w:p>
    <w:p>
      <w:pPr>
        <w:spacing w:after="0" w:line="69" w:lineRule="exact"/>
        <w:rPr>
          <w:sz w:val="20"/>
          <w:szCs w:val="20"/>
          <w:color w:val="auto"/>
        </w:rPr>
      </w:pPr>
    </w:p>
    <w:p>
      <w:pPr>
        <w:ind w:right="260" w:firstLine="297"/>
        <w:spacing w:after="0" w:line="276" w:lineRule="auto"/>
        <w:rPr>
          <w:sz w:val="20"/>
          <w:szCs w:val="20"/>
          <w:color w:val="auto"/>
        </w:rPr>
      </w:pPr>
      <w:r>
        <w:rPr>
          <w:rFonts w:ascii="Arial" w:cs="Arial" w:eastAsia="Arial" w:hAnsi="Arial"/>
          <w:sz w:val="12"/>
          <w:szCs w:val="12"/>
          <w:color w:val="auto"/>
        </w:rPr>
        <w:t>The Company paid a cash dividend of $0.15 per share of its common stock, for each quarter in the year ended December 31, 2021. This quarterly dividend level was lower than the quarterly dividend paid prior to the onset of COVID-19, which was $0.75 per share.</w:t>
      </w:r>
    </w:p>
    <w:p>
      <w:pPr>
        <w:spacing w:after="0" w:line="70"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prevailing market conditions and the impact of COVID-19. Increases in the Company's proportion of floating rate debt will cause it to be subject to interest rate fluctuations in the future.</w:t>
      </w:r>
    </w:p>
    <w:p>
      <w:pPr>
        <w:spacing w:after="0" w:line="77" w:lineRule="exact"/>
        <w:rPr>
          <w:sz w:val="20"/>
          <w:szCs w:val="20"/>
          <w:color w:val="auto"/>
        </w:rPr>
      </w:pPr>
    </w:p>
    <w:p>
      <w:pPr>
        <w:ind w:right="180" w:firstLine="297"/>
        <w:spacing w:after="0" w:line="298" w:lineRule="auto"/>
        <w:rPr>
          <w:sz w:val="20"/>
          <w:szCs w:val="20"/>
          <w:color w:val="auto"/>
        </w:rPr>
      </w:pPr>
      <w:r>
        <w:rPr>
          <w:rFonts w:ascii="Arial" w:cs="Arial" w:eastAsia="Arial" w:hAnsi="Arial"/>
          <w:sz w:val="11"/>
          <w:szCs w:val="11"/>
          <w:color w:val="auto"/>
        </w:rPr>
        <w:t>The Company's total outstanding loan indebtedness, which includes mortgages and other notes payable, at December 31, 2021 was $6.98 billion (consisting of $4.53 billion of consolidated debt, less $0.46 billion of noncontrolling interests, plus $2.91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51"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83" w:lineRule="exact"/>
        <w:rPr>
          <w:sz w:val="20"/>
          <w:szCs w:val="20"/>
          <w:color w:val="auto"/>
        </w:rPr>
      </w:pPr>
    </w:p>
    <w:p>
      <w:pPr>
        <w:ind w:right="520" w:firstLine="297"/>
        <w:spacing w:after="0" w:line="276" w:lineRule="auto"/>
        <w:rPr>
          <w:sz w:val="20"/>
          <w:szCs w:val="20"/>
          <w:color w:val="auto"/>
        </w:rPr>
      </w:pPr>
      <w:r>
        <w:rPr>
          <w:rFonts w:ascii="Arial" w:cs="Arial" w:eastAsia="Arial" w:hAnsi="Arial"/>
          <w:sz w:val="12"/>
          <w:szCs w:val="12"/>
          <w:color w:val="auto"/>
        </w:rPr>
        <w:t>The Company accounts for its investments in joint ventures that it does not have a controlling interest or is not the primary beneficiary of using the equity method of accounting and those investments are reflected on the consolidated balance sheets of the Company as investments in unconsolidated joint ventures.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As of December 31, 2021, one of the Company’s joint ventures had $50.0 million of debt that could become recourse to the Company, should the joint venture be unable to discharge the obligation of the related debt.</w:t>
      </w:r>
    </w:p>
    <w:p>
      <w:pPr>
        <w:spacing w:after="0" w:line="108" w:lineRule="exact"/>
        <w:rPr>
          <w:sz w:val="20"/>
          <w:szCs w:val="20"/>
          <w:color w:val="auto"/>
        </w:rPr>
      </w:pPr>
    </w:p>
    <w:p>
      <w:pPr>
        <w:ind w:right="240" w:firstLine="297"/>
        <w:spacing w:after="0" w:line="276" w:lineRule="auto"/>
        <w:rPr>
          <w:sz w:val="20"/>
          <w:szCs w:val="20"/>
          <w:color w:val="auto"/>
        </w:rPr>
      </w:pPr>
      <w:r>
        <w:rPr>
          <w:rFonts w:ascii="Arial" w:cs="Arial" w:eastAsia="Arial" w:hAnsi="Arial"/>
          <w:sz w:val="12"/>
          <w:szCs w:val="12"/>
          <w:color w:val="auto"/>
        </w:rPr>
        <w:t>Additionally, as of December 31, 2021, the Company was contingently liable for $41 million in letters of credit guaranteeing performance by the Company of certain obligations relating to the Centers. The Company does not believe that these letters of credit will result in a liability to the Company.</w:t>
      </w:r>
    </w:p>
    <w:p>
      <w:pPr>
        <w:spacing w:after="0" w:line="70" w:lineRule="exact"/>
        <w:rPr>
          <w:sz w:val="20"/>
          <w:szCs w:val="20"/>
          <w:color w:val="auto"/>
        </w:rPr>
      </w:pPr>
    </w:p>
    <w:p>
      <w:pPr>
        <w:ind w:firstLine="297"/>
        <w:spacing w:after="0" w:line="326" w:lineRule="auto"/>
        <w:rPr>
          <w:sz w:val="20"/>
          <w:szCs w:val="20"/>
          <w:color w:val="auto"/>
        </w:rPr>
      </w:pPr>
      <w:r>
        <w:rPr>
          <w:rFonts w:ascii="Arial" w:cs="Arial" w:eastAsia="Arial" w:hAnsi="Arial"/>
          <w:sz w:val="10"/>
          <w:szCs w:val="10"/>
          <w:color w:val="auto"/>
        </w:rPr>
        <w:t>Given the prior disruption from COVID-19 and the related impacts on the capital markets, the Company has secured extensions of term from one to three years of its near-term maturing non-recourse mortgage loans totaling an aggregate of approximately $950 million on Danbury Fair Mall, The Shops at Atlas Park, Fashion Outlets of Niagara, FlatIron Crossing, Green Acres Mall and Green Acres Commons. On October 26, 2021, the Company’s joint venture closed a $65 million, five-year loan, including extension options, that bears interest at LIBOR plus 4.15% to refinance The Shops at Atlas Park, which replaced a $67.5 million loan on the property. Additionally, on February 2, 2022, the Company’s joint venture in FlatIron Crossing replaced the existing $197 million loan on the property with a new $175 million loan that bears interest at SOFR plus 3.45% and matures on February 9, 2027, including extension options.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53" w:name="page54"/>
    <w:bookmarkEnd w:id="53"/>
    <w:p>
      <w:pPr>
        <w:ind w:right="60" w:firstLine="297"/>
        <w:spacing w:after="0" w:line="263" w:lineRule="auto"/>
        <w:rPr>
          <w:sz w:val="20"/>
          <w:szCs w:val="20"/>
          <w:color w:val="auto"/>
        </w:rPr>
      </w:pPr>
      <w:r>
        <w:rPr>
          <w:rFonts w:ascii="Arial" w:cs="Arial" w:eastAsia="Arial" w:hAnsi="Arial"/>
          <w:sz w:val="12"/>
          <w:szCs w:val="12"/>
          <w:color w:val="auto"/>
        </w:rPr>
        <w:t>On March 29, 2021, the Company sold Paradise Valley Mall to a newly formed joint venture for $100 million. Concurrent with the sale, the Company elected to reinvest into the joint venture at a 5% ownership interest. The Company received $95.3 million of net proceeds. On September 17, 2021, the Company sold Tucson La Encantada in Tucson, Arizona for $165.3 million. The Company received $100.1 million of net cash proceeds which was used to repay debt (See “—Dispositions” in Management’s Overview and Summary).</w:t>
      </w:r>
    </w:p>
    <w:p>
      <w:pPr>
        <w:spacing w:after="0" w:line="68" w:lineRule="exact"/>
        <w:rPr>
          <w:sz w:val="20"/>
          <w:szCs w:val="20"/>
          <w:color w:val="auto"/>
        </w:rPr>
      </w:pPr>
    </w:p>
    <w:p>
      <w:pPr>
        <w:ind w:right="120" w:firstLine="297"/>
        <w:spacing w:after="0" w:line="255" w:lineRule="auto"/>
        <w:rPr>
          <w:sz w:val="20"/>
          <w:szCs w:val="20"/>
          <w:color w:val="auto"/>
        </w:rPr>
      </w:pPr>
      <w:r>
        <w:rPr>
          <w:rFonts w:ascii="Arial" w:cs="Arial" w:eastAsia="Arial" w:hAnsi="Arial"/>
          <w:sz w:val="12"/>
          <w:szCs w:val="12"/>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The revolving loan facility can be expanded up to $800 million, subject to receipt of lender commitments and other conditions. All obligations under the facility are guaranteed unconditionally by the Company and are secured in the form of mortgages on certain wholly-owned assets and pledges of equity interests held by certain of the Company’s subsidiaries. The new credit facility bears interest at LIBOR plus a spread of 2.25% to 3.25% depending on Company’s overall leverage level. As of December 31, 2021, the borrowing rate was LIBOR plus 2.25%. As of December 31, 2021, borrowings under the facility were $119.0 million less unamortized deferred finance costs of $14.2 million for the revolving loan facility at a total interest rate of 3.86%. As of December 31, 2021, the Company’s availability under the revolving loan facility for additional borrowings was $405.7 million.</w:t>
      </w:r>
    </w:p>
    <w:p>
      <w:pPr>
        <w:spacing w:after="0" w:line="83"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Company drew the $175 million term loan facility in its entirety simultaneously with entering into the new credit agreement and subsequently paid off the remaining balance outstanding on the term loan facility with proceeds from the sale of Tucson La Encantada.</w:t>
      </w:r>
    </w:p>
    <w:p>
      <w:pPr>
        <w:spacing w:after="0" w:line="70" w:lineRule="exact"/>
        <w:rPr>
          <w:sz w:val="20"/>
          <w:szCs w:val="20"/>
          <w:color w:val="auto"/>
        </w:rPr>
      </w:pPr>
    </w:p>
    <w:p>
      <w:pPr>
        <w:ind w:firstLine="297"/>
        <w:spacing w:after="0" w:line="285" w:lineRule="auto"/>
        <w:rPr>
          <w:sz w:val="20"/>
          <w:szCs w:val="20"/>
          <w:color w:val="auto"/>
        </w:rPr>
      </w:pPr>
      <w:r>
        <w:rPr>
          <w:rFonts w:ascii="Arial" w:cs="Arial" w:eastAsia="Arial" w:hAnsi="Arial"/>
          <w:sz w:val="11"/>
          <w:szCs w:val="11"/>
          <w:color w:val="auto"/>
        </w:rPr>
        <w:t>Concurrently with entering into the new credit agreement, the Company repaid $985 million of debt, which included terminating and repaying all amounts outstanding under its prior revolving line of credit facility. The Company had four interest rate swap agreements that effectively converted a total of $400 million of the outstanding balance under the prior credit agreement from floating rate debt of LIBOR plus 1.65% to fixed rate debt of 4.50% until September 30, 2021. These swaps were hedged against the Santa Monica Place floating rate loan and a portion of the Green Acres Commons floating rate loan and effectively converted the Santa Monica Place loan and a majority of the Green Acres Commons loan to fixed rate debt through September 30, 2021. The Company did not renew the swaps that expired on September 30, 2021 and, as a result, on October 1, 2021, the Santa Monica Place and Green Acres Commons loans reverted back to floating rate loans (See Note 5 – Derivative Instruments and Hedging Activities in the Company’s Notes to the Consolidated Financial Statements).</w:t>
      </w:r>
    </w:p>
    <w:p>
      <w:pPr>
        <w:spacing w:after="0" w:line="59" w:lineRule="exact"/>
        <w:rPr>
          <w:sz w:val="20"/>
          <w:szCs w:val="20"/>
          <w:color w:val="auto"/>
        </w:rPr>
      </w:pPr>
    </w:p>
    <w:p>
      <w:pPr>
        <w:ind w:right="480" w:firstLine="297"/>
        <w:spacing w:after="0" w:line="276" w:lineRule="auto"/>
        <w:rPr>
          <w:sz w:val="20"/>
          <w:szCs w:val="20"/>
          <w:color w:val="auto"/>
        </w:rPr>
      </w:pPr>
      <w:r>
        <w:rPr>
          <w:rFonts w:ascii="Arial" w:cs="Arial" w:eastAsia="Arial" w:hAnsi="Arial"/>
          <w:sz w:val="12"/>
          <w:szCs w:val="12"/>
          <w:color w:val="auto"/>
        </w:rPr>
        <w:t>During the year ended December 31, 2021, the Company repaid $1.7 billion of debt then outstanding, including the $985 million repaid in connection with the new credit agreement. These repaid amounts represented an approximately 20% reduction in the debt outstanding, at the Company's share, since December 31, 2020.</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dividends and distributions for the twelve months ended December 31, 2021 were $143.4 million which were funded by operations.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At December 31, 2021, the Company was in compliance with all applicable loan covenants under its agreements.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At December 31, 2021, the Company had cash and cash equivalents of $112.5 million.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54" w:name="page55"/>
    <w:bookmarkEnd w:id="54"/>
    <w:p>
      <w:pPr>
        <w:ind w:left="280"/>
        <w:spacing w:after="0"/>
        <w:rPr>
          <w:sz w:val="20"/>
          <w:szCs w:val="20"/>
          <w:color w:val="auto"/>
        </w:rPr>
      </w:pPr>
      <w:r>
        <w:rPr>
          <w:rFonts w:ascii="Arial" w:cs="Arial" w:eastAsia="Arial" w:hAnsi="Arial"/>
          <w:sz w:val="12"/>
          <w:szCs w:val="12"/>
          <w:i w:val="1"/>
          <w:iCs w:val="1"/>
          <w:color w:val="auto"/>
        </w:rPr>
        <w:t>Material Cash Commitments: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is a schedule of material cash commitments as of December 31, 2021 for the consolidated Centers over the periods in which they are expected to be paid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Payment Due by Period</w:t>
            </w:r>
          </w:p>
        </w:tc>
        <w:tc>
          <w:tcPr>
            <w:tcW w:w="5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42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Cash Commitments</w:t>
            </w:r>
          </w:p>
        </w:tc>
        <w:tc>
          <w:tcPr>
            <w:tcW w:w="8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vMerge w:val="restart"/>
          </w:tcPr>
          <w:p>
            <w:pPr>
              <w:jc w:val="right"/>
              <w:ind w:right="503"/>
              <w:spacing w:after="0"/>
              <w:rPr>
                <w:sz w:val="20"/>
                <w:szCs w:val="20"/>
                <w:color w:val="auto"/>
              </w:rPr>
            </w:pPr>
            <w:r>
              <w:rPr>
                <w:rFonts w:ascii="Arial" w:cs="Arial" w:eastAsia="Arial" w:hAnsi="Arial"/>
                <w:sz w:val="10"/>
                <w:szCs w:val="10"/>
                <w:b w:val="1"/>
                <w:bCs w:val="1"/>
                <w:color w:val="auto"/>
              </w:rPr>
              <w:t>Total</w:t>
            </w:r>
          </w:p>
        </w:tc>
        <w:tc>
          <w:tcPr>
            <w:tcW w:w="8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gridSpan w:val="2"/>
          </w:tcPr>
          <w:p>
            <w:pPr>
              <w:ind w:left="220"/>
              <w:spacing w:after="0" w:line="83" w:lineRule="exact"/>
              <w:rPr>
                <w:sz w:val="20"/>
                <w:szCs w:val="20"/>
                <w:color w:val="auto"/>
              </w:rPr>
            </w:pPr>
            <w:r>
              <w:rPr>
                <w:rFonts w:ascii="Arial" w:cs="Arial" w:eastAsia="Arial" w:hAnsi="Arial"/>
                <w:sz w:val="8"/>
                <w:szCs w:val="8"/>
                <w:b w:val="1"/>
                <w:bCs w:val="1"/>
                <w:color w:val="auto"/>
              </w:rPr>
              <w:t>Less than</w:t>
            </w:r>
          </w:p>
        </w:tc>
        <w:tc>
          <w:tcPr>
            <w:tcW w:w="440" w:type="dxa"/>
            <w:vAlign w:val="bottom"/>
          </w:tcPr>
          <w:p>
            <w:pPr>
              <w:spacing w:after="0"/>
              <w:rPr>
                <w:sz w:val="7"/>
                <w:szCs w:val="7"/>
                <w:color w:val="auto"/>
              </w:rPr>
            </w:pPr>
          </w:p>
        </w:tc>
        <w:tc>
          <w:tcPr>
            <w:tcW w:w="1180" w:type="dxa"/>
            <w:vAlign w:val="bottom"/>
            <w:vMerge w:val="restart"/>
          </w:tcPr>
          <w:p>
            <w:pPr>
              <w:jc w:val="right"/>
              <w:ind w:right="405"/>
              <w:spacing w:after="0"/>
              <w:rPr>
                <w:sz w:val="20"/>
                <w:szCs w:val="20"/>
                <w:color w:val="auto"/>
              </w:rPr>
            </w:pPr>
            <w:r>
              <w:rPr>
                <w:rFonts w:ascii="Arial" w:cs="Arial" w:eastAsia="Arial" w:hAnsi="Arial"/>
                <w:sz w:val="10"/>
                <w:szCs w:val="10"/>
                <w:b w:val="1"/>
                <w:bCs w:val="1"/>
                <w:color w:val="auto"/>
              </w:rPr>
              <w:t>1 - 3 years</w:t>
            </w:r>
          </w:p>
        </w:tc>
        <w:tc>
          <w:tcPr>
            <w:tcW w:w="100" w:type="dxa"/>
            <w:vAlign w:val="bottom"/>
            <w:vMerge w:val="restart"/>
          </w:tcPr>
          <w:p>
            <w:pPr>
              <w:spacing w:after="0"/>
              <w:rPr>
                <w:sz w:val="7"/>
                <w:szCs w:val="7"/>
                <w:color w:val="auto"/>
              </w:rPr>
            </w:pPr>
          </w:p>
        </w:tc>
        <w:tc>
          <w:tcPr>
            <w:tcW w:w="560" w:type="dxa"/>
            <w:vAlign w:val="bottom"/>
          </w:tcPr>
          <w:p>
            <w:pPr>
              <w:spacing w:after="0"/>
              <w:rPr>
                <w:sz w:val="7"/>
                <w:szCs w:val="7"/>
                <w:color w:val="auto"/>
              </w:rPr>
            </w:pPr>
          </w:p>
        </w:tc>
        <w:tc>
          <w:tcPr>
            <w:tcW w:w="1060" w:type="dxa"/>
            <w:vAlign w:val="bottom"/>
            <w:vMerge w:val="restart"/>
          </w:tcPr>
          <w:p>
            <w:pPr>
              <w:jc w:val="right"/>
              <w:ind w:right="403"/>
              <w:spacing w:after="0"/>
              <w:rPr>
                <w:sz w:val="20"/>
                <w:szCs w:val="20"/>
                <w:color w:val="auto"/>
              </w:rPr>
            </w:pPr>
            <w:r>
              <w:rPr>
                <w:rFonts w:ascii="Arial" w:cs="Arial" w:eastAsia="Arial" w:hAnsi="Arial"/>
                <w:sz w:val="10"/>
                <w:szCs w:val="10"/>
                <w:b w:val="1"/>
                <w:bCs w:val="1"/>
                <w:color w:val="auto"/>
              </w:rPr>
              <w:t>3 - 5 years</w:t>
            </w:r>
          </w:p>
        </w:tc>
        <w:tc>
          <w:tcPr>
            <w:tcW w:w="100" w:type="dxa"/>
            <w:vAlign w:val="bottom"/>
            <w:vMerge w:val="restart"/>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jc w:val="right"/>
              <w:ind w:right="406"/>
              <w:spacing w:after="0" w:line="83" w:lineRule="exact"/>
              <w:rPr>
                <w:sz w:val="20"/>
                <w:szCs w:val="20"/>
                <w:color w:val="auto"/>
              </w:rPr>
            </w:pPr>
            <w:r>
              <w:rPr>
                <w:rFonts w:ascii="Arial" w:cs="Arial" w:eastAsia="Arial" w:hAnsi="Arial"/>
                <w:sz w:val="8"/>
                <w:szCs w:val="8"/>
                <w:b w:val="1"/>
                <w:bCs w:val="1"/>
                <w:color w:val="auto"/>
              </w:rPr>
              <w:t>More than</w:t>
            </w:r>
          </w:p>
        </w:tc>
        <w:tc>
          <w:tcPr>
            <w:tcW w:w="0" w:type="dxa"/>
            <w:vAlign w:val="bottom"/>
          </w:tcPr>
          <w:p>
            <w:pPr>
              <w:spacing w:after="0"/>
              <w:rPr>
                <w:sz w:val="1"/>
                <w:szCs w:val="1"/>
                <w:color w:val="auto"/>
              </w:rPr>
            </w:pPr>
          </w:p>
        </w:tc>
      </w:tr>
      <w:tr>
        <w:trPr>
          <w:trHeight w:val="125"/>
        </w:trPr>
        <w:tc>
          <w:tcPr>
            <w:tcW w:w="24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b w:val="1"/>
                <w:bCs w:val="1"/>
                <w:color w:val="auto"/>
              </w:rPr>
              <w:t>1 year</w:t>
            </w: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five years</w:t>
            </w:r>
          </w:p>
        </w:tc>
        <w:tc>
          <w:tcPr>
            <w:tcW w:w="0" w:type="dxa"/>
            <w:vAlign w:val="bottom"/>
          </w:tcPr>
          <w:p>
            <w:pPr>
              <w:spacing w:after="0"/>
              <w:rPr>
                <w:sz w:val="1"/>
                <w:szCs w:val="1"/>
                <w:color w:val="auto"/>
              </w:rPr>
            </w:pPr>
          </w:p>
        </w:tc>
      </w:tr>
      <w:tr>
        <w:trPr>
          <w:trHeight w:val="107"/>
        </w:trPr>
        <w:tc>
          <w:tcPr>
            <w:tcW w:w="2500" w:type="dxa"/>
            <w:vAlign w:val="bottom"/>
            <w:gridSpan w:val="2"/>
            <w:shd w:val="clear" w:color="auto" w:fill="CCEEFF"/>
          </w:tcPr>
          <w:p>
            <w:pPr>
              <w:ind w:left="300"/>
              <w:spacing w:after="0" w:line="107" w:lineRule="exact"/>
              <w:rPr>
                <w:sz w:val="20"/>
                <w:szCs w:val="20"/>
                <w:color w:val="auto"/>
              </w:rPr>
            </w:pPr>
            <w:r>
              <w:rPr>
                <w:rFonts w:ascii="Arial" w:cs="Arial" w:eastAsia="Arial" w:hAnsi="Arial"/>
                <w:sz w:val="12"/>
                <w:szCs w:val="12"/>
                <w:color w:val="auto"/>
              </w:rPr>
              <w:t>Long-term debt obligations (includes</w:t>
            </w:r>
          </w:p>
        </w:tc>
        <w:tc>
          <w:tcPr>
            <w:tcW w:w="62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5,298,302</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vMerge w:val="restart"/>
            <w:shd w:val="clear" w:color="auto" w:fill="CCEEFF"/>
          </w:tcPr>
          <w:p>
            <w:pPr>
              <w:jc w:val="right"/>
              <w:ind w:right="6"/>
              <w:spacing w:after="0"/>
              <w:rPr>
                <w:sz w:val="20"/>
                <w:szCs w:val="20"/>
                <w:color w:val="auto"/>
              </w:rPr>
            </w:pPr>
            <w:r>
              <w:rPr>
                <w:rFonts w:ascii="Arial" w:cs="Arial" w:eastAsia="Arial" w:hAnsi="Arial"/>
                <w:sz w:val="12"/>
                <w:szCs w:val="12"/>
                <w:color w:val="auto"/>
              </w:rPr>
              <w:t>955,120</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1,398,990</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1,296,362</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1,647,830</w:t>
            </w:r>
          </w:p>
        </w:tc>
        <w:tc>
          <w:tcPr>
            <w:tcW w:w="0" w:type="dxa"/>
            <w:vAlign w:val="bottom"/>
          </w:tcPr>
          <w:p>
            <w:pPr>
              <w:spacing w:after="0"/>
              <w:rPr>
                <w:sz w:val="1"/>
                <w:szCs w:val="1"/>
                <w:color w:val="auto"/>
              </w:rPr>
            </w:pPr>
          </w:p>
        </w:tc>
      </w:tr>
      <w:tr>
        <w:trPr>
          <w:trHeight w:val="153"/>
        </w:trPr>
        <w:tc>
          <w:tcPr>
            <w:tcW w:w="2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expected interest payments)(1)</w:t>
            </w:r>
          </w:p>
        </w:tc>
        <w:tc>
          <w:tcPr>
            <w:tcW w:w="62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Borders>
              <w:bottom w:val="single" w:sz="8" w:color="CCEEFF"/>
            </w:tcBorders>
            <w:gridSpan w:val="2"/>
          </w:tcPr>
          <w:p>
            <w:pPr>
              <w:ind w:left="300"/>
              <w:spacing w:after="0"/>
              <w:rPr>
                <w:sz w:val="20"/>
                <w:szCs w:val="20"/>
                <w:color w:val="auto"/>
              </w:rPr>
            </w:pPr>
            <w:r>
              <w:rPr>
                <w:rFonts w:ascii="Arial" w:cs="Arial" w:eastAsia="Arial" w:hAnsi="Arial"/>
                <w:sz w:val="12"/>
                <w:szCs w:val="12"/>
                <w:color w:val="auto"/>
              </w:rPr>
              <w:t>Lease obligations(2)</w:t>
            </w: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167,142</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18,763</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26,038</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12,983</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109,358</w:t>
            </w:r>
          </w:p>
        </w:tc>
        <w:tc>
          <w:tcPr>
            <w:tcW w:w="0" w:type="dxa"/>
            <w:vAlign w:val="bottom"/>
          </w:tcPr>
          <w:p>
            <w:pPr>
              <w:spacing w:after="0"/>
              <w:rPr>
                <w:sz w:val="1"/>
                <w:szCs w:val="1"/>
                <w:color w:val="auto"/>
              </w:rPr>
            </w:pPr>
          </w:p>
        </w:tc>
      </w:tr>
      <w:tr>
        <w:trPr>
          <w:trHeight w:val="158"/>
        </w:trPr>
        <w:tc>
          <w:tcPr>
            <w:tcW w:w="2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5,465,444</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973,883</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1,425,028</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1,309,345</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1,757,188</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6" w:lineRule="exact"/>
        <w:rPr>
          <w:sz w:val="20"/>
          <w:szCs w:val="20"/>
          <w:color w:val="auto"/>
        </w:rPr>
      </w:pPr>
    </w:p>
    <w:p>
      <w:pPr>
        <w:ind w:left="540" w:hanging="278"/>
        <w:spacing w:after="0"/>
        <w:tabs>
          <w:tab w:leader="none" w:pos="5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Interest payments on floating rate debt were based on rates in effect at December 31, 2021.</w:t>
      </w:r>
    </w:p>
    <w:p>
      <w:pPr>
        <w:spacing w:after="0" w:line="1" w:lineRule="exact"/>
        <w:rPr>
          <w:rFonts w:ascii="Arial" w:cs="Arial" w:eastAsia="Arial" w:hAnsi="Arial"/>
          <w:sz w:val="11"/>
          <w:szCs w:val="11"/>
          <w:color w:val="auto"/>
        </w:rPr>
      </w:pPr>
    </w:p>
    <w:p>
      <w:pPr>
        <w:ind w:left="540" w:hanging="278"/>
        <w:spacing w:after="0"/>
        <w:tabs>
          <w:tab w:leader="none" w:pos="5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See Note 8—Leases in the Company's Notes to the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Funds From Operations ("FFO")</w:t>
      </w:r>
    </w:p>
    <w:p>
      <w:pPr>
        <w:spacing w:after="0" w:line="109"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79" w:lineRule="exact"/>
        <w:rPr>
          <w:sz w:val="20"/>
          <w:szCs w:val="20"/>
          <w:color w:val="auto"/>
        </w:rPr>
      </w:pPr>
    </w:p>
    <w:p>
      <w:pPr>
        <w:ind w:right="140" w:firstLine="297"/>
        <w:spacing w:after="0" w:line="263" w:lineRule="auto"/>
        <w:rPr>
          <w:sz w:val="20"/>
          <w:szCs w:val="20"/>
          <w:color w:val="auto"/>
        </w:rPr>
      </w:pPr>
      <w:r>
        <w:rPr>
          <w:rFonts w:ascii="Arial" w:cs="Arial" w:eastAsia="Arial" w:hAnsi="Arial"/>
          <w:sz w:val="12"/>
          <w:szCs w:val="12"/>
          <w:color w:val="auto"/>
        </w:rPr>
        <w:t>Beginning during the first quarter of 2018, the Company revised its definition of FFO so that FFO excluded the impact of the financing expense in connection with Chandler Freehold. Beginning in 2019, the Company now presents a separate non-GAAP measure - FFO excluding financing expense in connection with Chandler Freehold. The Company has revised the FFO presentation for the years ended December 31, 2018 and 2017 to conform to the current presentation.</w:t>
      </w:r>
    </w:p>
    <w:p>
      <w:pPr>
        <w:spacing w:after="0" w:line="68"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(loss) income. Only the noted expenses related to the changes in fair value and for the payments to the joint venture partner less than or in excess of their pro rata share of net income are excluded from the measure - FFO excluding financing expense in connection with Chandler Freehold.</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also presents FFO excluding financing expense in connection with Chandler Freehold and loss on extinguishment of debt.</w:t>
      </w:r>
    </w:p>
    <w:p>
      <w:pPr>
        <w:spacing w:after="0" w:line="105" w:lineRule="exact"/>
        <w:rPr>
          <w:sz w:val="20"/>
          <w:szCs w:val="20"/>
          <w:color w:val="auto"/>
        </w:rPr>
      </w:pPr>
    </w:p>
    <w:p>
      <w:pPr>
        <w:ind w:firstLine="297"/>
        <w:spacing w:after="0" w:line="255" w:lineRule="auto"/>
        <w:rPr>
          <w:sz w:val="20"/>
          <w:szCs w:val="20"/>
          <w:color w:val="auto"/>
        </w:rPr>
      </w:pPr>
      <w:r>
        <w:rPr>
          <w:rFonts w:ascii="Arial" w:cs="Arial" w:eastAsia="Arial" w:hAnsi="Arial"/>
          <w:sz w:val="12"/>
          <w:szCs w:val="12"/>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and costs related to shareholder activism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74" w:lineRule="exact"/>
        <w:rPr>
          <w:sz w:val="20"/>
          <w:szCs w:val="20"/>
          <w:color w:val="auto"/>
        </w:rPr>
      </w:pPr>
    </w:p>
    <w:p>
      <w:pPr>
        <w:ind w:right="20" w:firstLine="297"/>
        <w:spacing w:after="0" w:line="276" w:lineRule="auto"/>
        <w:rPr>
          <w:sz w:val="20"/>
          <w:szCs w:val="20"/>
          <w:color w:val="auto"/>
        </w:rPr>
      </w:pPr>
      <w:r>
        <w:rPr>
          <w:rFonts w:ascii="Arial" w:cs="Arial" w:eastAsia="Arial" w:hAnsi="Arial"/>
          <w:sz w:val="12"/>
          <w:szCs w:val="12"/>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43" w:right="37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color w:val="auto"/>
        </w:rPr>
        <w:t>Funds From Operations ("FFO") (Continued)</w:t>
      </w:r>
    </w:p>
    <w:p>
      <w:pPr>
        <w:spacing w:after="0" w:line="100" w:lineRule="exact"/>
        <w:rPr>
          <w:sz w:val="20"/>
          <w:szCs w:val="20"/>
          <w:color w:val="auto"/>
        </w:rPr>
      </w:pPr>
    </w:p>
    <w:p>
      <w:pPr>
        <w:ind w:right="60" w:firstLine="297"/>
        <w:spacing w:after="0" w:line="289" w:lineRule="auto"/>
        <w:rPr>
          <w:sz w:val="20"/>
          <w:szCs w:val="20"/>
          <w:color w:val="auto"/>
        </w:rPr>
      </w:pPr>
      <w:r>
        <w:rPr>
          <w:rFonts w:ascii="Arial" w:cs="Arial" w:eastAsia="Arial" w:hAnsi="Arial"/>
          <w:sz w:val="11"/>
          <w:szCs w:val="11"/>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 The following reconciles net (loss) income attributable to the Company to FFO and FFO-basic and diluted, excluding financing expense in connection with Chandler Freehold, loss on extinguishment of debt, net and costs related to shareholder activism for the years ended December 31, 2021, 2020, 2019, 2018 and 2017 (dollars and shares in thousands):</w:t>
      </w:r>
    </w:p>
    <w:p>
      <w:pPr>
        <w:spacing w:after="0" w:line="348" w:lineRule="exact"/>
        <w:rPr>
          <w:sz w:val="20"/>
          <w:szCs w:val="20"/>
          <w:color w:val="auto"/>
        </w:rPr>
      </w:pPr>
    </w:p>
    <w:tbl>
      <w:tblPr>
        <w:tblLayout w:type="fixed"/>
        <w:tblInd w:w="280" w:type="dxa"/>
        <w:tblCellMar>
          <w:top w:w="0" w:type="dxa"/>
          <w:left w:w="0" w:type="dxa"/>
          <w:bottom w:w="0" w:type="dxa"/>
          <w:right w:w="0" w:type="dxa"/>
        </w:tblCellMar>
      </w:tblPr>
      <w:tr>
        <w:trPr>
          <w:trHeight w:val="127"/>
        </w:trPr>
        <w:tc>
          <w:tcPr>
            <w:tcW w:w="40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137"/>
        </w:trPr>
        <w:tc>
          <w:tcPr>
            <w:tcW w:w="4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income (loss) attributable to the Company</w:t>
            </w:r>
          </w:p>
        </w:tc>
        <w:tc>
          <w:tcPr>
            <w:tcW w:w="940" w:type="dxa"/>
            <w:vAlign w:val="bottom"/>
            <w:shd w:val="clear" w:color="auto" w:fill="CCEEFF"/>
          </w:tcPr>
          <w:p>
            <w:pPr>
              <w:jc w:val="right"/>
              <w:ind w:right="528"/>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14,263</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(230,203)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96,820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60,020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146,1</w:t>
            </w:r>
          </w:p>
        </w:tc>
        <w:tc>
          <w:tcPr>
            <w:tcW w:w="0" w:type="dxa"/>
            <w:vAlign w:val="bottom"/>
          </w:tcPr>
          <w:p>
            <w:pPr>
              <w:spacing w:after="0"/>
              <w:rPr>
                <w:sz w:val="1"/>
                <w:szCs w:val="1"/>
                <w:color w:val="auto"/>
              </w:rPr>
            </w:pPr>
          </w:p>
        </w:tc>
      </w:tr>
      <w:tr>
        <w:trPr>
          <w:trHeight w:val="112"/>
        </w:trPr>
        <w:tc>
          <w:tcPr>
            <w:tcW w:w="4060" w:type="dxa"/>
            <w:vAlign w:val="bottom"/>
          </w:tcPr>
          <w:p>
            <w:pPr>
              <w:ind w:left="320"/>
              <w:spacing w:after="0" w:line="112" w:lineRule="exact"/>
              <w:rPr>
                <w:sz w:val="20"/>
                <w:szCs w:val="20"/>
                <w:color w:val="auto"/>
              </w:rPr>
            </w:pPr>
            <w:r>
              <w:rPr>
                <w:rFonts w:ascii="Arial" w:cs="Arial" w:eastAsia="Arial" w:hAnsi="Arial"/>
                <w:sz w:val="11"/>
                <w:szCs w:val="11"/>
                <w:color w:val="auto"/>
                <w:w w:val="97"/>
              </w:rPr>
              <w:t>Adjustments to reconcile net income (loss) attributable to the Company to FFO</w:t>
            </w: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4060" w:type="dxa"/>
            <w:vAlign w:val="bottom"/>
          </w:tcPr>
          <w:p>
            <w:pPr>
              <w:ind w:left="20"/>
              <w:spacing w:after="0"/>
              <w:rPr>
                <w:sz w:val="20"/>
                <w:szCs w:val="20"/>
                <w:color w:val="auto"/>
              </w:rPr>
            </w:pPr>
            <w:r>
              <w:rPr>
                <w:rFonts w:ascii="Arial" w:cs="Arial" w:eastAsia="Arial" w:hAnsi="Arial"/>
                <w:sz w:val="11"/>
                <w:szCs w:val="11"/>
                <w:color w:val="auto"/>
              </w:rPr>
              <w:t>attributable to common stockholders and unit holders—basic and diluted:</w:t>
            </w: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Noncontrolling interests in the Operating Partnership</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(16,822)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142"/>
        </w:trPr>
        <w:tc>
          <w:tcPr>
            <w:tcW w:w="4060" w:type="dxa"/>
            <w:vAlign w:val="bottom"/>
          </w:tcPr>
          <w:p>
            <w:pPr>
              <w:ind w:left="400"/>
              <w:spacing w:after="0"/>
              <w:rPr>
                <w:sz w:val="20"/>
                <w:szCs w:val="20"/>
                <w:color w:val="auto"/>
              </w:rPr>
            </w:pPr>
            <w:r>
              <w:rPr>
                <w:rFonts w:ascii="Arial" w:cs="Arial" w:eastAsia="Arial" w:hAnsi="Arial"/>
                <w:sz w:val="11"/>
                <w:szCs w:val="11"/>
                <w:color w:val="auto"/>
              </w:rPr>
              <w:t>(Gain) loss on sale or write down of consolidated assets, net</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(75,740)</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68,112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11,909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31,825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(42,4</w:t>
            </w:r>
          </w:p>
        </w:tc>
        <w:tc>
          <w:tcPr>
            <w:tcW w:w="0" w:type="dxa"/>
            <w:vAlign w:val="bottom"/>
          </w:tcPr>
          <w:p>
            <w:pPr>
              <w:spacing w:after="0"/>
              <w:rPr>
                <w:sz w:val="1"/>
                <w:szCs w:val="1"/>
                <w:color w:val="auto"/>
              </w:rPr>
            </w:pPr>
          </w:p>
        </w:tc>
      </w:tr>
      <w:tr>
        <w:trPr>
          <w:trHeight w:val="146"/>
        </w:trPr>
        <w:tc>
          <w:tcPr>
            <w:tcW w:w="4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Loss on remeasurement of consolidated assets</w:t>
            </w:r>
          </w:p>
        </w:tc>
        <w:tc>
          <w:tcPr>
            <w:tcW w:w="9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163,298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ind w:left="400"/>
              <w:spacing w:after="0"/>
              <w:rPr>
                <w:sz w:val="20"/>
                <w:szCs w:val="20"/>
                <w:color w:val="auto"/>
              </w:rPr>
            </w:pPr>
            <w:r>
              <w:rPr>
                <w:rFonts w:ascii="Arial" w:cs="Arial" w:eastAsia="Arial" w:hAnsi="Arial"/>
                <w:sz w:val="11"/>
                <w:szCs w:val="11"/>
                <w:color w:val="auto"/>
                <w:w w:val="94"/>
              </w:rPr>
              <w:t>Add: gain on undepreciated asset sales or write-down from consolidated assets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19,461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7,777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3,829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4,884</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14"/>
        </w:trPr>
        <w:tc>
          <w:tcPr>
            <w:tcW w:w="4060" w:type="dxa"/>
            <w:vAlign w:val="bottom"/>
            <w:shd w:val="clear" w:color="auto" w:fill="CCEEFF"/>
          </w:tcPr>
          <w:p>
            <w:pPr>
              <w:ind w:left="400"/>
              <w:spacing w:after="0" w:line="114" w:lineRule="exact"/>
              <w:rPr>
                <w:sz w:val="20"/>
                <w:szCs w:val="20"/>
                <w:color w:val="auto"/>
              </w:rPr>
            </w:pPr>
            <w:r>
              <w:rPr>
                <w:rFonts w:ascii="Arial" w:cs="Arial" w:eastAsia="Arial" w:hAnsi="Arial"/>
                <w:sz w:val="11"/>
                <w:szCs w:val="11"/>
                <w:color w:val="auto"/>
                <w:w w:val="99"/>
              </w:rPr>
              <w:t>Less: loss on write-down of non-real estate sales or write-down of assets—</w:t>
            </w:r>
          </w:p>
        </w:tc>
        <w:tc>
          <w:tcPr>
            <w:tcW w:w="94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(2,200)</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(4,154)</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40"/>
        </w:trPr>
        <w:tc>
          <w:tcPr>
            <w:tcW w:w="4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consolidated assets</w:t>
            </w:r>
          </w:p>
        </w:tc>
        <w:tc>
          <w:tcPr>
            <w:tcW w:w="9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60" w:type="dxa"/>
            <w:vAlign w:val="bottom"/>
          </w:tcPr>
          <w:p>
            <w:pPr>
              <w:ind w:left="400"/>
              <w:spacing w:after="0" w:line="112" w:lineRule="exact"/>
              <w:rPr>
                <w:sz w:val="20"/>
                <w:szCs w:val="20"/>
                <w:color w:val="auto"/>
              </w:rPr>
            </w:pPr>
            <w:r>
              <w:rPr>
                <w:rFonts w:ascii="Arial" w:cs="Arial" w:eastAsia="Arial" w:hAnsi="Arial"/>
                <w:sz w:val="11"/>
                <w:szCs w:val="11"/>
                <w:color w:val="auto"/>
                <w:w w:val="90"/>
              </w:rPr>
              <w:t>Add: noncontrolling interests share of gain (loss) on sale or write-down of assets—</w:t>
            </w:r>
          </w:p>
        </w:tc>
        <w:tc>
          <w:tcPr>
            <w:tcW w:w="94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9,732</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(2,822)</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580</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38"/>
        </w:trPr>
        <w:tc>
          <w:tcPr>
            <w:tcW w:w="4060" w:type="dxa"/>
            <w:vAlign w:val="bottom"/>
          </w:tcPr>
          <w:p>
            <w:pPr>
              <w:ind w:left="100"/>
              <w:spacing w:after="0"/>
              <w:rPr>
                <w:sz w:val="20"/>
                <w:szCs w:val="20"/>
                <w:color w:val="auto"/>
              </w:rPr>
            </w:pPr>
            <w:r>
              <w:rPr>
                <w:rFonts w:ascii="Arial" w:cs="Arial" w:eastAsia="Arial" w:hAnsi="Arial"/>
                <w:sz w:val="11"/>
                <w:szCs w:val="11"/>
                <w:color w:val="auto"/>
              </w:rPr>
              <w:t>consolidated assets</w:t>
            </w:r>
          </w:p>
        </w:tc>
        <w:tc>
          <w:tcPr>
            <w:tcW w:w="9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6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6"/>
              </w:rPr>
              <w:t>Loss (gain) on sale or write down of assets—unconsolidated joint ventures(1)</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0" w:type="dxa"/>
            <w:vAlign w:val="bottom"/>
          </w:tcPr>
          <w:p>
            <w:pPr>
              <w:spacing w:after="0"/>
              <w:rPr>
                <w:sz w:val="1"/>
                <w:szCs w:val="1"/>
                <w:color w:val="auto"/>
              </w:rPr>
            </w:pPr>
          </w:p>
        </w:tc>
      </w:tr>
      <w:tr>
        <w:trPr>
          <w:trHeight w:val="142"/>
        </w:trPr>
        <w:tc>
          <w:tcPr>
            <w:tcW w:w="4060" w:type="dxa"/>
            <w:vAlign w:val="bottom"/>
          </w:tcPr>
          <w:p>
            <w:pPr>
              <w:ind w:left="400"/>
              <w:spacing w:after="0"/>
              <w:rPr>
                <w:sz w:val="20"/>
                <w:szCs w:val="20"/>
                <w:color w:val="auto"/>
              </w:rPr>
            </w:pPr>
            <w:r>
              <w:rPr>
                <w:rFonts w:ascii="Arial" w:cs="Arial" w:eastAsia="Arial" w:hAnsi="Arial"/>
                <w:sz w:val="11"/>
                <w:szCs w:val="11"/>
                <w:color w:val="auto"/>
                <w:w w:val="97"/>
              </w:rPr>
              <w:t>Add: gain on sale of undepreciated assets—unconsolidated joint ventures(1)</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46"/>
        </w:trPr>
        <w:tc>
          <w:tcPr>
            <w:tcW w:w="4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Depreciation and amortization on consolidated assets</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311,129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319,619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330,726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327,436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335,4</w:t>
            </w:r>
          </w:p>
        </w:tc>
        <w:tc>
          <w:tcPr>
            <w:tcW w:w="0" w:type="dxa"/>
            <w:vAlign w:val="bottom"/>
          </w:tcPr>
          <w:p>
            <w:pPr>
              <w:spacing w:after="0"/>
              <w:rPr>
                <w:sz w:val="1"/>
                <w:szCs w:val="1"/>
                <w:color w:val="auto"/>
              </w:rPr>
            </w:pPr>
          </w:p>
        </w:tc>
      </w:tr>
      <w:tr>
        <w:trPr>
          <w:trHeight w:val="142"/>
        </w:trPr>
        <w:tc>
          <w:tcPr>
            <w:tcW w:w="4060" w:type="dxa"/>
            <w:vAlign w:val="bottom"/>
          </w:tcPr>
          <w:p>
            <w:pPr>
              <w:ind w:left="400"/>
              <w:spacing w:after="0"/>
              <w:rPr>
                <w:sz w:val="20"/>
                <w:szCs w:val="20"/>
                <w:color w:val="auto"/>
              </w:rPr>
            </w:pPr>
            <w:r>
              <w:rPr>
                <w:rFonts w:ascii="Arial" w:cs="Arial" w:eastAsia="Arial" w:hAnsi="Arial"/>
                <w:sz w:val="11"/>
                <w:szCs w:val="11"/>
                <w:color w:val="auto"/>
                <w:w w:val="88"/>
              </w:rPr>
              <w:t>Less: noncontrolling interests in depreciation and amortization—consolidated assets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(29,239)</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(15,517)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(15,124)</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(14,793)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46"/>
        </w:trPr>
        <w:tc>
          <w:tcPr>
            <w:tcW w:w="4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Depreciation and amortization—unconsolidated joint ventures(1)</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182,956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199,680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189,728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174,952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177,2</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Less: depreciation on personal property</w:t>
            </w:r>
          </w:p>
        </w:tc>
        <w:tc>
          <w:tcPr>
            <w:tcW w:w="9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2"/>
              </w:rPr>
              <w:t>(12,955)</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(15,734)</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(15,997)</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(13,699)</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w:t>
            </w:r>
          </w:p>
        </w:tc>
        <w:tc>
          <w:tcPr>
            <w:tcW w:w="0" w:type="dxa"/>
            <w:vAlign w:val="bottom"/>
          </w:tcPr>
          <w:p>
            <w:pPr>
              <w:spacing w:after="0"/>
              <w:rPr>
                <w:sz w:val="1"/>
                <w:szCs w:val="1"/>
                <w:color w:val="auto"/>
              </w:rPr>
            </w:pPr>
          </w:p>
        </w:tc>
      </w:tr>
      <w:tr>
        <w:trPr>
          <w:trHeight w:val="135"/>
        </w:trPr>
        <w:tc>
          <w:tcPr>
            <w:tcW w:w="4060" w:type="dxa"/>
            <w:vAlign w:val="bottom"/>
            <w:shd w:val="clear" w:color="auto" w:fill="CCEEFF"/>
          </w:tcPr>
          <w:p>
            <w:pPr>
              <w:ind w:left="320"/>
              <w:spacing w:after="0"/>
              <w:rPr>
                <w:sz w:val="20"/>
                <w:szCs w:val="20"/>
                <w:color w:val="auto"/>
              </w:rPr>
            </w:pPr>
            <w:r>
              <w:rPr>
                <w:rFonts w:ascii="Arial" w:cs="Arial" w:eastAsia="Arial" w:hAnsi="Arial"/>
                <w:sz w:val="11"/>
                <w:szCs w:val="11"/>
                <w:color w:val="auto"/>
                <w:w w:val="98"/>
              </w:rPr>
              <w:t>FFO attributable to common stockholders and unit holders—basic and diluted</w:t>
            </w:r>
          </w:p>
        </w:tc>
        <w:tc>
          <w:tcPr>
            <w:tcW w:w="9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423,145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475,930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606,662</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573,285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582,8</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Financing expense in connection with Chandler Freehold</w:t>
            </w:r>
          </w:p>
        </w:tc>
        <w:tc>
          <w:tcPr>
            <w:tcW w:w="9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(955)</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(136,425)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(69,701)</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(8,849)</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060" w:type="dxa"/>
            <w:vAlign w:val="bottom"/>
            <w:shd w:val="clear" w:color="auto" w:fill="CCEEFF"/>
          </w:tcPr>
          <w:p>
            <w:pPr>
              <w:ind w:left="320"/>
              <w:spacing w:after="0" w:line="94" w:lineRule="exact"/>
              <w:rPr>
                <w:sz w:val="20"/>
                <w:szCs w:val="20"/>
                <w:color w:val="auto"/>
              </w:rPr>
            </w:pPr>
            <w:r>
              <w:rPr>
                <w:rFonts w:ascii="Arial" w:cs="Arial" w:eastAsia="Arial" w:hAnsi="Arial"/>
                <w:sz w:val="10"/>
                <w:szCs w:val="10"/>
                <w:color w:val="auto"/>
              </w:rPr>
              <w:t>FFO attributable to common stockholders and unit holders, excluding financing</w:t>
            </w:r>
          </w:p>
        </w:tc>
        <w:tc>
          <w:tcPr>
            <w:tcW w:w="9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422,190</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339,505</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536,961</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564,436</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582,8</w:t>
            </w:r>
          </w:p>
        </w:tc>
        <w:tc>
          <w:tcPr>
            <w:tcW w:w="0" w:type="dxa"/>
            <w:vAlign w:val="bottom"/>
          </w:tcPr>
          <w:p>
            <w:pPr>
              <w:spacing w:after="0"/>
              <w:rPr>
                <w:sz w:val="1"/>
                <w:szCs w:val="1"/>
                <w:color w:val="auto"/>
              </w:rPr>
            </w:pPr>
          </w:p>
        </w:tc>
      </w:tr>
      <w:tr>
        <w:trPr>
          <w:trHeight w:val="140"/>
        </w:trPr>
        <w:tc>
          <w:tcPr>
            <w:tcW w:w="4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 in connection with Chandler Freehold—basic and diluted</w:t>
            </w:r>
          </w:p>
        </w:tc>
        <w:tc>
          <w:tcPr>
            <w:tcW w:w="9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ind w:left="400"/>
              <w:spacing w:after="0"/>
              <w:rPr>
                <w:sz w:val="20"/>
                <w:szCs w:val="20"/>
                <w:color w:val="auto"/>
              </w:rPr>
            </w:pPr>
            <w:r>
              <w:rPr>
                <w:rFonts w:ascii="Arial" w:cs="Arial" w:eastAsia="Arial" w:hAnsi="Arial"/>
                <w:sz w:val="11"/>
                <w:szCs w:val="11"/>
                <w:color w:val="auto"/>
              </w:rPr>
              <w:t>Loss on extinguishment of debt, net—consolidated assets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1,007</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Costs related to shareholder activism</w:t>
            </w:r>
          </w:p>
        </w:tc>
        <w:tc>
          <w:tcPr>
            <w:tcW w:w="9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19,369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060" w:type="dxa"/>
            <w:vAlign w:val="bottom"/>
          </w:tcPr>
          <w:p>
            <w:pPr>
              <w:ind w:left="320"/>
              <w:spacing w:after="0" w:line="92" w:lineRule="exact"/>
              <w:rPr>
                <w:sz w:val="20"/>
                <w:szCs w:val="20"/>
                <w:color w:val="auto"/>
              </w:rPr>
            </w:pPr>
            <w:r>
              <w:rPr>
                <w:rFonts w:ascii="Arial" w:cs="Arial" w:eastAsia="Arial" w:hAnsi="Arial"/>
                <w:sz w:val="10"/>
                <w:szCs w:val="10"/>
                <w:color w:val="auto"/>
              </w:rPr>
              <w:t>FFO attributable to common stockholders and unit holders excluding financing</w:t>
            </w:r>
          </w:p>
        </w:tc>
        <w:tc>
          <w:tcPr>
            <w:tcW w:w="9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60" w:type="dxa"/>
            <w:vAlign w:val="bottom"/>
          </w:tcPr>
          <w:p>
            <w:pPr>
              <w:ind w:left="20"/>
              <w:spacing w:after="0" w:line="108" w:lineRule="exact"/>
              <w:rPr>
                <w:sz w:val="20"/>
                <w:szCs w:val="20"/>
                <w:color w:val="auto"/>
              </w:rPr>
            </w:pPr>
            <w:r>
              <w:rPr>
                <w:rFonts w:ascii="Arial" w:cs="Arial" w:eastAsia="Arial" w:hAnsi="Arial"/>
                <w:sz w:val="11"/>
                <w:szCs w:val="11"/>
                <w:color w:val="auto"/>
                <w:w w:val="89"/>
              </w:rPr>
              <w:t>expense in connection with Chandler Freehold, extinguishment of debt, net and costs related</w:t>
            </w:r>
          </w:p>
        </w:tc>
        <w:tc>
          <w:tcPr>
            <w:tcW w:w="940" w:type="dxa"/>
            <w:vAlign w:val="bottom"/>
            <w:vMerge w:val="restart"/>
          </w:tcPr>
          <w:p>
            <w:pPr>
              <w:jc w:val="right"/>
              <w:ind w:right="528"/>
              <w:spacing w:after="0"/>
              <w:rPr>
                <w:sz w:val="20"/>
                <w:szCs w:val="20"/>
                <w:color w:val="auto"/>
              </w:rPr>
            </w:pPr>
            <w:r>
              <w:rPr>
                <w:rFonts w:ascii="Arial" w:cs="Arial" w:eastAsia="Arial" w:hAnsi="Arial"/>
                <w:sz w:val="11"/>
                <w:szCs w:val="1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w w:val="90"/>
              </w:rPr>
              <w:t>423,197</w:t>
            </w:r>
          </w:p>
        </w:tc>
        <w:tc>
          <w:tcPr>
            <w:tcW w:w="80" w:type="dxa"/>
            <w:vAlign w:val="bottom"/>
          </w:tcPr>
          <w:p>
            <w:pPr>
              <w:spacing w:after="0"/>
              <w:rPr>
                <w:sz w:val="9"/>
                <w:szCs w:val="9"/>
                <w:color w:val="auto"/>
              </w:rPr>
            </w:pPr>
          </w:p>
        </w:tc>
        <w:tc>
          <w:tcPr>
            <w:tcW w:w="5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339,505</w:t>
            </w:r>
          </w:p>
        </w:tc>
        <w:tc>
          <w:tcPr>
            <w:tcW w:w="100" w:type="dxa"/>
            <w:vAlign w:val="bottom"/>
          </w:tcPr>
          <w:p>
            <w:pPr>
              <w:spacing w:after="0"/>
              <w:rPr>
                <w:sz w:val="9"/>
                <w:szCs w:val="9"/>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537,312</w:t>
            </w:r>
          </w:p>
        </w:tc>
        <w:tc>
          <w:tcPr>
            <w:tcW w:w="100" w:type="dxa"/>
            <w:vAlign w:val="bottom"/>
          </w:tcPr>
          <w:p>
            <w:pPr>
              <w:spacing w:after="0"/>
              <w:rPr>
                <w:sz w:val="9"/>
                <w:szCs w:val="9"/>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583,805</w:t>
            </w:r>
          </w:p>
        </w:tc>
        <w:tc>
          <w:tcPr>
            <w:tcW w:w="100" w:type="dxa"/>
            <w:vAlign w:val="bottom"/>
          </w:tcPr>
          <w:p>
            <w:pPr>
              <w:spacing w:after="0"/>
              <w:rPr>
                <w:sz w:val="9"/>
                <w:szCs w:val="9"/>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582,8</w:t>
            </w:r>
          </w:p>
        </w:tc>
        <w:tc>
          <w:tcPr>
            <w:tcW w:w="0" w:type="dxa"/>
            <w:vAlign w:val="bottom"/>
          </w:tcPr>
          <w:p>
            <w:pPr>
              <w:spacing w:after="0"/>
              <w:rPr>
                <w:sz w:val="1"/>
                <w:szCs w:val="1"/>
                <w:color w:val="auto"/>
              </w:rPr>
            </w:pPr>
          </w:p>
        </w:tc>
      </w:tr>
      <w:tr>
        <w:trPr>
          <w:trHeight w:val="138"/>
        </w:trPr>
        <w:tc>
          <w:tcPr>
            <w:tcW w:w="4060" w:type="dxa"/>
            <w:vAlign w:val="bottom"/>
            <w:tcBorders>
              <w:bottom w:val="single" w:sz="8" w:color="CCEEFF"/>
            </w:tcBorders>
          </w:tcPr>
          <w:p>
            <w:pPr>
              <w:ind w:left="20"/>
              <w:spacing w:after="0" w:line="122" w:lineRule="exact"/>
              <w:rPr>
                <w:sz w:val="20"/>
                <w:szCs w:val="20"/>
                <w:color w:val="auto"/>
              </w:rPr>
            </w:pPr>
            <w:r>
              <w:rPr>
                <w:rFonts w:ascii="Arial" w:cs="Arial" w:eastAsia="Arial" w:hAnsi="Arial"/>
                <w:sz w:val="11"/>
                <w:szCs w:val="11"/>
                <w:color w:val="auto"/>
              </w:rPr>
              <w:t>to shareholder activism—diluted</w:t>
            </w:r>
          </w:p>
        </w:tc>
        <w:tc>
          <w:tcPr>
            <w:tcW w:w="9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Weighted average number of FFO shares outstanding for:</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ind w:left="320"/>
              <w:spacing w:after="0"/>
              <w:rPr>
                <w:sz w:val="20"/>
                <w:szCs w:val="20"/>
                <w:color w:val="auto"/>
              </w:rPr>
            </w:pPr>
            <w:r>
              <w:rPr>
                <w:rFonts w:ascii="Arial" w:cs="Arial" w:eastAsia="Arial" w:hAnsi="Arial"/>
                <w:sz w:val="11"/>
                <w:szCs w:val="11"/>
                <w:color w:val="auto"/>
              </w:rPr>
              <w:t>FFO attributable to common stockholders and unit holders—basic(2)</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0"/>
              </w:rPr>
              <w:t>207,991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156,920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151,755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151,502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152,2</w:t>
            </w:r>
          </w:p>
        </w:tc>
        <w:tc>
          <w:tcPr>
            <w:tcW w:w="0" w:type="dxa"/>
            <w:vAlign w:val="bottom"/>
          </w:tcPr>
          <w:p>
            <w:pPr>
              <w:spacing w:after="0"/>
              <w:rPr>
                <w:sz w:val="1"/>
                <w:szCs w:val="1"/>
                <w:color w:val="auto"/>
              </w:rPr>
            </w:pPr>
          </w:p>
        </w:tc>
      </w:tr>
      <w:tr>
        <w:trPr>
          <w:trHeight w:val="146"/>
        </w:trPr>
        <w:tc>
          <w:tcPr>
            <w:tcW w:w="40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Adjustments for the impact of dilutive securities in computing FFO—diluted:</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ind w:left="400"/>
              <w:spacing w:after="0"/>
              <w:rPr>
                <w:sz w:val="20"/>
                <w:szCs w:val="20"/>
                <w:color w:val="auto"/>
              </w:rPr>
            </w:pPr>
            <w:r>
              <w:rPr>
                <w:rFonts w:ascii="Arial" w:cs="Arial" w:eastAsia="Arial" w:hAnsi="Arial"/>
                <w:sz w:val="11"/>
                <w:szCs w:val="11"/>
                <w:color w:val="auto"/>
              </w:rPr>
              <w:t>Share and unit-based compensation plans</w:t>
            </w:r>
          </w:p>
        </w:tc>
        <w:tc>
          <w:tcPr>
            <w:tcW w:w="9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FFO attributable to common stockholders and unit holders—diluted(3)</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207,991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156,920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151,755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151,504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739" w:right="239" w:bottom="1440" w:gutter="0" w:footer="0" w:header="0"/>
        </w:sectPr>
      </w:pPr>
    </w:p>
    <w:bookmarkStart w:id="56" w:name="page57"/>
    <w:bookmarkEnd w:id="56"/>
    <w:p>
      <w:pPr>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99" w:lineRule="exact"/>
        <w:rPr>
          <w:sz w:val="20"/>
          <w:szCs w:val="20"/>
          <w:color w:val="auto"/>
        </w:rPr>
      </w:pPr>
    </w:p>
    <w:p>
      <w:pPr>
        <w:ind w:left="540" w:hanging="278"/>
        <w:spacing w:after="0"/>
        <w:tabs>
          <w:tab w:leader="none" w:pos="540" w:val="left"/>
        </w:tabs>
        <w:numPr>
          <w:ilvl w:val="0"/>
          <w:numId w:val="26"/>
        </w:numPr>
        <w:rPr>
          <w:rFonts w:ascii="Arial" w:cs="Arial" w:eastAsia="Arial" w:hAnsi="Arial"/>
          <w:sz w:val="11"/>
          <w:szCs w:val="11"/>
          <w:color w:val="auto"/>
        </w:rPr>
      </w:pPr>
      <w:r>
        <w:rPr>
          <w:rFonts w:ascii="Arial" w:cs="Arial" w:eastAsia="Arial" w:hAnsi="Arial"/>
          <w:sz w:val="11"/>
          <w:szCs w:val="11"/>
          <w:color w:val="auto"/>
        </w:rPr>
        <w:t>Unconsolidated assets are presented at the Company's pro rata share.</w:t>
      </w:r>
    </w:p>
    <w:p>
      <w:pPr>
        <w:spacing w:after="0" w:line="89" w:lineRule="exact"/>
        <w:rPr>
          <w:rFonts w:ascii="Arial" w:cs="Arial" w:eastAsia="Arial" w:hAnsi="Arial"/>
          <w:sz w:val="11"/>
          <w:szCs w:val="11"/>
          <w:color w:val="auto"/>
        </w:rPr>
      </w:pPr>
    </w:p>
    <w:p>
      <w:pPr>
        <w:ind w:left="540" w:right="100" w:hanging="278"/>
        <w:spacing w:after="0" w:line="257" w:lineRule="auto"/>
        <w:tabs>
          <w:tab w:leader="none" w:pos="540" w:val="left"/>
        </w:tabs>
        <w:numPr>
          <w:ilvl w:val="0"/>
          <w:numId w:val="26"/>
        </w:numPr>
        <w:rPr>
          <w:rFonts w:ascii="Arial" w:cs="Arial" w:eastAsia="Arial" w:hAnsi="Arial"/>
          <w:sz w:val="11"/>
          <w:szCs w:val="11"/>
          <w:color w:val="auto"/>
        </w:rPr>
      </w:pPr>
      <w:r>
        <w:rPr>
          <w:rFonts w:ascii="Arial" w:cs="Arial" w:eastAsia="Arial" w:hAnsi="Arial"/>
          <w:sz w:val="11"/>
          <w:szCs w:val="11"/>
          <w:color w:val="auto"/>
        </w:rPr>
        <w:t>Calculated based upon basic net income as adjusted to reach basic FFO. During the years ended December 31, 2021, 2020, 2019, 2018 and 2017, there were 9.9 million, 10.7 million, 10.4 million, 10.4 million and 10.4 million OP Units outstanding, respectively.</w:t>
      </w:r>
    </w:p>
    <w:p>
      <w:pPr>
        <w:spacing w:after="0" w:line="80" w:lineRule="exact"/>
        <w:rPr>
          <w:rFonts w:ascii="Arial" w:cs="Arial" w:eastAsia="Arial" w:hAnsi="Arial"/>
          <w:sz w:val="11"/>
          <w:szCs w:val="11"/>
          <w:color w:val="auto"/>
        </w:rPr>
      </w:pPr>
    </w:p>
    <w:p>
      <w:pPr>
        <w:ind w:left="540" w:right="280" w:hanging="278"/>
        <w:spacing w:after="0" w:line="257" w:lineRule="auto"/>
        <w:tabs>
          <w:tab w:leader="none" w:pos="54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computation of FFO—diluted shares outstanding includes the effect of share and unit-based compensation plans and the convertible senior notes using the treasury stock method. It also assumes the conversion of MACWH, LP common and preferred units to the extent that they are dilutive to the FFO-diluted computation.</w:t>
      </w:r>
    </w:p>
    <w:p>
      <w:pPr>
        <w:spacing w:after="0" w:line="72"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7A.</w:t>
        <w:tab/>
        <w:t>QUANTITATIVE AND QUALITATIVE DISCLOSURES ABOUT MARKET RISK</w:t>
      </w:r>
    </w:p>
    <w:p>
      <w:pPr>
        <w:spacing w:after="0" w:line="100" w:lineRule="exact"/>
        <w:rPr>
          <w:sz w:val="20"/>
          <w:szCs w:val="20"/>
          <w:color w:val="auto"/>
        </w:rPr>
      </w:pPr>
    </w:p>
    <w:p>
      <w:pPr>
        <w:ind w:right="120" w:firstLine="297"/>
        <w:spacing w:after="0" w:line="263" w:lineRule="auto"/>
        <w:rPr>
          <w:sz w:val="20"/>
          <w:szCs w:val="20"/>
          <w:color w:val="auto"/>
        </w:rPr>
      </w:pPr>
      <w:r>
        <w:rPr>
          <w:rFonts w:ascii="Arial" w:cs="Arial" w:eastAsia="Arial" w:hAnsi="Arial"/>
          <w:sz w:val="12"/>
          <w:szCs w:val="12"/>
          <w:color w:val="auto"/>
        </w:rPr>
        <w:t>The Company's primary market risk exposure is interest rate risk. The Company has managed and will continue to manage interest rate risk by (1) 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77" w:lineRule="exact"/>
        <w:rPr>
          <w:sz w:val="20"/>
          <w:szCs w:val="20"/>
          <w:color w:val="auto"/>
        </w:rPr>
      </w:pPr>
    </w:p>
    <w:p>
      <w:pPr>
        <w:ind w:right="200" w:firstLine="297"/>
        <w:spacing w:after="0" w:line="269" w:lineRule="auto"/>
        <w:rPr>
          <w:sz w:val="20"/>
          <w:szCs w:val="20"/>
          <w:color w:val="auto"/>
        </w:rPr>
      </w:pPr>
      <w:r>
        <w:rPr>
          <w:rFonts w:ascii="Arial" w:cs="Arial" w:eastAsia="Arial" w:hAnsi="Arial"/>
          <w:sz w:val="12"/>
          <w:szCs w:val="12"/>
          <w:color w:val="auto"/>
        </w:rPr>
        <w:t>The following table sets forth information as of December 31, 2021 concerning the Company's long term debt obligations, including principal cash flows by scheduled maturity, weighted average interest rates and estimated fair value (dollars in thousands):</w:t>
      </w:r>
    </w:p>
    <w:tbl>
      <w:tblPr>
        <w:tblLayout w:type="fixed"/>
        <w:tblInd w:w="0" w:type="dxa"/>
        <w:tblCellMar>
          <w:top w:w="0" w:type="dxa"/>
          <w:left w:w="0" w:type="dxa"/>
          <w:bottom w:w="0" w:type="dxa"/>
          <w:right w:w="0" w:type="dxa"/>
        </w:tblCellMar>
      </w:tblPr>
      <w:tr>
        <w:trPr>
          <w:trHeight w:val="127"/>
        </w:trPr>
        <w:tc>
          <w:tcPr>
            <w:tcW w:w="1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Expected Maturity Date</w:t>
            </w: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0"/>
                <w:szCs w:val="10"/>
                <w:b w:val="1"/>
                <w:bCs w:val="1"/>
                <w:color w:val="auto"/>
                <w:w w:val="92"/>
              </w:rPr>
              <w:t>For the years ending December 31,</w:t>
            </w: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2022</w:t>
            </w: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2023</w:t>
            </w: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2025</w:t>
            </w: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2026</w:t>
            </w: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92"/>
              <w:spacing w:after="0" w:line="110" w:lineRule="exact"/>
              <w:rPr>
                <w:sz w:val="20"/>
                <w:szCs w:val="20"/>
                <w:color w:val="auto"/>
              </w:rPr>
            </w:pPr>
            <w:r>
              <w:rPr>
                <w:rFonts w:ascii="Arial" w:cs="Arial" w:eastAsia="Arial" w:hAnsi="Arial"/>
                <w:sz w:val="10"/>
                <w:szCs w:val="10"/>
                <w:b w:val="1"/>
                <w:bCs w:val="1"/>
                <w:color w:val="auto"/>
              </w:rPr>
              <w:t>Thereafter</w:t>
            </w: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72"/>
              <w:spacing w:after="0" w:line="110" w:lineRule="exact"/>
              <w:rPr>
                <w:sz w:val="20"/>
                <w:szCs w:val="20"/>
                <w:color w:val="auto"/>
              </w:rPr>
            </w:pPr>
            <w:r>
              <w:rPr>
                <w:rFonts w:ascii="Arial" w:cs="Arial" w:eastAsia="Arial" w:hAnsi="Arial"/>
                <w:sz w:val="10"/>
                <w:szCs w:val="10"/>
                <w:b w:val="1"/>
                <w:bCs w:val="1"/>
                <w:color w:val="auto"/>
              </w:rPr>
              <w:t>Total</w:t>
            </w: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100" w:type="dxa"/>
            <w:vAlign w:val="bottom"/>
            <w:shd w:val="clear" w:color="auto" w:fill="CCEEFF"/>
          </w:tcPr>
          <w:p>
            <w:pPr>
              <w:ind w:left="300"/>
              <w:spacing w:after="0" w:line="71" w:lineRule="exact"/>
              <w:rPr>
                <w:sz w:val="20"/>
                <w:szCs w:val="20"/>
                <w:color w:val="auto"/>
              </w:rPr>
            </w:pPr>
            <w:r>
              <w:rPr>
                <w:rFonts w:ascii="Arial" w:cs="Arial" w:eastAsia="Arial" w:hAnsi="Arial"/>
                <w:sz w:val="8"/>
                <w:szCs w:val="8"/>
                <w:b w:val="1"/>
                <w:bCs w:val="1"/>
                <w:color w:val="auto"/>
              </w:rPr>
              <w:t>CONSOLIDATED</w:t>
            </w: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CENTERS:</w:t>
            </w: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ind w:left="300"/>
              <w:spacing w:after="0"/>
              <w:rPr>
                <w:sz w:val="20"/>
                <w:szCs w:val="20"/>
                <w:color w:val="auto"/>
              </w:rPr>
            </w:pPr>
            <w:r>
              <w:rPr>
                <w:rFonts w:ascii="Arial" w:cs="Arial" w:eastAsia="Arial" w:hAnsi="Arial"/>
                <w:sz w:val="10"/>
                <w:szCs w:val="10"/>
                <w:color w:val="auto"/>
              </w:rPr>
              <w:t>Long term debt:</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00" w:type="dxa"/>
            <w:vAlign w:val="bottom"/>
            <w:shd w:val="clear" w:color="auto" w:fill="CCEEFF"/>
          </w:tcPr>
          <w:p>
            <w:pPr>
              <w:ind w:left="380"/>
              <w:spacing w:after="0"/>
              <w:rPr>
                <w:sz w:val="20"/>
                <w:szCs w:val="20"/>
                <w:color w:val="auto"/>
              </w:rPr>
            </w:pPr>
            <w:r>
              <w:rPr>
                <w:rFonts w:ascii="Arial" w:cs="Arial" w:eastAsia="Arial" w:hAnsi="Arial"/>
                <w:sz w:val="10"/>
                <w:szCs w:val="10"/>
                <w:color w:val="auto"/>
              </w:rPr>
              <w:t>Fixed rate</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494,526</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337,791</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378,120</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82"/>
              </w:rPr>
              <w:t>607,399</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537,742</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1,460,000</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3,815,578</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100" w:type="dxa"/>
            <w:vAlign w:val="bottom"/>
          </w:tcPr>
          <w:p>
            <w:pPr>
              <w:ind w:left="380"/>
              <w:spacing w:after="0" w:line="90" w:lineRule="exact"/>
              <w:rPr>
                <w:sz w:val="20"/>
                <w:szCs w:val="20"/>
                <w:color w:val="auto"/>
              </w:rPr>
            </w:pPr>
            <w:r>
              <w:rPr>
                <w:rFonts w:ascii="Arial" w:cs="Arial" w:eastAsia="Arial" w:hAnsi="Arial"/>
                <w:sz w:val="10"/>
                <w:szCs w:val="10"/>
                <w:color w:val="auto"/>
                <w:w w:val="96"/>
              </w:rPr>
              <w:t>Average interest</w:t>
            </w:r>
          </w:p>
        </w:tc>
        <w:tc>
          <w:tcPr>
            <w:tcW w:w="500" w:type="dxa"/>
            <w:vAlign w:val="bottom"/>
          </w:tcPr>
          <w:p>
            <w:pPr>
              <w:spacing w:after="0"/>
              <w:rPr>
                <w:sz w:val="7"/>
                <w:szCs w:val="7"/>
                <w:color w:val="auto"/>
              </w:rPr>
            </w:pPr>
          </w:p>
        </w:tc>
        <w:tc>
          <w:tcPr>
            <w:tcW w:w="640" w:type="dxa"/>
            <w:vAlign w:val="bottom"/>
            <w:vMerge w:val="restart"/>
          </w:tcPr>
          <w:p>
            <w:pPr>
              <w:jc w:val="right"/>
              <w:ind w:right="112"/>
              <w:spacing w:after="0"/>
              <w:rPr>
                <w:sz w:val="20"/>
                <w:szCs w:val="20"/>
                <w:color w:val="auto"/>
              </w:rPr>
            </w:pPr>
            <w:r>
              <w:rPr>
                <w:rFonts w:ascii="Arial" w:cs="Arial" w:eastAsia="Arial" w:hAnsi="Arial"/>
                <w:sz w:val="10"/>
                <w:szCs w:val="10"/>
                <w:color w:val="auto"/>
              </w:rPr>
              <w:t>4.56</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0"/>
                <w:szCs w:val="10"/>
                <w:color w:val="auto"/>
              </w:rPr>
              <w:t>4.12</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4.05</w:t>
            </w: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vMerge w:val="restart"/>
          </w:tcPr>
          <w:p>
            <w:pPr>
              <w:jc w:val="right"/>
              <w:ind w:right="112"/>
              <w:spacing w:after="0"/>
              <w:rPr>
                <w:sz w:val="20"/>
                <w:szCs w:val="20"/>
                <w:color w:val="auto"/>
              </w:rPr>
            </w:pPr>
            <w:r>
              <w:rPr>
                <w:rFonts w:ascii="Arial" w:cs="Arial" w:eastAsia="Arial" w:hAnsi="Arial"/>
                <w:sz w:val="10"/>
                <w:szCs w:val="10"/>
                <w:color w:val="auto"/>
              </w:rPr>
              <w:t>3.49</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vMerge w:val="restart"/>
          </w:tcPr>
          <w:p>
            <w:pPr>
              <w:jc w:val="right"/>
              <w:ind w:right="112"/>
              <w:spacing w:after="0"/>
              <w:rPr>
                <w:sz w:val="20"/>
                <w:szCs w:val="20"/>
                <w:color w:val="auto"/>
              </w:rPr>
            </w:pPr>
            <w:r>
              <w:rPr>
                <w:rFonts w:ascii="Arial" w:cs="Arial" w:eastAsia="Arial" w:hAnsi="Arial"/>
                <w:sz w:val="10"/>
                <w:szCs w:val="10"/>
                <w:color w:val="auto"/>
              </w:rPr>
              <w:t>3.55</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0"/>
                <w:szCs w:val="10"/>
                <w:color w:val="auto"/>
              </w:rPr>
              <w:t>4.00</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0"/>
                <w:szCs w:val="10"/>
                <w:color w:val="auto"/>
              </w:rPr>
              <w:t>3.94</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100" w:type="dxa"/>
            <w:vAlign w:val="bottom"/>
          </w:tcPr>
          <w:p>
            <w:pPr>
              <w:ind w:left="80"/>
              <w:spacing w:after="0"/>
              <w:rPr>
                <w:sz w:val="20"/>
                <w:szCs w:val="20"/>
                <w:color w:val="auto"/>
              </w:rPr>
            </w:pPr>
            <w:r>
              <w:rPr>
                <w:rFonts w:ascii="Arial" w:cs="Arial" w:eastAsia="Arial" w:hAnsi="Arial"/>
                <w:sz w:val="10"/>
                <w:szCs w:val="10"/>
                <w:color w:val="auto"/>
              </w:rPr>
              <w:t>rate</w:t>
            </w:r>
          </w:p>
        </w:tc>
        <w:tc>
          <w:tcPr>
            <w:tcW w:w="5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00" w:type="dxa"/>
            <w:vAlign w:val="bottom"/>
            <w:shd w:val="clear" w:color="auto" w:fill="CCEEFF"/>
          </w:tcPr>
          <w:p>
            <w:pPr>
              <w:ind w:left="380"/>
              <w:spacing w:after="0"/>
              <w:rPr>
                <w:sz w:val="20"/>
                <w:szCs w:val="20"/>
                <w:color w:val="auto"/>
              </w:rPr>
            </w:pPr>
            <w:r>
              <w:rPr>
                <w:rFonts w:ascii="Arial" w:cs="Arial" w:eastAsia="Arial" w:hAnsi="Arial"/>
                <w:sz w:val="10"/>
                <w:szCs w:val="10"/>
                <w:color w:val="auto"/>
              </w:rPr>
              <w:t>Floating rate</w:t>
            </w: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300,000</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135,320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303,602</w:t>
            </w: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738,922</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100" w:type="dxa"/>
            <w:vAlign w:val="bottom"/>
          </w:tcPr>
          <w:p>
            <w:pPr>
              <w:ind w:left="380"/>
              <w:spacing w:after="0" w:line="90" w:lineRule="exact"/>
              <w:rPr>
                <w:sz w:val="20"/>
                <w:szCs w:val="20"/>
                <w:color w:val="auto"/>
              </w:rPr>
            </w:pPr>
            <w:r>
              <w:rPr>
                <w:rFonts w:ascii="Arial" w:cs="Arial" w:eastAsia="Arial" w:hAnsi="Arial"/>
                <w:sz w:val="10"/>
                <w:szCs w:val="10"/>
                <w:color w:val="auto"/>
                <w:w w:val="96"/>
              </w:rPr>
              <w:t>Average interest</w:t>
            </w:r>
          </w:p>
        </w:tc>
        <w:tc>
          <w:tcPr>
            <w:tcW w:w="500" w:type="dxa"/>
            <w:vAlign w:val="bottom"/>
          </w:tcPr>
          <w:p>
            <w:pPr>
              <w:spacing w:after="0"/>
              <w:rPr>
                <w:sz w:val="7"/>
                <w:szCs w:val="7"/>
                <w:color w:val="auto"/>
              </w:rPr>
            </w:pPr>
          </w:p>
        </w:tc>
        <w:tc>
          <w:tcPr>
            <w:tcW w:w="640" w:type="dxa"/>
            <w:vAlign w:val="bottom"/>
            <w:vMerge w:val="restart"/>
          </w:tcPr>
          <w:p>
            <w:pPr>
              <w:jc w:val="right"/>
              <w:ind w:right="112"/>
              <w:spacing w:after="0"/>
              <w:rPr>
                <w:sz w:val="20"/>
                <w:szCs w:val="20"/>
                <w:color w:val="auto"/>
              </w:rPr>
            </w:pPr>
            <w:r>
              <w:rPr>
                <w:rFonts w:ascii="Arial" w:cs="Arial" w:eastAsia="Arial" w:hAnsi="Arial"/>
                <w:sz w:val="10"/>
                <w:szCs w:val="10"/>
                <w:color w:val="auto"/>
              </w:rPr>
              <w:t>1.59</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0"/>
                <w:szCs w:val="10"/>
                <w:color w:val="auto"/>
              </w:rPr>
              <w:t>2.93</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3.48</w:t>
            </w:r>
          </w:p>
        </w:tc>
        <w:tc>
          <w:tcPr>
            <w:tcW w:w="3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0"/>
                <w:szCs w:val="10"/>
                <w:color w:val="auto"/>
              </w:rPr>
              <w:t>2.61</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1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rate</w:t>
            </w: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100" w:type="dxa"/>
            <w:vAlign w:val="bottom"/>
            <w:shd w:val="clear" w:color="auto" w:fill="CCEEFF"/>
          </w:tcPr>
          <w:p>
            <w:pPr>
              <w:spacing w:after="0" w:line="73" w:lineRule="exact"/>
              <w:rPr>
                <w:sz w:val="20"/>
                <w:szCs w:val="20"/>
                <w:color w:val="auto"/>
              </w:rPr>
            </w:pPr>
            <w:r>
              <w:rPr>
                <w:rFonts w:ascii="Arial" w:cs="Arial" w:eastAsia="Arial" w:hAnsi="Arial"/>
                <w:sz w:val="8"/>
                <w:szCs w:val="8"/>
                <w:color w:val="auto"/>
              </w:rPr>
              <w:t>Total debt—Consolidated</w:t>
            </w:r>
          </w:p>
        </w:tc>
        <w:tc>
          <w:tcPr>
            <w:tcW w:w="5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794,526</w:t>
            </w:r>
          </w:p>
        </w:tc>
        <w:tc>
          <w:tcPr>
            <w:tcW w:w="2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473,111</w:t>
            </w: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681,722</w:t>
            </w:r>
          </w:p>
        </w:tc>
        <w:tc>
          <w:tcPr>
            <w:tcW w:w="106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0"/>
                <w:szCs w:val="10"/>
                <w:color w:val="auto"/>
              </w:rPr>
              <w:t>$</w:t>
            </w:r>
          </w:p>
        </w:tc>
        <w:tc>
          <w:tcPr>
            <w:tcW w:w="48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w w:val="82"/>
              </w:rPr>
              <w:t>607,399</w:t>
            </w: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537,742</w:t>
            </w: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0"/>
                <w:szCs w:val="10"/>
                <w:color w:val="auto"/>
              </w:rPr>
              <w:t>1,460,000</w:t>
            </w: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4,554,500</w:t>
            </w:r>
          </w:p>
        </w:tc>
        <w:tc>
          <w:tcPr>
            <w:tcW w:w="2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10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auto"/>
              </w:rPr>
              <w:t>Centers</w:t>
            </w:r>
          </w:p>
        </w:tc>
        <w:tc>
          <w:tcPr>
            <w:tcW w:w="50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60" w:type="dxa"/>
            <w:vAlign w:val="bottom"/>
            <w:gridSpan w:val="3"/>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00" w:type="dxa"/>
            <w:vAlign w:val="bottom"/>
            <w:tcBorders>
              <w:top w:val="single" w:sz="8" w:color="CCEEFF"/>
            </w:tcBorders>
          </w:tcPr>
          <w:p>
            <w:pPr>
              <w:spacing w:after="0" w:line="68" w:lineRule="exact"/>
              <w:rPr>
                <w:sz w:val="20"/>
                <w:szCs w:val="20"/>
                <w:color w:val="auto"/>
              </w:rPr>
            </w:pPr>
            <w:r>
              <w:rPr>
                <w:rFonts w:ascii="Arial" w:cs="Arial" w:eastAsia="Arial" w:hAnsi="Arial"/>
                <w:sz w:val="7"/>
                <w:szCs w:val="7"/>
                <w:b w:val="1"/>
                <w:bCs w:val="1"/>
                <w:color w:val="auto"/>
              </w:rPr>
              <w:t>UNCONSOLIDATED</w:t>
            </w:r>
          </w:p>
        </w:tc>
        <w:tc>
          <w:tcPr>
            <w:tcW w:w="5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100" w:type="dxa"/>
            <w:vAlign w:val="bottom"/>
          </w:tcPr>
          <w:p>
            <w:pPr>
              <w:ind w:left="120"/>
              <w:spacing w:after="0" w:line="90" w:lineRule="exact"/>
              <w:rPr>
                <w:sz w:val="20"/>
                <w:szCs w:val="20"/>
                <w:color w:val="auto"/>
              </w:rPr>
            </w:pPr>
            <w:r>
              <w:rPr>
                <w:rFonts w:ascii="Arial" w:cs="Arial" w:eastAsia="Arial" w:hAnsi="Arial"/>
                <w:sz w:val="10"/>
                <w:szCs w:val="10"/>
                <w:b w:val="1"/>
                <w:bCs w:val="1"/>
                <w:color w:val="auto"/>
              </w:rPr>
              <w:t>JOINT VENTURE</w:t>
            </w: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Pr>
          <w:p>
            <w:pPr>
              <w:ind w:left="120"/>
              <w:spacing w:after="0"/>
              <w:rPr>
                <w:sz w:val="20"/>
                <w:szCs w:val="20"/>
                <w:color w:val="auto"/>
              </w:rPr>
            </w:pPr>
            <w:r>
              <w:rPr>
                <w:rFonts w:ascii="Arial" w:cs="Arial" w:eastAsia="Arial" w:hAnsi="Arial"/>
                <w:sz w:val="10"/>
                <w:szCs w:val="10"/>
                <w:b w:val="1"/>
                <w:bCs w:val="1"/>
                <w:color w:val="auto"/>
              </w:rPr>
              <w:t>CENTERS:</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1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Long term debt (at the</w:t>
            </w: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00" w:type="dxa"/>
            <w:vAlign w:val="bottom"/>
            <w:shd w:val="clear" w:color="auto" w:fill="CCEEFF"/>
          </w:tcPr>
          <w:p>
            <w:pPr>
              <w:ind w:left="60"/>
              <w:spacing w:after="0" w:line="90" w:lineRule="exact"/>
              <w:rPr>
                <w:sz w:val="20"/>
                <w:szCs w:val="20"/>
                <w:color w:val="auto"/>
              </w:rPr>
            </w:pPr>
            <w:r>
              <w:rPr>
                <w:rFonts w:ascii="Arial" w:cs="Arial" w:eastAsia="Arial" w:hAnsi="Arial"/>
                <w:sz w:val="10"/>
                <w:szCs w:val="10"/>
                <w:color w:val="auto"/>
              </w:rPr>
              <w:t>Company's pro rata</w:t>
            </w: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ind w:left="60"/>
              <w:spacing w:after="0"/>
              <w:rPr>
                <w:sz w:val="20"/>
                <w:szCs w:val="20"/>
                <w:color w:val="auto"/>
              </w:rPr>
            </w:pPr>
            <w:r>
              <w:rPr>
                <w:rFonts w:ascii="Arial" w:cs="Arial" w:eastAsia="Arial" w:hAnsi="Arial"/>
                <w:sz w:val="10"/>
                <w:szCs w:val="10"/>
                <w:color w:val="auto"/>
              </w:rPr>
              <w:t>share):</w:t>
            </w: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ind w:left="380"/>
              <w:spacing w:after="0"/>
              <w:rPr>
                <w:sz w:val="20"/>
                <w:szCs w:val="20"/>
                <w:color w:val="auto"/>
              </w:rPr>
            </w:pPr>
            <w:r>
              <w:rPr>
                <w:rFonts w:ascii="Arial" w:cs="Arial" w:eastAsia="Arial" w:hAnsi="Arial"/>
                <w:sz w:val="10"/>
                <w:szCs w:val="10"/>
                <w:color w:val="auto"/>
              </w:rPr>
              <w:t>Fixed rate</w:t>
            </w:r>
          </w:p>
        </w:tc>
        <w:tc>
          <w:tcPr>
            <w:tcW w:w="5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12"/>
              <w:spacing w:after="0"/>
              <w:rPr>
                <w:sz w:val="20"/>
                <w:szCs w:val="20"/>
                <w:color w:val="auto"/>
              </w:rPr>
            </w:pPr>
            <w:r>
              <w:rPr>
                <w:rFonts w:ascii="Arial" w:cs="Arial" w:eastAsia="Arial" w:hAnsi="Arial"/>
                <w:sz w:val="10"/>
                <w:szCs w:val="10"/>
                <w:color w:val="auto"/>
              </w:rPr>
              <w:t>493,631</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324,877</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366,029</w:t>
            </w:r>
          </w:p>
        </w:tc>
        <w:tc>
          <w:tcPr>
            <w:tcW w:w="106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12"/>
              <w:spacing w:after="0"/>
              <w:rPr>
                <w:sz w:val="20"/>
                <w:szCs w:val="20"/>
                <w:color w:val="auto"/>
              </w:rPr>
            </w:pPr>
            <w:r>
              <w:rPr>
                <w:rFonts w:ascii="Arial" w:cs="Arial" w:eastAsia="Arial" w:hAnsi="Arial"/>
                <w:sz w:val="10"/>
                <w:szCs w:val="10"/>
                <w:color w:val="auto"/>
                <w:w w:val="82"/>
              </w:rPr>
              <w:t>150,870</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12"/>
              <w:spacing w:after="0"/>
              <w:rPr>
                <w:sz w:val="20"/>
                <w:szCs w:val="20"/>
                <w:color w:val="auto"/>
              </w:rPr>
            </w:pPr>
            <w:r>
              <w:rPr>
                <w:rFonts w:ascii="Arial" w:cs="Arial" w:eastAsia="Arial" w:hAnsi="Arial"/>
                <w:sz w:val="10"/>
                <w:szCs w:val="10"/>
                <w:color w:val="auto"/>
              </w:rPr>
              <w:t>424,682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132"/>
              <w:spacing w:after="0"/>
              <w:rPr>
                <w:sz w:val="20"/>
                <w:szCs w:val="20"/>
                <w:color w:val="auto"/>
              </w:rPr>
            </w:pPr>
            <w:r>
              <w:rPr>
                <w:rFonts w:ascii="Arial" w:cs="Arial" w:eastAsia="Arial" w:hAnsi="Arial"/>
                <w:sz w:val="10"/>
                <w:szCs w:val="10"/>
                <w:color w:val="auto"/>
              </w:rPr>
              <w:t>1,051,763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2"/>
              <w:spacing w:after="0"/>
              <w:rPr>
                <w:sz w:val="20"/>
                <w:szCs w:val="20"/>
                <w:color w:val="auto"/>
              </w:rPr>
            </w:pPr>
            <w:r>
              <w:rPr>
                <w:rFonts w:ascii="Arial" w:cs="Arial" w:eastAsia="Arial" w:hAnsi="Arial"/>
                <w:sz w:val="10"/>
                <w:szCs w:val="10"/>
                <w:color w:val="auto"/>
              </w:rPr>
              <w:t>2,811,852</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100" w:type="dxa"/>
            <w:vAlign w:val="bottom"/>
            <w:shd w:val="clear" w:color="auto" w:fill="CCEEFF"/>
          </w:tcPr>
          <w:p>
            <w:pPr>
              <w:ind w:left="380"/>
              <w:spacing w:after="0" w:line="92" w:lineRule="exact"/>
              <w:rPr>
                <w:sz w:val="20"/>
                <w:szCs w:val="20"/>
                <w:color w:val="auto"/>
              </w:rPr>
            </w:pPr>
            <w:r>
              <w:rPr>
                <w:rFonts w:ascii="Arial" w:cs="Arial" w:eastAsia="Arial" w:hAnsi="Arial"/>
                <w:sz w:val="10"/>
                <w:szCs w:val="10"/>
                <w:color w:val="auto"/>
                <w:w w:val="96"/>
              </w:rPr>
              <w:t>Average interest</w:t>
            </w:r>
          </w:p>
        </w:tc>
        <w:tc>
          <w:tcPr>
            <w:tcW w:w="5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3.81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3.30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4.09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4.15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3.72</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0"/>
                <w:szCs w:val="10"/>
                <w:color w:val="auto"/>
              </w:rPr>
              <w:t>3.91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3.83</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ind w:left="80"/>
              <w:spacing w:after="0"/>
              <w:rPr>
                <w:sz w:val="20"/>
                <w:szCs w:val="20"/>
                <w:color w:val="auto"/>
              </w:rPr>
            </w:pPr>
            <w:r>
              <w:rPr>
                <w:rFonts w:ascii="Arial" w:cs="Arial" w:eastAsia="Arial" w:hAnsi="Arial"/>
                <w:sz w:val="10"/>
                <w:szCs w:val="10"/>
                <w:color w:val="auto"/>
              </w:rPr>
              <w:t>rate</w:t>
            </w:r>
          </w:p>
        </w:tc>
        <w:tc>
          <w:tcPr>
            <w:tcW w:w="50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tcPr>
          <w:p>
            <w:pPr>
              <w:ind w:left="380"/>
              <w:spacing w:after="0"/>
              <w:rPr>
                <w:sz w:val="20"/>
                <w:szCs w:val="20"/>
                <w:color w:val="auto"/>
              </w:rPr>
            </w:pPr>
            <w:r>
              <w:rPr>
                <w:rFonts w:ascii="Arial" w:cs="Arial" w:eastAsia="Arial" w:hAnsi="Arial"/>
                <w:sz w:val="10"/>
                <w:szCs w:val="10"/>
                <w:color w:val="auto"/>
              </w:rPr>
              <w:t>Floating rate</w:t>
            </w:r>
          </w:p>
        </w:tc>
        <w:tc>
          <w:tcPr>
            <w:tcW w:w="500" w:type="dxa"/>
            <w:vAlign w:val="bottom"/>
          </w:tcPr>
          <w:p>
            <w:pPr>
              <w:spacing w:after="0"/>
              <w:rPr>
                <w:sz w:val="10"/>
                <w:szCs w:val="10"/>
                <w:color w:val="auto"/>
              </w:rPr>
            </w:pPr>
          </w:p>
        </w:tc>
        <w:tc>
          <w:tcPr>
            <w:tcW w:w="6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11,500</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60,347</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jc w:val="right"/>
              <w:ind w:right="112"/>
              <w:spacing w:after="0"/>
              <w:rPr>
                <w:sz w:val="20"/>
                <w:szCs w:val="20"/>
                <w:color w:val="auto"/>
              </w:rPr>
            </w:pPr>
            <w:r>
              <w:rPr>
                <w:rFonts w:ascii="Arial" w:cs="Arial" w:eastAsia="Arial" w:hAnsi="Arial"/>
                <w:sz w:val="10"/>
                <w:szCs w:val="10"/>
                <w:color w:val="auto"/>
              </w:rPr>
              <w:t>32,500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jc w:val="right"/>
              <w:ind w:right="112"/>
              <w:spacing w:after="0"/>
              <w:rPr>
                <w:sz w:val="20"/>
                <w:szCs w:val="20"/>
                <w:color w:val="auto"/>
              </w:rPr>
            </w:pPr>
            <w:r>
              <w:rPr>
                <w:rFonts w:ascii="Arial" w:cs="Arial" w:eastAsia="Arial" w:hAnsi="Arial"/>
                <w:sz w:val="10"/>
                <w:szCs w:val="10"/>
                <w:color w:val="auto"/>
              </w:rPr>
              <w:t>104,347</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100" w:type="dxa"/>
            <w:vAlign w:val="bottom"/>
            <w:shd w:val="clear" w:color="auto" w:fill="CCEEFF"/>
          </w:tcPr>
          <w:p>
            <w:pPr>
              <w:ind w:left="380"/>
              <w:spacing w:after="0" w:line="92" w:lineRule="exact"/>
              <w:rPr>
                <w:sz w:val="20"/>
                <w:szCs w:val="20"/>
                <w:color w:val="auto"/>
              </w:rPr>
            </w:pPr>
            <w:r>
              <w:rPr>
                <w:rFonts w:ascii="Arial" w:cs="Arial" w:eastAsia="Arial" w:hAnsi="Arial"/>
                <w:sz w:val="10"/>
                <w:szCs w:val="10"/>
                <w:color w:val="auto"/>
                <w:w w:val="96"/>
              </w:rPr>
              <w:t>Average interest</w:t>
            </w:r>
          </w:p>
        </w:tc>
        <w:tc>
          <w:tcPr>
            <w:tcW w:w="5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1.96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1.80</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4.30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2.60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ind w:left="80"/>
              <w:spacing w:after="0"/>
              <w:rPr>
                <w:sz w:val="20"/>
                <w:szCs w:val="20"/>
                <w:color w:val="auto"/>
              </w:rPr>
            </w:pPr>
            <w:r>
              <w:rPr>
                <w:rFonts w:ascii="Arial" w:cs="Arial" w:eastAsia="Arial" w:hAnsi="Arial"/>
                <w:sz w:val="10"/>
                <w:szCs w:val="10"/>
                <w:color w:val="auto"/>
              </w:rPr>
              <w:t>rate</w:t>
            </w:r>
          </w:p>
        </w:tc>
        <w:tc>
          <w:tcPr>
            <w:tcW w:w="5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vMerge w:val="continue"/>
            <w:shd w:val="clear" w:color="auto" w:fill="CCEEFF"/>
          </w:tcPr>
          <w:p>
            <w:pPr>
              <w:spacing w:after="0"/>
              <w:rPr>
                <w:sz w:val="10"/>
                <w:szCs w:val="10"/>
                <w:color w:val="auto"/>
              </w:rPr>
            </w:pPr>
          </w:p>
        </w:tc>
        <w:tc>
          <w:tcPr>
            <w:tcW w:w="26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vMerge w:val="continue"/>
            <w:shd w:val="clear" w:color="auto" w:fill="CCEEFF"/>
          </w:tcPr>
          <w:p>
            <w:pPr>
              <w:spacing w:after="0"/>
              <w:rPr>
                <w:sz w:val="10"/>
                <w:szCs w:val="10"/>
                <w:color w:val="auto"/>
              </w:rPr>
            </w:pPr>
          </w:p>
        </w:tc>
        <w:tc>
          <w:tcPr>
            <w:tcW w:w="2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36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2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vMerge w:val="continue"/>
            <w:shd w:val="clear" w:color="auto" w:fill="CCEEFF"/>
          </w:tcPr>
          <w:p>
            <w:pPr>
              <w:spacing w:after="0"/>
              <w:rPr>
                <w:sz w:val="10"/>
                <w:szCs w:val="10"/>
                <w:color w:val="auto"/>
              </w:rPr>
            </w:pPr>
          </w:p>
        </w:tc>
        <w:tc>
          <w:tcPr>
            <w:tcW w:w="24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24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vMerge w:val="continue"/>
            <w:shd w:val="clear" w:color="auto" w:fill="CCEEFF"/>
          </w:tcPr>
          <w:p>
            <w:pPr>
              <w:spacing w:after="0"/>
              <w:rPr>
                <w:sz w:val="10"/>
                <w:szCs w:val="10"/>
                <w:color w:val="auto"/>
              </w:rPr>
            </w:pPr>
          </w:p>
        </w:tc>
        <w:tc>
          <w:tcPr>
            <w:tcW w:w="26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00" w:type="dxa"/>
            <w:vAlign w:val="bottom"/>
          </w:tcPr>
          <w:p>
            <w:pPr>
              <w:spacing w:after="0" w:line="70" w:lineRule="exact"/>
              <w:rPr>
                <w:sz w:val="20"/>
                <w:szCs w:val="20"/>
                <w:color w:val="auto"/>
              </w:rPr>
            </w:pPr>
            <w:r>
              <w:rPr>
                <w:rFonts w:ascii="Arial" w:cs="Arial" w:eastAsia="Arial" w:hAnsi="Arial"/>
                <w:sz w:val="8"/>
                <w:szCs w:val="8"/>
                <w:color w:val="auto"/>
              </w:rPr>
              <w:t>Total debt—Unconsolidated</w:t>
            </w: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112"/>
              <w:spacing w:after="0"/>
              <w:rPr>
                <w:sz w:val="20"/>
                <w:szCs w:val="20"/>
                <w:color w:val="auto"/>
              </w:rPr>
            </w:pPr>
            <w:r>
              <w:rPr>
                <w:rFonts w:ascii="Arial" w:cs="Arial" w:eastAsia="Arial" w:hAnsi="Arial"/>
                <w:sz w:val="10"/>
                <w:szCs w:val="10"/>
                <w:color w:val="auto"/>
              </w:rPr>
              <w:t>493,631</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ind w:right="112"/>
              <w:spacing w:after="0"/>
              <w:rPr>
                <w:sz w:val="20"/>
                <w:szCs w:val="20"/>
                <w:color w:val="auto"/>
              </w:rPr>
            </w:pPr>
            <w:r>
              <w:rPr>
                <w:rFonts w:ascii="Arial" w:cs="Arial" w:eastAsia="Arial" w:hAnsi="Arial"/>
                <w:sz w:val="10"/>
                <w:szCs w:val="10"/>
                <w:color w:val="auto"/>
              </w:rPr>
              <w:t>336,377</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426,376</w:t>
            </w:r>
          </w:p>
        </w:tc>
        <w:tc>
          <w:tcPr>
            <w:tcW w:w="1060" w:type="dxa"/>
            <w:vAlign w:val="bottom"/>
            <w:gridSpan w:val="3"/>
            <w:vMerge w:val="restart"/>
          </w:tcPr>
          <w:p>
            <w:pPr>
              <w:jc w:val="right"/>
              <w:ind w:right="30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112"/>
              <w:spacing w:after="0"/>
              <w:rPr>
                <w:sz w:val="20"/>
                <w:szCs w:val="20"/>
                <w:color w:val="auto"/>
              </w:rPr>
            </w:pPr>
            <w:r>
              <w:rPr>
                <w:rFonts w:ascii="Arial" w:cs="Arial" w:eastAsia="Arial" w:hAnsi="Arial"/>
                <w:sz w:val="10"/>
                <w:szCs w:val="10"/>
                <w:color w:val="auto"/>
                <w:w w:val="82"/>
              </w:rPr>
              <w:t>150,870</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112"/>
              <w:spacing w:after="0"/>
              <w:rPr>
                <w:sz w:val="20"/>
                <w:szCs w:val="20"/>
                <w:color w:val="auto"/>
              </w:rPr>
            </w:pPr>
            <w:r>
              <w:rPr>
                <w:rFonts w:ascii="Arial" w:cs="Arial" w:eastAsia="Arial" w:hAnsi="Arial"/>
                <w:sz w:val="10"/>
                <w:szCs w:val="10"/>
                <w:color w:val="auto"/>
              </w:rPr>
              <w:t>457,182</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0"/>
                <w:szCs w:val="10"/>
                <w:color w:val="auto"/>
              </w:rPr>
              <w:t>1,051,763</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12"/>
              <w:spacing w:after="0"/>
              <w:rPr>
                <w:sz w:val="20"/>
                <w:szCs w:val="20"/>
                <w:color w:val="auto"/>
              </w:rPr>
            </w:pPr>
            <w:r>
              <w:rPr>
                <w:rFonts w:ascii="Arial" w:cs="Arial" w:eastAsia="Arial" w:hAnsi="Arial"/>
                <w:sz w:val="10"/>
                <w:szCs w:val="10"/>
                <w:color w:val="auto"/>
              </w:rPr>
              <w:t>2,916,199</w:t>
            </w: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00" w:type="dxa"/>
            <w:vAlign w:val="bottom"/>
          </w:tcPr>
          <w:p>
            <w:pPr>
              <w:ind w:left="60"/>
              <w:spacing w:after="0" w:line="108" w:lineRule="exact"/>
              <w:rPr>
                <w:sz w:val="20"/>
                <w:szCs w:val="20"/>
                <w:color w:val="auto"/>
              </w:rPr>
            </w:pPr>
            <w:r>
              <w:rPr>
                <w:rFonts w:ascii="Arial" w:cs="Arial" w:eastAsia="Arial" w:hAnsi="Arial"/>
                <w:sz w:val="10"/>
                <w:szCs w:val="10"/>
                <w:color w:val="auto"/>
              </w:rPr>
              <w:t>Joint Venture Centers</w:t>
            </w: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right="240" w:firstLine="297"/>
        <w:spacing w:after="0" w:line="263" w:lineRule="auto"/>
        <w:rPr>
          <w:sz w:val="20"/>
          <w:szCs w:val="20"/>
          <w:color w:val="auto"/>
        </w:rPr>
      </w:pPr>
      <w:r>
        <w:rPr>
          <w:rFonts w:ascii="Arial" w:cs="Arial" w:eastAsia="Arial" w:hAnsi="Arial"/>
          <w:sz w:val="12"/>
          <w:szCs w:val="12"/>
          <w:color w:val="auto"/>
        </w:rPr>
        <w:t>The Consolidated Centers' total fixed rate debt at December 31, 2021 and 2020 was $3.8 billion and $4.3 billion, respectively. The average interest rate on such fixed rate debt at December 31, 2021 and 2020 was 3.94% and 3.98%, respectively. The Consolidated Centers' total floating rate debt at December 31, 2021 and 2020 was $0.7 billion and $1.7 billion. The average interest rate on such floating rate debt at December 31, 2021 and 2020 was 2.61% and 2.08%, respectively.</w:t>
      </w:r>
    </w:p>
    <w:p>
      <w:pPr>
        <w:spacing w:after="0" w:line="77" w:lineRule="exact"/>
        <w:rPr>
          <w:sz w:val="20"/>
          <w:szCs w:val="20"/>
          <w:color w:val="auto"/>
        </w:rPr>
      </w:pPr>
    </w:p>
    <w:p>
      <w:pPr>
        <w:ind w:right="280" w:firstLine="297"/>
        <w:spacing w:after="0" w:line="263" w:lineRule="auto"/>
        <w:rPr>
          <w:sz w:val="20"/>
          <w:szCs w:val="20"/>
          <w:color w:val="auto"/>
        </w:rPr>
      </w:pPr>
      <w:r>
        <w:rPr>
          <w:rFonts w:ascii="Arial" w:cs="Arial" w:eastAsia="Arial" w:hAnsi="Arial"/>
          <w:sz w:val="12"/>
          <w:szCs w:val="12"/>
          <w:color w:val="auto"/>
        </w:rPr>
        <w:t>The Company's pro rata share of the Unconsolidated Joint Venture Centers' fixed rate debt at December 31, 2021 and 2020 was $2.8 billion and $3.0 billion, respectively. The average interest rate on such fixed rate debt at December 31, 2021 and 2020 was 3.83% and 3.82%, respectively. The Company's pro rata share of the Unconsolidated Joint Venture Centers' floating rate debt at December 31, 2021 and 2020 was $104.3 million and $70.5 million, respectively. The average interest rate on such floating rate debt at December 31, 2021 and 2020 was 2.60% and 2.02%, respectively.</w:t>
      </w:r>
    </w:p>
    <w:p>
      <w:pPr>
        <w:spacing w:after="0" w:line="68" w:lineRule="exact"/>
        <w:rPr>
          <w:sz w:val="20"/>
          <w:szCs w:val="20"/>
          <w:color w:val="auto"/>
        </w:rPr>
      </w:pPr>
    </w:p>
    <w:p>
      <w:pPr>
        <w:ind w:right="180" w:firstLine="297"/>
        <w:spacing w:after="0" w:line="263" w:lineRule="auto"/>
        <w:rPr>
          <w:sz w:val="20"/>
          <w:szCs w:val="20"/>
          <w:color w:val="auto"/>
        </w:rPr>
      </w:pPr>
      <w:r>
        <w:rPr>
          <w:rFonts w:ascii="Arial" w:cs="Arial" w:eastAsia="Arial" w:hAnsi="Arial"/>
          <w:sz w:val="12"/>
          <w:szCs w:val="12"/>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December 31, 2021, the Company had</w:t>
      </w: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640" w:right="239" w:bottom="1440" w:gutter="0" w:footer="0" w:header="0"/>
        </w:sectPr>
      </w:pPr>
    </w:p>
    <w:bookmarkStart w:id="57" w:name="page58"/>
    <w:bookmarkEnd w:id="57"/>
    <w:p>
      <w:pPr>
        <w:spacing w:after="0"/>
        <w:rPr>
          <w:sz w:val="20"/>
          <w:szCs w:val="20"/>
          <w:color w:val="auto"/>
        </w:rPr>
      </w:pPr>
      <w:r>
        <w:rPr>
          <w:rFonts w:ascii="Arial" w:cs="Arial" w:eastAsia="Arial" w:hAnsi="Arial"/>
          <w:sz w:val="11"/>
          <w:szCs w:val="11"/>
          <w:color w:val="auto"/>
        </w:rPr>
        <w:t>two interest rate cap agreements in place (See Note 4—Investments in Unconsolidated Joint Ventures and Note 5—Derivative Instruments and Hedging Activities in the Company's Notes to the Consolidated Financial Statements).</w:t>
      </w:r>
    </w:p>
    <w:p>
      <w:pPr>
        <w:spacing w:after="0" w:line="108" w:lineRule="exact"/>
        <w:rPr>
          <w:sz w:val="20"/>
          <w:szCs w:val="20"/>
          <w:color w:val="auto"/>
        </w:rPr>
      </w:pPr>
    </w:p>
    <w:p>
      <w:pPr>
        <w:ind w:right="300" w:firstLine="297"/>
        <w:spacing w:after="0" w:line="276" w:lineRule="auto"/>
        <w:rPr>
          <w:sz w:val="20"/>
          <w:szCs w:val="20"/>
          <w:color w:val="auto"/>
        </w:rPr>
      </w:pPr>
      <w:r>
        <w:rPr>
          <w:rFonts w:ascii="Arial" w:cs="Arial" w:eastAsia="Arial" w:hAnsi="Arial"/>
          <w:sz w:val="12"/>
          <w:szCs w:val="12"/>
          <w:color w:val="auto"/>
        </w:rPr>
        <w:t>In addition, the Company has assessed the market risk for its floating rate debt and believes that a 1% increase in interest rates would decrease future earnings and cash flows by approximately $8.4 million per year based on $843.3 million of floating rate debt outstanding at December 31, 2021.</w:t>
      </w:r>
    </w:p>
    <w:p>
      <w:pPr>
        <w:spacing w:after="0" w:line="70" w:lineRule="exact"/>
        <w:rPr>
          <w:sz w:val="20"/>
          <w:szCs w:val="20"/>
          <w:color w:val="auto"/>
        </w:rPr>
      </w:pPr>
    </w:p>
    <w:p>
      <w:pPr>
        <w:ind w:right="160" w:firstLine="297"/>
        <w:spacing w:after="0" w:line="263" w:lineRule="auto"/>
        <w:rPr>
          <w:sz w:val="20"/>
          <w:szCs w:val="20"/>
          <w:color w:val="auto"/>
        </w:rPr>
      </w:pPr>
      <w:r>
        <w:rPr>
          <w:rFonts w:ascii="Arial" w:cs="Arial" w:eastAsia="Arial" w:hAnsi="Arial"/>
          <w:sz w:val="12"/>
          <w:szCs w:val="12"/>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 Bank and Other Notes Payable in the Company's Notes to the Consolidated Financial Statements).</w:t>
      </w:r>
    </w:p>
    <w:p>
      <w:pPr>
        <w:spacing w:after="0" w:line="77" w:lineRule="exact"/>
        <w:rPr>
          <w:sz w:val="20"/>
          <w:szCs w:val="20"/>
          <w:color w:val="auto"/>
        </w:rPr>
      </w:pPr>
    </w:p>
    <w:p>
      <w:pPr>
        <w:ind w:right="60" w:firstLine="297"/>
        <w:spacing w:after="0" w:line="283" w:lineRule="auto"/>
        <w:rPr>
          <w:sz w:val="20"/>
          <w:szCs w:val="20"/>
          <w:color w:val="auto"/>
        </w:rPr>
      </w:pPr>
      <w:r>
        <w:rPr>
          <w:rFonts w:ascii="Arial" w:cs="Arial" w:eastAsia="Arial" w:hAnsi="Arial"/>
          <w:sz w:val="11"/>
          <w:szCs w:val="11"/>
          <w:color w:val="auto"/>
        </w:rPr>
        <w:t>In July 2017, the Financial Conduct Authority announced it intended to stop compelling banks to submit rates for the calculation of LIBOR after 2021. In March 2021, the ICE Benchmark Administration, the administrator of LIBOR, announced its intention to cease publication of certain LIBOR settings after 2021, while continuing to publish overnight and one-, three-, six-, and twelve-month U.S. dollar LIBOR rates through June 30, 2023. While this announcement extended the transition period to June 2023, the United States Federal Reserve Board and other regulatory bodies concurrently issued guidance encouraging banks and other financial market participants to cease entering into new contracts that use U.S. dollar LIBOR as a reference rate as soon as practicable and in any event no later than December 31, 2021. In the United States, Alternative Reference Rates Committee (“AARC”), which was convened by the Federal Reserve Board and the Federal Reserve Bank of New York, has recommended the SOFR plus a recommended spread adjustment as its preferred alternative to USD-LIBOR. There are significant differences between LIBOR and SOFR, such as LIBOR being an unsecured lending rate while SOFR is a secured rate, and SOFR is an overnight rate while LIBOR reflects term rates at different maturities.</w:t>
      </w:r>
    </w:p>
    <w:p>
      <w:pPr>
        <w:spacing w:after="0" w:line="59" w:lineRule="exact"/>
        <w:rPr>
          <w:sz w:val="20"/>
          <w:szCs w:val="20"/>
          <w:color w:val="auto"/>
        </w:rPr>
      </w:pPr>
    </w:p>
    <w:p>
      <w:pPr>
        <w:ind w:right="80" w:firstLine="297"/>
        <w:spacing w:after="0" w:line="289" w:lineRule="auto"/>
        <w:rPr>
          <w:sz w:val="20"/>
          <w:szCs w:val="20"/>
          <w:color w:val="auto"/>
        </w:rPr>
      </w:pPr>
      <w:r>
        <w:rPr>
          <w:rFonts w:ascii="Arial" w:cs="Arial" w:eastAsia="Arial" w:hAnsi="Arial"/>
          <w:sz w:val="11"/>
          <w:szCs w:val="11"/>
          <w:color w:val="auto"/>
        </w:rPr>
        <w:t>The Company expects that all LIBOR settings relevant to it will cease to be published or will no longer be representative after June 30, 2023. As a result, any of the Company’s LIBOR-based borrowings that extend beyond such date will need to be converted to a replacement rate. Certain risks may arise in connection with transitioning contracts to SOFR or any other alternative variable rate, including any resulting value transfer that may occur. The value of loans, securities, or derivative instruments tied to LIBOR could also be impacted. If a contract is not transitioned to an alternative variable rate and LIBOR is discontinued, the impact is likely to vary by contract. As of December 31, 2021, each of the agreements governing the Company's variable rate debt provides for the replacement of LIBOR if it becomes unavailable during the term of such agreement.</w:t>
      </w:r>
    </w:p>
    <w:p>
      <w:pPr>
        <w:spacing w:after="0" w:line="66"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The discontinuation of LIBOR will not affect the Company’s ability to borrow or maintain already outstanding borrowings or swaps, but if the Company’s contracts indexed to LIBOR, including certain contracts governing the variable rate debt of the Company and its joint ventures and the Company’s interest rate swaps, are converted to SOFR, the differences between LIBOR and SOFR, plus the recommended spread adjustment, could result in interest costs that are higher than if LIBOR remained available. Additionally, although SOFR is the AARC’s recommended replacement rate, it is also possible that lenders may instead choose alternative replacement rates that may differ from LIBOR in ways similar to SOFR or in ways that would result in higher interest costs for the Company. It is not yet possible to predict the magnitude of LIBOR’s end on the Company’s borrowing costs given the remaining uncertainty about which rates will replace LIBOR.</w:t>
      </w:r>
    </w:p>
    <w:p>
      <w:pPr>
        <w:spacing w:after="0" w:line="7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Refer to the Financial Statements and Financial Statement Schedules for the required information appearing in Item 15.</w:t>
      </w:r>
    </w:p>
    <w:p>
      <w:pPr>
        <w:spacing w:after="0" w:line="101"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9.</w:t>
        <w:tab/>
        <w:t>CHANGES IN AND DISAGREEMENTS WITH ACCOUNTANTS ON ACCOUNTING AND FINANCIAL DISCLOSURE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92"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Conclusion Regarding Effectiveness of Disclosure Controls and Procedures</w:t>
      </w:r>
    </w:p>
    <w:p>
      <w:pPr>
        <w:spacing w:after="0" w:line="105" w:lineRule="exact"/>
        <w:rPr>
          <w:sz w:val="20"/>
          <w:szCs w:val="20"/>
          <w:color w:val="auto"/>
        </w:rPr>
      </w:pPr>
    </w:p>
    <w:p>
      <w:pPr>
        <w:ind w:firstLine="297"/>
        <w:spacing w:after="0" w:line="289" w:lineRule="auto"/>
        <w:rPr>
          <w:sz w:val="20"/>
          <w:szCs w:val="20"/>
          <w:color w:val="auto"/>
        </w:rPr>
      </w:pPr>
      <w:r>
        <w:rPr>
          <w:rFonts w:ascii="Arial" w:cs="Arial" w:eastAsia="Arial" w:hAnsi="Arial"/>
          <w:sz w:val="11"/>
          <w:szCs w:val="11"/>
          <w:color w:val="auto"/>
        </w:rPr>
        <w:t>As required by Rule 13a-15(b) under the Securities and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Annual Report on Form 10-K. Based on their evaluation as of December 31, 2021,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58" w:name="page59"/>
    <w:bookmarkEnd w:id="58"/>
    <w:p>
      <w:pPr>
        <w:ind w:right="420"/>
        <w:spacing w:after="0" w:line="276" w:lineRule="auto"/>
        <w:rPr>
          <w:sz w:val="20"/>
          <w:szCs w:val="20"/>
          <w:color w:val="auto"/>
        </w:rPr>
      </w:pPr>
      <w:r>
        <w:rPr>
          <w:rFonts w:ascii="Arial" w:cs="Arial" w:eastAsia="Arial" w:hAnsi="Arial"/>
          <w:sz w:val="12"/>
          <w:szCs w:val="12"/>
          <w:color w:val="auto"/>
        </w:rPr>
        <w:t>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Management's Report on Internal Control Over Financial Reporting</w:t>
      </w:r>
    </w:p>
    <w:p>
      <w:pPr>
        <w:spacing w:after="0" w:line="105" w:lineRule="exact"/>
        <w:rPr>
          <w:sz w:val="20"/>
          <w:szCs w:val="20"/>
          <w:color w:val="auto"/>
        </w:rPr>
      </w:pPr>
    </w:p>
    <w:p>
      <w:pPr>
        <w:ind w:firstLine="297"/>
        <w:spacing w:after="0" w:line="340" w:lineRule="auto"/>
        <w:rPr>
          <w:sz w:val="20"/>
          <w:szCs w:val="20"/>
          <w:color w:val="auto"/>
        </w:rPr>
      </w:pPr>
      <w:r>
        <w:rPr>
          <w:rFonts w:ascii="Arial" w:cs="Arial" w:eastAsia="Arial" w:hAnsi="Arial"/>
          <w:sz w:val="10"/>
          <w:szCs w:val="10"/>
          <w:color w:val="auto"/>
        </w:rPr>
        <w:t>The Company's management is responsible for establishing and maintaining adequate internal control over financial reporting (as defined in Rule 13a-15(f) under the Exchange Act). The Company's management assessed the effectiveness of the Company's internal control over financial reporting as of December 31, 2021. In making this assessment, the Company's management used the criteria set forth by the Committee of Sponsoring Organizations of the Treadway Commission in Internal Control—Integrated Framework (2013). The Company's management concluded that, as of December 31, 2021, its internal control over financial reporting was effective based on this assessment.</w:t>
      </w:r>
    </w:p>
    <w:p>
      <w:pPr>
        <w:spacing w:after="0" w:line="42" w:lineRule="exact"/>
        <w:rPr>
          <w:sz w:val="20"/>
          <w:szCs w:val="20"/>
          <w:color w:val="auto"/>
        </w:rPr>
      </w:pPr>
    </w:p>
    <w:p>
      <w:pPr>
        <w:ind w:right="200" w:firstLine="297"/>
        <w:spacing w:after="0" w:line="276" w:lineRule="auto"/>
        <w:rPr>
          <w:sz w:val="20"/>
          <w:szCs w:val="20"/>
          <w:color w:val="auto"/>
        </w:rPr>
      </w:pPr>
      <w:r>
        <w:rPr>
          <w:rFonts w:ascii="Arial" w:cs="Arial" w:eastAsia="Arial" w:hAnsi="Arial"/>
          <w:sz w:val="12"/>
          <w:szCs w:val="12"/>
          <w:color w:val="auto"/>
        </w:rPr>
        <w:t>KPMG LLP, the independent registered public accounting firm that audited the Company's 2021 consolidated financial statements included in this Annual Report on Form 10-K, has issued a report on the Company's internal control over financial reporting which follows below.</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05" w:lineRule="exact"/>
        <w:rPr>
          <w:sz w:val="20"/>
          <w:szCs w:val="20"/>
          <w:color w:val="auto"/>
        </w:rPr>
      </w:pPr>
    </w:p>
    <w:p>
      <w:pPr>
        <w:ind w:right="140" w:firstLine="297"/>
        <w:spacing w:after="0" w:line="276" w:lineRule="auto"/>
        <w:rPr>
          <w:sz w:val="20"/>
          <w:szCs w:val="20"/>
          <w:color w:val="auto"/>
        </w:rPr>
      </w:pPr>
      <w:r>
        <w:rPr>
          <w:rFonts w:ascii="Arial" w:cs="Arial" w:eastAsia="Arial" w:hAnsi="Arial"/>
          <w:sz w:val="12"/>
          <w:szCs w:val="12"/>
          <w:color w:val="auto"/>
        </w:rPr>
        <w:t>There were no changes in the Company's internal control over financial reporting during the quarter ended December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43" w:right="399" w:bottom="1440" w:gutter="0" w:footer="0" w:header="0"/>
        </w:sectPr>
      </w:pPr>
    </w:p>
    <w:bookmarkStart w:id="59" w:name="page60"/>
    <w:bookmarkEnd w:id="59"/>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 Macerich Company:</w:t>
      </w:r>
    </w:p>
    <w:p>
      <w:pPr>
        <w:spacing w:after="0" w:line="35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Opinion on Internal Control Over Financial Reporting</w:t>
      </w:r>
    </w:p>
    <w:p>
      <w:pPr>
        <w:spacing w:after="0" w:line="96" w:lineRule="exact"/>
        <w:rPr>
          <w:sz w:val="20"/>
          <w:szCs w:val="20"/>
          <w:color w:val="auto"/>
        </w:rPr>
      </w:pPr>
    </w:p>
    <w:p>
      <w:pPr>
        <w:ind w:right="60" w:firstLine="297"/>
        <w:spacing w:after="0" w:line="263" w:lineRule="auto"/>
        <w:rPr>
          <w:sz w:val="20"/>
          <w:szCs w:val="20"/>
          <w:color w:val="auto"/>
        </w:rPr>
      </w:pPr>
      <w:r>
        <w:rPr>
          <w:rFonts w:ascii="Arial" w:cs="Arial" w:eastAsia="Arial" w:hAnsi="Arial"/>
          <w:sz w:val="12"/>
          <w:szCs w:val="12"/>
          <w:color w:val="auto"/>
        </w:rPr>
        <w:t>We have audited The Macerich Company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77" w:lineRule="exact"/>
        <w:rPr>
          <w:sz w:val="20"/>
          <w:szCs w:val="20"/>
          <w:color w:val="auto"/>
        </w:rPr>
      </w:pPr>
    </w:p>
    <w:p>
      <w:pPr>
        <w:jc w:val="both"/>
        <w:ind w:right="200" w:firstLine="297"/>
        <w:spacing w:after="0" w:line="298"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equity, and cash flows for each of the years in the three-year period ended December 31, 2021, and the related notes and financial statement Schedule III - Real Estate and Accumulated Depreciation (collectively, the consolidated financial statements), and our report dated February 25, 2022 expressed an unqualified opinion on those consolidated financial statements.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Basis for Opinion</w:t>
      </w:r>
    </w:p>
    <w:p>
      <w:pPr>
        <w:spacing w:after="0" w:line="96" w:lineRule="exact"/>
        <w:rPr>
          <w:sz w:val="20"/>
          <w:szCs w:val="20"/>
          <w:color w:val="auto"/>
        </w:rPr>
      </w:pPr>
    </w:p>
    <w:p>
      <w:pPr>
        <w:ind w:firstLine="297"/>
        <w:spacing w:after="0" w:line="340" w:lineRule="auto"/>
        <w:rPr>
          <w:sz w:val="20"/>
          <w:szCs w:val="20"/>
          <w:color w:val="auto"/>
        </w:rPr>
      </w:pPr>
      <w:r>
        <w:rPr>
          <w:rFonts w:ascii="Arial" w:cs="Arial" w:eastAsia="Arial" w:hAnsi="Arial"/>
          <w:sz w:val="10"/>
          <w:szCs w:val="1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2"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96" w:lineRule="exact"/>
        <w:rPr>
          <w:sz w:val="20"/>
          <w:szCs w:val="20"/>
          <w:color w:val="auto"/>
        </w:rPr>
      </w:pPr>
    </w:p>
    <w:p>
      <w:pPr>
        <w:ind w:right="80" w:firstLine="297"/>
        <w:spacing w:after="0" w:line="28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60" w:name="page61"/>
    <w:bookmarkEnd w:id="60"/>
    <w:p>
      <w:pPr>
        <w:spacing w:after="0"/>
        <w:tabs>
          <w:tab w:leader="none" w:pos="620" w:val="left"/>
        </w:tabs>
        <w:rPr>
          <w:sz w:val="20"/>
          <w:szCs w:val="20"/>
          <w:color w:val="auto"/>
        </w:rPr>
      </w:pPr>
      <w:r>
        <w:rPr>
          <w:rFonts w:ascii="Arial" w:cs="Arial" w:eastAsia="Arial" w:hAnsi="Arial"/>
          <w:sz w:val="12"/>
          <w:szCs w:val="12"/>
          <w:b w:val="1"/>
          <w:bCs w:val="1"/>
          <w:color w:val="auto"/>
        </w:rPr>
        <w:t>ITEM 9B.</w:t>
        <w:tab/>
        <w:t>OTHER INFORMATION</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9C. DISCLOSURE REGARDING FOREIGN JURISDICTIONS THAT PREVENT INSPECTIONS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PART III</w:t>
      </w:r>
    </w:p>
    <w:p>
      <w:pPr>
        <w:spacing w:after="0" w:line="105"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1"/>
          <w:szCs w:val="11"/>
          <w:b w:val="1"/>
          <w:bCs w:val="1"/>
          <w:color w:val="auto"/>
        </w:rPr>
        <w:t>DIRECTORS AND EXECUTIVE OFFICERS AND CORPORATE GOVERNANCE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information required by Item 10 will be included in the Company’s definitive proxy statement to be filed for its 2022 Annual Meeting of Stockholders and is incorporated by reference herein.</w:t>
      </w:r>
    </w:p>
    <w:p>
      <w:pPr>
        <w:spacing w:after="0" w:line="96" w:lineRule="exact"/>
        <w:rPr>
          <w:sz w:val="20"/>
          <w:szCs w:val="20"/>
          <w:color w:val="auto"/>
        </w:rPr>
      </w:pPr>
    </w:p>
    <w:p>
      <w:pPr>
        <w:ind w:firstLine="297"/>
        <w:spacing w:after="0" w:line="316" w:lineRule="auto"/>
        <w:rPr>
          <w:sz w:val="20"/>
          <w:szCs w:val="20"/>
          <w:color w:val="auto"/>
        </w:rPr>
      </w:pPr>
      <w:r>
        <w:rPr>
          <w:rFonts w:ascii="Arial" w:cs="Arial" w:eastAsia="Arial" w:hAnsi="Arial"/>
          <w:sz w:val="10"/>
          <w:szCs w:val="10"/>
          <w:color w:val="auto"/>
        </w:rPr>
        <w:t xml:space="preserve">The Company has adopted a Code of Business Conduct and Ethics that provides principles of conduct and ethics for its directors, officers and employees. This Code complies with the requirements of the Sarbanes-Oxley Act of 2002 and applicable rules of the Securities and Exchange Commission and the New York Stock Exchange. In addition, the Company has adopted a Code of Ethics for CEO and Senior Financial Officers which supplements the Code of Business Conduct and Ethics applicable to all employees and complies with the additional requirements of the Sarbanes-Oxley Act of 2002 and applicable rules of the Securities and Exchange Commission for those officers. To the extent required by applicable rules of the Securities and Exchange Commission and the New York Stock Exchange, the Company intends to promptly disclose future amendments to certain provisions of these Codes or waivers of such provisions granted to directors and executive officers, including the Company’s principal executive officer, principal financial officer, principal accounting officer or persons performing similar functions, on the Company’s website at </w:t>
      </w:r>
      <w:r>
        <w:rPr>
          <w:rFonts w:ascii="Arial" w:cs="Arial" w:eastAsia="Arial" w:hAnsi="Arial"/>
          <w:sz w:val="10"/>
          <w:szCs w:val="10"/>
          <w:i w:val="1"/>
          <w:iCs w:val="1"/>
          <w:color w:val="auto"/>
        </w:rPr>
        <w:t xml:space="preserve">www.macerich.com </w:t>
      </w:r>
      <w:r>
        <w:rPr>
          <w:rFonts w:ascii="Arial" w:cs="Arial" w:eastAsia="Arial" w:hAnsi="Arial"/>
          <w:sz w:val="10"/>
          <w:szCs w:val="10"/>
          <w:color w:val="auto"/>
        </w:rPr>
        <w:t>under "Investors—Corporate Governance—Code of Ethics." Each of these Codes of Conduct is available on the Company’s website at</w:t>
      </w:r>
      <w:r>
        <w:rPr>
          <w:rFonts w:ascii="Arial" w:cs="Arial" w:eastAsia="Arial" w:hAnsi="Arial"/>
          <w:sz w:val="10"/>
          <w:szCs w:val="10"/>
          <w:i w:val="1"/>
          <w:iCs w:val="1"/>
          <w:color w:val="auto"/>
        </w:rPr>
        <w:t xml:space="preserve"> www.macerich.com </w:t>
      </w:r>
      <w:r>
        <w:rPr>
          <w:rFonts w:ascii="Arial" w:cs="Arial" w:eastAsia="Arial" w:hAnsi="Arial"/>
          <w:sz w:val="10"/>
          <w:szCs w:val="10"/>
          <w:color w:val="auto"/>
        </w:rPr>
        <w:t>under "Investors—Corporate Governance."</w:t>
      </w:r>
    </w:p>
    <w:p>
      <w:pPr>
        <w:spacing w:after="0" w:line="55" w:lineRule="exact"/>
        <w:rPr>
          <w:sz w:val="20"/>
          <w:szCs w:val="20"/>
          <w:color w:val="auto"/>
        </w:rPr>
      </w:pPr>
    </w:p>
    <w:p>
      <w:pPr>
        <w:ind w:right="60" w:firstLine="297"/>
        <w:spacing w:after="0" w:line="276" w:lineRule="auto"/>
        <w:rPr>
          <w:sz w:val="20"/>
          <w:szCs w:val="20"/>
          <w:color w:val="auto"/>
        </w:rPr>
      </w:pPr>
      <w:r>
        <w:rPr>
          <w:rFonts w:ascii="Arial" w:cs="Arial" w:eastAsia="Arial" w:hAnsi="Arial"/>
          <w:sz w:val="12"/>
          <w:szCs w:val="12"/>
          <w:color w:val="auto"/>
        </w:rPr>
        <w:t>During 2021, there were no material changes to the procedures described in the Company's proxy statement relating to the 2021 Annual Meeting of Stockholders by which stockholders may recommend director nominees to the Company.</w:t>
      </w:r>
    </w:p>
    <w:p>
      <w:pPr>
        <w:spacing w:after="0" w:line="6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11.</w:t>
        <w:tab/>
        <w:t>EXECUTIVE COMPENSATION</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information required by Item 11 will be included in the Company’s definitive proxy statement to be filed for its 2022 Annual Meeting of Stockholders and is incorporated by reference herein.</w:t>
      </w:r>
    </w:p>
    <w:p>
      <w:pPr>
        <w:spacing w:after="0" w:line="101"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12.</w:t>
        <w:tab/>
        <w:t>SECURITY OWNERSHIP OF CERTAIN BENEFICIAL OWNERS AND MANAGEMENT AND RELATED STOCKHOLDER MATTERS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information required by Item 12 will be included in the Company’s definitive proxy statement to be filed for its 2022 Annual Meeting of Stockholders and is incorporated by reference herein.</w:t>
      </w:r>
    </w:p>
    <w:p>
      <w:pPr>
        <w:spacing w:after="0" w:line="92"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13.</w:t>
        <w:tab/>
        <w:t>CERTAIN RELATIONSHIPS AND RELATED TRANSACTIONS, AND DIRECTOR INDEPENDENCE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information required by Item 13 will be included in the Company’s definitive proxy statement to be filed for its 2022 Annual Meeting of Stockholders and is incorporated by reference herein.</w:t>
      </w:r>
    </w:p>
    <w:p>
      <w:pPr>
        <w:spacing w:after="0" w:line="101"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information required by Item 14 will be included in the Company’s definitive proxy statement to be filed for its 2022 Annual Meeting of Stockholders and is incorporated by reference herein.</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39" w:right="379" w:bottom="1440" w:gutter="0" w:footer="0" w:header="0"/>
        </w:sectPr>
      </w:pPr>
    </w:p>
    <w:bookmarkStart w:id="61" w:name="page62"/>
    <w:bookmarkEnd w:id="61"/>
    <w:p>
      <w:pPr>
        <w:jc w:val="center"/>
        <w:ind w:right="-219"/>
        <w:spacing w:after="0"/>
        <w:rPr>
          <w:sz w:val="20"/>
          <w:szCs w:val="20"/>
          <w:color w:val="auto"/>
        </w:rPr>
      </w:pPr>
      <w:r>
        <w:rPr>
          <w:rFonts w:ascii="Arial" w:cs="Arial" w:eastAsia="Arial" w:hAnsi="Arial"/>
          <w:sz w:val="12"/>
          <w:szCs w:val="12"/>
          <w:b w:val="1"/>
          <w:bCs w:val="1"/>
          <w:color w:val="auto"/>
        </w:rPr>
        <w:t>PART IV</w:t>
      </w:r>
    </w:p>
    <w:p>
      <w:pPr>
        <w:spacing w:after="0" w:line="9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15.</w:t>
        <w:tab/>
        <w:t>EXHIBITS AND FINANCIAL STATEMENT SCHEDULES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50"/>
        </w:trPr>
        <w:tc>
          <w:tcPr>
            <w:tcW w:w="1100" w:type="dxa"/>
            <w:vAlign w:val="bottom"/>
          </w:tcPr>
          <w:p>
            <w:pPr>
              <w:spacing w:after="0"/>
              <w:rPr>
                <w:sz w:val="20"/>
                <w:szCs w:val="20"/>
                <w:color w:val="auto"/>
              </w:rPr>
            </w:pPr>
            <w:r>
              <w:rPr>
                <w:rFonts w:ascii="Arial" w:cs="Arial" w:eastAsia="Arial" w:hAnsi="Arial"/>
                <w:sz w:val="12"/>
                <w:szCs w:val="12"/>
                <w:b w:val="1"/>
                <w:bCs w:val="1"/>
                <w:color w:val="auto"/>
              </w:rPr>
              <w:t>(a) and (c)</w:t>
            </w:r>
          </w:p>
        </w:tc>
        <w:tc>
          <w:tcPr>
            <w:tcW w:w="9180" w:type="dxa"/>
            <w:vAlign w:val="bottom"/>
            <w:gridSpan w:val="10"/>
          </w:tcPr>
          <w:p>
            <w:pPr>
              <w:ind w:left="560"/>
              <w:spacing w:after="0"/>
              <w:rPr>
                <w:sz w:val="20"/>
                <w:szCs w:val="20"/>
                <w:color w:val="auto"/>
              </w:rPr>
            </w:pPr>
            <w:r>
              <w:rPr>
                <w:rFonts w:ascii="Arial" w:cs="Arial" w:eastAsia="Arial" w:hAnsi="Arial"/>
                <w:sz w:val="12"/>
                <w:szCs w:val="12"/>
                <w:b w:val="1"/>
                <w:bCs w:val="1"/>
                <w:color w:val="auto"/>
              </w:rPr>
              <w:t xml:space="preserve">1 </w:t>
            </w:r>
            <w:r>
              <w:rPr>
                <w:rFonts w:ascii="Arial" w:cs="Arial" w:eastAsia="Arial" w:hAnsi="Arial"/>
                <w:sz w:val="12"/>
                <w:szCs w:val="12"/>
                <w:color w:val="auto"/>
              </w:rPr>
              <w:t>Financial Statements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500" w:type="dxa"/>
            <w:vAlign w:val="bottom"/>
            <w:gridSpan w:val="9"/>
          </w:tcPr>
          <w:p>
            <w:pPr>
              <w:spacing w:after="0" w:line="126" w:lineRule="exact"/>
              <w:rPr>
                <w:rFonts w:ascii="Arial" w:cs="Arial" w:eastAsia="Arial" w:hAnsi="Arial"/>
                <w:sz w:val="12"/>
                <w:szCs w:val="12"/>
                <w:color w:val="0000FF"/>
              </w:rPr>
            </w:pPr>
            <w:hyperlink w:anchor="page62">
              <w:r>
                <w:rPr>
                  <w:rFonts w:ascii="Arial" w:cs="Arial" w:eastAsia="Arial" w:hAnsi="Arial"/>
                  <w:sz w:val="12"/>
                  <w:szCs w:val="12"/>
                  <w:color w:val="0000FF"/>
                </w:rPr>
                <w:t>Report of Independent Registered Public Accounting Firm (KPMG LLP, Los Angeles, CA, PCAOB Auditor Firm ID:</w:t>
              </w:r>
            </w:hyperlink>
            <w:r>
              <w:rPr>
                <w:rFonts w:ascii="Arial" w:cs="Arial" w:eastAsia="Arial" w:hAnsi="Arial"/>
                <w:sz w:val="12"/>
                <w:szCs w:val="12"/>
                <w:color w:val="0000FF"/>
              </w:rPr>
              <w:t>185)</w:t>
            </w:r>
          </w:p>
        </w:tc>
        <w:tc>
          <w:tcPr>
            <w:tcW w:w="780" w:type="dxa"/>
            <w:vAlign w:val="bottom"/>
            <w:gridSpan w:val="2"/>
          </w:tcPr>
          <w:p>
            <w:pPr>
              <w:jc w:val="right"/>
              <w:spacing w:after="0" w:line="126" w:lineRule="exact"/>
              <w:rPr>
                <w:rFonts w:ascii="Arial" w:cs="Arial" w:eastAsia="Arial" w:hAnsi="Arial"/>
                <w:sz w:val="12"/>
                <w:szCs w:val="12"/>
                <w:color w:val="0000FF"/>
              </w:rPr>
            </w:pPr>
            <w:hyperlink w:anchor="page62">
              <w:r>
                <w:rPr>
                  <w:rFonts w:ascii="Arial" w:cs="Arial" w:eastAsia="Arial" w:hAnsi="Arial"/>
                  <w:sz w:val="12"/>
                  <w:szCs w:val="12"/>
                  <w:color w:val="0000FF"/>
                </w:rPr>
                <w:t>63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320" w:type="dxa"/>
            <w:vAlign w:val="bottom"/>
            <w:gridSpan w:val="5"/>
          </w:tcPr>
          <w:p>
            <w:pPr>
              <w:spacing w:after="0" w:line="133" w:lineRule="exact"/>
              <w:rPr>
                <w:rFonts w:ascii="Arial" w:cs="Arial" w:eastAsia="Arial" w:hAnsi="Arial"/>
                <w:sz w:val="12"/>
                <w:szCs w:val="12"/>
                <w:color w:val="0000FF"/>
              </w:rPr>
            </w:pPr>
            <w:hyperlink w:anchor="page64">
              <w:r>
                <w:rPr>
                  <w:rFonts w:ascii="Arial" w:cs="Arial" w:eastAsia="Arial" w:hAnsi="Arial"/>
                  <w:sz w:val="12"/>
                  <w:szCs w:val="12"/>
                  <w:color w:val="0000FF"/>
                </w:rPr>
                <w:t>Consolidated balance sheets as of December 31, 2021 and 2020</w:t>
              </w:r>
            </w:hyperlink>
          </w:p>
        </w:tc>
        <w:tc>
          <w:tcPr>
            <w:tcW w:w="1560" w:type="dxa"/>
            <w:vAlign w:val="bottom"/>
            <w:gridSpan w:val="3"/>
          </w:tcPr>
          <w:p>
            <w:pPr>
              <w:spacing w:after="0"/>
              <w:rPr>
                <w:sz w:val="11"/>
                <w:szCs w:val="11"/>
                <w:color w:val="auto"/>
              </w:rPr>
            </w:pPr>
          </w:p>
        </w:tc>
        <w:tc>
          <w:tcPr>
            <w:tcW w:w="2620" w:type="dxa"/>
            <w:vAlign w:val="bottom"/>
          </w:tcPr>
          <w:p>
            <w:pPr>
              <w:spacing w:after="0"/>
              <w:rPr>
                <w:sz w:val="11"/>
                <w:szCs w:val="11"/>
                <w:color w:val="auto"/>
              </w:rPr>
            </w:pPr>
          </w:p>
        </w:tc>
        <w:tc>
          <w:tcPr>
            <w:tcW w:w="780" w:type="dxa"/>
            <w:vAlign w:val="bottom"/>
            <w:gridSpan w:val="2"/>
          </w:tcPr>
          <w:p>
            <w:pPr>
              <w:jc w:val="right"/>
              <w:spacing w:after="0" w:line="133" w:lineRule="exact"/>
              <w:rPr>
                <w:rFonts w:ascii="Arial" w:cs="Arial" w:eastAsia="Arial" w:hAnsi="Arial"/>
                <w:sz w:val="12"/>
                <w:szCs w:val="12"/>
                <w:color w:val="0000FF"/>
              </w:rPr>
            </w:pPr>
            <w:hyperlink w:anchor="page64">
              <w:r>
                <w:rPr>
                  <w:rFonts w:ascii="Arial" w:cs="Arial" w:eastAsia="Arial" w:hAnsi="Arial"/>
                  <w:sz w:val="12"/>
                  <w:szCs w:val="12"/>
                  <w:color w:val="0000FF"/>
                </w:rPr>
                <w:t>65</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520" w:type="dxa"/>
            <w:vAlign w:val="bottom"/>
            <w:gridSpan w:val="6"/>
          </w:tcPr>
          <w:p>
            <w:pPr>
              <w:spacing w:after="0" w:line="133" w:lineRule="exact"/>
              <w:rPr>
                <w:rFonts w:ascii="Arial" w:cs="Arial" w:eastAsia="Arial" w:hAnsi="Arial"/>
                <w:sz w:val="12"/>
                <w:szCs w:val="12"/>
                <w:color w:val="0000FF"/>
                <w:w w:val="88"/>
              </w:rPr>
            </w:pPr>
            <w:hyperlink w:anchor="page65">
              <w:r>
                <w:rPr>
                  <w:rFonts w:ascii="Arial" w:cs="Arial" w:eastAsia="Arial" w:hAnsi="Arial"/>
                  <w:sz w:val="12"/>
                  <w:szCs w:val="12"/>
                  <w:color w:val="0000FF"/>
                  <w:w w:val="88"/>
                </w:rPr>
                <w:t>Consolidated statements of operations for the years ended December 31, 2021, 2020 and 2019</w:t>
              </w:r>
            </w:hyperlink>
          </w:p>
        </w:tc>
        <w:tc>
          <w:tcPr>
            <w:tcW w:w="3980" w:type="dxa"/>
            <w:vAlign w:val="bottom"/>
            <w:gridSpan w:val="3"/>
          </w:tcPr>
          <w:p>
            <w:pPr>
              <w:spacing w:after="0"/>
              <w:rPr>
                <w:sz w:val="11"/>
                <w:szCs w:val="11"/>
                <w:color w:val="auto"/>
              </w:rPr>
            </w:pPr>
          </w:p>
        </w:tc>
        <w:tc>
          <w:tcPr>
            <w:tcW w:w="780" w:type="dxa"/>
            <w:vAlign w:val="bottom"/>
            <w:gridSpan w:val="2"/>
          </w:tcPr>
          <w:p>
            <w:pPr>
              <w:jc w:val="right"/>
              <w:spacing w:after="0" w:line="133" w:lineRule="exact"/>
              <w:rPr>
                <w:rFonts w:ascii="Arial" w:cs="Arial" w:eastAsia="Arial" w:hAnsi="Arial"/>
                <w:sz w:val="12"/>
                <w:szCs w:val="12"/>
                <w:color w:val="0000FF"/>
              </w:rPr>
            </w:pPr>
            <w:hyperlink w:anchor="page65">
              <w:r>
                <w:rPr>
                  <w:rFonts w:ascii="Arial" w:cs="Arial" w:eastAsia="Arial" w:hAnsi="Arial"/>
                  <w:sz w:val="12"/>
                  <w:szCs w:val="12"/>
                  <w:color w:val="0000FF"/>
                </w:rPr>
                <w:t>66</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500" w:type="dxa"/>
            <w:vAlign w:val="bottom"/>
            <w:gridSpan w:val="9"/>
          </w:tcPr>
          <w:p>
            <w:pPr>
              <w:spacing w:after="0" w:line="133" w:lineRule="exact"/>
              <w:rPr>
                <w:rFonts w:ascii="Arial" w:cs="Arial" w:eastAsia="Arial" w:hAnsi="Arial"/>
                <w:sz w:val="12"/>
                <w:szCs w:val="12"/>
                <w:color w:val="0000FF"/>
              </w:rPr>
            </w:pPr>
            <w:hyperlink w:anchor="page66">
              <w:r>
                <w:rPr>
                  <w:rFonts w:ascii="Arial" w:cs="Arial" w:eastAsia="Arial" w:hAnsi="Arial"/>
                  <w:sz w:val="12"/>
                  <w:szCs w:val="12"/>
                  <w:color w:val="0000FF"/>
                </w:rPr>
                <w:t>Consolidated statements of comprehensive income (loss) for the years ended December 31, 2021, 2020 and 2019</w:t>
              </w:r>
            </w:hyperlink>
          </w:p>
        </w:tc>
        <w:tc>
          <w:tcPr>
            <w:tcW w:w="780" w:type="dxa"/>
            <w:vAlign w:val="bottom"/>
            <w:gridSpan w:val="2"/>
          </w:tcPr>
          <w:p>
            <w:pPr>
              <w:jc w:val="right"/>
              <w:spacing w:after="0" w:line="133" w:lineRule="exact"/>
              <w:rPr>
                <w:rFonts w:ascii="Arial" w:cs="Arial" w:eastAsia="Arial" w:hAnsi="Arial"/>
                <w:sz w:val="12"/>
                <w:szCs w:val="12"/>
                <w:color w:val="0000FF"/>
              </w:rPr>
            </w:pPr>
            <w:hyperlink w:anchor="page66">
              <w:r>
                <w:rPr>
                  <w:rFonts w:ascii="Arial" w:cs="Arial" w:eastAsia="Arial" w:hAnsi="Arial"/>
                  <w:sz w:val="12"/>
                  <w:szCs w:val="12"/>
                  <w:color w:val="0000FF"/>
                </w:rPr>
                <w:t>67</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320" w:type="dxa"/>
            <w:vAlign w:val="bottom"/>
            <w:gridSpan w:val="5"/>
          </w:tcPr>
          <w:p>
            <w:pPr>
              <w:spacing w:after="0" w:line="133" w:lineRule="exact"/>
              <w:rPr>
                <w:rFonts w:ascii="Arial" w:cs="Arial" w:eastAsia="Arial" w:hAnsi="Arial"/>
                <w:sz w:val="12"/>
                <w:szCs w:val="12"/>
                <w:color w:val="0000FF"/>
                <w:w w:val="89"/>
              </w:rPr>
            </w:pPr>
            <w:hyperlink w:anchor="page67">
              <w:r>
                <w:rPr>
                  <w:rFonts w:ascii="Arial" w:cs="Arial" w:eastAsia="Arial" w:hAnsi="Arial"/>
                  <w:sz w:val="12"/>
                  <w:szCs w:val="12"/>
                  <w:color w:val="0000FF"/>
                  <w:w w:val="89"/>
                </w:rPr>
                <w:t>Consolidated statements of equity for the years ended December 31, 2021, 2020 and 2019</w:t>
              </w:r>
            </w:hyperlink>
          </w:p>
        </w:tc>
        <w:tc>
          <w:tcPr>
            <w:tcW w:w="1100" w:type="dxa"/>
            <w:vAlign w:val="bottom"/>
            <w:gridSpan w:val="2"/>
          </w:tcPr>
          <w:p>
            <w:pPr>
              <w:spacing w:after="0"/>
              <w:rPr>
                <w:sz w:val="11"/>
                <w:szCs w:val="11"/>
                <w:color w:val="auto"/>
              </w:rPr>
            </w:pPr>
          </w:p>
        </w:tc>
        <w:tc>
          <w:tcPr>
            <w:tcW w:w="3080" w:type="dxa"/>
            <w:vAlign w:val="bottom"/>
            <w:gridSpan w:val="2"/>
          </w:tcPr>
          <w:p>
            <w:pPr>
              <w:spacing w:after="0"/>
              <w:rPr>
                <w:sz w:val="11"/>
                <w:szCs w:val="11"/>
                <w:color w:val="auto"/>
              </w:rPr>
            </w:pPr>
          </w:p>
        </w:tc>
        <w:tc>
          <w:tcPr>
            <w:tcW w:w="780" w:type="dxa"/>
            <w:vAlign w:val="bottom"/>
            <w:gridSpan w:val="2"/>
          </w:tcPr>
          <w:p>
            <w:pPr>
              <w:jc w:val="right"/>
              <w:spacing w:after="0" w:line="133" w:lineRule="exact"/>
              <w:rPr>
                <w:rFonts w:ascii="Arial" w:cs="Arial" w:eastAsia="Arial" w:hAnsi="Arial"/>
                <w:sz w:val="12"/>
                <w:szCs w:val="12"/>
                <w:color w:val="0000FF"/>
              </w:rPr>
            </w:pPr>
            <w:hyperlink w:anchor="page67">
              <w:r>
                <w:rPr>
                  <w:rFonts w:ascii="Arial" w:cs="Arial" w:eastAsia="Arial" w:hAnsi="Arial"/>
                  <w:sz w:val="12"/>
                  <w:szCs w:val="12"/>
                  <w:color w:val="0000FF"/>
                </w:rPr>
                <w:t>68</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500" w:type="dxa"/>
            <w:vAlign w:val="bottom"/>
            <w:gridSpan w:val="9"/>
          </w:tcPr>
          <w:p>
            <w:pPr>
              <w:spacing w:after="0" w:line="133" w:lineRule="exact"/>
              <w:rPr>
                <w:rFonts w:ascii="Arial" w:cs="Arial" w:eastAsia="Arial" w:hAnsi="Arial"/>
                <w:sz w:val="12"/>
                <w:szCs w:val="12"/>
                <w:color w:val="0000FF"/>
              </w:rPr>
            </w:pPr>
            <w:hyperlink w:anchor="page70">
              <w:r>
                <w:rPr>
                  <w:rFonts w:ascii="Arial" w:cs="Arial" w:eastAsia="Arial" w:hAnsi="Arial"/>
                  <w:sz w:val="12"/>
                  <w:szCs w:val="12"/>
                  <w:color w:val="0000FF"/>
                </w:rPr>
                <w:t>Consolidated statements of cash flows for the years ended December 31, 2021, 2020 and 2019</w:t>
              </w:r>
            </w:hyperlink>
          </w:p>
        </w:tc>
        <w:tc>
          <w:tcPr>
            <w:tcW w:w="780" w:type="dxa"/>
            <w:vAlign w:val="bottom"/>
            <w:gridSpan w:val="2"/>
          </w:tcPr>
          <w:p>
            <w:pPr>
              <w:jc w:val="right"/>
              <w:spacing w:after="0" w:line="133" w:lineRule="exact"/>
              <w:rPr>
                <w:rFonts w:ascii="Arial" w:cs="Arial" w:eastAsia="Arial" w:hAnsi="Arial"/>
                <w:sz w:val="12"/>
                <w:szCs w:val="12"/>
                <w:color w:val="0000FF"/>
              </w:rPr>
            </w:pPr>
            <w:hyperlink w:anchor="page70">
              <w:r>
                <w:rPr>
                  <w:rFonts w:ascii="Arial" w:cs="Arial" w:eastAsia="Arial" w:hAnsi="Arial"/>
                  <w:sz w:val="12"/>
                  <w:szCs w:val="12"/>
                  <w:color w:val="0000FF"/>
                </w:rPr>
                <w:t>71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520" w:type="dxa"/>
            <w:vAlign w:val="bottom"/>
            <w:gridSpan w:val="6"/>
          </w:tcPr>
          <w:p>
            <w:pPr>
              <w:spacing w:after="0" w:line="133" w:lineRule="exact"/>
              <w:rPr>
                <w:rFonts w:ascii="Arial" w:cs="Arial" w:eastAsia="Arial" w:hAnsi="Arial"/>
                <w:sz w:val="12"/>
                <w:szCs w:val="12"/>
                <w:color w:val="0000FF"/>
              </w:rPr>
            </w:pPr>
            <w:hyperlink w:anchor="page72">
              <w:r>
                <w:rPr>
                  <w:rFonts w:ascii="Arial" w:cs="Arial" w:eastAsia="Arial" w:hAnsi="Arial"/>
                  <w:sz w:val="12"/>
                  <w:szCs w:val="12"/>
                  <w:color w:val="0000FF"/>
                </w:rPr>
                <w:t>Notes to consolidated financial statements</w:t>
              </w:r>
            </w:hyperlink>
          </w:p>
        </w:tc>
        <w:tc>
          <w:tcPr>
            <w:tcW w:w="3980" w:type="dxa"/>
            <w:vAlign w:val="bottom"/>
            <w:gridSpan w:val="3"/>
          </w:tcPr>
          <w:p>
            <w:pPr>
              <w:spacing w:after="0"/>
              <w:rPr>
                <w:sz w:val="11"/>
                <w:szCs w:val="11"/>
                <w:color w:val="auto"/>
              </w:rPr>
            </w:pPr>
          </w:p>
        </w:tc>
        <w:tc>
          <w:tcPr>
            <w:tcW w:w="780" w:type="dxa"/>
            <w:vAlign w:val="bottom"/>
            <w:gridSpan w:val="2"/>
          </w:tcPr>
          <w:p>
            <w:pPr>
              <w:jc w:val="right"/>
              <w:spacing w:after="0" w:line="133" w:lineRule="exact"/>
              <w:rPr>
                <w:rFonts w:ascii="Arial" w:cs="Arial" w:eastAsia="Arial" w:hAnsi="Arial"/>
                <w:sz w:val="12"/>
                <w:szCs w:val="12"/>
                <w:color w:val="0000FF"/>
              </w:rPr>
            </w:pPr>
            <w:hyperlink w:anchor="page72">
              <w:r>
                <w:rPr>
                  <w:rFonts w:ascii="Arial" w:cs="Arial" w:eastAsia="Arial" w:hAnsi="Arial"/>
                  <w:sz w:val="12"/>
                  <w:szCs w:val="12"/>
                  <w:color w:val="0000FF"/>
                </w:rPr>
                <w:t>73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0" w:type="dxa"/>
            <w:vAlign w:val="bottom"/>
          </w:tcPr>
          <w:p>
            <w:pPr>
              <w:spacing w:after="0"/>
              <w:rPr>
                <w:sz w:val="13"/>
                <w:szCs w:val="13"/>
                <w:color w:val="auto"/>
              </w:rPr>
            </w:pPr>
          </w:p>
        </w:tc>
        <w:tc>
          <w:tcPr>
            <w:tcW w:w="9180" w:type="dxa"/>
            <w:vAlign w:val="bottom"/>
            <w:gridSpan w:val="10"/>
          </w:tcPr>
          <w:p>
            <w:pPr>
              <w:ind w:left="560"/>
              <w:spacing w:after="0"/>
              <w:rPr>
                <w:sz w:val="20"/>
                <w:szCs w:val="20"/>
                <w:color w:val="auto"/>
              </w:rPr>
            </w:pPr>
            <w:r>
              <w:rPr>
                <w:rFonts w:ascii="Arial" w:cs="Arial" w:eastAsia="Arial" w:hAnsi="Arial"/>
                <w:sz w:val="12"/>
                <w:szCs w:val="12"/>
                <w:b w:val="1"/>
                <w:bCs w:val="1"/>
                <w:color w:val="auto"/>
              </w:rPr>
              <w:t xml:space="preserve">2 </w:t>
            </w:r>
            <w:r>
              <w:rPr>
                <w:rFonts w:ascii="Arial" w:cs="Arial" w:eastAsia="Arial" w:hAnsi="Arial"/>
                <w:sz w:val="12"/>
                <w:szCs w:val="12"/>
                <w:color w:val="auto"/>
              </w:rPr>
              <w:t>Financial Statement Schedule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700" w:type="dxa"/>
            <w:vAlign w:val="bottom"/>
            <w:gridSpan w:val="3"/>
          </w:tcPr>
          <w:p>
            <w:pPr>
              <w:spacing w:after="0" w:line="126" w:lineRule="exact"/>
              <w:rPr>
                <w:rFonts w:ascii="Arial" w:cs="Arial" w:eastAsia="Arial" w:hAnsi="Arial"/>
                <w:sz w:val="12"/>
                <w:szCs w:val="12"/>
                <w:color w:val="0000FF"/>
                <w:w w:val="89"/>
              </w:rPr>
            </w:pPr>
            <w:hyperlink w:anchor="page105">
              <w:r>
                <w:rPr>
                  <w:rFonts w:ascii="Arial" w:cs="Arial" w:eastAsia="Arial" w:hAnsi="Arial"/>
                  <w:sz w:val="12"/>
                  <w:szCs w:val="12"/>
                  <w:color w:val="0000FF"/>
                  <w:w w:val="89"/>
                </w:rPr>
                <w:t>Schedule III—Real estate and accumulated depreciation</w:t>
              </w:r>
            </w:hyperlink>
          </w:p>
        </w:tc>
        <w:tc>
          <w:tcPr>
            <w:tcW w:w="5800" w:type="dxa"/>
            <w:vAlign w:val="bottom"/>
            <w:gridSpan w:val="6"/>
          </w:tcPr>
          <w:p>
            <w:pPr>
              <w:spacing w:after="0"/>
              <w:rPr>
                <w:sz w:val="10"/>
                <w:szCs w:val="10"/>
                <w:color w:val="auto"/>
              </w:rPr>
            </w:pPr>
          </w:p>
        </w:tc>
        <w:tc>
          <w:tcPr>
            <w:tcW w:w="780" w:type="dxa"/>
            <w:vAlign w:val="bottom"/>
            <w:gridSpan w:val="2"/>
          </w:tcPr>
          <w:p>
            <w:pPr>
              <w:jc w:val="right"/>
              <w:spacing w:after="0" w:line="126" w:lineRule="exact"/>
              <w:rPr>
                <w:rFonts w:ascii="Arial" w:cs="Arial" w:eastAsia="Arial" w:hAnsi="Arial"/>
                <w:sz w:val="12"/>
                <w:szCs w:val="12"/>
                <w:color w:val="0000FF"/>
              </w:rPr>
            </w:pPr>
            <w:hyperlink w:anchor="page105">
              <w:r>
                <w:rPr>
                  <w:rFonts w:ascii="Arial" w:cs="Arial" w:eastAsia="Arial" w:hAnsi="Arial"/>
                  <w:sz w:val="12"/>
                  <w:szCs w:val="12"/>
                  <w:color w:val="0000FF"/>
                </w:rPr>
                <w:t>106</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2"/>
                <w:szCs w:val="12"/>
                <w:b w:val="1"/>
                <w:bCs w:val="1"/>
                <w:color w:val="auto"/>
              </w:rPr>
              <w:t>(b)</w:t>
            </w: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rFonts w:ascii="Arial" w:cs="Arial" w:eastAsia="Arial" w:hAnsi="Arial"/>
                <w:sz w:val="12"/>
                <w:szCs w:val="12"/>
                <w:color w:val="0000FF"/>
                <w:w w:val="93"/>
              </w:rPr>
            </w:pPr>
            <w:hyperlink w:anchor="page108">
              <w:r>
                <w:rPr>
                  <w:rFonts w:ascii="Arial" w:cs="Arial" w:eastAsia="Arial" w:hAnsi="Arial"/>
                  <w:sz w:val="12"/>
                  <w:szCs w:val="12"/>
                  <w:color w:val="0000FF"/>
                  <w:w w:val="93"/>
                </w:rPr>
                <w:t>Exhibit Index</w:t>
              </w:r>
            </w:hyperlink>
          </w:p>
        </w:tc>
        <w:tc>
          <w:tcPr>
            <w:tcW w:w="2040" w:type="dxa"/>
            <w:vAlign w:val="bottom"/>
            <w:gridSpan w:val="2"/>
          </w:tcPr>
          <w:p>
            <w:pPr>
              <w:spacing w:after="0"/>
              <w:rPr>
                <w:sz w:val="24"/>
                <w:szCs w:val="24"/>
                <w:color w:val="auto"/>
              </w:rPr>
            </w:pPr>
          </w:p>
        </w:tc>
        <w:tc>
          <w:tcPr>
            <w:tcW w:w="5800" w:type="dxa"/>
            <w:vAlign w:val="bottom"/>
            <w:gridSpan w:val="6"/>
          </w:tcPr>
          <w:p>
            <w:pPr>
              <w:spacing w:after="0"/>
              <w:rPr>
                <w:sz w:val="24"/>
                <w:szCs w:val="24"/>
                <w:color w:val="auto"/>
              </w:rPr>
            </w:pPr>
          </w:p>
        </w:tc>
        <w:tc>
          <w:tcPr>
            <w:tcW w:w="780" w:type="dxa"/>
            <w:vAlign w:val="bottom"/>
            <w:gridSpan w:val="2"/>
          </w:tcPr>
          <w:p>
            <w:pPr>
              <w:jc w:val="right"/>
              <w:spacing w:after="0"/>
              <w:rPr>
                <w:rFonts w:ascii="Arial" w:cs="Arial" w:eastAsia="Arial" w:hAnsi="Arial"/>
                <w:sz w:val="12"/>
                <w:szCs w:val="12"/>
                <w:color w:val="0000FF"/>
              </w:rPr>
            </w:pPr>
            <w:hyperlink w:anchor="page108">
              <w:r>
                <w:rPr>
                  <w:rFonts w:ascii="Arial" w:cs="Arial" w:eastAsia="Arial" w:hAnsi="Arial"/>
                  <w:sz w:val="12"/>
                  <w:szCs w:val="12"/>
                  <w:color w:val="0000FF"/>
                </w:rPr>
                <w:t>109</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1"/>
          <w:szCs w:val="11"/>
          <w:b w:val="1"/>
          <w:bCs w:val="1"/>
          <w:color w:val="auto"/>
        </w:rPr>
        <w:t>FORM 10-K SUMMARY</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0"/>
          </w:cols>
          <w:pgMar w:left="300" w:top="739" w:right="539" w:bottom="1440" w:gutter="0" w:footer="0" w:header="0"/>
        </w:sectPr>
      </w:pPr>
    </w:p>
    <w:bookmarkStart w:id="62" w:name="page63"/>
    <w:bookmarkEnd w:id="62"/>
    <w:p>
      <w:pPr>
        <w:jc w:val="center"/>
        <w:ind w:right="-67"/>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color w:val="auto"/>
        </w:rPr>
        <w:t>To the Stockholders and Board of Directors of</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Macerich Company:</w:t>
      </w:r>
    </w:p>
    <w:p>
      <w:pPr>
        <w:spacing w:after="0" w:line="32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05" w:lineRule="exact"/>
        <w:rPr>
          <w:sz w:val="20"/>
          <w:szCs w:val="20"/>
          <w:color w:val="auto"/>
        </w:rPr>
      </w:pPr>
    </w:p>
    <w:p>
      <w:pPr>
        <w:ind w:left="8" w:right="80" w:firstLine="297"/>
        <w:spacing w:after="0" w:line="289" w:lineRule="auto"/>
        <w:rPr>
          <w:sz w:val="20"/>
          <w:szCs w:val="20"/>
          <w:color w:val="auto"/>
        </w:rPr>
      </w:pPr>
      <w:r>
        <w:rPr>
          <w:rFonts w:ascii="Arial" w:cs="Arial" w:eastAsia="Arial" w:hAnsi="Arial"/>
          <w:sz w:val="11"/>
          <w:szCs w:val="11"/>
          <w:color w:val="auto"/>
        </w:rPr>
        <w:t>We have audited the accompanying consolidated balance sheets of The Macerich Company and subsidiaries (the Company) as of December 31, 2021 and 2020, the related consolidated statements of operations, comprehensive income (loss), equity, and cash flows for each of the years in the three-year period ended December 31, 2021, and the related notes and financial statement Schedule III - Real Estate and Accumulated Depreciation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66" w:lineRule="exact"/>
        <w:rPr>
          <w:sz w:val="20"/>
          <w:szCs w:val="20"/>
          <w:color w:val="auto"/>
        </w:rPr>
      </w:pPr>
    </w:p>
    <w:p>
      <w:pPr>
        <w:jc w:val="both"/>
        <w:ind w:left="8" w:right="40" w:firstLine="297"/>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25, 2022 expressed an unqualified opinion on the effectiveness of the Company’s internal control over financial reporting.</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Basis for Opinion</w:t>
      </w:r>
    </w:p>
    <w:p>
      <w:pPr>
        <w:spacing w:after="0" w:line="105" w:lineRule="exact"/>
        <w:rPr>
          <w:sz w:val="20"/>
          <w:szCs w:val="20"/>
          <w:color w:val="auto"/>
        </w:rPr>
      </w:pPr>
    </w:p>
    <w:p>
      <w:pPr>
        <w:jc w:val="both"/>
        <w:ind w:left="8" w:firstLine="297"/>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left="8" w:firstLine="297"/>
        <w:spacing w:after="0" w:line="326" w:lineRule="auto"/>
        <w:rPr>
          <w:sz w:val="20"/>
          <w:szCs w:val="20"/>
          <w:color w:val="auto"/>
        </w:rPr>
      </w:pPr>
      <w:r>
        <w:rPr>
          <w:rFonts w:ascii="Arial" w:cs="Arial" w:eastAsia="Arial" w:hAnsi="Arial"/>
          <w:sz w:val="10"/>
          <w:szCs w:val="1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Critical Audit Matters</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0"/>
          <w:szCs w:val="10"/>
          <w:color w:val="auto"/>
        </w:rPr>
        <w:t>The critical audit matters communicated below are matters arising from the current period audit of the consolidated financial statements that were communicated or required to be communicated to the audit committee and that:</w:t>
      </w:r>
    </w:p>
    <w:p>
      <w:pPr>
        <w:spacing w:after="0" w:line="38" w:lineRule="exact"/>
        <w:rPr>
          <w:sz w:val="20"/>
          <w:szCs w:val="20"/>
          <w:color w:val="auto"/>
        </w:rPr>
      </w:pPr>
    </w:p>
    <w:p>
      <w:pPr>
        <w:ind w:left="8" w:right="40" w:hanging="8"/>
        <w:spacing w:after="0" w:line="255" w:lineRule="auto"/>
        <w:tabs>
          <w:tab w:leader="none" w:pos="178"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2" w:lineRule="exact"/>
        <w:rPr>
          <w:sz w:val="20"/>
          <w:szCs w:val="20"/>
          <w:color w:val="auto"/>
        </w:rPr>
      </w:pPr>
    </w:p>
    <w:p>
      <w:pPr>
        <w:ind w:left="488"/>
        <w:spacing w:after="0"/>
        <w:rPr>
          <w:sz w:val="20"/>
          <w:szCs w:val="20"/>
          <w:color w:val="auto"/>
        </w:rPr>
      </w:pPr>
      <w:r>
        <w:rPr>
          <w:rFonts w:ascii="Arial" w:cs="Arial" w:eastAsia="Arial" w:hAnsi="Arial"/>
          <w:sz w:val="12"/>
          <w:szCs w:val="12"/>
          <w:i w:val="1"/>
          <w:iCs w:val="1"/>
          <w:color w:val="auto"/>
        </w:rPr>
        <w:t>Assessment of the Company’s evaluation of the expected holding period for operating properties</w:t>
      </w:r>
    </w:p>
    <w:p>
      <w:pPr>
        <w:spacing w:after="0" w:line="96" w:lineRule="exact"/>
        <w:rPr>
          <w:sz w:val="20"/>
          <w:szCs w:val="20"/>
          <w:color w:val="auto"/>
        </w:rPr>
      </w:pPr>
    </w:p>
    <w:p>
      <w:pPr>
        <w:ind w:left="488" w:right="100"/>
        <w:spacing w:after="0" w:line="276" w:lineRule="auto"/>
        <w:rPr>
          <w:sz w:val="20"/>
          <w:szCs w:val="20"/>
          <w:color w:val="auto"/>
        </w:rPr>
      </w:pPr>
      <w:r>
        <w:rPr>
          <w:rFonts w:ascii="Arial" w:cs="Arial" w:eastAsia="Arial" w:hAnsi="Arial"/>
          <w:sz w:val="12"/>
          <w:szCs w:val="12"/>
          <w:color w:val="auto"/>
        </w:rPr>
        <w:t>As discussed in Notes 2 and 6 to the consolidated financial statements, the Company assesses whether an indicator of impairment in the carrying value of its properties exists by considering property operating performance, holding periods, capitalization rates, and other market factors. Property, net as of December 31, 2021 was $6,284 million, or 75% of total assets.</w:t>
      </w:r>
    </w:p>
    <w:p>
      <w:pPr>
        <w:spacing w:after="0" w:line="70" w:lineRule="exact"/>
        <w:rPr>
          <w:sz w:val="20"/>
          <w:szCs w:val="20"/>
          <w:color w:val="auto"/>
        </w:rPr>
      </w:pPr>
    </w:p>
    <w:p>
      <w:pPr>
        <w:ind w:left="488"/>
        <w:spacing w:after="0" w:line="276" w:lineRule="auto"/>
        <w:rPr>
          <w:sz w:val="20"/>
          <w:szCs w:val="20"/>
          <w:color w:val="auto"/>
        </w:rPr>
      </w:pPr>
      <w:r>
        <w:rPr>
          <w:rFonts w:ascii="Arial" w:cs="Arial" w:eastAsia="Arial" w:hAnsi="Arial"/>
          <w:sz w:val="12"/>
          <w:szCs w:val="12"/>
          <w:color w:val="auto"/>
        </w:rPr>
        <w:t>We identified the assessment of the Company’s evaluation of the expected holding period for operating properties as a critical audit matter. Subjective auditor judgment was required to assess the relevant events or changes in circumstances that the Company used to evaluate its expected holding period. A shortening of the expected holding period could indicate a potential impairment.</w:t>
      </w:r>
    </w:p>
    <w:p>
      <w:pPr>
        <w:spacing w:after="0" w:line="70" w:lineRule="exact"/>
        <w:rPr>
          <w:sz w:val="20"/>
          <w:szCs w:val="20"/>
          <w:color w:val="auto"/>
        </w:rPr>
      </w:pPr>
    </w:p>
    <w:p>
      <w:pPr>
        <w:ind w:left="488"/>
        <w:spacing w:after="0" w:line="276" w:lineRule="auto"/>
        <w:rPr>
          <w:sz w:val="20"/>
          <w:szCs w:val="20"/>
          <w:color w:val="auto"/>
        </w:rPr>
      </w:pPr>
      <w:r>
        <w:rPr>
          <w:rFonts w:ascii="Arial" w:cs="Arial" w:eastAsia="Arial" w:hAnsi="Arial"/>
          <w:sz w:val="12"/>
          <w:szCs w:val="12"/>
          <w:color w:val="auto"/>
        </w:rPr>
        <w:t>The following are the primary procedures we performed to address this critical audit matter. We evaluated the design and tested the operating effectiveness of certain internal controls over the Company’s property impairment process, including controls over the Company’s evaluation of the expected holding period. We evaluated the relevant events or</w:t>
      </w:r>
    </w:p>
    <w:p>
      <w:pPr>
        <w:spacing w:after="0" w:line="200" w:lineRule="exact"/>
        <w:rPr>
          <w:sz w:val="20"/>
          <w:szCs w:val="20"/>
          <w:color w:val="auto"/>
        </w:rPr>
      </w:pPr>
    </w:p>
    <w:p>
      <w:pPr>
        <w:spacing w:after="0" w:line="230"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739" w:right="379" w:bottom="1440" w:gutter="0" w:footer="0" w:header="0"/>
        </w:sectPr>
      </w:pPr>
    </w:p>
    <w:bookmarkStart w:id="63" w:name="page64"/>
    <w:bookmarkEnd w:id="63"/>
    <w:p>
      <w:pPr>
        <w:ind w:left="480"/>
        <w:spacing w:after="0"/>
        <w:rPr>
          <w:sz w:val="20"/>
          <w:szCs w:val="20"/>
          <w:color w:val="auto"/>
        </w:rPr>
      </w:pPr>
      <w:r>
        <w:rPr>
          <w:rFonts w:ascii="Arial" w:cs="Arial" w:eastAsia="Arial" w:hAnsi="Arial"/>
          <w:sz w:val="12"/>
          <w:szCs w:val="12"/>
          <w:color w:val="auto"/>
        </w:rPr>
        <w:t>changes in circumstances and the current economic environment that the Company used to evaluate its expected holding period by:</w:t>
      </w:r>
    </w:p>
    <w:p>
      <w:pPr>
        <w:spacing w:after="0" w:line="96" w:lineRule="exact"/>
        <w:rPr>
          <w:sz w:val="20"/>
          <w:szCs w:val="20"/>
          <w:color w:val="auto"/>
        </w:rPr>
      </w:pPr>
    </w:p>
    <w:p>
      <w:pPr>
        <w:ind w:left="860" w:hanging="112"/>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reading minutes of the meetings of the Company’s Board of Directors</w:t>
      </w:r>
    </w:p>
    <w:p>
      <w:pPr>
        <w:spacing w:after="0" w:line="105" w:lineRule="exact"/>
        <w:rPr>
          <w:rFonts w:ascii="Arial" w:cs="Arial" w:eastAsia="Arial" w:hAnsi="Arial"/>
          <w:sz w:val="12"/>
          <w:szCs w:val="12"/>
          <w:color w:val="auto"/>
        </w:rPr>
      </w:pPr>
    </w:p>
    <w:p>
      <w:pPr>
        <w:ind w:left="860" w:hanging="112"/>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reading external communications with investors and analysts</w:t>
      </w:r>
    </w:p>
    <w:p>
      <w:pPr>
        <w:spacing w:after="0" w:line="105" w:lineRule="exact"/>
        <w:rPr>
          <w:rFonts w:ascii="Arial" w:cs="Arial" w:eastAsia="Arial" w:hAnsi="Arial"/>
          <w:sz w:val="12"/>
          <w:szCs w:val="12"/>
          <w:color w:val="auto"/>
        </w:rPr>
      </w:pPr>
    </w:p>
    <w:p>
      <w:pPr>
        <w:ind w:left="860" w:hanging="112"/>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analyzing documents prepared by the Company regarding proposed real estate transactions</w:t>
      </w:r>
    </w:p>
    <w:p>
      <w:pPr>
        <w:spacing w:after="0" w:line="96" w:lineRule="exact"/>
        <w:rPr>
          <w:rFonts w:ascii="Arial" w:cs="Arial" w:eastAsia="Arial" w:hAnsi="Arial"/>
          <w:sz w:val="12"/>
          <w:szCs w:val="12"/>
          <w:color w:val="auto"/>
        </w:rPr>
      </w:pPr>
    </w:p>
    <w:p>
      <w:pPr>
        <w:ind w:left="860" w:hanging="112"/>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considering properties with current encumbrances that are set to mature within one year.</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2"/>
          <w:szCs w:val="12"/>
          <w:i w:val="1"/>
          <w:iCs w:val="1"/>
          <w:color w:val="auto"/>
        </w:rPr>
        <w:t>Evaluation of the fair value of the Chandler Freehold financing arrangement obligation</w:t>
      </w:r>
    </w:p>
    <w:p>
      <w:pPr>
        <w:spacing w:after="0" w:line="105" w:lineRule="exact"/>
        <w:rPr>
          <w:sz w:val="20"/>
          <w:szCs w:val="20"/>
          <w:color w:val="auto"/>
        </w:rPr>
      </w:pPr>
    </w:p>
    <w:p>
      <w:pPr>
        <w:ind w:left="480"/>
        <w:spacing w:after="0" w:line="256" w:lineRule="auto"/>
        <w:rPr>
          <w:sz w:val="20"/>
          <w:szCs w:val="20"/>
          <w:color w:val="auto"/>
        </w:rPr>
      </w:pPr>
      <w:r>
        <w:rPr>
          <w:rFonts w:ascii="Arial" w:cs="Arial" w:eastAsia="Arial" w:hAnsi="Arial"/>
          <w:sz w:val="12"/>
          <w:szCs w:val="12"/>
          <w:color w:val="auto"/>
        </w:rPr>
        <w:t>As discussed in Notes 2 and 12 to the consolidated financial statements, the Company reports the Chandler Freehold consolidated joint venture as a financing arrangement with the related deferred gain recorded as a liability at fair value. The fair value of the financing arrangement obligation is determined primarily based upon the fair value of the underlying shopping centers, Chandler Fashion Center and Freehold Raceway Mall, owned by the Chandler Freehold consolidated joint venture. The fair value of the shopping centers is estimated using a discounted cash flow model. Subsequent changes in fair value of the financing arrangement obligation are recorded as interest expense. The financing arrangement obligation as of December 31, 2021 was $119 million, or 2% of total liabilities. The adjustment to fair value of the financing arrangement obligation was $15 million, or 108% of net income.</w:t>
      </w:r>
    </w:p>
    <w:p>
      <w:pPr>
        <w:spacing w:after="0" w:line="74" w:lineRule="exact"/>
        <w:rPr>
          <w:sz w:val="20"/>
          <w:szCs w:val="20"/>
          <w:color w:val="auto"/>
        </w:rPr>
      </w:pPr>
    </w:p>
    <w:p>
      <w:pPr>
        <w:ind w:left="480" w:right="20"/>
        <w:spacing w:after="0" w:line="263" w:lineRule="auto"/>
        <w:rPr>
          <w:sz w:val="20"/>
          <w:szCs w:val="20"/>
          <w:color w:val="auto"/>
        </w:rPr>
      </w:pPr>
      <w:r>
        <w:rPr>
          <w:rFonts w:ascii="Arial" w:cs="Arial" w:eastAsia="Arial" w:hAnsi="Arial"/>
          <w:sz w:val="12"/>
          <w:szCs w:val="12"/>
          <w:color w:val="auto"/>
        </w:rPr>
        <w:t>We identified the evaluation of the fair value of the Chandler Freehold financing arrangement obligation as a critical audit matter. A high degree of subjectivity was required in evaluating the discounted cash flow model used to fair value the shopping centers. Specifically, the model was sensitive to reasonably possible changes to significant assumptions, which have a significant effect on the determination of fair value of the financing arrangement obligation. The significant assumptions include market rental rates, discount rates, and terminal capitalization rates.</w:t>
      </w:r>
    </w:p>
    <w:p>
      <w:pPr>
        <w:spacing w:after="0" w:line="77" w:lineRule="exact"/>
        <w:rPr>
          <w:sz w:val="20"/>
          <w:szCs w:val="20"/>
          <w:color w:val="auto"/>
        </w:rPr>
      </w:pPr>
    </w:p>
    <w:p>
      <w:pPr>
        <w:ind w:left="480" w:right="160"/>
        <w:spacing w:after="0" w:line="326" w:lineRule="auto"/>
        <w:rPr>
          <w:sz w:val="20"/>
          <w:szCs w:val="20"/>
          <w:color w:val="auto"/>
        </w:rPr>
      </w:pPr>
      <w:r>
        <w:rPr>
          <w:rFonts w:ascii="Arial" w:cs="Arial" w:eastAsia="Arial" w:hAnsi="Arial"/>
          <w:sz w:val="10"/>
          <w:szCs w:val="10"/>
          <w:color w:val="auto"/>
        </w:rPr>
        <w:t>The following are the primary procedures we performed to address this critical audit matter. We evaluated the design and tested the operating effectiveness of certain internal controls over the Company’s fair value determination process for the financing arrangement obligation and specifically the development of the significant assumptions. We involved valuation professionals with specialized skills and knowledge who assisted in evaluating the Company’s significant assumptions used in the discounted cash flow model. The valuation professionals independently developed a range of the market rental rates, discount rates, and terminal capitalization rates using publicly available market data for comparable properties and geographic regions in which Chandler Fashion Center and Freehold Raceway Mall are located and compared the rates to those used by the Company.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2010</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CONSOLIDATED BALANCE SHEETS</w:t>
      </w:r>
    </w:p>
    <w:p>
      <w:pPr>
        <w:spacing w:after="0" w:line="105"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(Dollars in thousands, except par value)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78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4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Property, net</w:t>
            </w:r>
          </w:p>
        </w:tc>
        <w:tc>
          <w:tcPr>
            <w:tcW w:w="840" w:type="dxa"/>
            <w:vAlign w:val="bottom"/>
          </w:tcPr>
          <w:p>
            <w:pPr>
              <w:jc w:val="right"/>
              <w:ind w:right="70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7"/>
              </w:rPr>
              <w:t>6,284,206</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6,694,579</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112,454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465,297</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Restricted cash</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54,517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17,362</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Tenant and other receivables, net</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211,361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239,194</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Right-of-use assets, net</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110,638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118,355</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Deferred charges and other assets, net</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254,908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306,959</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Due from affiliates</w:t>
            </w:r>
          </w:p>
        </w:tc>
        <w:tc>
          <w:tcPr>
            <w:tcW w:w="8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Investments in unconsolidated joint ventures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1,317,571</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1,340,647</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Total assets</w:t>
            </w:r>
          </w:p>
        </w:tc>
        <w:tc>
          <w:tcPr>
            <w:tcW w:w="84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8,345,655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9,184,005</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LIABILITIES AND EQUITY:</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Mortgage notes payable</w:t>
            </w:r>
          </w:p>
        </w:tc>
        <w:tc>
          <w:tcPr>
            <w:tcW w:w="840" w:type="dxa"/>
            <w:vAlign w:val="bottom"/>
          </w:tcPr>
          <w:p>
            <w:pPr>
              <w:jc w:val="right"/>
              <w:ind w:right="70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7"/>
              </w:rPr>
              <w:t>4,423,554</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4,560,810</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Bank and other notes payable</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104,811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1,477,540</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Accounts payable and accrued expenses</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59,228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68,825</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Due to affiliates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Lease liabilities</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80,711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90,216</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Other accrued liabilities</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254,279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298,594</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Distributions in excess of investments in unconsolidated joint ventures</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127,608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108,381</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spacing w:after="0"/>
              <w:rPr>
                <w:sz w:val="20"/>
                <w:szCs w:val="20"/>
                <w:color w:val="auto"/>
              </w:rPr>
            </w:pPr>
            <w:r>
              <w:rPr>
                <w:rFonts w:ascii="Arial" w:cs="Arial" w:eastAsia="Arial" w:hAnsi="Arial"/>
                <w:sz w:val="12"/>
                <w:szCs w:val="12"/>
                <w:color w:val="auto"/>
              </w:rPr>
              <w:t>Financing arrangement obligation</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118,988</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134,379</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Total liabilities</w:t>
            </w: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5,169,506</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6,738,745</w:t>
            </w:r>
          </w:p>
        </w:tc>
        <w:tc>
          <w:tcPr>
            <w:tcW w:w="0" w:type="dxa"/>
            <w:vAlign w:val="bottom"/>
          </w:tcPr>
          <w:p>
            <w:pPr>
              <w:spacing w:after="0"/>
              <w:rPr>
                <w:sz w:val="1"/>
                <w:szCs w:val="1"/>
                <w:color w:val="auto"/>
              </w:rPr>
            </w:pPr>
          </w:p>
        </w:tc>
      </w:tr>
      <w:tr>
        <w:trPr>
          <w:trHeight w:val="133"/>
        </w:trPr>
        <w:tc>
          <w:tcPr>
            <w:tcW w:w="7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Commitments and contingencies</w:t>
            </w:r>
          </w:p>
        </w:tc>
        <w:tc>
          <w:tcPr>
            <w:tcW w:w="8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Arial" w:cs="Arial" w:eastAsia="Arial" w:hAnsi="Arial"/>
                <w:sz w:val="12"/>
                <w:szCs w:val="12"/>
                <w:color w:val="auto"/>
              </w:rPr>
              <w:t>Equity:</w:t>
            </w: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Stockholders' equity:</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820" w:type="dxa"/>
            <w:vAlign w:val="bottom"/>
          </w:tcPr>
          <w:p>
            <w:pPr>
              <w:ind w:left="220"/>
              <w:spacing w:after="0" w:line="117" w:lineRule="exact"/>
              <w:rPr>
                <w:sz w:val="20"/>
                <w:szCs w:val="20"/>
                <w:color w:val="auto"/>
              </w:rPr>
            </w:pPr>
            <w:r>
              <w:rPr>
                <w:rFonts w:ascii="Arial" w:cs="Arial" w:eastAsia="Arial" w:hAnsi="Arial"/>
                <w:sz w:val="12"/>
                <w:szCs w:val="12"/>
                <w:color w:val="auto"/>
              </w:rPr>
              <w:t>Common stock, $0.01 par value, 500,000,000 and 250,000,000 shares authorized at December 31, 2021 and 2020, respectively, 214,797,057</w:t>
            </w: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20" w:type="dxa"/>
            <w:vAlign w:val="bottom"/>
          </w:tcPr>
          <w:p>
            <w:pPr>
              <w:ind w:left="260"/>
              <w:spacing w:after="0" w:line="117" w:lineRule="exact"/>
              <w:rPr>
                <w:sz w:val="20"/>
                <w:szCs w:val="20"/>
                <w:color w:val="auto"/>
              </w:rPr>
            </w:pPr>
            <w:r>
              <w:rPr>
                <w:rFonts w:ascii="Arial" w:cs="Arial" w:eastAsia="Arial" w:hAnsi="Arial"/>
                <w:sz w:val="12"/>
                <w:szCs w:val="12"/>
                <w:color w:val="auto"/>
              </w:rPr>
              <w:t>and 149,770,575 shares issued and outstanding at December 31, 2021</w:t>
            </w:r>
          </w:p>
        </w:tc>
        <w:tc>
          <w:tcPr>
            <w:tcW w:w="8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2,147</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1,498</w:t>
            </w:r>
          </w:p>
        </w:tc>
        <w:tc>
          <w:tcPr>
            <w:tcW w:w="0" w:type="dxa"/>
            <w:vAlign w:val="bottom"/>
          </w:tcPr>
          <w:p>
            <w:pPr>
              <w:spacing w:after="0"/>
              <w:rPr>
                <w:sz w:val="1"/>
                <w:szCs w:val="1"/>
                <w:color w:val="auto"/>
              </w:rPr>
            </w:pPr>
          </w:p>
        </w:tc>
      </w:tr>
      <w:tr>
        <w:trPr>
          <w:trHeight w:val="153"/>
        </w:trPr>
        <w:tc>
          <w:tcPr>
            <w:tcW w:w="7820" w:type="dxa"/>
            <w:vAlign w:val="bottom"/>
          </w:tcPr>
          <w:p>
            <w:pPr>
              <w:ind w:left="260"/>
              <w:spacing w:after="0"/>
              <w:rPr>
                <w:sz w:val="20"/>
                <w:szCs w:val="20"/>
                <w:color w:val="auto"/>
              </w:rPr>
            </w:pPr>
            <w:r>
              <w:rPr>
                <w:rFonts w:ascii="Arial" w:cs="Arial" w:eastAsia="Arial" w:hAnsi="Arial"/>
                <w:sz w:val="12"/>
                <w:szCs w:val="12"/>
                <w:color w:val="auto"/>
              </w:rPr>
              <w:t>and 2020, respectively</w:t>
            </w:r>
          </w:p>
        </w:tc>
        <w:tc>
          <w:tcPr>
            <w:tcW w:w="8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Additional paid-in capital</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5,488,440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4,603,378</w:t>
            </w:r>
          </w:p>
        </w:tc>
        <w:tc>
          <w:tcPr>
            <w:tcW w:w="0" w:type="dxa"/>
            <w:vAlign w:val="bottom"/>
          </w:tcPr>
          <w:p>
            <w:pPr>
              <w:spacing w:after="0"/>
              <w:rPr>
                <w:sz w:val="1"/>
                <w:szCs w:val="1"/>
                <w:color w:val="auto"/>
              </w:rPr>
            </w:pPr>
          </w:p>
        </w:tc>
      </w:tr>
      <w:tr>
        <w:trPr>
          <w:trHeight w:val="153"/>
        </w:trPr>
        <w:tc>
          <w:tcPr>
            <w:tcW w:w="7820" w:type="dxa"/>
            <w:vAlign w:val="bottom"/>
          </w:tcPr>
          <w:p>
            <w:pPr>
              <w:ind w:left="220"/>
              <w:spacing w:after="0"/>
              <w:rPr>
                <w:sz w:val="20"/>
                <w:szCs w:val="20"/>
                <w:color w:val="auto"/>
              </w:rPr>
            </w:pPr>
            <w:r>
              <w:rPr>
                <w:rFonts w:ascii="Arial" w:cs="Arial" w:eastAsia="Arial" w:hAnsi="Arial"/>
                <w:sz w:val="12"/>
                <w:szCs w:val="12"/>
                <w:color w:val="auto"/>
              </w:rPr>
              <w:t>Accumulated deficit</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1"/>
              </w:rPr>
              <w:t>(2,443,696)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(2,339,619)</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Accumulated other comprehensive loss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(8,208)</w:t>
            </w:r>
          </w:p>
        </w:tc>
        <w:tc>
          <w:tcPr>
            <w:tcW w:w="0" w:type="dxa"/>
            <w:vAlign w:val="bottom"/>
          </w:tcPr>
          <w:p>
            <w:pPr>
              <w:spacing w:after="0"/>
              <w:rPr>
                <w:sz w:val="1"/>
                <w:szCs w:val="1"/>
                <w:color w:val="auto"/>
              </w:rPr>
            </w:pPr>
          </w:p>
        </w:tc>
      </w:tr>
      <w:tr>
        <w:trPr>
          <w:trHeight w:val="142"/>
        </w:trPr>
        <w:tc>
          <w:tcPr>
            <w:tcW w:w="7820" w:type="dxa"/>
            <w:vAlign w:val="bottom"/>
          </w:tcPr>
          <w:p>
            <w:pPr>
              <w:ind w:left="360"/>
              <w:spacing w:after="0"/>
              <w:rPr>
                <w:sz w:val="20"/>
                <w:szCs w:val="20"/>
                <w:color w:val="auto"/>
              </w:rPr>
            </w:pPr>
            <w:r>
              <w:rPr>
                <w:rFonts w:ascii="Arial" w:cs="Arial" w:eastAsia="Arial" w:hAnsi="Arial"/>
                <w:sz w:val="12"/>
                <w:szCs w:val="12"/>
                <w:color w:val="auto"/>
              </w:rPr>
              <w:t>Total stockholders' equity</w:t>
            </w:r>
          </w:p>
        </w:tc>
        <w:tc>
          <w:tcPr>
            <w:tcW w:w="8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7"/>
              </w:rPr>
              <w:t>3,046,867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2,257,049</w:t>
            </w: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Noncontrolling interests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129,282</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188,211</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Total equity</w:t>
            </w: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3,176,149</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2,445,260</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Total liabilities and equity</w:t>
            </w:r>
          </w:p>
        </w:tc>
        <w:tc>
          <w:tcPr>
            <w:tcW w:w="84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8,345,655</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9,184,005</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42545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80"/>
          </w:cols>
          <w:pgMar w:left="560" w:top="739" w:right="559" w:bottom="1440" w:gutter="0" w:footer="0" w:header="0"/>
        </w:sectPr>
      </w:pPr>
    </w:p>
    <w:bookmarkStart w:id="65" w:name="page66"/>
    <w:bookmarkEnd w:id="65"/>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0"/>
                <w:szCs w:val="10"/>
                <w:b w:val="1"/>
                <w:bCs w:val="1"/>
                <w:color w:val="auto"/>
              </w:rPr>
              <w:t>For The Years Ended December 31,</w:t>
            </w:r>
          </w:p>
        </w:tc>
        <w:tc>
          <w:tcPr>
            <w:tcW w:w="920" w:type="dxa"/>
            <w:vAlign w:val="bottom"/>
            <w:tcBorders>
              <w:bottom w:val="single" w:sz="8" w:color="auto"/>
            </w:tcBorders>
          </w:tcPr>
          <w:p>
            <w:pPr>
              <w:spacing w:after="0"/>
              <w:rPr>
                <w:sz w:val="11"/>
                <w:szCs w:val="11"/>
                <w:color w:val="auto"/>
              </w:rPr>
            </w:pPr>
          </w:p>
        </w:tc>
      </w:tr>
      <w:tr>
        <w:trPr>
          <w:trHeight w:val="118"/>
        </w:trPr>
        <w:tc>
          <w:tcPr>
            <w:tcW w:w="704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2019</w:t>
            </w:r>
          </w:p>
        </w:tc>
      </w:tr>
      <w:tr>
        <w:trPr>
          <w:trHeight w:val="116"/>
        </w:trPr>
        <w:tc>
          <w:tcPr>
            <w:tcW w:w="704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Revenues:</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Leasing revenue</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787,547</w:t>
            </w:r>
          </w:p>
        </w:tc>
        <w:tc>
          <w:tcPr>
            <w:tcW w:w="10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740,323</w:t>
            </w:r>
          </w:p>
        </w:tc>
        <w:tc>
          <w:tcPr>
            <w:tcW w:w="10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858,874</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33,867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22,242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27,879</w:t>
            </w:r>
          </w:p>
        </w:tc>
      </w:tr>
      <w:tr>
        <w:trPr>
          <w:trHeight w:val="124"/>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Management Companies</w:t>
            </w: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26,023</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23,461</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40,709</w:t>
            </w:r>
          </w:p>
        </w:tc>
      </w:tr>
      <w:tr>
        <w:trPr>
          <w:trHeight w:val="117"/>
        </w:trPr>
        <w:tc>
          <w:tcPr>
            <w:tcW w:w="7040" w:type="dxa"/>
            <w:vAlign w:val="bottom"/>
            <w:shd w:val="clear" w:color="auto" w:fill="CCEEFF"/>
          </w:tcPr>
          <w:p>
            <w:pPr>
              <w:ind w:left="240"/>
              <w:spacing w:after="0" w:line="110" w:lineRule="exact"/>
              <w:rPr>
                <w:sz w:val="20"/>
                <w:szCs w:val="20"/>
                <w:color w:val="auto"/>
              </w:rPr>
            </w:pPr>
            <w:r>
              <w:rPr>
                <w:rFonts w:ascii="Arial" w:cs="Arial" w:eastAsia="Arial" w:hAnsi="Arial"/>
                <w:sz w:val="10"/>
                <w:szCs w:val="10"/>
                <w:color w:val="auto"/>
              </w:rPr>
              <w:t>Total revenues</w:t>
            </w: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847,437</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786,026</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927,462</w:t>
            </w:r>
          </w:p>
        </w:tc>
      </w:tr>
      <w:tr>
        <w:trPr>
          <w:trHeight w:val="111"/>
        </w:trPr>
        <w:tc>
          <w:tcPr>
            <w:tcW w:w="7040" w:type="dxa"/>
            <w:vAlign w:val="bottom"/>
          </w:tcPr>
          <w:p>
            <w:pPr>
              <w:ind w:left="20"/>
              <w:spacing w:after="0" w:line="107" w:lineRule="exact"/>
              <w:rPr>
                <w:sz w:val="20"/>
                <w:szCs w:val="20"/>
                <w:color w:val="auto"/>
              </w:rPr>
            </w:pPr>
            <w:r>
              <w:rPr>
                <w:rFonts w:ascii="Arial" w:cs="Arial" w:eastAsia="Arial" w:hAnsi="Arial"/>
                <w:sz w:val="10"/>
                <w:szCs w:val="10"/>
                <w:color w:val="auto"/>
              </w:rPr>
              <w:t>Expenses:</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30"/>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Shopping center and operating expenses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295,016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257,212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271,547</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Leasing expense</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24,838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25,191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29,611</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Management Companies' operating expenses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61,030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65,576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66,795</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REIT general and administrative expenses</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30,056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30,339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22,634</w:t>
            </w:r>
          </w:p>
        </w:tc>
      </w:tr>
      <w:tr>
        <w:trPr>
          <w:trHeight w:val="126"/>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Depreciation and amortization</w:t>
            </w: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311,129</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319,619</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330,726</w:t>
            </w:r>
          </w:p>
        </w:tc>
      </w:tr>
      <w:tr>
        <w:trPr>
          <w:trHeight w:val="115"/>
        </w:trPr>
        <w:tc>
          <w:tcPr>
            <w:tcW w:w="704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722,069</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697,937</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721,313</w:t>
            </w:r>
          </w:p>
        </w:tc>
      </w:tr>
      <w:tr>
        <w:trPr>
          <w:trHeight w:val="117"/>
        </w:trPr>
        <w:tc>
          <w:tcPr>
            <w:tcW w:w="7040" w:type="dxa"/>
            <w:vAlign w:val="bottom"/>
            <w:shd w:val="clear" w:color="auto" w:fill="CCEEFF"/>
          </w:tcPr>
          <w:p>
            <w:pPr>
              <w:ind w:left="100"/>
              <w:spacing w:after="0" w:line="110" w:lineRule="exact"/>
              <w:rPr>
                <w:sz w:val="20"/>
                <w:szCs w:val="20"/>
                <w:color w:val="auto"/>
              </w:rPr>
            </w:pPr>
            <w:r>
              <w:rPr>
                <w:rFonts w:ascii="Arial" w:cs="Arial" w:eastAsia="Arial" w:hAnsi="Arial"/>
                <w:sz w:val="10"/>
                <w:szCs w:val="10"/>
                <w:color w:val="auto"/>
              </w:rPr>
              <w:t>Interest (income) expense:</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24"/>
        </w:trPr>
        <w:tc>
          <w:tcPr>
            <w:tcW w:w="7040" w:type="dxa"/>
            <w:vAlign w:val="bottom"/>
          </w:tcPr>
          <w:p>
            <w:pPr>
              <w:ind w:left="240"/>
              <w:spacing w:after="0"/>
              <w:rPr>
                <w:sz w:val="20"/>
                <w:szCs w:val="20"/>
                <w:color w:val="auto"/>
              </w:rPr>
            </w:pPr>
            <w:r>
              <w:rPr>
                <w:rFonts w:ascii="Arial" w:cs="Arial" w:eastAsia="Arial" w:hAnsi="Arial"/>
                <w:sz w:val="10"/>
                <w:szCs w:val="10"/>
                <w:color w:val="auto"/>
              </w:rPr>
              <w:t>Related parties</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(3,718)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(135,281)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(62,517)</w:t>
            </w:r>
          </w:p>
        </w:tc>
      </w:tr>
      <w:tr>
        <w:trPr>
          <w:trHeight w:val="126"/>
        </w:trPr>
        <w:tc>
          <w:tcPr>
            <w:tcW w:w="7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Other</w:t>
            </w: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196,397</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210,831</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200,771</w:t>
            </w:r>
          </w:p>
        </w:tc>
      </w:tr>
      <w:tr>
        <w:trPr>
          <w:trHeight w:val="115"/>
        </w:trPr>
        <w:tc>
          <w:tcPr>
            <w:tcW w:w="7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192,679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75,550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138,254</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Loss on extinguishment of debt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351</w:t>
            </w:r>
          </w:p>
        </w:tc>
      </w:tr>
      <w:tr>
        <w:trPr>
          <w:trHeight w:val="113"/>
        </w:trPr>
        <w:tc>
          <w:tcPr>
            <w:tcW w:w="7040" w:type="dxa"/>
            <w:vAlign w:val="bottom"/>
          </w:tcPr>
          <w:p>
            <w:pPr>
              <w:ind w:left="240"/>
              <w:spacing w:after="0" w:line="107" w:lineRule="exact"/>
              <w:rPr>
                <w:sz w:val="20"/>
                <w:szCs w:val="20"/>
                <w:color w:val="auto"/>
              </w:rPr>
            </w:pPr>
            <w:r>
              <w:rPr>
                <w:rFonts w:ascii="Arial" w:cs="Arial" w:eastAsia="Arial" w:hAnsi="Arial"/>
                <w:sz w:val="10"/>
                <w:szCs w:val="10"/>
                <w:color w:val="auto"/>
              </w:rPr>
              <w:t>Total expenses</w:t>
            </w:r>
          </w:p>
        </w:tc>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915,755</w:t>
            </w:r>
          </w:p>
        </w:tc>
        <w:tc>
          <w:tcPr>
            <w:tcW w:w="1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773,487</w:t>
            </w:r>
          </w:p>
        </w:tc>
        <w:tc>
          <w:tcPr>
            <w:tcW w:w="1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859,918</w:t>
            </w:r>
          </w:p>
        </w:tc>
      </w:tr>
      <w:tr>
        <w:trPr>
          <w:trHeight w:val="128"/>
        </w:trPr>
        <w:tc>
          <w:tcPr>
            <w:tcW w:w="7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 income (loss) of unconsolidated joint ventures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15,689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(27,038)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48,508</w:t>
            </w:r>
          </w:p>
        </w:tc>
      </w:tr>
      <w:tr>
        <w:trPr>
          <w:trHeight w:val="124"/>
        </w:trPr>
        <w:tc>
          <w:tcPr>
            <w:tcW w:w="7040" w:type="dxa"/>
            <w:vAlign w:val="bottom"/>
          </w:tcPr>
          <w:p>
            <w:pPr>
              <w:ind w:left="20"/>
              <w:spacing w:after="0"/>
              <w:rPr>
                <w:sz w:val="20"/>
                <w:szCs w:val="20"/>
                <w:color w:val="auto"/>
              </w:rPr>
            </w:pPr>
            <w:r>
              <w:rPr>
                <w:rFonts w:ascii="Arial" w:cs="Arial" w:eastAsia="Arial" w:hAnsi="Arial"/>
                <w:sz w:val="10"/>
                <w:szCs w:val="10"/>
                <w:color w:val="auto"/>
              </w:rPr>
              <w:t>Income tax (expense) benefit</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(6,948)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447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(1,589)</w:t>
            </w:r>
          </w:p>
        </w:tc>
      </w:tr>
      <w:tr>
        <w:trPr>
          <w:trHeight w:val="128"/>
        </w:trPr>
        <w:tc>
          <w:tcPr>
            <w:tcW w:w="7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Loss on remeasurement of assets</w:t>
            </w: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(163,298)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Gain (loss) on sale or write down of assets, net</w:t>
            </w: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75,740</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(68,112)</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(11,909)</w:t>
            </w:r>
          </w:p>
        </w:tc>
      </w:tr>
      <w:tr>
        <w:trPr>
          <w:trHeight w:val="117"/>
        </w:trPr>
        <w:tc>
          <w:tcPr>
            <w:tcW w:w="704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Net income (loss)</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16,163</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(245,462)</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102,554</w:t>
            </w:r>
          </w:p>
        </w:tc>
      </w:tr>
      <w:tr>
        <w:trPr>
          <w:trHeight w:val="124"/>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Less net income (loss) attributable to noncontrolling interests</w:t>
            </w: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1,900</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(15,259)</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5,734</w:t>
            </w:r>
          </w:p>
        </w:tc>
      </w:tr>
      <w:tr>
        <w:trPr>
          <w:trHeight w:val="137"/>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 (loss) attributable to the Company</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14,263</w:t>
            </w: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(230,203)</w:t>
            </w: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96,820</w:t>
            </w:r>
          </w:p>
        </w:tc>
      </w:tr>
      <w:tr>
        <w:trPr>
          <w:trHeight w:val="118"/>
        </w:trPr>
        <w:tc>
          <w:tcPr>
            <w:tcW w:w="7040" w:type="dxa"/>
            <w:vAlign w:val="bottom"/>
          </w:tcPr>
          <w:p>
            <w:pPr>
              <w:ind w:left="20"/>
              <w:spacing w:after="0"/>
              <w:rPr>
                <w:sz w:val="20"/>
                <w:szCs w:val="20"/>
                <w:color w:val="auto"/>
              </w:rPr>
            </w:pPr>
            <w:r>
              <w:rPr>
                <w:rFonts w:ascii="Arial" w:cs="Arial" w:eastAsia="Arial" w:hAnsi="Arial"/>
                <w:sz w:val="10"/>
                <w:szCs w:val="10"/>
                <w:color w:val="auto"/>
              </w:rPr>
              <w:t>Earnings per common share attributable to common stockholders:</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6"/>
        </w:trPr>
        <w:tc>
          <w:tcPr>
            <w:tcW w:w="7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Basic</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0.07</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(1.58)</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0.68</w:t>
            </w:r>
          </w:p>
        </w:tc>
      </w:tr>
      <w:tr>
        <w:trPr>
          <w:trHeight w:val="142"/>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Diluted</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0.07</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0.68</w:t>
            </w:r>
          </w:p>
        </w:tc>
      </w:tr>
      <w:tr>
        <w:trPr>
          <w:trHeight w:val="126"/>
        </w:trPr>
        <w:tc>
          <w:tcPr>
            <w:tcW w:w="7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Weighted average number of common shares outstanding:</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42"/>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Basic</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198,070,000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146,232,000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141,340,000</w:t>
            </w:r>
          </w:p>
        </w:tc>
      </w:tr>
      <w:tr>
        <w:trPr>
          <w:trHeight w:val="142"/>
        </w:trPr>
        <w:tc>
          <w:tcPr>
            <w:tcW w:w="7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Diluted</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198,070,000</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146,232,000</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141,340,000</w:t>
            </w:r>
          </w:p>
        </w:tc>
      </w:tr>
    </w:tbl>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40"/>
          </w:cols>
          <w:pgMar w:left="520" w:top="658" w:right="539" w:bottom="1440" w:gutter="0" w:footer="0" w:header="0"/>
        </w:sectPr>
      </w:pPr>
    </w:p>
    <w:bookmarkStart w:id="66" w:name="page67"/>
    <w:bookmarkEnd w:id="66"/>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0"/>
                <w:szCs w:val="10"/>
                <w:b w:val="1"/>
                <w:bCs w:val="1"/>
                <w:color w:val="auto"/>
                <w:w w:val="85"/>
              </w:rPr>
              <w:t>For The Years Ended December 31,</w:t>
            </w:r>
          </w:p>
        </w:tc>
        <w:tc>
          <w:tcPr>
            <w:tcW w:w="920" w:type="dxa"/>
            <w:vAlign w:val="bottom"/>
            <w:tcBorders>
              <w:bottom w:val="single" w:sz="8" w:color="auto"/>
            </w:tcBorders>
          </w:tcPr>
          <w:p>
            <w:pPr>
              <w:spacing w:after="0"/>
              <w:rPr>
                <w:sz w:val="11"/>
                <w:szCs w:val="11"/>
                <w:color w:val="auto"/>
              </w:rPr>
            </w:pPr>
          </w:p>
        </w:tc>
      </w:tr>
      <w:tr>
        <w:trPr>
          <w:trHeight w:val="118"/>
        </w:trPr>
        <w:tc>
          <w:tcPr>
            <w:tcW w:w="70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2019</w:t>
            </w:r>
          </w:p>
        </w:tc>
      </w:tr>
      <w:tr>
        <w:trPr>
          <w:trHeight w:val="116"/>
        </w:trPr>
        <w:tc>
          <w:tcPr>
            <w:tcW w:w="704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Net income (loss)</w:t>
            </w: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16,163</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(245,462)</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102,554</w:t>
            </w:r>
          </w:p>
        </w:tc>
      </w:tr>
      <w:tr>
        <w:trPr>
          <w:trHeight w:val="124"/>
        </w:trPr>
        <w:tc>
          <w:tcPr>
            <w:tcW w:w="7040" w:type="dxa"/>
            <w:vAlign w:val="bottom"/>
          </w:tcPr>
          <w:p>
            <w:pPr>
              <w:ind w:left="20"/>
              <w:spacing w:after="0"/>
              <w:rPr>
                <w:sz w:val="20"/>
                <w:szCs w:val="20"/>
                <w:color w:val="auto"/>
              </w:rPr>
            </w:pPr>
            <w:r>
              <w:rPr>
                <w:rFonts w:ascii="Arial" w:cs="Arial" w:eastAsia="Arial" w:hAnsi="Arial"/>
                <w:sz w:val="10"/>
                <w:szCs w:val="10"/>
                <w:color w:val="auto"/>
              </w:rPr>
              <w:t>Other comprehensive income (loss):</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Interest rate cap/swap agreements</w:t>
            </w:r>
          </w:p>
        </w:tc>
        <w:tc>
          <w:tcPr>
            <w:tcW w:w="8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8,184</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843</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(4,585)</w:t>
            </w:r>
          </w:p>
        </w:tc>
      </w:tr>
      <w:tr>
        <w:trPr>
          <w:trHeight w:val="113"/>
        </w:trPr>
        <w:tc>
          <w:tcPr>
            <w:tcW w:w="7040" w:type="dxa"/>
            <w:vAlign w:val="bottom"/>
          </w:tcPr>
          <w:p>
            <w:pPr>
              <w:ind w:left="20"/>
              <w:spacing w:after="0" w:line="107" w:lineRule="exact"/>
              <w:rPr>
                <w:sz w:val="20"/>
                <w:szCs w:val="20"/>
                <w:color w:val="auto"/>
              </w:rPr>
            </w:pPr>
            <w:r>
              <w:rPr>
                <w:rFonts w:ascii="Arial" w:cs="Arial" w:eastAsia="Arial" w:hAnsi="Arial"/>
                <w:sz w:val="10"/>
                <w:szCs w:val="10"/>
                <w:color w:val="auto"/>
              </w:rPr>
              <w:t>Comprehensive income (loss)</w:t>
            </w:r>
          </w:p>
        </w:tc>
        <w:tc>
          <w:tcPr>
            <w:tcW w:w="800" w:type="dxa"/>
            <w:vAlign w:val="bottom"/>
          </w:tcPr>
          <w:p>
            <w:pPr>
              <w:spacing w:after="0"/>
              <w:rPr>
                <w:sz w:val="9"/>
                <w:szCs w:val="9"/>
                <w:color w:val="auto"/>
              </w:rPr>
            </w:pPr>
          </w:p>
        </w:tc>
        <w:tc>
          <w:tcPr>
            <w:tcW w:w="380" w:type="dxa"/>
            <w:vAlign w:val="bottom"/>
          </w:tcPr>
          <w:p>
            <w:pPr>
              <w:jc w:val="right"/>
              <w:spacing w:after="0" w:line="113" w:lineRule="exact"/>
              <w:rPr>
                <w:sz w:val="20"/>
                <w:szCs w:val="20"/>
                <w:color w:val="auto"/>
              </w:rPr>
            </w:pPr>
            <w:r>
              <w:rPr>
                <w:rFonts w:ascii="Arial" w:cs="Arial" w:eastAsia="Arial" w:hAnsi="Arial"/>
                <w:sz w:val="10"/>
                <w:szCs w:val="10"/>
                <w:color w:val="auto"/>
              </w:rPr>
              <w:t>24,347</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(244,619)</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97,969</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Less net income (loss) attributable to noncontrolling interests</w:t>
            </w:r>
          </w:p>
        </w:tc>
        <w:tc>
          <w:tcPr>
            <w:tcW w:w="8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1,900</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(15,259)</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5,734</w:t>
            </w:r>
          </w:p>
        </w:tc>
      </w:tr>
      <w:tr>
        <w:trPr>
          <w:trHeight w:val="115"/>
        </w:trPr>
        <w:tc>
          <w:tcPr>
            <w:tcW w:w="7040" w:type="dxa"/>
            <w:vAlign w:val="bottom"/>
          </w:tcPr>
          <w:p>
            <w:pPr>
              <w:ind w:left="20"/>
              <w:spacing w:after="0"/>
              <w:rPr>
                <w:sz w:val="20"/>
                <w:szCs w:val="20"/>
                <w:color w:val="auto"/>
              </w:rPr>
            </w:pPr>
            <w:r>
              <w:rPr>
                <w:rFonts w:ascii="Arial" w:cs="Arial" w:eastAsia="Arial" w:hAnsi="Arial"/>
                <w:sz w:val="10"/>
                <w:szCs w:val="10"/>
                <w:color w:val="auto"/>
              </w:rPr>
              <w:t>Comprehensive income (loss) attributable to the Company</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22,447</w:t>
            </w: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(229,360)</w:t>
            </w:r>
          </w:p>
        </w:tc>
        <w:tc>
          <w:tcPr>
            <w:tcW w:w="100" w:type="dxa"/>
            <w:vAlign w:val="bottom"/>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92,235</w:t>
            </w:r>
          </w:p>
        </w:tc>
      </w:tr>
      <w:tr>
        <w:trPr>
          <w:trHeight w:val="20"/>
        </w:trPr>
        <w:tc>
          <w:tcPr>
            <w:tcW w:w="7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40"/>
          </w:cols>
          <w:pgMar w:left="520" w:top="739" w:right="5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EQUITY</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(Dollars 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5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8"/>
                <w:szCs w:val="8"/>
                <w:b w:val="1"/>
                <w:bCs w:val="1"/>
                <w:color w:val="auto"/>
              </w:rPr>
              <w:t>Stockholders' Equity</w:t>
            </w: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8"/>
                <w:szCs w:val="8"/>
                <w:b w:val="1"/>
                <w:bCs w:val="1"/>
                <w:color w:val="auto"/>
              </w:rPr>
              <w:t>Common Stock</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500" w:type="dxa"/>
            <w:vAlign w:val="bottom"/>
          </w:tcPr>
          <w:p>
            <w:pPr>
              <w:spacing w:after="0"/>
              <w:rPr>
                <w:sz w:val="7"/>
                <w:szCs w:val="7"/>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7"/>
                <w:szCs w:val="7"/>
                <w:color w:val="auto"/>
              </w:rPr>
            </w:pPr>
          </w:p>
        </w:tc>
        <w:tc>
          <w:tcPr>
            <w:tcW w:w="52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w w:val="92"/>
              </w:rPr>
              <w:t>Par</w:t>
            </w:r>
          </w:p>
        </w:tc>
        <w:tc>
          <w:tcPr>
            <w:tcW w:w="60" w:type="dxa"/>
            <w:vAlign w:val="bottom"/>
          </w:tcPr>
          <w:p>
            <w:pPr>
              <w:spacing w:after="0"/>
              <w:rPr>
                <w:sz w:val="7"/>
                <w:szCs w:val="7"/>
                <w:color w:val="auto"/>
              </w:rPr>
            </w:pPr>
          </w:p>
        </w:tc>
        <w:tc>
          <w:tcPr>
            <w:tcW w:w="8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w w:val="96"/>
              </w:rPr>
              <w:t>Additional Paid-in</w:t>
            </w:r>
          </w:p>
        </w:tc>
        <w:tc>
          <w:tcPr>
            <w:tcW w:w="140" w:type="dxa"/>
            <w:vAlign w:val="bottom"/>
          </w:tcPr>
          <w:p>
            <w:pPr>
              <w:spacing w:after="0"/>
              <w:rPr>
                <w:sz w:val="7"/>
                <w:szCs w:val="7"/>
                <w:color w:val="auto"/>
              </w:rPr>
            </w:pPr>
          </w:p>
        </w:tc>
        <w:tc>
          <w:tcPr>
            <w:tcW w:w="920" w:type="dxa"/>
            <w:vAlign w:val="bottom"/>
            <w:gridSpan w:val="2"/>
          </w:tcPr>
          <w:p>
            <w:pPr>
              <w:jc w:val="center"/>
              <w:ind w:right="240"/>
              <w:spacing w:after="0" w:line="85" w:lineRule="exact"/>
              <w:rPr>
                <w:sz w:val="20"/>
                <w:szCs w:val="20"/>
                <w:color w:val="auto"/>
              </w:rPr>
            </w:pPr>
            <w:r>
              <w:rPr>
                <w:rFonts w:ascii="Arial" w:cs="Arial" w:eastAsia="Arial" w:hAnsi="Arial"/>
                <w:sz w:val="8"/>
                <w:szCs w:val="8"/>
                <w:b w:val="1"/>
                <w:bCs w:val="1"/>
                <w:color w:val="auto"/>
                <w:w w:val="95"/>
              </w:rPr>
              <w:t>Accumulated</w:t>
            </w:r>
          </w:p>
        </w:tc>
        <w:tc>
          <w:tcPr>
            <w:tcW w:w="120" w:type="dxa"/>
            <w:vAlign w:val="bottom"/>
          </w:tcPr>
          <w:p>
            <w:pPr>
              <w:spacing w:after="0"/>
              <w:rPr>
                <w:sz w:val="7"/>
                <w:szCs w:val="7"/>
                <w:color w:val="auto"/>
              </w:rPr>
            </w:pPr>
          </w:p>
        </w:tc>
        <w:tc>
          <w:tcPr>
            <w:tcW w:w="1100" w:type="dxa"/>
            <w:vAlign w:val="bottom"/>
            <w:gridSpan w:val="2"/>
          </w:tcPr>
          <w:p>
            <w:pPr>
              <w:ind w:left="100"/>
              <w:spacing w:after="0" w:line="85" w:lineRule="exact"/>
              <w:rPr>
                <w:sz w:val="20"/>
                <w:szCs w:val="20"/>
                <w:color w:val="auto"/>
              </w:rPr>
            </w:pPr>
            <w:r>
              <w:rPr>
                <w:rFonts w:ascii="Arial" w:cs="Arial" w:eastAsia="Arial" w:hAnsi="Arial"/>
                <w:sz w:val="8"/>
                <w:szCs w:val="8"/>
                <w:b w:val="1"/>
                <w:bCs w:val="1"/>
                <w:color w:val="auto"/>
              </w:rPr>
              <w:t>Accumulated Other</w:t>
            </w:r>
          </w:p>
        </w:tc>
        <w:tc>
          <w:tcPr>
            <w:tcW w:w="120" w:type="dxa"/>
            <w:vAlign w:val="bottom"/>
          </w:tcPr>
          <w:p>
            <w:pPr>
              <w:spacing w:after="0"/>
              <w:rPr>
                <w:sz w:val="7"/>
                <w:szCs w:val="7"/>
                <w:color w:val="auto"/>
              </w:rPr>
            </w:pPr>
          </w:p>
        </w:tc>
        <w:tc>
          <w:tcPr>
            <w:tcW w:w="100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w w:val="91"/>
              </w:rPr>
              <w:t>Total Stockholders'</w:t>
            </w:r>
          </w:p>
        </w:tc>
        <w:tc>
          <w:tcPr>
            <w:tcW w:w="160" w:type="dxa"/>
            <w:vAlign w:val="bottom"/>
          </w:tcPr>
          <w:p>
            <w:pPr>
              <w:spacing w:after="0"/>
              <w:rPr>
                <w:sz w:val="7"/>
                <w:szCs w:val="7"/>
                <w:color w:val="auto"/>
              </w:rPr>
            </w:pPr>
          </w:p>
        </w:tc>
        <w:tc>
          <w:tcPr>
            <w:tcW w:w="980" w:type="dxa"/>
            <w:vAlign w:val="bottom"/>
            <w:gridSpan w:val="2"/>
          </w:tcPr>
          <w:p>
            <w:pPr>
              <w:jc w:val="center"/>
              <w:ind w:right="240"/>
              <w:spacing w:after="0" w:line="85" w:lineRule="exact"/>
              <w:rPr>
                <w:sz w:val="20"/>
                <w:szCs w:val="20"/>
                <w:color w:val="auto"/>
              </w:rPr>
            </w:pPr>
            <w:r>
              <w:rPr>
                <w:rFonts w:ascii="Arial" w:cs="Arial" w:eastAsia="Arial" w:hAnsi="Arial"/>
                <w:sz w:val="8"/>
                <w:szCs w:val="8"/>
                <w:b w:val="1"/>
                <w:bCs w:val="1"/>
                <w:color w:val="auto"/>
                <w:w w:val="94"/>
              </w:rPr>
              <w:t>Noncontrolling</w:t>
            </w:r>
          </w:p>
        </w:tc>
        <w:tc>
          <w:tcPr>
            <w:tcW w:w="160" w:type="dxa"/>
            <w:vAlign w:val="bottom"/>
          </w:tcPr>
          <w:p>
            <w:pPr>
              <w:spacing w:after="0"/>
              <w:rPr>
                <w:sz w:val="7"/>
                <w:szCs w:val="7"/>
                <w:color w:val="auto"/>
              </w:rPr>
            </w:pPr>
          </w:p>
        </w:tc>
        <w:tc>
          <w:tcPr>
            <w:tcW w:w="600" w:type="dxa"/>
            <w:vAlign w:val="bottom"/>
          </w:tcPr>
          <w:p>
            <w:pPr>
              <w:jc w:val="right"/>
              <w:ind w:right="258"/>
              <w:spacing w:after="0" w:line="85"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2"/>
        </w:trPr>
        <w:tc>
          <w:tcPr>
            <w:tcW w:w="35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3"/>
              </w:rPr>
              <w:t>Value</w:t>
            </w:r>
          </w:p>
        </w:tc>
        <w:tc>
          <w:tcPr>
            <w:tcW w:w="60" w:type="dxa"/>
            <w:vAlign w:val="bottom"/>
          </w:tcPr>
          <w:p>
            <w:pPr>
              <w:spacing w:after="0"/>
              <w:rPr>
                <w:sz w:val="9"/>
                <w:szCs w:val="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7"/>
              </w:rPr>
              <w:t>Capital</w:t>
            </w:r>
          </w:p>
        </w:tc>
        <w:tc>
          <w:tcPr>
            <w:tcW w:w="140" w:type="dxa"/>
            <w:vAlign w:val="bottom"/>
          </w:tcPr>
          <w:p>
            <w:pPr>
              <w:spacing w:after="0"/>
              <w:rPr>
                <w:sz w:val="9"/>
                <w:szCs w:val="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7"/>
              </w:rPr>
              <w:t>Deficit</w:t>
            </w:r>
          </w:p>
        </w:tc>
        <w:tc>
          <w:tcPr>
            <w:tcW w:w="120" w:type="dxa"/>
            <w:vAlign w:val="bottom"/>
          </w:tcPr>
          <w:p>
            <w:pPr>
              <w:spacing w:after="0"/>
              <w:rPr>
                <w:sz w:val="9"/>
                <w:szCs w:val="9"/>
                <w:color w:val="auto"/>
              </w:rPr>
            </w:pPr>
          </w:p>
        </w:tc>
        <w:tc>
          <w:tcPr>
            <w:tcW w:w="1100" w:type="dxa"/>
            <w:vAlign w:val="bottom"/>
            <w:gridSpan w:val="2"/>
          </w:tcPr>
          <w:p>
            <w:pPr>
              <w:ind w:left="80"/>
              <w:spacing w:after="0"/>
              <w:rPr>
                <w:sz w:val="20"/>
                <w:szCs w:val="20"/>
                <w:color w:val="auto"/>
              </w:rPr>
            </w:pPr>
            <w:r>
              <w:rPr>
                <w:rFonts w:ascii="Arial" w:cs="Arial" w:eastAsia="Arial" w:hAnsi="Arial"/>
                <w:sz w:val="8"/>
                <w:szCs w:val="8"/>
                <w:b w:val="1"/>
                <w:bCs w:val="1"/>
                <w:color w:val="auto"/>
              </w:rPr>
              <w:t>Comprehensive Loss</w:t>
            </w:r>
          </w:p>
        </w:tc>
        <w:tc>
          <w:tcPr>
            <w:tcW w:w="120" w:type="dxa"/>
            <w:vAlign w:val="bottom"/>
          </w:tcPr>
          <w:p>
            <w:pPr>
              <w:spacing w:after="0"/>
              <w:rPr>
                <w:sz w:val="9"/>
                <w:szCs w:val="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7"/>
              </w:rPr>
              <w:t>Equity</w:t>
            </w:r>
          </w:p>
        </w:tc>
        <w:tc>
          <w:tcPr>
            <w:tcW w:w="160" w:type="dxa"/>
            <w:vAlign w:val="bottom"/>
          </w:tcPr>
          <w:p>
            <w:pPr>
              <w:spacing w:after="0"/>
              <w:rPr>
                <w:sz w:val="9"/>
                <w:szCs w:val="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9"/>
              </w:rPr>
              <w:t>Interests</w:t>
            </w:r>
          </w:p>
        </w:tc>
        <w:tc>
          <w:tcPr>
            <w:tcW w:w="160" w:type="dxa"/>
            <w:vAlign w:val="bottom"/>
          </w:tcPr>
          <w:p>
            <w:pPr>
              <w:spacing w:after="0"/>
              <w:rPr>
                <w:sz w:val="9"/>
                <w:szCs w:val="9"/>
                <w:color w:val="auto"/>
              </w:rPr>
            </w:pPr>
          </w:p>
        </w:tc>
        <w:tc>
          <w:tcPr>
            <w:tcW w:w="600" w:type="dxa"/>
            <w:vAlign w:val="bottom"/>
          </w:tcPr>
          <w:p>
            <w:pPr>
              <w:jc w:val="right"/>
              <w:ind w:right="218"/>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11"/>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8"/>
                <w:szCs w:val="8"/>
                <w:color w:val="auto"/>
              </w:rPr>
              <w:t>Balance at January 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141,221,712</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1,412</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4,567,643</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(1,614,357)</w:t>
            </w: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w w:val="88"/>
              </w:rPr>
              <w:t>$</w:t>
            </w: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8"/>
                <w:szCs w:val="8"/>
                <w:color w:val="auto"/>
              </w:rPr>
              <w:t>(4,466)</w:t>
            </w: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2,950,232</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238,200</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3,188,432</w:t>
            </w:r>
          </w:p>
        </w:tc>
        <w:tc>
          <w:tcPr>
            <w:tcW w:w="0" w:type="dxa"/>
            <w:vAlign w:val="bottom"/>
          </w:tcPr>
          <w:p>
            <w:pPr>
              <w:spacing w:after="0"/>
              <w:rPr>
                <w:sz w:val="1"/>
                <w:szCs w:val="1"/>
                <w:color w:val="auto"/>
              </w:rPr>
            </w:pPr>
          </w:p>
        </w:tc>
      </w:tr>
      <w:tr>
        <w:trPr>
          <w:trHeight w:val="111"/>
        </w:trPr>
        <w:tc>
          <w:tcPr>
            <w:tcW w:w="3500" w:type="dxa"/>
            <w:vAlign w:val="bottom"/>
          </w:tcPr>
          <w:p>
            <w:pPr>
              <w:spacing w:after="0"/>
              <w:rPr>
                <w:sz w:val="20"/>
                <w:szCs w:val="20"/>
                <w:color w:val="auto"/>
              </w:rPr>
            </w:pPr>
            <w:r>
              <w:rPr>
                <w:rFonts w:ascii="Arial" w:cs="Arial" w:eastAsia="Arial" w:hAnsi="Arial"/>
                <w:sz w:val="8"/>
                <w:szCs w:val="8"/>
                <w:color w:val="auto"/>
              </w:rPr>
              <w:t>Net income</w:t>
            </w:r>
          </w:p>
        </w:tc>
        <w:tc>
          <w:tcPr>
            <w:tcW w:w="10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Arial" w:cs="Arial" w:eastAsia="Arial" w:hAnsi="Arial"/>
                <w:sz w:val="8"/>
                <w:szCs w:val="8"/>
                <w:color w:val="auto"/>
              </w:rPr>
              <w:t>96,820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ind w:left="88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96,820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5,734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102,554</w:t>
            </w: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rPr>
                <w:sz w:val="20"/>
                <w:szCs w:val="20"/>
                <w:color w:val="auto"/>
              </w:rPr>
            </w:pPr>
            <w:r>
              <w:rPr>
                <w:rFonts w:ascii="Arial" w:cs="Arial" w:eastAsia="Arial" w:hAnsi="Arial"/>
                <w:sz w:val="8"/>
                <w:szCs w:val="8"/>
                <w:color w:val="auto"/>
              </w:rPr>
              <w:t>Cumulative effect of adoption of ASC 842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8"/>
                <w:szCs w:val="8"/>
                <w:color w:val="auto"/>
              </w:rPr>
              <w:t>(2,203)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(2,203)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(2,203)</w:t>
            </w:r>
          </w:p>
        </w:tc>
        <w:tc>
          <w:tcPr>
            <w:tcW w:w="0" w:type="dxa"/>
            <w:vAlign w:val="bottom"/>
          </w:tcPr>
          <w:p>
            <w:pPr>
              <w:spacing w:after="0"/>
              <w:rPr>
                <w:sz w:val="1"/>
                <w:szCs w:val="1"/>
                <w:color w:val="auto"/>
              </w:rPr>
            </w:pPr>
          </w:p>
        </w:tc>
      </w:tr>
      <w:tr>
        <w:trPr>
          <w:trHeight w:val="111"/>
        </w:trPr>
        <w:tc>
          <w:tcPr>
            <w:tcW w:w="3500" w:type="dxa"/>
            <w:vAlign w:val="bottom"/>
          </w:tcPr>
          <w:p>
            <w:pPr>
              <w:spacing w:after="0"/>
              <w:rPr>
                <w:sz w:val="20"/>
                <w:szCs w:val="20"/>
                <w:color w:val="auto"/>
              </w:rPr>
            </w:pPr>
            <w:r>
              <w:rPr>
                <w:rFonts w:ascii="Arial" w:cs="Arial" w:eastAsia="Arial" w:hAnsi="Arial"/>
                <w:sz w:val="8"/>
                <w:szCs w:val="8"/>
                <w:color w:val="auto"/>
              </w:rPr>
              <w:t>Interest rate cap/swap agreements</w:t>
            </w:r>
          </w:p>
        </w:tc>
        <w:tc>
          <w:tcPr>
            <w:tcW w:w="10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1020" w:type="dxa"/>
            <w:vAlign w:val="bottom"/>
          </w:tcPr>
          <w:p>
            <w:pPr>
              <w:ind w:left="740"/>
              <w:spacing w:after="0"/>
              <w:rPr>
                <w:sz w:val="20"/>
                <w:szCs w:val="20"/>
                <w:color w:val="auto"/>
              </w:rPr>
            </w:pPr>
            <w:r>
              <w:rPr>
                <w:rFonts w:ascii="Arial" w:cs="Arial" w:eastAsia="Arial" w:hAnsi="Arial"/>
                <w:sz w:val="8"/>
                <w:szCs w:val="8"/>
                <w:color w:val="auto"/>
              </w:rPr>
              <w:t>(4,585)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(4,585)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(4,585)</w:t>
            </w: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rPr>
                <w:sz w:val="20"/>
                <w:szCs w:val="20"/>
                <w:color w:val="auto"/>
              </w:rPr>
            </w:pPr>
            <w:r>
              <w:rPr>
                <w:rFonts w:ascii="Arial" w:cs="Arial" w:eastAsia="Arial" w:hAnsi="Arial"/>
                <w:sz w:val="8"/>
                <w:szCs w:val="8"/>
                <w:color w:val="auto"/>
              </w:rPr>
              <w:t>Amortization of share and unit-based plans</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106,747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rPr>
              <w:t>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16,722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16,723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16,723</w:t>
            </w:r>
          </w:p>
        </w:tc>
        <w:tc>
          <w:tcPr>
            <w:tcW w:w="0" w:type="dxa"/>
            <w:vAlign w:val="bottom"/>
          </w:tcPr>
          <w:p>
            <w:pPr>
              <w:spacing w:after="0"/>
              <w:rPr>
                <w:sz w:val="1"/>
                <w:szCs w:val="1"/>
                <w:color w:val="auto"/>
              </w:rPr>
            </w:pPr>
          </w:p>
        </w:tc>
      </w:tr>
      <w:tr>
        <w:trPr>
          <w:trHeight w:val="111"/>
        </w:trPr>
        <w:tc>
          <w:tcPr>
            <w:tcW w:w="3500" w:type="dxa"/>
            <w:vAlign w:val="bottom"/>
          </w:tcPr>
          <w:p>
            <w:pPr>
              <w:spacing w:after="0"/>
              <w:rPr>
                <w:sz w:val="20"/>
                <w:szCs w:val="20"/>
                <w:color w:val="auto"/>
              </w:rPr>
            </w:pPr>
            <w:r>
              <w:rPr>
                <w:rFonts w:ascii="Arial" w:cs="Arial" w:eastAsia="Arial" w:hAnsi="Arial"/>
                <w:sz w:val="8"/>
                <w:szCs w:val="8"/>
                <w:color w:val="auto"/>
              </w:rPr>
              <w:t>Employee stock purchases</w:t>
            </w:r>
          </w:p>
        </w:tc>
        <w:tc>
          <w:tcPr>
            <w:tcW w:w="900" w:type="dxa"/>
            <w:vAlign w:val="bottom"/>
          </w:tcPr>
          <w:p>
            <w:pPr>
              <w:jc w:val="right"/>
              <w:spacing w:after="0"/>
              <w:rPr>
                <w:sz w:val="20"/>
                <w:szCs w:val="20"/>
                <w:color w:val="auto"/>
              </w:rPr>
            </w:pPr>
            <w:r>
              <w:rPr>
                <w:rFonts w:ascii="Arial" w:cs="Arial" w:eastAsia="Arial" w:hAnsi="Arial"/>
                <w:sz w:val="8"/>
                <w:szCs w:val="8"/>
                <w:color w:val="auto"/>
              </w:rPr>
              <w:t>58,191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1,518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1100" w:type="dxa"/>
            <w:vAlign w:val="bottom"/>
            <w:gridSpan w:val="2"/>
          </w:tcPr>
          <w:p>
            <w:pPr>
              <w:ind w:left="88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1,519</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1,519</w:t>
            </w: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rPr>
                <w:sz w:val="20"/>
                <w:szCs w:val="20"/>
                <w:color w:val="auto"/>
              </w:rPr>
            </w:pPr>
            <w:r>
              <w:rPr>
                <w:rFonts w:ascii="Arial" w:cs="Arial" w:eastAsia="Arial" w:hAnsi="Arial"/>
                <w:sz w:val="8"/>
                <w:szCs w:val="8"/>
                <w:color w:val="auto"/>
              </w:rPr>
              <w:t>Distributions declared ($3.00) per share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8"/>
                <w:szCs w:val="8"/>
                <w:color w:val="auto"/>
              </w:rPr>
              <w:t>(424,272)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(424,272)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(424,272)</w:t>
            </w:r>
          </w:p>
        </w:tc>
        <w:tc>
          <w:tcPr>
            <w:tcW w:w="0" w:type="dxa"/>
            <w:vAlign w:val="bottom"/>
          </w:tcPr>
          <w:p>
            <w:pPr>
              <w:spacing w:after="0"/>
              <w:rPr>
                <w:sz w:val="1"/>
                <w:szCs w:val="1"/>
                <w:color w:val="auto"/>
              </w:rPr>
            </w:pPr>
          </w:p>
        </w:tc>
      </w:tr>
      <w:tr>
        <w:trPr>
          <w:trHeight w:val="111"/>
        </w:trPr>
        <w:tc>
          <w:tcPr>
            <w:tcW w:w="3500" w:type="dxa"/>
            <w:vAlign w:val="bottom"/>
          </w:tcPr>
          <w:p>
            <w:pPr>
              <w:spacing w:after="0"/>
              <w:rPr>
                <w:sz w:val="20"/>
                <w:szCs w:val="20"/>
                <w:color w:val="auto"/>
              </w:rPr>
            </w:pPr>
            <w:r>
              <w:rPr>
                <w:rFonts w:ascii="Arial" w:cs="Arial" w:eastAsia="Arial" w:hAnsi="Arial"/>
                <w:sz w:val="8"/>
                <w:szCs w:val="8"/>
                <w:color w:val="auto"/>
              </w:rPr>
              <w:t>Distributions to noncontrolling interests</w:t>
            </w:r>
          </w:p>
        </w:tc>
        <w:tc>
          <w:tcPr>
            <w:tcW w:w="10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1100" w:type="dxa"/>
            <w:vAlign w:val="bottom"/>
            <w:gridSpan w:val="2"/>
          </w:tcPr>
          <w:p>
            <w:pPr>
              <w:ind w:left="88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(50,262)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(50,262)</w:t>
            </w: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rPr>
                <w:sz w:val="20"/>
                <w:szCs w:val="20"/>
                <w:color w:val="auto"/>
              </w:rPr>
            </w:pPr>
            <w:r>
              <w:rPr>
                <w:rFonts w:ascii="Arial" w:cs="Arial" w:eastAsia="Arial" w:hAnsi="Arial"/>
                <w:sz w:val="8"/>
                <w:szCs w:val="8"/>
                <w:color w:val="auto"/>
              </w:rPr>
              <w:t>Contributions from noncontrolling interests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3,131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3,131</w:t>
            </w:r>
          </w:p>
        </w:tc>
        <w:tc>
          <w:tcPr>
            <w:tcW w:w="0" w:type="dxa"/>
            <w:vAlign w:val="bottom"/>
          </w:tcPr>
          <w:p>
            <w:pPr>
              <w:spacing w:after="0"/>
              <w:rPr>
                <w:sz w:val="1"/>
                <w:szCs w:val="1"/>
                <w:color w:val="auto"/>
              </w:rPr>
            </w:pPr>
          </w:p>
        </w:tc>
      </w:tr>
      <w:tr>
        <w:trPr>
          <w:trHeight w:val="111"/>
        </w:trPr>
        <w:tc>
          <w:tcPr>
            <w:tcW w:w="3500" w:type="dxa"/>
            <w:vAlign w:val="bottom"/>
          </w:tcPr>
          <w:p>
            <w:pPr>
              <w:spacing w:after="0"/>
              <w:rPr>
                <w:sz w:val="20"/>
                <w:szCs w:val="20"/>
                <w:color w:val="auto"/>
              </w:rPr>
            </w:pPr>
            <w:r>
              <w:rPr>
                <w:rFonts w:ascii="Arial" w:cs="Arial" w:eastAsia="Arial" w:hAnsi="Arial"/>
                <w:sz w:val="8"/>
                <w:szCs w:val="8"/>
                <w:color w:val="auto"/>
              </w:rPr>
              <w:t>Conversion of noncontrolling interests to common shares</w:t>
            </w:r>
          </w:p>
        </w:tc>
        <w:tc>
          <w:tcPr>
            <w:tcW w:w="900" w:type="dxa"/>
            <w:vAlign w:val="bottom"/>
          </w:tcPr>
          <w:p>
            <w:pPr>
              <w:jc w:val="right"/>
              <w:spacing w:after="0"/>
              <w:rPr>
                <w:sz w:val="20"/>
                <w:szCs w:val="20"/>
                <w:color w:val="auto"/>
              </w:rPr>
            </w:pPr>
            <w:r>
              <w:rPr>
                <w:rFonts w:ascii="Arial" w:cs="Arial" w:eastAsia="Arial" w:hAnsi="Arial"/>
                <w:sz w:val="8"/>
                <w:szCs w:val="8"/>
                <w:color w:val="auto"/>
              </w:rPr>
              <w:t>21,000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1,005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1100" w:type="dxa"/>
            <w:vAlign w:val="bottom"/>
            <w:gridSpan w:val="2"/>
          </w:tcPr>
          <w:p>
            <w:pPr>
              <w:ind w:left="88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1,005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(1,005)</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3500" w:type="dxa"/>
            <w:vAlign w:val="bottom"/>
            <w:shd w:val="clear" w:color="auto" w:fill="CCEEFF"/>
          </w:tcPr>
          <w:p>
            <w:pPr>
              <w:spacing w:after="0"/>
              <w:rPr>
                <w:sz w:val="20"/>
                <w:szCs w:val="20"/>
                <w:color w:val="auto"/>
              </w:rPr>
            </w:pPr>
            <w:r>
              <w:rPr>
                <w:rFonts w:ascii="Arial" w:cs="Arial" w:eastAsia="Arial" w:hAnsi="Arial"/>
                <w:sz w:val="8"/>
                <w:szCs w:val="8"/>
                <w:color w:val="auto"/>
              </w:rPr>
              <w:t>Redemption of noncontrolling interests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(31)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(31)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(36)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(67)</w:t>
            </w:r>
          </w:p>
        </w:tc>
        <w:tc>
          <w:tcPr>
            <w:tcW w:w="0" w:type="dxa"/>
            <w:vAlign w:val="bottom"/>
          </w:tcPr>
          <w:p>
            <w:pPr>
              <w:spacing w:after="0"/>
              <w:rPr>
                <w:sz w:val="1"/>
                <w:szCs w:val="1"/>
                <w:color w:val="auto"/>
              </w:rPr>
            </w:pPr>
          </w:p>
        </w:tc>
      </w:tr>
      <w:tr>
        <w:trPr>
          <w:trHeight w:val="111"/>
        </w:trPr>
        <w:tc>
          <w:tcPr>
            <w:tcW w:w="3500" w:type="dxa"/>
            <w:vAlign w:val="bottom"/>
          </w:tcPr>
          <w:p>
            <w:pPr>
              <w:spacing w:after="0"/>
              <w:rPr>
                <w:sz w:val="20"/>
                <w:szCs w:val="20"/>
                <w:color w:val="auto"/>
              </w:rPr>
            </w:pPr>
            <w:r>
              <w:rPr>
                <w:rFonts w:ascii="Arial" w:cs="Arial" w:eastAsia="Arial" w:hAnsi="Arial"/>
                <w:sz w:val="8"/>
                <w:szCs w:val="8"/>
                <w:color w:val="auto"/>
              </w:rPr>
              <w:t>Adjustment of noncontrolling interests in Operating Partnership</w:t>
            </w:r>
          </w:p>
        </w:tc>
        <w:tc>
          <w:tcPr>
            <w:tcW w:w="10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(2,946)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1100" w:type="dxa"/>
            <w:vAlign w:val="bottom"/>
            <w:gridSpan w:val="2"/>
          </w:tcPr>
          <w:p>
            <w:pPr>
              <w:ind w:left="88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(2,946)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2,946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8"/>
                <w:szCs w:val="8"/>
                <w:color w:val="auto"/>
              </w:rPr>
              <w:t>Balance at December 31,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141,407,650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1,414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4,583,911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(1,944,012)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w w:val="88"/>
              </w:rPr>
              <w:t>$</w:t>
            </w:r>
          </w:p>
        </w:tc>
        <w:tc>
          <w:tcPr>
            <w:tcW w:w="10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8"/>
                <w:szCs w:val="8"/>
                <w:color w:val="auto"/>
              </w:rPr>
              <w:t>(9,051)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2,632,262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198,708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2,830,970</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68" w:name="page69"/>
    <w:bookmarkEnd w:id="68"/>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EQUITY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4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8"/>
                <w:szCs w:val="8"/>
                <w:b w:val="1"/>
                <w:bCs w:val="1"/>
                <w:color w:val="auto"/>
              </w:rPr>
              <w:t>Stockholders' Equity</w:t>
            </w: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400" w:type="dxa"/>
            <w:vAlign w:val="bottom"/>
          </w:tcPr>
          <w:p>
            <w:pPr>
              <w:spacing w:after="0"/>
              <w:rPr>
                <w:sz w:val="8"/>
                <w:szCs w:val="8"/>
                <w:color w:val="auto"/>
              </w:rPr>
            </w:pPr>
          </w:p>
        </w:tc>
        <w:tc>
          <w:tcPr>
            <w:tcW w:w="1080" w:type="dxa"/>
            <w:vAlign w:val="bottom"/>
            <w:gridSpan w:val="3"/>
          </w:tcPr>
          <w:p>
            <w:pPr>
              <w:jc w:val="right"/>
              <w:ind w:right="14"/>
              <w:spacing w:after="0"/>
              <w:rPr>
                <w:sz w:val="20"/>
                <w:szCs w:val="20"/>
                <w:color w:val="auto"/>
              </w:rPr>
            </w:pPr>
            <w:r>
              <w:rPr>
                <w:rFonts w:ascii="Arial" w:cs="Arial" w:eastAsia="Arial" w:hAnsi="Arial"/>
                <w:sz w:val="8"/>
                <w:szCs w:val="8"/>
                <w:b w:val="1"/>
                <w:bCs w:val="1"/>
                <w:color w:val="auto"/>
              </w:rPr>
              <w:t>Common Stock</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1"/>
              </w:rPr>
              <w:t>Accumulated</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4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jc w:val="center"/>
              <w:ind w:right="280"/>
              <w:spacing w:after="0" w:line="36" w:lineRule="exact"/>
              <w:rPr>
                <w:sz w:val="20"/>
                <w:szCs w:val="20"/>
                <w:color w:val="auto"/>
              </w:rPr>
            </w:pPr>
            <w:r>
              <w:rPr>
                <w:rFonts w:ascii="Arial" w:cs="Arial" w:eastAsia="Arial" w:hAnsi="Arial"/>
                <w:sz w:val="4"/>
                <w:szCs w:val="4"/>
                <w:b w:val="1"/>
                <w:bCs w:val="1"/>
                <w:color w:val="auto"/>
              </w:rPr>
              <w:t>Other</w:t>
            </w: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7"/>
                <w:szCs w:val="7"/>
                <w:color w:val="auto"/>
              </w:rPr>
            </w:pPr>
          </w:p>
        </w:tc>
        <w:tc>
          <w:tcPr>
            <w:tcW w:w="520" w:type="dxa"/>
            <w:vAlign w:val="bottom"/>
            <w:gridSpan w:val="2"/>
          </w:tcPr>
          <w:p>
            <w:pPr>
              <w:jc w:val="center"/>
              <w:ind w:right="200"/>
              <w:spacing w:after="0" w:line="88" w:lineRule="exact"/>
              <w:rPr>
                <w:sz w:val="20"/>
                <w:szCs w:val="20"/>
                <w:color w:val="auto"/>
              </w:rPr>
            </w:pPr>
            <w:r>
              <w:rPr>
                <w:rFonts w:ascii="Arial" w:cs="Arial" w:eastAsia="Arial" w:hAnsi="Arial"/>
                <w:sz w:val="8"/>
                <w:szCs w:val="8"/>
                <w:b w:val="1"/>
                <w:bCs w:val="1"/>
                <w:color w:val="auto"/>
                <w:w w:val="92"/>
              </w:rPr>
              <w:t>Par</w:t>
            </w:r>
          </w:p>
        </w:tc>
        <w:tc>
          <w:tcPr>
            <w:tcW w:w="60" w:type="dxa"/>
            <w:vAlign w:val="bottom"/>
          </w:tcPr>
          <w:p>
            <w:pPr>
              <w:spacing w:after="0"/>
              <w:rPr>
                <w:sz w:val="7"/>
                <w:szCs w:val="7"/>
                <w:color w:val="auto"/>
              </w:rPr>
            </w:pPr>
          </w:p>
        </w:tc>
        <w:tc>
          <w:tcPr>
            <w:tcW w:w="840" w:type="dxa"/>
            <w:vAlign w:val="bottom"/>
            <w:gridSpan w:val="2"/>
          </w:tcPr>
          <w:p>
            <w:pPr>
              <w:jc w:val="center"/>
              <w:ind w:right="140"/>
              <w:spacing w:after="0" w:line="88" w:lineRule="exact"/>
              <w:rPr>
                <w:sz w:val="20"/>
                <w:szCs w:val="20"/>
                <w:color w:val="auto"/>
              </w:rPr>
            </w:pPr>
            <w:r>
              <w:rPr>
                <w:rFonts w:ascii="Arial" w:cs="Arial" w:eastAsia="Arial" w:hAnsi="Arial"/>
                <w:sz w:val="8"/>
                <w:szCs w:val="8"/>
                <w:b w:val="1"/>
                <w:bCs w:val="1"/>
                <w:color w:val="auto"/>
                <w:w w:val="96"/>
              </w:rPr>
              <w:t>Additional Paid-in</w:t>
            </w:r>
          </w:p>
        </w:tc>
        <w:tc>
          <w:tcPr>
            <w:tcW w:w="140" w:type="dxa"/>
            <w:vAlign w:val="bottom"/>
          </w:tcPr>
          <w:p>
            <w:pPr>
              <w:spacing w:after="0"/>
              <w:rPr>
                <w:sz w:val="7"/>
                <w:szCs w:val="7"/>
                <w:color w:val="auto"/>
              </w:rPr>
            </w:pPr>
          </w:p>
        </w:tc>
        <w:tc>
          <w:tcPr>
            <w:tcW w:w="920" w:type="dxa"/>
            <w:vAlign w:val="bottom"/>
            <w:gridSpan w:val="2"/>
          </w:tcPr>
          <w:p>
            <w:pPr>
              <w:ind w:left="100"/>
              <w:spacing w:after="0" w:line="88" w:lineRule="exact"/>
              <w:rPr>
                <w:sz w:val="20"/>
                <w:szCs w:val="20"/>
                <w:color w:val="auto"/>
              </w:rPr>
            </w:pPr>
            <w:r>
              <w:rPr>
                <w:rFonts w:ascii="Arial" w:cs="Arial" w:eastAsia="Arial" w:hAnsi="Arial"/>
                <w:sz w:val="8"/>
                <w:szCs w:val="8"/>
                <w:b w:val="1"/>
                <w:bCs w:val="1"/>
                <w:color w:val="auto"/>
              </w:rPr>
              <w:t>Accumulated</w:t>
            </w:r>
          </w:p>
        </w:tc>
        <w:tc>
          <w:tcPr>
            <w:tcW w:w="180" w:type="dxa"/>
            <w:vAlign w:val="bottom"/>
          </w:tcPr>
          <w:p>
            <w:pPr>
              <w:spacing w:after="0"/>
              <w:rPr>
                <w:sz w:val="7"/>
                <w:szCs w:val="7"/>
                <w:color w:val="auto"/>
              </w:rPr>
            </w:pPr>
          </w:p>
        </w:tc>
        <w:tc>
          <w:tcPr>
            <w:tcW w:w="1060" w:type="dxa"/>
            <w:vAlign w:val="bottom"/>
            <w:gridSpan w:val="2"/>
          </w:tcPr>
          <w:p>
            <w:pPr>
              <w:jc w:val="center"/>
              <w:ind w:right="260"/>
              <w:spacing w:after="0" w:line="88" w:lineRule="exact"/>
              <w:rPr>
                <w:sz w:val="20"/>
                <w:szCs w:val="20"/>
                <w:color w:val="auto"/>
              </w:rPr>
            </w:pPr>
            <w:r>
              <w:rPr>
                <w:rFonts w:ascii="Arial" w:cs="Arial" w:eastAsia="Arial" w:hAnsi="Arial"/>
                <w:sz w:val="8"/>
                <w:szCs w:val="8"/>
                <w:b w:val="1"/>
                <w:bCs w:val="1"/>
                <w:color w:val="auto"/>
                <w:w w:val="93"/>
              </w:rPr>
              <w:t>Comprehensive</w:t>
            </w:r>
          </w:p>
        </w:tc>
        <w:tc>
          <w:tcPr>
            <w:tcW w:w="100" w:type="dxa"/>
            <w:vAlign w:val="bottom"/>
          </w:tcPr>
          <w:p>
            <w:pPr>
              <w:spacing w:after="0"/>
              <w:rPr>
                <w:sz w:val="7"/>
                <w:szCs w:val="7"/>
                <w:color w:val="auto"/>
              </w:rPr>
            </w:pPr>
          </w:p>
        </w:tc>
        <w:tc>
          <w:tcPr>
            <w:tcW w:w="960" w:type="dxa"/>
            <w:vAlign w:val="bottom"/>
            <w:gridSpan w:val="2"/>
          </w:tcPr>
          <w:p>
            <w:pPr>
              <w:jc w:val="center"/>
              <w:ind w:right="180"/>
              <w:spacing w:after="0" w:line="88" w:lineRule="exact"/>
              <w:rPr>
                <w:sz w:val="20"/>
                <w:szCs w:val="20"/>
                <w:color w:val="auto"/>
              </w:rPr>
            </w:pPr>
            <w:r>
              <w:rPr>
                <w:rFonts w:ascii="Arial" w:cs="Arial" w:eastAsia="Arial" w:hAnsi="Arial"/>
                <w:sz w:val="8"/>
                <w:szCs w:val="8"/>
                <w:b w:val="1"/>
                <w:bCs w:val="1"/>
                <w:color w:val="auto"/>
                <w:w w:val="94"/>
              </w:rPr>
              <w:t>Total Stockholders'</w:t>
            </w:r>
          </w:p>
        </w:tc>
        <w:tc>
          <w:tcPr>
            <w:tcW w:w="180" w:type="dxa"/>
            <w:vAlign w:val="bottom"/>
          </w:tcPr>
          <w:p>
            <w:pPr>
              <w:spacing w:after="0"/>
              <w:rPr>
                <w:sz w:val="7"/>
                <w:szCs w:val="7"/>
                <w:color w:val="auto"/>
              </w:rPr>
            </w:pPr>
          </w:p>
        </w:tc>
        <w:tc>
          <w:tcPr>
            <w:tcW w:w="1000" w:type="dxa"/>
            <w:vAlign w:val="bottom"/>
            <w:gridSpan w:val="2"/>
          </w:tcPr>
          <w:p>
            <w:pPr>
              <w:jc w:val="center"/>
              <w:ind w:right="260"/>
              <w:spacing w:after="0" w:line="88" w:lineRule="exact"/>
              <w:rPr>
                <w:sz w:val="20"/>
                <w:szCs w:val="20"/>
                <w:color w:val="auto"/>
              </w:rPr>
            </w:pPr>
            <w:r>
              <w:rPr>
                <w:rFonts w:ascii="Arial" w:cs="Arial" w:eastAsia="Arial" w:hAnsi="Arial"/>
                <w:sz w:val="8"/>
                <w:szCs w:val="8"/>
                <w:b w:val="1"/>
                <w:bCs w:val="1"/>
                <w:color w:val="auto"/>
                <w:w w:val="94"/>
              </w:rPr>
              <w:t>Noncontrolling</w:t>
            </w:r>
          </w:p>
        </w:tc>
        <w:tc>
          <w:tcPr>
            <w:tcW w:w="180" w:type="dxa"/>
            <w:vAlign w:val="bottom"/>
          </w:tcPr>
          <w:p>
            <w:pPr>
              <w:spacing w:after="0"/>
              <w:rPr>
                <w:sz w:val="7"/>
                <w:szCs w:val="7"/>
                <w:color w:val="auto"/>
              </w:rPr>
            </w:pPr>
          </w:p>
        </w:tc>
        <w:tc>
          <w:tcPr>
            <w:tcW w:w="620" w:type="dxa"/>
            <w:vAlign w:val="bottom"/>
          </w:tcPr>
          <w:p>
            <w:pPr>
              <w:jc w:val="right"/>
              <w:ind w:right="258"/>
              <w:spacing w:after="0" w:line="88"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3"/>
              </w:rPr>
              <w:t>Value</w:t>
            </w:r>
          </w:p>
        </w:tc>
        <w:tc>
          <w:tcPr>
            <w:tcW w:w="60" w:type="dxa"/>
            <w:vAlign w:val="bottom"/>
          </w:tcPr>
          <w:p>
            <w:pPr>
              <w:spacing w:after="0"/>
              <w:rPr>
                <w:sz w:val="9"/>
                <w:szCs w:val="9"/>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7"/>
              </w:rPr>
              <w:t>Capital</w:t>
            </w:r>
          </w:p>
        </w:tc>
        <w:tc>
          <w:tcPr>
            <w:tcW w:w="140" w:type="dxa"/>
            <w:vAlign w:val="bottom"/>
          </w:tcPr>
          <w:p>
            <w:pPr>
              <w:spacing w:after="0"/>
              <w:rPr>
                <w:sz w:val="9"/>
                <w:szCs w:val="9"/>
                <w:color w:val="auto"/>
              </w:rPr>
            </w:pPr>
          </w:p>
        </w:tc>
        <w:tc>
          <w:tcPr>
            <w:tcW w:w="920" w:type="dxa"/>
            <w:vAlign w:val="bottom"/>
            <w:gridSpan w:val="2"/>
          </w:tcPr>
          <w:p>
            <w:pPr>
              <w:ind w:left="220"/>
              <w:spacing w:after="0"/>
              <w:rPr>
                <w:sz w:val="20"/>
                <w:szCs w:val="20"/>
                <w:color w:val="auto"/>
              </w:rPr>
            </w:pPr>
            <w:r>
              <w:rPr>
                <w:rFonts w:ascii="Arial" w:cs="Arial" w:eastAsia="Arial" w:hAnsi="Arial"/>
                <w:sz w:val="8"/>
                <w:szCs w:val="8"/>
                <w:b w:val="1"/>
                <w:bCs w:val="1"/>
                <w:color w:val="auto"/>
              </w:rPr>
              <w:t>Deficit</w:t>
            </w:r>
          </w:p>
        </w:tc>
        <w:tc>
          <w:tcPr>
            <w:tcW w:w="180" w:type="dxa"/>
            <w:vAlign w:val="bottom"/>
          </w:tcPr>
          <w:p>
            <w:pPr>
              <w:spacing w:after="0"/>
              <w:rPr>
                <w:sz w:val="9"/>
                <w:szCs w:val="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5"/>
              </w:rPr>
              <w:t>Loss</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7"/>
              </w:rPr>
              <w:t>Equity</w:t>
            </w:r>
          </w:p>
        </w:tc>
        <w:tc>
          <w:tcPr>
            <w:tcW w:w="180" w:type="dxa"/>
            <w:vAlign w:val="bottom"/>
          </w:tcPr>
          <w:p>
            <w:pPr>
              <w:spacing w:after="0"/>
              <w:rPr>
                <w:sz w:val="9"/>
                <w:szCs w:val="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9"/>
              </w:rPr>
              <w:t>Interests</w:t>
            </w:r>
          </w:p>
        </w:tc>
        <w:tc>
          <w:tcPr>
            <w:tcW w:w="180" w:type="dxa"/>
            <w:vAlign w:val="bottom"/>
          </w:tcPr>
          <w:p>
            <w:pPr>
              <w:spacing w:after="0"/>
              <w:rPr>
                <w:sz w:val="9"/>
                <w:szCs w:val="9"/>
                <w:color w:val="auto"/>
              </w:rPr>
            </w:pPr>
          </w:p>
        </w:tc>
        <w:tc>
          <w:tcPr>
            <w:tcW w:w="620" w:type="dxa"/>
            <w:vAlign w:val="bottom"/>
          </w:tcPr>
          <w:p>
            <w:pPr>
              <w:jc w:val="right"/>
              <w:ind w:right="238"/>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11"/>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December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141,407,650</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1,414</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4,583,911</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(1,944,012)</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(9,051)</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2,632,262</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198,708</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2,830,970</w:t>
            </w:r>
          </w:p>
        </w:tc>
        <w:tc>
          <w:tcPr>
            <w:tcW w:w="0" w:type="dxa"/>
            <w:vAlign w:val="bottom"/>
          </w:tcPr>
          <w:p>
            <w:pPr>
              <w:spacing w:after="0"/>
              <w:rPr>
                <w:sz w:val="1"/>
                <w:szCs w:val="1"/>
                <w:color w:val="auto"/>
              </w:rPr>
            </w:pPr>
          </w:p>
        </w:tc>
      </w:tr>
      <w:tr>
        <w:trPr>
          <w:trHeight w:val="111"/>
        </w:trPr>
        <w:tc>
          <w:tcPr>
            <w:tcW w:w="3400" w:type="dxa"/>
            <w:vAlign w:val="bottom"/>
          </w:tcPr>
          <w:p>
            <w:pPr>
              <w:ind w:left="20"/>
              <w:spacing w:after="0"/>
              <w:rPr>
                <w:sz w:val="20"/>
                <w:szCs w:val="20"/>
                <w:color w:val="auto"/>
              </w:rPr>
            </w:pPr>
            <w:r>
              <w:rPr>
                <w:rFonts w:ascii="Arial" w:cs="Arial" w:eastAsia="Arial" w:hAnsi="Arial"/>
                <w:sz w:val="8"/>
                <w:szCs w:val="8"/>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(230,203)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(230,203)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(15,259)</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(245,462)</w:t>
            </w:r>
          </w:p>
        </w:tc>
        <w:tc>
          <w:tcPr>
            <w:tcW w:w="0" w:type="dxa"/>
            <w:vAlign w:val="bottom"/>
          </w:tcPr>
          <w:p>
            <w:pPr>
              <w:spacing w:after="0"/>
              <w:rPr>
                <w:sz w:val="1"/>
                <w:szCs w:val="1"/>
                <w:color w:val="auto"/>
              </w:rPr>
            </w:pPr>
          </w:p>
        </w:tc>
      </w:tr>
      <w:tr>
        <w:trPr>
          <w:trHeight w:val="123"/>
        </w:trPr>
        <w:tc>
          <w:tcPr>
            <w:tcW w:w="3400" w:type="dxa"/>
            <w:vAlign w:val="bottom"/>
            <w:shd w:val="clear" w:color="auto" w:fill="CCEEFF"/>
          </w:tcPr>
          <w:p>
            <w:pPr>
              <w:ind w:left="20"/>
              <w:spacing w:after="0"/>
              <w:rPr>
                <w:sz w:val="20"/>
                <w:szCs w:val="20"/>
                <w:color w:val="auto"/>
              </w:rPr>
            </w:pPr>
            <w:r>
              <w:rPr>
                <w:rFonts w:ascii="Arial" w:cs="Arial" w:eastAsia="Arial" w:hAnsi="Arial"/>
                <w:sz w:val="8"/>
                <w:szCs w:val="8"/>
                <w:color w:val="auto"/>
              </w:rPr>
              <w:t>Interest rate cap/swap agreements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843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843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843</w:t>
            </w:r>
          </w:p>
        </w:tc>
        <w:tc>
          <w:tcPr>
            <w:tcW w:w="0" w:type="dxa"/>
            <w:vAlign w:val="bottom"/>
          </w:tcPr>
          <w:p>
            <w:pPr>
              <w:spacing w:after="0"/>
              <w:rPr>
                <w:sz w:val="1"/>
                <w:szCs w:val="1"/>
                <w:color w:val="auto"/>
              </w:rPr>
            </w:pPr>
          </w:p>
        </w:tc>
      </w:tr>
      <w:tr>
        <w:trPr>
          <w:trHeight w:val="111"/>
        </w:trPr>
        <w:tc>
          <w:tcPr>
            <w:tcW w:w="3400" w:type="dxa"/>
            <w:vAlign w:val="bottom"/>
          </w:tcPr>
          <w:p>
            <w:pPr>
              <w:ind w:left="20"/>
              <w:spacing w:after="0"/>
              <w:rPr>
                <w:sz w:val="20"/>
                <w:szCs w:val="20"/>
                <w:color w:val="auto"/>
              </w:rPr>
            </w:pPr>
            <w:r>
              <w:rPr>
                <w:rFonts w:ascii="Arial" w:cs="Arial" w:eastAsia="Arial" w:hAnsi="Arial"/>
                <w:sz w:val="8"/>
                <w:szCs w:val="8"/>
                <w:color w:val="auto"/>
              </w:rPr>
              <w:t>Amortization of share and unit-based plans</w:t>
            </w:r>
          </w:p>
        </w:tc>
        <w:tc>
          <w:tcPr>
            <w:tcW w:w="880" w:type="dxa"/>
            <w:vAlign w:val="bottom"/>
          </w:tcPr>
          <w:p>
            <w:pPr>
              <w:jc w:val="right"/>
              <w:spacing w:after="0"/>
              <w:rPr>
                <w:sz w:val="20"/>
                <w:szCs w:val="20"/>
                <w:color w:val="auto"/>
              </w:rPr>
            </w:pPr>
            <w:r>
              <w:rPr>
                <w:rFonts w:ascii="Arial" w:cs="Arial" w:eastAsia="Arial" w:hAnsi="Arial"/>
                <w:sz w:val="8"/>
                <w:szCs w:val="8"/>
                <w:color w:val="auto"/>
              </w:rPr>
              <w:t>151,468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18,065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ind w:left="7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18,066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18,066</w:t>
            </w:r>
          </w:p>
        </w:tc>
        <w:tc>
          <w:tcPr>
            <w:tcW w:w="0" w:type="dxa"/>
            <w:vAlign w:val="bottom"/>
          </w:tcPr>
          <w:p>
            <w:pPr>
              <w:spacing w:after="0"/>
              <w:rPr>
                <w:sz w:val="1"/>
                <w:szCs w:val="1"/>
                <w:color w:val="auto"/>
              </w:rPr>
            </w:pPr>
          </w:p>
        </w:tc>
      </w:tr>
      <w:tr>
        <w:trPr>
          <w:trHeight w:val="123"/>
        </w:trPr>
        <w:tc>
          <w:tcPr>
            <w:tcW w:w="3400" w:type="dxa"/>
            <w:vAlign w:val="bottom"/>
            <w:shd w:val="clear" w:color="auto" w:fill="CCEEFF"/>
          </w:tcPr>
          <w:p>
            <w:pPr>
              <w:ind w:left="20"/>
              <w:spacing w:after="0"/>
              <w:rPr>
                <w:sz w:val="20"/>
                <w:szCs w:val="20"/>
                <w:color w:val="auto"/>
              </w:rPr>
            </w:pPr>
            <w:r>
              <w:rPr>
                <w:rFonts w:ascii="Arial" w:cs="Arial" w:eastAsia="Arial" w:hAnsi="Arial"/>
                <w:sz w:val="8"/>
                <w:szCs w:val="8"/>
                <w:color w:val="auto"/>
              </w:rPr>
              <w:t>Employee stock purchases</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265,386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rPr>
              <w:t>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1,528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1,531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1,531</w:t>
            </w:r>
          </w:p>
        </w:tc>
        <w:tc>
          <w:tcPr>
            <w:tcW w:w="0" w:type="dxa"/>
            <w:vAlign w:val="bottom"/>
          </w:tcPr>
          <w:p>
            <w:pPr>
              <w:spacing w:after="0"/>
              <w:rPr>
                <w:sz w:val="1"/>
                <w:szCs w:val="1"/>
                <w:color w:val="auto"/>
              </w:rPr>
            </w:pPr>
          </w:p>
        </w:tc>
      </w:tr>
      <w:tr>
        <w:trPr>
          <w:trHeight w:val="111"/>
        </w:trPr>
        <w:tc>
          <w:tcPr>
            <w:tcW w:w="3400" w:type="dxa"/>
            <w:vAlign w:val="bottom"/>
          </w:tcPr>
          <w:p>
            <w:pPr>
              <w:ind w:left="20"/>
              <w:spacing w:after="0"/>
              <w:rPr>
                <w:sz w:val="20"/>
                <w:szCs w:val="20"/>
                <w:color w:val="auto"/>
              </w:rPr>
            </w:pPr>
            <w:r>
              <w:rPr>
                <w:rFonts w:ascii="Arial" w:cs="Arial" w:eastAsia="Arial" w:hAnsi="Arial"/>
                <w:sz w:val="8"/>
                <w:szCs w:val="8"/>
                <w:color w:val="auto"/>
              </w:rPr>
              <w:t>Distributions declared ($1.55) per share</w:t>
            </w:r>
          </w:p>
        </w:tc>
        <w:tc>
          <w:tcPr>
            <w:tcW w:w="9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(165,404)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(165,404)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(165,404)</w:t>
            </w:r>
          </w:p>
        </w:tc>
        <w:tc>
          <w:tcPr>
            <w:tcW w:w="0" w:type="dxa"/>
            <w:vAlign w:val="bottom"/>
          </w:tcPr>
          <w:p>
            <w:pPr>
              <w:spacing w:after="0"/>
              <w:rPr>
                <w:sz w:val="1"/>
                <w:szCs w:val="1"/>
                <w:color w:val="auto"/>
              </w:rPr>
            </w:pPr>
          </w:p>
        </w:tc>
      </w:tr>
      <w:tr>
        <w:trPr>
          <w:trHeight w:val="123"/>
        </w:trPr>
        <w:tc>
          <w:tcPr>
            <w:tcW w:w="3400" w:type="dxa"/>
            <w:vAlign w:val="bottom"/>
            <w:shd w:val="clear" w:color="auto" w:fill="CCEEFF"/>
          </w:tcPr>
          <w:p>
            <w:pPr>
              <w:ind w:left="20"/>
              <w:spacing w:after="0"/>
              <w:rPr>
                <w:sz w:val="20"/>
                <w:szCs w:val="20"/>
                <w:color w:val="auto"/>
              </w:rPr>
            </w:pPr>
            <w:r>
              <w:rPr>
                <w:rFonts w:ascii="Arial" w:cs="Arial" w:eastAsia="Arial" w:hAnsi="Arial"/>
                <w:sz w:val="8"/>
                <w:szCs w:val="8"/>
                <w:color w:val="auto"/>
              </w:rPr>
              <w:t>Stock dividend</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7,759,280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rPr>
              <w:t>78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(78)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1"/>
        </w:trPr>
        <w:tc>
          <w:tcPr>
            <w:tcW w:w="3400" w:type="dxa"/>
            <w:vAlign w:val="bottom"/>
          </w:tcPr>
          <w:p>
            <w:pPr>
              <w:ind w:left="20"/>
              <w:spacing w:after="0"/>
              <w:rPr>
                <w:sz w:val="20"/>
                <w:szCs w:val="20"/>
                <w:color w:val="auto"/>
              </w:rPr>
            </w:pPr>
            <w:r>
              <w:rPr>
                <w:rFonts w:ascii="Arial" w:cs="Arial" w:eastAsia="Arial" w:hAnsi="Arial"/>
                <w:sz w:val="8"/>
                <w:szCs w:val="8"/>
                <w:color w:val="auto"/>
              </w:rPr>
              <w:t>Distributions to noncontrolling interests</w:t>
            </w:r>
          </w:p>
        </w:tc>
        <w:tc>
          <w:tcPr>
            <w:tcW w:w="9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920" w:type="dxa"/>
            <w:vAlign w:val="bottom"/>
            <w:gridSpan w:val="2"/>
          </w:tcPr>
          <w:p>
            <w:pPr>
              <w:ind w:left="7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(14,458)</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(14,458)</w:t>
            </w:r>
          </w:p>
        </w:tc>
        <w:tc>
          <w:tcPr>
            <w:tcW w:w="0" w:type="dxa"/>
            <w:vAlign w:val="bottom"/>
          </w:tcPr>
          <w:p>
            <w:pPr>
              <w:spacing w:after="0"/>
              <w:rPr>
                <w:sz w:val="1"/>
                <w:szCs w:val="1"/>
                <w:color w:val="auto"/>
              </w:rPr>
            </w:pPr>
          </w:p>
        </w:tc>
      </w:tr>
      <w:tr>
        <w:trPr>
          <w:trHeight w:val="123"/>
        </w:trPr>
        <w:tc>
          <w:tcPr>
            <w:tcW w:w="3400" w:type="dxa"/>
            <w:vAlign w:val="bottom"/>
            <w:shd w:val="clear" w:color="auto" w:fill="CCEEFF"/>
          </w:tcPr>
          <w:p>
            <w:pPr>
              <w:ind w:left="20"/>
              <w:spacing w:after="0"/>
              <w:rPr>
                <w:sz w:val="20"/>
                <w:szCs w:val="20"/>
                <w:color w:val="auto"/>
              </w:rPr>
            </w:pPr>
            <w:r>
              <w:rPr>
                <w:rFonts w:ascii="Arial" w:cs="Arial" w:eastAsia="Arial" w:hAnsi="Arial"/>
                <w:sz w:val="8"/>
                <w:szCs w:val="8"/>
                <w:color w:val="auto"/>
              </w:rPr>
              <w:t>Contributions from noncontrolling interests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19,203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19,203</w:t>
            </w:r>
          </w:p>
        </w:tc>
        <w:tc>
          <w:tcPr>
            <w:tcW w:w="0" w:type="dxa"/>
            <w:vAlign w:val="bottom"/>
          </w:tcPr>
          <w:p>
            <w:pPr>
              <w:spacing w:after="0"/>
              <w:rPr>
                <w:sz w:val="1"/>
                <w:szCs w:val="1"/>
                <w:color w:val="auto"/>
              </w:rPr>
            </w:pPr>
          </w:p>
        </w:tc>
      </w:tr>
      <w:tr>
        <w:trPr>
          <w:trHeight w:val="111"/>
        </w:trPr>
        <w:tc>
          <w:tcPr>
            <w:tcW w:w="3400" w:type="dxa"/>
            <w:vAlign w:val="bottom"/>
          </w:tcPr>
          <w:p>
            <w:pPr>
              <w:ind w:left="20"/>
              <w:spacing w:after="0"/>
              <w:rPr>
                <w:sz w:val="20"/>
                <w:szCs w:val="20"/>
                <w:color w:val="auto"/>
              </w:rPr>
            </w:pPr>
            <w:r>
              <w:rPr>
                <w:rFonts w:ascii="Arial" w:cs="Arial" w:eastAsia="Arial" w:hAnsi="Arial"/>
                <w:sz w:val="8"/>
                <w:szCs w:val="8"/>
                <w:color w:val="auto"/>
              </w:rPr>
              <w:t>Conversion of noncontrolling interests to common shares</w:t>
            </w:r>
          </w:p>
        </w:tc>
        <w:tc>
          <w:tcPr>
            <w:tcW w:w="880" w:type="dxa"/>
            <w:vAlign w:val="bottom"/>
          </w:tcPr>
          <w:p>
            <w:pPr>
              <w:jc w:val="right"/>
              <w:spacing w:after="0"/>
              <w:rPr>
                <w:sz w:val="20"/>
                <w:szCs w:val="20"/>
                <w:color w:val="auto"/>
              </w:rPr>
            </w:pPr>
            <w:r>
              <w:rPr>
                <w:rFonts w:ascii="Arial" w:cs="Arial" w:eastAsia="Arial" w:hAnsi="Arial"/>
                <w:sz w:val="8"/>
                <w:szCs w:val="8"/>
                <w:color w:val="auto"/>
              </w:rPr>
              <w:t>186,791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12,084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ind w:left="7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12,086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(12,086)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3400" w:type="dxa"/>
            <w:vAlign w:val="bottom"/>
            <w:shd w:val="clear" w:color="auto" w:fill="CCEEFF"/>
          </w:tcPr>
          <w:p>
            <w:pPr>
              <w:ind w:left="20"/>
              <w:spacing w:after="0"/>
              <w:rPr>
                <w:sz w:val="20"/>
                <w:szCs w:val="20"/>
                <w:color w:val="auto"/>
              </w:rPr>
            </w:pPr>
            <w:r>
              <w:rPr>
                <w:rFonts w:ascii="Arial" w:cs="Arial" w:eastAsia="Arial" w:hAnsi="Arial"/>
                <w:sz w:val="8"/>
                <w:szCs w:val="8"/>
                <w:color w:val="auto"/>
              </w:rPr>
              <w:t>Redemption of noncontrolling interests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25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25</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(54)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(29)</w:t>
            </w:r>
          </w:p>
        </w:tc>
        <w:tc>
          <w:tcPr>
            <w:tcW w:w="0" w:type="dxa"/>
            <w:vAlign w:val="bottom"/>
          </w:tcPr>
          <w:p>
            <w:pPr>
              <w:spacing w:after="0"/>
              <w:rPr>
                <w:sz w:val="1"/>
                <w:szCs w:val="1"/>
                <w:color w:val="auto"/>
              </w:rPr>
            </w:pPr>
          </w:p>
        </w:tc>
      </w:tr>
      <w:tr>
        <w:trPr>
          <w:trHeight w:val="111"/>
        </w:trPr>
        <w:tc>
          <w:tcPr>
            <w:tcW w:w="3400" w:type="dxa"/>
            <w:vAlign w:val="bottom"/>
          </w:tcPr>
          <w:p>
            <w:pPr>
              <w:ind w:left="20"/>
              <w:spacing w:after="0"/>
              <w:rPr>
                <w:sz w:val="20"/>
                <w:szCs w:val="20"/>
                <w:color w:val="auto"/>
              </w:rPr>
            </w:pPr>
            <w:r>
              <w:rPr>
                <w:rFonts w:ascii="Arial" w:cs="Arial" w:eastAsia="Arial" w:hAnsi="Arial"/>
                <w:sz w:val="8"/>
                <w:szCs w:val="8"/>
                <w:color w:val="auto"/>
              </w:rPr>
              <w:t>Adjustment of noncontrolling interests in Operating Partnership</w:t>
            </w:r>
          </w:p>
        </w:tc>
        <w:tc>
          <w:tcPr>
            <w:tcW w:w="9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(12,157)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ind w:left="7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(12,157)</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12,157</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December 31,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149,770,575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4,603,378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(2,339,619)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(8,208)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2,257,049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188,211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2,445,260</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EQUITY (Continued)</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(Dollars 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6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8"/>
                <w:szCs w:val="8"/>
                <w:b w:val="1"/>
                <w:bCs w:val="1"/>
                <w:color w:val="auto"/>
              </w:rPr>
              <w:t>Stockholders' Equity</w:t>
            </w: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Pr>
          <w:p>
            <w:pPr>
              <w:spacing w:after="0"/>
              <w:rPr>
                <w:sz w:val="10"/>
                <w:szCs w:val="10"/>
                <w:color w:val="auto"/>
              </w:rPr>
            </w:pPr>
          </w:p>
        </w:tc>
        <w:tc>
          <w:tcPr>
            <w:tcW w:w="10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8"/>
                <w:szCs w:val="8"/>
                <w:b w:val="1"/>
                <w:bCs w:val="1"/>
                <w:color w:val="auto"/>
              </w:rPr>
              <w:t>Common Stock</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80" w:type="dxa"/>
            <w:vAlign w:val="bottom"/>
          </w:tcPr>
          <w:p>
            <w:pPr>
              <w:spacing w:after="0"/>
              <w:rPr>
                <w:sz w:val="7"/>
                <w:szCs w:val="7"/>
                <w:color w:val="auto"/>
              </w:rPr>
            </w:pPr>
          </w:p>
        </w:tc>
        <w:tc>
          <w:tcPr>
            <w:tcW w:w="840" w:type="dxa"/>
            <w:vAlign w:val="bottom"/>
            <w:vMerge w:val="restart"/>
          </w:tcPr>
          <w:p>
            <w:pPr>
              <w:jc w:val="right"/>
              <w:ind w:right="258"/>
              <w:spacing w:after="0"/>
              <w:rPr>
                <w:sz w:val="20"/>
                <w:szCs w:val="20"/>
                <w:color w:val="auto"/>
              </w:rPr>
            </w:pPr>
            <w:r>
              <w:rPr>
                <w:rFonts w:ascii="Arial" w:cs="Arial" w:eastAsia="Arial" w:hAnsi="Arial"/>
                <w:sz w:val="8"/>
                <w:szCs w:val="8"/>
                <w:b w:val="1"/>
                <w:bCs w:val="1"/>
                <w:color w:val="auto"/>
              </w:rPr>
              <w:t>Shares</w:t>
            </w:r>
          </w:p>
        </w:tc>
        <w:tc>
          <w:tcPr>
            <w:tcW w:w="10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ind w:left="80"/>
              <w:spacing w:after="0" w:line="85" w:lineRule="exact"/>
              <w:rPr>
                <w:sz w:val="20"/>
                <w:szCs w:val="20"/>
                <w:color w:val="auto"/>
              </w:rPr>
            </w:pPr>
            <w:r>
              <w:rPr>
                <w:rFonts w:ascii="Arial" w:cs="Arial" w:eastAsia="Arial" w:hAnsi="Arial"/>
                <w:sz w:val="8"/>
                <w:szCs w:val="8"/>
                <w:b w:val="1"/>
                <w:bCs w:val="1"/>
                <w:color w:val="auto"/>
              </w:rPr>
              <w:t>Par</w:t>
            </w:r>
          </w:p>
        </w:tc>
        <w:tc>
          <w:tcPr>
            <w:tcW w:w="60" w:type="dxa"/>
            <w:vAlign w:val="bottom"/>
          </w:tcPr>
          <w:p>
            <w:pPr>
              <w:spacing w:after="0"/>
              <w:rPr>
                <w:sz w:val="7"/>
                <w:szCs w:val="7"/>
                <w:color w:val="auto"/>
              </w:rPr>
            </w:pPr>
          </w:p>
        </w:tc>
        <w:tc>
          <w:tcPr>
            <w:tcW w:w="740" w:type="dxa"/>
            <w:vAlign w:val="bottom"/>
          </w:tcPr>
          <w:p>
            <w:pPr>
              <w:jc w:val="right"/>
              <w:ind w:right="38"/>
              <w:spacing w:after="0" w:line="85" w:lineRule="exact"/>
              <w:rPr>
                <w:sz w:val="20"/>
                <w:szCs w:val="20"/>
                <w:color w:val="auto"/>
              </w:rPr>
            </w:pPr>
            <w:r>
              <w:rPr>
                <w:rFonts w:ascii="Arial" w:cs="Arial" w:eastAsia="Arial" w:hAnsi="Arial"/>
                <w:sz w:val="8"/>
                <w:szCs w:val="8"/>
                <w:b w:val="1"/>
                <w:bCs w:val="1"/>
                <w:color w:val="auto"/>
                <w:w w:val="94"/>
              </w:rPr>
              <w:t>Additional Paid-in</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78"/>
              <w:spacing w:after="0"/>
              <w:rPr>
                <w:sz w:val="20"/>
                <w:szCs w:val="20"/>
                <w:color w:val="auto"/>
              </w:rPr>
            </w:pPr>
            <w:r>
              <w:rPr>
                <w:rFonts w:ascii="Arial" w:cs="Arial" w:eastAsia="Arial" w:hAnsi="Arial"/>
                <w:sz w:val="8"/>
                <w:szCs w:val="8"/>
                <w:b w:val="1"/>
                <w:bCs w:val="1"/>
                <w:color w:val="auto"/>
                <w:w w:val="96"/>
              </w:rPr>
              <w:t>Accumulated Deficit</w:t>
            </w:r>
          </w:p>
        </w:tc>
        <w:tc>
          <w:tcPr>
            <w:tcW w:w="1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jc w:val="right"/>
              <w:ind w:right="198"/>
              <w:spacing w:after="0" w:line="85" w:lineRule="exact"/>
              <w:rPr>
                <w:sz w:val="20"/>
                <w:szCs w:val="20"/>
                <w:color w:val="auto"/>
              </w:rPr>
            </w:pPr>
            <w:r>
              <w:rPr>
                <w:rFonts w:ascii="Arial" w:cs="Arial" w:eastAsia="Arial" w:hAnsi="Arial"/>
                <w:sz w:val="8"/>
                <w:szCs w:val="8"/>
                <w:b w:val="1"/>
                <w:bCs w:val="1"/>
                <w:color w:val="auto"/>
              </w:rPr>
              <w:t>Accumulated Other</w:t>
            </w:r>
          </w:p>
        </w:tc>
        <w:tc>
          <w:tcPr>
            <w:tcW w:w="10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w w:val="97"/>
              </w:rPr>
              <w:t>Total Stockholders' Equity</w:t>
            </w:r>
          </w:p>
        </w:tc>
        <w:tc>
          <w:tcPr>
            <w:tcW w:w="8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tcPr>
          <w:p>
            <w:pPr>
              <w:ind w:left="100"/>
              <w:spacing w:after="0" w:line="85" w:lineRule="exact"/>
              <w:rPr>
                <w:sz w:val="20"/>
                <w:szCs w:val="20"/>
                <w:color w:val="auto"/>
              </w:rPr>
            </w:pPr>
            <w:r>
              <w:rPr>
                <w:rFonts w:ascii="Arial" w:cs="Arial" w:eastAsia="Arial" w:hAnsi="Arial"/>
                <w:sz w:val="8"/>
                <w:szCs w:val="8"/>
                <w:b w:val="1"/>
                <w:bCs w:val="1"/>
                <w:color w:val="auto"/>
              </w:rPr>
              <w:t>Noncontrolling</w:t>
            </w:r>
          </w:p>
        </w:tc>
        <w:tc>
          <w:tcPr>
            <w:tcW w:w="180" w:type="dxa"/>
            <w:vAlign w:val="bottom"/>
          </w:tcPr>
          <w:p>
            <w:pPr>
              <w:spacing w:after="0"/>
              <w:rPr>
                <w:sz w:val="7"/>
                <w:szCs w:val="7"/>
                <w:color w:val="auto"/>
              </w:rPr>
            </w:pPr>
          </w:p>
        </w:tc>
        <w:tc>
          <w:tcPr>
            <w:tcW w:w="680" w:type="dxa"/>
            <w:vAlign w:val="bottom"/>
          </w:tcPr>
          <w:p>
            <w:pPr>
              <w:jc w:val="right"/>
              <w:ind w:right="298"/>
              <w:spacing w:after="0" w:line="85"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2"/>
        </w:trPr>
        <w:tc>
          <w:tcPr>
            <w:tcW w:w="268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Value</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Capital</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w w:val="96"/>
              </w:rPr>
              <w:t>Comprehensive Loss</w:t>
            </w:r>
          </w:p>
        </w:tc>
        <w:tc>
          <w:tcPr>
            <w:tcW w:w="1060" w:type="dxa"/>
            <w:vAlign w:val="bottom"/>
            <w:tcBorders>
              <w:bottom w:val="single" w:sz="8" w:color="auto"/>
            </w:tcBorders>
            <w:gridSpan w:val="2"/>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8"/>
                <w:szCs w:val="8"/>
                <w:b w:val="1"/>
                <w:bCs w:val="1"/>
                <w:color w:val="auto"/>
              </w:rPr>
              <w:t>Interests</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11"/>
        </w:trPr>
        <w:tc>
          <w:tcPr>
            <w:tcW w:w="2680" w:type="dxa"/>
            <w:vAlign w:val="bottom"/>
            <w:shd w:val="clear" w:color="auto" w:fill="CCEEFF"/>
          </w:tcPr>
          <w:p>
            <w:pPr>
              <w:spacing w:after="0"/>
              <w:rPr>
                <w:sz w:val="20"/>
                <w:szCs w:val="20"/>
                <w:color w:val="auto"/>
              </w:rPr>
            </w:pPr>
            <w:r>
              <w:rPr>
                <w:rFonts w:ascii="Arial" w:cs="Arial" w:eastAsia="Arial" w:hAnsi="Arial"/>
                <w:sz w:val="8"/>
                <w:szCs w:val="8"/>
                <w:color w:val="auto"/>
              </w:rPr>
              <w:t>Balance at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8"/>
                <w:szCs w:val="8"/>
                <w:color w:val="auto"/>
              </w:rPr>
              <w:t>149,770,575</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1,498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4,603,378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(2,339,619)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(8,208)</w:t>
            </w:r>
          </w:p>
        </w:tc>
        <w:tc>
          <w:tcPr>
            <w:tcW w:w="380" w:type="dxa"/>
            <w:vAlign w:val="bottom"/>
            <w:shd w:val="clear" w:color="auto" w:fill="CCEEFF"/>
          </w:tcPr>
          <w:p>
            <w:pPr>
              <w:ind w:left="60"/>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2,257,049</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188,211</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114"/>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2,445,260</w:t>
            </w:r>
          </w:p>
        </w:tc>
        <w:tc>
          <w:tcPr>
            <w:tcW w:w="0" w:type="dxa"/>
            <w:vAlign w:val="bottom"/>
          </w:tcPr>
          <w:p>
            <w:pPr>
              <w:spacing w:after="0"/>
              <w:rPr>
                <w:sz w:val="1"/>
                <w:szCs w:val="1"/>
                <w:color w:val="auto"/>
              </w:rPr>
            </w:pPr>
          </w:p>
        </w:tc>
      </w:tr>
      <w:tr>
        <w:trPr>
          <w:trHeight w:val="111"/>
        </w:trPr>
        <w:tc>
          <w:tcPr>
            <w:tcW w:w="2680" w:type="dxa"/>
            <w:vAlign w:val="bottom"/>
          </w:tcPr>
          <w:p>
            <w:pPr>
              <w:spacing w:after="0"/>
              <w:rPr>
                <w:sz w:val="20"/>
                <w:szCs w:val="20"/>
                <w:color w:val="auto"/>
              </w:rPr>
            </w:pPr>
            <w:r>
              <w:rPr>
                <w:rFonts w:ascii="Arial" w:cs="Arial" w:eastAsia="Arial" w:hAnsi="Arial"/>
                <w:sz w:val="8"/>
                <w:szCs w:val="8"/>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14,263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tcPr>
          <w:p>
            <w:pPr>
              <w:spacing w:after="0"/>
              <w:rPr>
                <w:sz w:val="9"/>
                <w:szCs w:val="9"/>
                <w:color w:val="auto"/>
              </w:rPr>
            </w:pPr>
          </w:p>
        </w:tc>
        <w:tc>
          <w:tcPr>
            <w:tcW w:w="680" w:type="dxa"/>
            <w:vAlign w:val="bottom"/>
          </w:tcPr>
          <w:p>
            <w:pPr>
              <w:jc w:val="right"/>
              <w:ind w:right="18"/>
              <w:spacing w:after="0"/>
              <w:rPr>
                <w:sz w:val="20"/>
                <w:szCs w:val="20"/>
                <w:color w:val="auto"/>
              </w:rPr>
            </w:pPr>
            <w:r>
              <w:rPr>
                <w:rFonts w:ascii="Arial" w:cs="Arial" w:eastAsia="Arial" w:hAnsi="Arial"/>
                <w:sz w:val="8"/>
                <w:szCs w:val="8"/>
                <w:color w:val="auto"/>
              </w:rPr>
              <w:t>14,263</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1,900</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16,163</w:t>
            </w:r>
          </w:p>
        </w:tc>
        <w:tc>
          <w:tcPr>
            <w:tcW w:w="0" w:type="dxa"/>
            <w:vAlign w:val="bottom"/>
          </w:tcPr>
          <w:p>
            <w:pPr>
              <w:spacing w:after="0"/>
              <w:rPr>
                <w:sz w:val="1"/>
                <w:szCs w:val="1"/>
                <w:color w:val="auto"/>
              </w:rPr>
            </w:pPr>
          </w:p>
        </w:tc>
      </w:tr>
      <w:tr>
        <w:trPr>
          <w:trHeight w:val="123"/>
        </w:trPr>
        <w:tc>
          <w:tcPr>
            <w:tcW w:w="2680" w:type="dxa"/>
            <w:vAlign w:val="bottom"/>
            <w:shd w:val="clear" w:color="auto" w:fill="CCEEFF"/>
          </w:tcPr>
          <w:p>
            <w:pPr>
              <w:spacing w:after="0"/>
              <w:rPr>
                <w:sz w:val="20"/>
                <w:szCs w:val="20"/>
                <w:color w:val="auto"/>
              </w:rPr>
            </w:pPr>
            <w:r>
              <w:rPr>
                <w:rFonts w:ascii="Arial" w:cs="Arial" w:eastAsia="Arial" w:hAnsi="Arial"/>
                <w:sz w:val="8"/>
                <w:szCs w:val="8"/>
                <w:color w:val="auto"/>
              </w:rPr>
              <w:t>Interest rate cap/swap agreements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8,184</w:t>
            </w: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8,184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8,184</w:t>
            </w:r>
          </w:p>
        </w:tc>
        <w:tc>
          <w:tcPr>
            <w:tcW w:w="0" w:type="dxa"/>
            <w:vAlign w:val="bottom"/>
          </w:tcPr>
          <w:p>
            <w:pPr>
              <w:spacing w:after="0"/>
              <w:rPr>
                <w:sz w:val="1"/>
                <w:szCs w:val="1"/>
                <w:color w:val="auto"/>
              </w:rPr>
            </w:pPr>
          </w:p>
        </w:tc>
      </w:tr>
      <w:tr>
        <w:trPr>
          <w:trHeight w:val="111"/>
        </w:trPr>
        <w:tc>
          <w:tcPr>
            <w:tcW w:w="2680" w:type="dxa"/>
            <w:vAlign w:val="bottom"/>
          </w:tcPr>
          <w:p>
            <w:pPr>
              <w:spacing w:after="0"/>
              <w:rPr>
                <w:sz w:val="20"/>
                <w:szCs w:val="20"/>
                <w:color w:val="auto"/>
              </w:rPr>
            </w:pPr>
            <w:r>
              <w:rPr>
                <w:rFonts w:ascii="Arial" w:cs="Arial" w:eastAsia="Arial" w:hAnsi="Arial"/>
                <w:sz w:val="8"/>
                <w:szCs w:val="8"/>
                <w:color w:val="auto"/>
              </w:rPr>
              <w:t>Amortization of share and unit-based plans</w:t>
            </w:r>
          </w:p>
        </w:tc>
        <w:tc>
          <w:tcPr>
            <w:tcW w:w="840" w:type="dxa"/>
            <w:vAlign w:val="bottom"/>
          </w:tcPr>
          <w:p>
            <w:pPr>
              <w:jc w:val="right"/>
              <w:spacing w:after="0"/>
              <w:rPr>
                <w:sz w:val="20"/>
                <w:szCs w:val="20"/>
                <w:color w:val="auto"/>
              </w:rPr>
            </w:pPr>
            <w:r>
              <w:rPr>
                <w:rFonts w:ascii="Arial" w:cs="Arial" w:eastAsia="Arial" w:hAnsi="Arial"/>
                <w:sz w:val="8"/>
                <w:szCs w:val="8"/>
                <w:color w:val="auto"/>
              </w:rPr>
              <w:t>248,264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17,996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tcPr>
          <w:p>
            <w:pPr>
              <w:spacing w:after="0"/>
              <w:rPr>
                <w:sz w:val="9"/>
                <w:szCs w:val="9"/>
                <w:color w:val="auto"/>
              </w:rPr>
            </w:pPr>
          </w:p>
        </w:tc>
        <w:tc>
          <w:tcPr>
            <w:tcW w:w="680" w:type="dxa"/>
            <w:vAlign w:val="bottom"/>
          </w:tcPr>
          <w:p>
            <w:pPr>
              <w:jc w:val="right"/>
              <w:ind w:right="18"/>
              <w:spacing w:after="0"/>
              <w:rPr>
                <w:sz w:val="20"/>
                <w:szCs w:val="20"/>
                <w:color w:val="auto"/>
              </w:rPr>
            </w:pPr>
            <w:r>
              <w:rPr>
                <w:rFonts w:ascii="Arial" w:cs="Arial" w:eastAsia="Arial" w:hAnsi="Arial"/>
                <w:sz w:val="8"/>
                <w:szCs w:val="8"/>
                <w:color w:val="auto"/>
              </w:rPr>
              <w:t>17,998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17,998</w:t>
            </w:r>
          </w:p>
        </w:tc>
        <w:tc>
          <w:tcPr>
            <w:tcW w:w="0" w:type="dxa"/>
            <w:vAlign w:val="bottom"/>
          </w:tcPr>
          <w:p>
            <w:pPr>
              <w:spacing w:after="0"/>
              <w:rPr>
                <w:sz w:val="1"/>
                <w:szCs w:val="1"/>
                <w:color w:val="auto"/>
              </w:rPr>
            </w:pPr>
          </w:p>
        </w:tc>
      </w:tr>
      <w:tr>
        <w:trPr>
          <w:trHeight w:val="123"/>
        </w:trPr>
        <w:tc>
          <w:tcPr>
            <w:tcW w:w="2680" w:type="dxa"/>
            <w:vAlign w:val="bottom"/>
            <w:shd w:val="clear" w:color="auto" w:fill="CCEEFF"/>
          </w:tcPr>
          <w:p>
            <w:pPr>
              <w:spacing w:after="0"/>
              <w:rPr>
                <w:sz w:val="20"/>
                <w:szCs w:val="20"/>
                <w:color w:val="auto"/>
              </w:rPr>
            </w:pPr>
            <w:r>
              <w:rPr>
                <w:rFonts w:ascii="Arial" w:cs="Arial" w:eastAsia="Arial" w:hAnsi="Arial"/>
                <w:sz w:val="8"/>
                <w:szCs w:val="8"/>
                <w:color w:val="auto"/>
              </w:rPr>
              <w:t>Employee stock purchases</w:t>
            </w:r>
          </w:p>
        </w:tc>
        <w:tc>
          <w:tcPr>
            <w:tcW w:w="840" w:type="dxa"/>
            <w:vAlign w:val="bottom"/>
            <w:shd w:val="clear" w:color="auto" w:fill="CCEEFF"/>
          </w:tcPr>
          <w:p>
            <w:pPr>
              <w:jc w:val="right"/>
              <w:spacing w:after="0"/>
              <w:rPr>
                <w:sz w:val="20"/>
                <w:szCs w:val="20"/>
                <w:color w:val="auto"/>
              </w:rPr>
            </w:pPr>
            <w:r>
              <w:rPr>
                <w:rFonts w:ascii="Arial" w:cs="Arial" w:eastAsia="Arial" w:hAnsi="Arial"/>
                <w:sz w:val="8"/>
                <w:szCs w:val="8"/>
                <w:color w:val="auto"/>
              </w:rPr>
              <w:t>143,191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1,347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1,348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1,348</w:t>
            </w:r>
          </w:p>
        </w:tc>
        <w:tc>
          <w:tcPr>
            <w:tcW w:w="0" w:type="dxa"/>
            <w:vAlign w:val="bottom"/>
          </w:tcPr>
          <w:p>
            <w:pPr>
              <w:spacing w:after="0"/>
              <w:rPr>
                <w:sz w:val="1"/>
                <w:szCs w:val="1"/>
                <w:color w:val="auto"/>
              </w:rPr>
            </w:pPr>
          </w:p>
        </w:tc>
      </w:tr>
      <w:tr>
        <w:trPr>
          <w:trHeight w:val="111"/>
        </w:trPr>
        <w:tc>
          <w:tcPr>
            <w:tcW w:w="2680" w:type="dxa"/>
            <w:vAlign w:val="bottom"/>
          </w:tcPr>
          <w:p>
            <w:pPr>
              <w:spacing w:after="0"/>
              <w:rPr>
                <w:sz w:val="20"/>
                <w:szCs w:val="20"/>
                <w:color w:val="auto"/>
              </w:rPr>
            </w:pPr>
            <w:r>
              <w:rPr>
                <w:rFonts w:ascii="Arial" w:cs="Arial" w:eastAsia="Arial" w:hAnsi="Arial"/>
                <w:sz w:val="8"/>
                <w:szCs w:val="8"/>
                <w:color w:val="auto"/>
              </w:rPr>
              <w:t>Stock offerings, net</w:t>
            </w:r>
          </w:p>
        </w:tc>
        <w:tc>
          <w:tcPr>
            <w:tcW w:w="840" w:type="dxa"/>
            <w:vAlign w:val="bottom"/>
          </w:tcPr>
          <w:p>
            <w:pPr>
              <w:jc w:val="right"/>
              <w:spacing w:after="0"/>
              <w:rPr>
                <w:sz w:val="20"/>
                <w:szCs w:val="20"/>
                <w:color w:val="auto"/>
              </w:rPr>
            </w:pPr>
            <w:r>
              <w:rPr>
                <w:rFonts w:ascii="Arial" w:cs="Arial" w:eastAsia="Arial" w:hAnsi="Arial"/>
                <w:sz w:val="8"/>
                <w:szCs w:val="8"/>
                <w:color w:val="auto"/>
              </w:rPr>
              <w:t>62,049,131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620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829,621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jc w:val="right"/>
              <w:ind w:right="18"/>
              <w:spacing w:after="0"/>
              <w:rPr>
                <w:sz w:val="20"/>
                <w:szCs w:val="20"/>
                <w:color w:val="auto"/>
              </w:rPr>
            </w:pPr>
            <w:r>
              <w:rPr>
                <w:rFonts w:ascii="Arial" w:cs="Arial" w:eastAsia="Arial" w:hAnsi="Arial"/>
                <w:sz w:val="8"/>
                <w:szCs w:val="8"/>
                <w:color w:val="auto"/>
              </w:rPr>
              <w:t>830,241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830,241</w:t>
            </w:r>
          </w:p>
        </w:tc>
        <w:tc>
          <w:tcPr>
            <w:tcW w:w="0" w:type="dxa"/>
            <w:vAlign w:val="bottom"/>
          </w:tcPr>
          <w:p>
            <w:pPr>
              <w:spacing w:after="0"/>
              <w:rPr>
                <w:sz w:val="1"/>
                <w:szCs w:val="1"/>
                <w:color w:val="auto"/>
              </w:rPr>
            </w:pPr>
          </w:p>
        </w:tc>
      </w:tr>
      <w:tr>
        <w:trPr>
          <w:trHeight w:val="123"/>
        </w:trPr>
        <w:tc>
          <w:tcPr>
            <w:tcW w:w="2680" w:type="dxa"/>
            <w:vAlign w:val="bottom"/>
            <w:shd w:val="clear" w:color="auto" w:fill="CCEEFF"/>
          </w:tcPr>
          <w:p>
            <w:pPr>
              <w:spacing w:after="0"/>
              <w:rPr>
                <w:sz w:val="20"/>
                <w:szCs w:val="20"/>
                <w:color w:val="auto"/>
              </w:rPr>
            </w:pPr>
            <w:r>
              <w:rPr>
                <w:rFonts w:ascii="Arial" w:cs="Arial" w:eastAsia="Arial" w:hAnsi="Arial"/>
                <w:sz w:val="8"/>
                <w:szCs w:val="8"/>
                <w:color w:val="auto"/>
              </w:rPr>
              <w:t>Distributions declared ($0.60)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(118,340)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(118,340)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(118,340)</w:t>
            </w:r>
          </w:p>
        </w:tc>
        <w:tc>
          <w:tcPr>
            <w:tcW w:w="0" w:type="dxa"/>
            <w:vAlign w:val="bottom"/>
          </w:tcPr>
          <w:p>
            <w:pPr>
              <w:spacing w:after="0"/>
              <w:rPr>
                <w:sz w:val="1"/>
                <w:szCs w:val="1"/>
                <w:color w:val="auto"/>
              </w:rPr>
            </w:pPr>
          </w:p>
        </w:tc>
      </w:tr>
      <w:tr>
        <w:trPr>
          <w:trHeight w:val="111"/>
        </w:trPr>
        <w:tc>
          <w:tcPr>
            <w:tcW w:w="2680" w:type="dxa"/>
            <w:vAlign w:val="bottom"/>
          </w:tcPr>
          <w:p>
            <w:pPr>
              <w:spacing w:after="0"/>
              <w:rPr>
                <w:sz w:val="20"/>
                <w:szCs w:val="20"/>
                <w:color w:val="auto"/>
              </w:rPr>
            </w:pPr>
            <w:r>
              <w:rPr>
                <w:rFonts w:ascii="Arial" w:cs="Arial" w:eastAsia="Arial" w:hAnsi="Arial"/>
                <w:sz w:val="8"/>
                <w:szCs w:val="8"/>
                <w:color w:val="auto"/>
              </w:rPr>
              <w:t>Distributions to noncontrolling interests</w:t>
            </w:r>
          </w:p>
        </w:tc>
        <w:tc>
          <w:tcPr>
            <w:tcW w:w="9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tcPr>
          <w:p>
            <w:pPr>
              <w:spacing w:after="0"/>
              <w:rPr>
                <w:sz w:val="9"/>
                <w:szCs w:val="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(25,107)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(25,107)</w:t>
            </w:r>
          </w:p>
        </w:tc>
        <w:tc>
          <w:tcPr>
            <w:tcW w:w="0" w:type="dxa"/>
            <w:vAlign w:val="bottom"/>
          </w:tcPr>
          <w:p>
            <w:pPr>
              <w:spacing w:after="0"/>
              <w:rPr>
                <w:sz w:val="1"/>
                <w:szCs w:val="1"/>
                <w:color w:val="auto"/>
              </w:rPr>
            </w:pPr>
          </w:p>
        </w:tc>
      </w:tr>
      <w:tr>
        <w:trPr>
          <w:trHeight w:val="123"/>
        </w:trPr>
        <w:tc>
          <w:tcPr>
            <w:tcW w:w="2680" w:type="dxa"/>
            <w:vAlign w:val="bottom"/>
            <w:shd w:val="clear" w:color="auto" w:fill="CCEEFF"/>
          </w:tcPr>
          <w:p>
            <w:pPr>
              <w:spacing w:after="0"/>
              <w:rPr>
                <w:sz w:val="20"/>
                <w:szCs w:val="20"/>
                <w:color w:val="auto"/>
              </w:rPr>
            </w:pPr>
            <w:r>
              <w:rPr>
                <w:rFonts w:ascii="Arial" w:cs="Arial" w:eastAsia="Arial" w:hAnsi="Arial"/>
                <w:sz w:val="8"/>
                <w:szCs w:val="8"/>
                <w:color w:val="auto"/>
              </w:rPr>
              <w:t>Contributions from noncontrolling interests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580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580</w:t>
            </w:r>
          </w:p>
        </w:tc>
        <w:tc>
          <w:tcPr>
            <w:tcW w:w="0" w:type="dxa"/>
            <w:vAlign w:val="bottom"/>
          </w:tcPr>
          <w:p>
            <w:pPr>
              <w:spacing w:after="0"/>
              <w:rPr>
                <w:sz w:val="1"/>
                <w:szCs w:val="1"/>
                <w:color w:val="auto"/>
              </w:rPr>
            </w:pPr>
          </w:p>
        </w:tc>
      </w:tr>
      <w:tr>
        <w:trPr>
          <w:trHeight w:val="111"/>
        </w:trPr>
        <w:tc>
          <w:tcPr>
            <w:tcW w:w="2680" w:type="dxa"/>
            <w:vAlign w:val="bottom"/>
          </w:tcPr>
          <w:p>
            <w:pPr>
              <w:spacing w:after="0"/>
              <w:rPr>
                <w:sz w:val="20"/>
                <w:szCs w:val="20"/>
                <w:color w:val="auto"/>
              </w:rPr>
            </w:pPr>
            <w:r>
              <w:rPr>
                <w:rFonts w:ascii="Arial" w:cs="Arial" w:eastAsia="Arial" w:hAnsi="Arial"/>
                <w:sz w:val="8"/>
                <w:szCs w:val="8"/>
                <w:color w:val="auto"/>
              </w:rPr>
              <w:t>Conversion of noncontrolling interests to common shares</w:t>
            </w:r>
          </w:p>
        </w:tc>
        <w:tc>
          <w:tcPr>
            <w:tcW w:w="840" w:type="dxa"/>
            <w:vAlign w:val="bottom"/>
          </w:tcPr>
          <w:p>
            <w:pPr>
              <w:jc w:val="right"/>
              <w:spacing w:after="0"/>
              <w:rPr>
                <w:sz w:val="20"/>
                <w:szCs w:val="20"/>
                <w:color w:val="auto"/>
              </w:rPr>
            </w:pPr>
            <w:r>
              <w:rPr>
                <w:rFonts w:ascii="Arial" w:cs="Arial" w:eastAsia="Arial" w:hAnsi="Arial"/>
                <w:sz w:val="8"/>
                <w:szCs w:val="8"/>
                <w:color w:val="auto"/>
              </w:rPr>
              <w:t>2,585,896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26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48,781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tcPr>
          <w:p>
            <w:pPr>
              <w:spacing w:after="0"/>
              <w:rPr>
                <w:sz w:val="9"/>
                <w:szCs w:val="9"/>
                <w:color w:val="auto"/>
              </w:rPr>
            </w:pPr>
          </w:p>
        </w:tc>
        <w:tc>
          <w:tcPr>
            <w:tcW w:w="680" w:type="dxa"/>
            <w:vAlign w:val="bottom"/>
          </w:tcPr>
          <w:p>
            <w:pPr>
              <w:jc w:val="right"/>
              <w:ind w:right="18"/>
              <w:spacing w:after="0"/>
              <w:rPr>
                <w:sz w:val="20"/>
                <w:szCs w:val="20"/>
                <w:color w:val="auto"/>
              </w:rPr>
            </w:pPr>
            <w:r>
              <w:rPr>
                <w:rFonts w:ascii="Arial" w:cs="Arial" w:eastAsia="Arial" w:hAnsi="Arial"/>
                <w:sz w:val="8"/>
                <w:szCs w:val="8"/>
                <w:color w:val="auto"/>
              </w:rPr>
              <w:t>48,807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(48,807)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2680" w:type="dxa"/>
            <w:vAlign w:val="bottom"/>
            <w:shd w:val="clear" w:color="auto" w:fill="CCEEFF"/>
          </w:tcPr>
          <w:p>
            <w:pPr>
              <w:spacing w:after="0"/>
              <w:rPr>
                <w:sz w:val="20"/>
                <w:szCs w:val="20"/>
                <w:color w:val="auto"/>
              </w:rPr>
            </w:pPr>
            <w:r>
              <w:rPr>
                <w:rFonts w:ascii="Arial" w:cs="Arial" w:eastAsia="Arial" w:hAnsi="Arial"/>
                <w:sz w:val="8"/>
                <w:szCs w:val="8"/>
                <w:color w:val="auto"/>
              </w:rPr>
              <w:t>Redemption of noncontrolling interests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(161)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(178)</w:t>
            </w:r>
          </w:p>
        </w:tc>
        <w:tc>
          <w:tcPr>
            <w:tcW w:w="0" w:type="dxa"/>
            <w:vAlign w:val="bottom"/>
          </w:tcPr>
          <w:p>
            <w:pPr>
              <w:spacing w:after="0"/>
              <w:rPr>
                <w:sz w:val="1"/>
                <w:szCs w:val="1"/>
                <w:color w:val="auto"/>
              </w:rPr>
            </w:pPr>
          </w:p>
        </w:tc>
      </w:tr>
      <w:tr>
        <w:trPr>
          <w:trHeight w:val="111"/>
        </w:trPr>
        <w:tc>
          <w:tcPr>
            <w:tcW w:w="268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Adjustment of noncontrolling interests in Operating Partnership</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(12,666)</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(12,666)</w:t>
            </w: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12,666</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2"/>
        </w:trPr>
        <w:tc>
          <w:tcPr>
            <w:tcW w:w="2680" w:type="dxa"/>
            <w:vAlign w:val="bottom"/>
            <w:shd w:val="clear" w:color="auto" w:fill="CCEEFF"/>
          </w:tcPr>
          <w:p>
            <w:pPr>
              <w:spacing w:after="0"/>
              <w:rPr>
                <w:sz w:val="20"/>
                <w:szCs w:val="20"/>
                <w:color w:val="auto"/>
              </w:rPr>
            </w:pPr>
            <w:r>
              <w:rPr>
                <w:rFonts w:ascii="Arial" w:cs="Arial" w:eastAsia="Arial" w:hAnsi="Arial"/>
                <w:sz w:val="8"/>
                <w:szCs w:val="8"/>
                <w:color w:val="auto"/>
              </w:rPr>
              <w:t>Balance at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8"/>
                <w:szCs w:val="8"/>
                <w:color w:val="auto"/>
              </w:rPr>
              <w:t>214,797,057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2,147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5,488,440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(2,443,696)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(24)</w:t>
            </w:r>
          </w:p>
        </w:tc>
        <w:tc>
          <w:tcPr>
            <w:tcW w:w="380" w:type="dxa"/>
            <w:vAlign w:val="bottom"/>
            <w:shd w:val="clear" w:color="auto" w:fill="CCEEFF"/>
          </w:tcPr>
          <w:p>
            <w:pPr>
              <w:ind w:left="60"/>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3,046,867</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129,282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114"/>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3,176,149</w:t>
            </w:r>
          </w:p>
        </w:tc>
        <w:tc>
          <w:tcPr>
            <w:tcW w:w="0" w:type="dxa"/>
            <w:vAlign w:val="bottom"/>
          </w:tcPr>
          <w:p>
            <w:pPr>
              <w:spacing w:after="0"/>
              <w:rPr>
                <w:sz w:val="1"/>
                <w:szCs w:val="1"/>
                <w:color w:val="auto"/>
              </w:rPr>
            </w:pPr>
          </w:p>
        </w:tc>
      </w:tr>
      <w:tr>
        <w:trPr>
          <w:trHeight w:val="36"/>
        </w:trPr>
        <w:tc>
          <w:tcPr>
            <w:tcW w:w="268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42545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540"/>
          </w:cols>
          <w:pgMar w:left="680" w:top="1018" w:right="679" w:bottom="144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0"/>
                <w:szCs w:val="10"/>
                <w:b w:val="1"/>
                <w:bCs w:val="1"/>
                <w:color w:val="auto"/>
              </w:rPr>
              <w:t>For the Years Ended December 31,</w:t>
            </w:r>
          </w:p>
        </w:tc>
        <w:tc>
          <w:tcPr>
            <w:tcW w:w="920" w:type="dxa"/>
            <w:vAlign w:val="bottom"/>
            <w:tcBorders>
              <w:bottom w:val="single" w:sz="8" w:color="auto"/>
            </w:tcBorders>
          </w:tcPr>
          <w:p>
            <w:pPr>
              <w:spacing w:after="0"/>
              <w:rPr>
                <w:sz w:val="11"/>
                <w:szCs w:val="11"/>
                <w:color w:val="auto"/>
              </w:rPr>
            </w:pPr>
          </w:p>
        </w:tc>
      </w:tr>
      <w:tr>
        <w:trPr>
          <w:trHeight w:val="118"/>
        </w:trPr>
        <w:tc>
          <w:tcPr>
            <w:tcW w:w="704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2019</w:t>
            </w:r>
          </w:p>
        </w:tc>
      </w:tr>
      <w:tr>
        <w:trPr>
          <w:trHeight w:val="116"/>
        </w:trPr>
        <w:tc>
          <w:tcPr>
            <w:tcW w:w="704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Cash flows from operating activities:</w:t>
            </w:r>
          </w:p>
        </w:tc>
        <w:tc>
          <w:tcPr>
            <w:tcW w:w="7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Net income (loss)</w:t>
            </w: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16,163</w:t>
            </w:r>
          </w:p>
        </w:tc>
        <w:tc>
          <w:tcPr>
            <w:tcW w:w="10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(245,462)</w:t>
            </w:r>
          </w:p>
        </w:tc>
        <w:tc>
          <w:tcPr>
            <w:tcW w:w="10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102,554</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Adjustments to reconcile net income (loss) to net cash provided by operating activities: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24"/>
        </w:trPr>
        <w:tc>
          <w:tcPr>
            <w:tcW w:w="7040" w:type="dxa"/>
            <w:vAlign w:val="bottom"/>
          </w:tcPr>
          <w:p>
            <w:pPr>
              <w:ind w:left="240"/>
              <w:spacing w:after="0"/>
              <w:rPr>
                <w:sz w:val="20"/>
                <w:szCs w:val="20"/>
                <w:color w:val="auto"/>
              </w:rPr>
            </w:pPr>
            <w:r>
              <w:rPr>
                <w:rFonts w:ascii="Arial" w:cs="Arial" w:eastAsia="Arial" w:hAnsi="Arial"/>
                <w:sz w:val="10"/>
                <w:szCs w:val="10"/>
                <w:color w:val="auto"/>
              </w:rPr>
              <w:t>Loss on extinguishment of debt</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1,007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351</w:t>
            </w:r>
          </w:p>
        </w:tc>
      </w:tr>
      <w:tr>
        <w:trPr>
          <w:trHeight w:val="128"/>
        </w:trPr>
        <w:tc>
          <w:tcPr>
            <w:tcW w:w="7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Loss on remeasurement of assets</w:t>
            </w:r>
          </w:p>
        </w:tc>
        <w:tc>
          <w:tcPr>
            <w:tcW w:w="7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163,298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040" w:type="dxa"/>
            <w:vAlign w:val="bottom"/>
          </w:tcPr>
          <w:p>
            <w:pPr>
              <w:ind w:left="240"/>
              <w:spacing w:after="0"/>
              <w:rPr>
                <w:sz w:val="20"/>
                <w:szCs w:val="20"/>
                <w:color w:val="auto"/>
              </w:rPr>
            </w:pPr>
            <w:r>
              <w:rPr>
                <w:rFonts w:ascii="Arial" w:cs="Arial" w:eastAsia="Arial" w:hAnsi="Arial"/>
                <w:sz w:val="10"/>
                <w:szCs w:val="10"/>
                <w:color w:val="auto"/>
              </w:rPr>
              <w:t>(Gain) loss on sale or write down of assets, net</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(75,740)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68,112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11,909</w:t>
            </w:r>
          </w:p>
        </w:tc>
      </w:tr>
      <w:tr>
        <w:trPr>
          <w:trHeight w:val="128"/>
        </w:trPr>
        <w:tc>
          <w:tcPr>
            <w:tcW w:w="7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Depreciation and amortization</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324,403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326,058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337,667</w:t>
            </w:r>
          </w:p>
        </w:tc>
      </w:tr>
      <w:tr>
        <w:trPr>
          <w:trHeight w:val="124"/>
        </w:trPr>
        <w:tc>
          <w:tcPr>
            <w:tcW w:w="7040" w:type="dxa"/>
            <w:vAlign w:val="bottom"/>
          </w:tcPr>
          <w:p>
            <w:pPr>
              <w:ind w:left="240"/>
              <w:spacing w:after="0"/>
              <w:rPr>
                <w:sz w:val="20"/>
                <w:szCs w:val="20"/>
                <w:color w:val="auto"/>
              </w:rPr>
            </w:pPr>
            <w:r>
              <w:rPr>
                <w:rFonts w:ascii="Arial" w:cs="Arial" w:eastAsia="Arial" w:hAnsi="Arial"/>
                <w:sz w:val="10"/>
                <w:szCs w:val="10"/>
                <w:color w:val="auto"/>
              </w:rPr>
              <w:t>Amortization of net premium on mortgage notes payable</w:t>
            </w:r>
          </w:p>
        </w:tc>
        <w:tc>
          <w:tcPr>
            <w:tcW w:w="7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(773)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(929)</w:t>
            </w:r>
          </w:p>
        </w:tc>
      </w:tr>
      <w:tr>
        <w:trPr>
          <w:trHeight w:val="128"/>
        </w:trPr>
        <w:tc>
          <w:tcPr>
            <w:tcW w:w="7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Amortization of share and unit-based plans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14,273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13,843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12,032</w:t>
            </w:r>
          </w:p>
        </w:tc>
      </w:tr>
      <w:tr>
        <w:trPr>
          <w:trHeight w:val="124"/>
        </w:trPr>
        <w:tc>
          <w:tcPr>
            <w:tcW w:w="7040" w:type="dxa"/>
            <w:vAlign w:val="bottom"/>
          </w:tcPr>
          <w:p>
            <w:pPr>
              <w:ind w:left="240"/>
              <w:spacing w:after="0"/>
              <w:rPr>
                <w:sz w:val="20"/>
                <w:szCs w:val="20"/>
                <w:color w:val="auto"/>
              </w:rPr>
            </w:pPr>
            <w:r>
              <w:rPr>
                <w:rFonts w:ascii="Arial" w:cs="Arial" w:eastAsia="Arial" w:hAnsi="Arial"/>
                <w:sz w:val="10"/>
                <w:szCs w:val="10"/>
                <w:color w:val="auto"/>
              </w:rPr>
              <w:t>Straight-line rent and amortization of above and below market leases</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(7,691)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(23,707)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(14,009)</w:t>
            </w:r>
          </w:p>
        </w:tc>
      </w:tr>
      <w:tr>
        <w:trPr>
          <w:trHeight w:val="128"/>
        </w:trPr>
        <w:tc>
          <w:tcPr>
            <w:tcW w:w="7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(Recovery of) provision for doubtful accounts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(6,390)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44,250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7,682</w:t>
            </w:r>
          </w:p>
        </w:tc>
      </w:tr>
      <w:tr>
        <w:trPr>
          <w:trHeight w:val="124"/>
        </w:trPr>
        <w:tc>
          <w:tcPr>
            <w:tcW w:w="7040" w:type="dxa"/>
            <w:vAlign w:val="bottom"/>
          </w:tcPr>
          <w:p>
            <w:pPr>
              <w:ind w:left="240"/>
              <w:spacing w:after="0"/>
              <w:rPr>
                <w:sz w:val="20"/>
                <w:szCs w:val="20"/>
                <w:color w:val="auto"/>
              </w:rPr>
            </w:pPr>
            <w:r>
              <w:rPr>
                <w:rFonts w:ascii="Arial" w:cs="Arial" w:eastAsia="Arial" w:hAnsi="Arial"/>
                <w:sz w:val="10"/>
                <w:szCs w:val="10"/>
                <w:color w:val="auto"/>
              </w:rPr>
              <w:t>Income tax expense (benefit)</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6,948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(447)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1,589</w:t>
            </w:r>
          </w:p>
        </w:tc>
      </w:tr>
      <w:tr>
        <w:trPr>
          <w:trHeight w:val="128"/>
        </w:trPr>
        <w:tc>
          <w:tcPr>
            <w:tcW w:w="7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Equity in (income) loss of unconsolidated joint ventures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(15,689)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27,038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(48,508)</w:t>
            </w:r>
          </w:p>
        </w:tc>
      </w:tr>
      <w:tr>
        <w:trPr>
          <w:trHeight w:val="124"/>
        </w:trPr>
        <w:tc>
          <w:tcPr>
            <w:tcW w:w="7040" w:type="dxa"/>
            <w:vAlign w:val="bottom"/>
          </w:tcPr>
          <w:p>
            <w:pPr>
              <w:ind w:left="240"/>
              <w:spacing w:after="0"/>
              <w:rPr>
                <w:sz w:val="20"/>
                <w:szCs w:val="20"/>
                <w:color w:val="auto"/>
              </w:rPr>
            </w:pPr>
            <w:r>
              <w:rPr>
                <w:rFonts w:ascii="Arial" w:cs="Arial" w:eastAsia="Arial" w:hAnsi="Arial"/>
                <w:sz w:val="10"/>
                <w:szCs w:val="10"/>
                <w:color w:val="auto"/>
              </w:rPr>
              <w:t>Change in fair value of financing arrangement obligation</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(15,390)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(139,522)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(76,640)</w:t>
            </w:r>
          </w:p>
        </w:tc>
      </w:tr>
      <w:tr>
        <w:trPr>
          <w:trHeight w:val="128"/>
        </w:trPr>
        <w:tc>
          <w:tcPr>
            <w:tcW w:w="7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Distributions of income from unconsolidated joint ventures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934</w:t>
            </w:r>
          </w:p>
        </w:tc>
      </w:tr>
      <w:tr>
        <w:trPr>
          <w:trHeight w:val="124"/>
        </w:trPr>
        <w:tc>
          <w:tcPr>
            <w:tcW w:w="7040" w:type="dxa"/>
            <w:vAlign w:val="bottom"/>
          </w:tcPr>
          <w:p>
            <w:pPr>
              <w:ind w:left="240"/>
              <w:spacing w:after="0"/>
              <w:rPr>
                <w:sz w:val="20"/>
                <w:szCs w:val="20"/>
                <w:color w:val="auto"/>
              </w:rPr>
            </w:pPr>
            <w:r>
              <w:rPr>
                <w:rFonts w:ascii="Arial" w:cs="Arial" w:eastAsia="Arial" w:hAnsi="Arial"/>
                <w:sz w:val="10"/>
                <w:szCs w:val="10"/>
                <w:color w:val="auto"/>
              </w:rPr>
              <w:t>Changes in assets and liabilities, net of acquisitions and dispositions:</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8"/>
        </w:trPr>
        <w:tc>
          <w:tcPr>
            <w:tcW w:w="70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Tenant and other receivables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62,421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(105,947)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(9,929)</w:t>
            </w:r>
          </w:p>
        </w:tc>
      </w:tr>
      <w:tr>
        <w:trPr>
          <w:trHeight w:val="124"/>
        </w:trPr>
        <w:tc>
          <w:tcPr>
            <w:tcW w:w="7040" w:type="dxa"/>
            <w:vAlign w:val="bottom"/>
          </w:tcPr>
          <w:p>
            <w:pPr>
              <w:ind w:left="360"/>
              <w:spacing w:after="0"/>
              <w:rPr>
                <w:sz w:val="20"/>
                <w:szCs w:val="20"/>
                <w:color w:val="auto"/>
              </w:rPr>
            </w:pPr>
            <w:r>
              <w:rPr>
                <w:rFonts w:ascii="Arial" w:cs="Arial" w:eastAsia="Arial" w:hAnsi="Arial"/>
                <w:sz w:val="10"/>
                <w:szCs w:val="10"/>
                <w:color w:val="auto"/>
              </w:rPr>
              <w:t>Other assets</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14,876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810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(9,553)</w:t>
            </w:r>
          </w:p>
        </w:tc>
      </w:tr>
      <w:tr>
        <w:trPr>
          <w:trHeight w:val="128"/>
        </w:trPr>
        <w:tc>
          <w:tcPr>
            <w:tcW w:w="70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Due to/from affiliates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3,385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13,894</w:t>
            </w:r>
          </w:p>
        </w:tc>
      </w:tr>
      <w:tr>
        <w:trPr>
          <w:trHeight w:val="124"/>
        </w:trPr>
        <w:tc>
          <w:tcPr>
            <w:tcW w:w="7040" w:type="dxa"/>
            <w:vAlign w:val="bottom"/>
          </w:tcPr>
          <w:p>
            <w:pPr>
              <w:ind w:left="360"/>
              <w:spacing w:after="0"/>
              <w:rPr>
                <w:sz w:val="20"/>
                <w:szCs w:val="20"/>
                <w:color w:val="auto"/>
              </w:rPr>
            </w:pPr>
            <w:r>
              <w:rPr>
                <w:rFonts w:ascii="Arial" w:cs="Arial" w:eastAsia="Arial" w:hAnsi="Arial"/>
                <w:sz w:val="10"/>
                <w:szCs w:val="10"/>
                <w:color w:val="auto"/>
              </w:rPr>
              <w:t>Accounts payable and accrued expenses</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(6,746)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15,479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(237)</w:t>
            </w:r>
          </w:p>
        </w:tc>
      </w:tr>
      <w:tr>
        <w:trPr>
          <w:trHeight w:val="128"/>
        </w:trPr>
        <w:tc>
          <w:tcPr>
            <w:tcW w:w="70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Other accrued liabilities</w:t>
            </w:r>
          </w:p>
        </w:tc>
        <w:tc>
          <w:tcPr>
            <w:tcW w:w="7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(28,064)</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(21,578)</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26,350</w:t>
            </w:r>
          </w:p>
        </w:tc>
      </w:tr>
      <w:tr>
        <w:trPr>
          <w:trHeight w:val="113"/>
        </w:trPr>
        <w:tc>
          <w:tcPr>
            <w:tcW w:w="7040" w:type="dxa"/>
            <w:vAlign w:val="bottom"/>
            <w:tcBorders>
              <w:bottom w:val="single" w:sz="8" w:color="CCEEFF"/>
            </w:tcBorders>
          </w:tcPr>
          <w:p>
            <w:pPr>
              <w:ind w:left="100"/>
              <w:spacing w:after="0" w:line="107" w:lineRule="exact"/>
              <w:rPr>
                <w:sz w:val="20"/>
                <w:szCs w:val="20"/>
                <w:color w:val="auto"/>
              </w:rPr>
            </w:pPr>
            <w:r>
              <w:rPr>
                <w:rFonts w:ascii="Arial" w:cs="Arial" w:eastAsia="Arial" w:hAnsi="Arial"/>
                <w:sz w:val="10"/>
                <w:szCs w:val="10"/>
                <w:color w:val="auto"/>
              </w:rPr>
              <w:t>Net cash provided by operating activities</w:t>
            </w:r>
          </w:p>
        </w:tc>
        <w:tc>
          <w:tcPr>
            <w:tcW w:w="7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99"/>
              </w:rPr>
              <w:t>286,368</w:t>
            </w: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124,837</w:t>
            </w: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355,157</w:t>
            </w:r>
          </w:p>
        </w:tc>
      </w:tr>
      <w:tr>
        <w:trPr>
          <w:trHeight w:val="117"/>
        </w:trPr>
        <w:tc>
          <w:tcPr>
            <w:tcW w:w="704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Cash flows from investing activities:</w:t>
            </w:r>
          </w:p>
        </w:tc>
        <w:tc>
          <w:tcPr>
            <w:tcW w:w="7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Development, redevelopment, expansion and renovation of properties</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(77,686)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(45,161)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(166,791)</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Property improvements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(30,521)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(23,143)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(21,114)</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Proceeds from collection of notes receivable</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1,300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68,819</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Deferred leasing costs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(2,720)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(3,212)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(11,906)</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Distributions from unconsolidated joint ventures</w:t>
            </w:r>
          </w:p>
        </w:tc>
        <w:tc>
          <w:tcPr>
            <w:tcW w:w="7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93,927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78,427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266,349</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Contributions to unconsolidated joint ventures</w:t>
            </w:r>
          </w:p>
        </w:tc>
        <w:tc>
          <w:tcPr>
            <w:tcW w:w="7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(86,846)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(132,466)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(252,903)</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Cash and restricted cash acquired from acquisition of previously unconsolidated joint venture</w:t>
            </w:r>
          </w:p>
        </w:tc>
        <w:tc>
          <w:tcPr>
            <w:tcW w:w="7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5,811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Loan to previously unconsolidated joint venture</w:t>
            </w:r>
          </w:p>
        </w:tc>
        <w:tc>
          <w:tcPr>
            <w:tcW w:w="7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Proceeds from sale of assets</w:t>
            </w: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9"/>
              </w:rPr>
              <w:t>337,514</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16,896</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5,520</w:t>
            </w:r>
          </w:p>
        </w:tc>
      </w:tr>
      <w:tr>
        <w:trPr>
          <w:trHeight w:val="115"/>
        </w:trPr>
        <w:tc>
          <w:tcPr>
            <w:tcW w:w="7040" w:type="dxa"/>
            <w:vAlign w:val="bottom"/>
            <w:shd w:val="clear" w:color="auto" w:fill="CCEEFF"/>
          </w:tcPr>
          <w:p>
            <w:pPr>
              <w:ind w:left="100"/>
              <w:spacing w:after="0" w:line="110" w:lineRule="exact"/>
              <w:rPr>
                <w:sz w:val="20"/>
                <w:szCs w:val="20"/>
                <w:color w:val="auto"/>
              </w:rPr>
            </w:pPr>
            <w:r>
              <w:rPr>
                <w:rFonts w:ascii="Arial" w:cs="Arial" w:eastAsia="Arial" w:hAnsi="Arial"/>
                <w:sz w:val="10"/>
                <w:szCs w:val="10"/>
                <w:color w:val="auto"/>
              </w:rPr>
              <w:t>Net cash provided by (used in) investing activities</w:t>
            </w:r>
          </w:p>
        </w:tc>
        <w:tc>
          <w:tcPr>
            <w:tcW w:w="78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9"/>
              </w:rPr>
              <w:t>234,968</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(202,848)</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(112,026)</w:t>
            </w: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42545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40"/>
          </w:cols>
          <w:pgMar w:left="520" w:top="739" w:right="539" w:bottom="1440" w:gutter="0" w:footer="0" w:header="0"/>
        </w:sectPr>
      </w:pPr>
    </w:p>
    <w:bookmarkStart w:id="71" w:name="page72"/>
    <w:bookmarkEnd w:id="71"/>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0"/>
                <w:szCs w:val="10"/>
                <w:b w:val="1"/>
                <w:bCs w:val="1"/>
                <w:color w:val="auto"/>
              </w:rPr>
              <w:t>For the Years Ended December 31,</w:t>
            </w:r>
          </w:p>
        </w:tc>
        <w:tc>
          <w:tcPr>
            <w:tcW w:w="920" w:type="dxa"/>
            <w:vAlign w:val="bottom"/>
            <w:tcBorders>
              <w:bottom w:val="single" w:sz="8" w:color="auto"/>
            </w:tcBorders>
          </w:tcPr>
          <w:p>
            <w:pPr>
              <w:spacing w:after="0"/>
              <w:rPr>
                <w:sz w:val="11"/>
                <w:szCs w:val="11"/>
                <w:color w:val="auto"/>
              </w:rPr>
            </w:pPr>
          </w:p>
        </w:tc>
      </w:tr>
      <w:tr>
        <w:trPr>
          <w:trHeight w:val="124"/>
        </w:trPr>
        <w:tc>
          <w:tcPr>
            <w:tcW w:w="70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2019</w:t>
            </w:r>
          </w:p>
        </w:tc>
      </w:tr>
      <w:tr>
        <w:trPr>
          <w:trHeight w:val="119"/>
        </w:trPr>
        <w:tc>
          <w:tcPr>
            <w:tcW w:w="704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Cash flows from financing activities:</w:t>
            </w:r>
          </w:p>
        </w:tc>
        <w:tc>
          <w:tcPr>
            <w:tcW w:w="7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Proceeds from mortgages, bank and other notes payable</w:t>
            </w:r>
          </w:p>
        </w:tc>
        <w:tc>
          <w:tcPr>
            <w:tcW w:w="7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520,000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660,000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1,796,000</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Payments on mortgages, bank and other notes payable</w:t>
            </w: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(2,020,395)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(33,972)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(1,567,089)</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Deferred financing costs</w:t>
            </w:r>
          </w:p>
        </w:tc>
        <w:tc>
          <w:tcPr>
            <w:tcW w:w="7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(22,872)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(4,320)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(7,759)</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Payment on finance arrangement obligation</w:t>
            </w: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(27,945)</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Proceeds from finance lease</w:t>
            </w:r>
          </w:p>
        </w:tc>
        <w:tc>
          <w:tcPr>
            <w:tcW w:w="7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4,115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Payments on finance leases</w:t>
            </w: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(1,472)</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Proceeds from share and unit-based plans</w:t>
            </w:r>
          </w:p>
        </w:tc>
        <w:tc>
          <w:tcPr>
            <w:tcW w:w="7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1,348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1,531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1,519</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Proceeds from stock offerings, net</w:t>
            </w: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830,241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040" w:type="dxa"/>
            <w:vAlign w:val="bottom"/>
          </w:tcPr>
          <w:p>
            <w:pPr>
              <w:ind w:left="100"/>
              <w:spacing w:after="0"/>
              <w:rPr>
                <w:sz w:val="20"/>
                <w:szCs w:val="20"/>
                <w:color w:val="auto"/>
              </w:rPr>
            </w:pPr>
            <w:r>
              <w:rPr>
                <w:rFonts w:ascii="Arial" w:cs="Arial" w:eastAsia="Arial" w:hAnsi="Arial"/>
                <w:sz w:val="10"/>
                <w:szCs w:val="10"/>
                <w:color w:val="auto"/>
              </w:rPr>
              <w:t>Redemption of noncontrolling interests</w:t>
            </w:r>
          </w:p>
        </w:tc>
        <w:tc>
          <w:tcPr>
            <w:tcW w:w="7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(178)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(67)</w:t>
            </w:r>
          </w:p>
        </w:tc>
      </w:tr>
      <w:tr>
        <w:trPr>
          <w:trHeight w:val="128"/>
        </w:trPr>
        <w:tc>
          <w:tcPr>
            <w:tcW w:w="7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Contributions from noncontrolling interests</w:t>
            </w: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3,131</w:t>
            </w:r>
          </w:p>
        </w:tc>
      </w:tr>
      <w:tr>
        <w:trPr>
          <w:trHeight w:val="124"/>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Dividends and distributions</w:t>
            </w:r>
          </w:p>
        </w:tc>
        <w:tc>
          <w:tcPr>
            <w:tcW w:w="7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(143,447)</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(179,862)</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(474,534)</w:t>
            </w:r>
          </w:p>
        </w:tc>
      </w:tr>
      <w:tr>
        <w:trPr>
          <w:trHeight w:val="117"/>
        </w:trPr>
        <w:tc>
          <w:tcPr>
            <w:tcW w:w="7040" w:type="dxa"/>
            <w:vAlign w:val="bottom"/>
            <w:shd w:val="clear" w:color="auto" w:fill="CCEEFF"/>
          </w:tcPr>
          <w:p>
            <w:pPr>
              <w:ind w:left="100"/>
              <w:spacing w:after="0" w:line="110" w:lineRule="exact"/>
              <w:rPr>
                <w:sz w:val="20"/>
                <w:szCs w:val="20"/>
                <w:color w:val="auto"/>
              </w:rPr>
            </w:pPr>
            <w:r>
              <w:rPr>
                <w:rFonts w:ascii="Arial" w:cs="Arial" w:eastAsia="Arial" w:hAnsi="Arial"/>
                <w:sz w:val="10"/>
                <w:szCs w:val="10"/>
                <w:color w:val="auto"/>
              </w:rPr>
              <w:t>Net cash (used in) provided by financing activities</w:t>
            </w:r>
          </w:p>
        </w:tc>
        <w:tc>
          <w:tcPr>
            <w:tcW w:w="7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(837,024)</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446,454</w:t>
            </w: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(278,216)</w:t>
            </w:r>
          </w:p>
        </w:tc>
      </w:tr>
      <w:tr>
        <w:trPr>
          <w:trHeight w:val="113"/>
        </w:trPr>
        <w:tc>
          <w:tcPr>
            <w:tcW w:w="7040" w:type="dxa"/>
            <w:vAlign w:val="bottom"/>
          </w:tcPr>
          <w:p>
            <w:pPr>
              <w:ind w:left="100"/>
              <w:spacing w:after="0" w:line="107" w:lineRule="exact"/>
              <w:rPr>
                <w:sz w:val="20"/>
                <w:szCs w:val="20"/>
                <w:color w:val="auto"/>
              </w:rPr>
            </w:pPr>
            <w:r>
              <w:rPr>
                <w:rFonts w:ascii="Arial" w:cs="Arial" w:eastAsia="Arial" w:hAnsi="Arial"/>
                <w:sz w:val="10"/>
                <w:szCs w:val="10"/>
                <w:color w:val="auto"/>
              </w:rPr>
              <w:t>Net (decrease) increase in cash, cash equivalents and restricted cash</w:t>
            </w:r>
          </w:p>
        </w:tc>
        <w:tc>
          <w:tcPr>
            <w:tcW w:w="7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(315,688)</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368,443</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(35,085)</w:t>
            </w:r>
          </w:p>
        </w:tc>
      </w:tr>
      <w:tr>
        <w:trPr>
          <w:trHeight w:val="128"/>
        </w:trPr>
        <w:tc>
          <w:tcPr>
            <w:tcW w:w="7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and cash equivalents and restricted cash at beginning of year</w:t>
            </w:r>
          </w:p>
        </w:tc>
        <w:tc>
          <w:tcPr>
            <w:tcW w:w="7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482,659</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114,216</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149,301</w:t>
            </w:r>
          </w:p>
        </w:tc>
      </w:tr>
      <w:tr>
        <w:trPr>
          <w:trHeight w:val="131"/>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and cash equivalents and restricted cash at end of year</w:t>
            </w: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166,971</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482,659</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114,216</w:t>
            </w:r>
          </w:p>
        </w:tc>
      </w:tr>
      <w:tr>
        <w:trPr>
          <w:trHeight w:val="126"/>
        </w:trPr>
        <w:tc>
          <w:tcPr>
            <w:tcW w:w="7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Supplemental cash flow information:</w:t>
            </w:r>
          </w:p>
        </w:tc>
        <w:tc>
          <w:tcPr>
            <w:tcW w:w="7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42"/>
        </w:trPr>
        <w:tc>
          <w:tcPr>
            <w:tcW w:w="7040" w:type="dxa"/>
            <w:vAlign w:val="bottom"/>
          </w:tcPr>
          <w:p>
            <w:pPr>
              <w:ind w:left="100"/>
              <w:spacing w:after="0"/>
              <w:rPr>
                <w:sz w:val="20"/>
                <w:szCs w:val="20"/>
                <w:color w:val="auto"/>
              </w:rPr>
            </w:pPr>
            <w:r>
              <w:rPr>
                <w:rFonts w:ascii="Arial" w:cs="Arial" w:eastAsia="Arial" w:hAnsi="Arial"/>
                <w:sz w:val="10"/>
                <w:szCs w:val="10"/>
                <w:color w:val="auto"/>
              </w:rPr>
              <w:t>Cash payments for interest, net of amounts capitalized</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204,221</w:t>
            </w:r>
          </w:p>
        </w:tc>
        <w:tc>
          <w:tcPr>
            <w:tcW w:w="380" w:type="dxa"/>
            <w:vAlign w:val="bottom"/>
            <w:gridSpan w:val="2"/>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199,147</w:t>
            </w:r>
          </w:p>
        </w:tc>
        <w:tc>
          <w:tcPr>
            <w:tcW w:w="10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210,026</w:t>
            </w:r>
          </w:p>
        </w:tc>
      </w:tr>
      <w:tr>
        <w:trPr>
          <w:trHeight w:val="126"/>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Non-cash investing and financing activities:</w:t>
            </w:r>
          </w:p>
        </w:tc>
        <w:tc>
          <w:tcPr>
            <w:tcW w:w="7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r>
      <w:tr>
        <w:trPr>
          <w:trHeight w:val="140"/>
        </w:trPr>
        <w:tc>
          <w:tcPr>
            <w:tcW w:w="7040" w:type="dxa"/>
            <w:vAlign w:val="bottom"/>
            <w:tcBorders>
              <w:bottom w:val="single" w:sz="8" w:color="CCEEFF"/>
            </w:tcBorders>
          </w:tcPr>
          <w:p>
            <w:pPr>
              <w:ind w:left="100"/>
              <w:spacing w:after="0" w:line="108" w:lineRule="exact"/>
              <w:rPr>
                <w:sz w:val="20"/>
                <w:szCs w:val="20"/>
                <w:color w:val="auto"/>
              </w:rPr>
            </w:pPr>
            <w:r>
              <w:rPr>
                <w:rFonts w:ascii="Arial" w:cs="Arial" w:eastAsia="Arial" w:hAnsi="Arial"/>
                <w:sz w:val="10"/>
                <w:szCs w:val="10"/>
                <w:color w:val="auto"/>
              </w:rPr>
              <w:t>Accrued development costs included in accounts payable and accrued expenses and other accrued liabilities</w:t>
            </w:r>
          </w:p>
        </w:tc>
        <w:tc>
          <w:tcPr>
            <w:tcW w:w="720" w:type="dxa"/>
            <w:vAlign w:val="bottom"/>
            <w:tcBorders>
              <w:bottom w:val="single" w:sz="8" w:color="auto"/>
            </w:tcBorders>
          </w:tcPr>
          <w:p>
            <w:pPr>
              <w:jc w:val="right"/>
              <w:ind w:right="612"/>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18,279</w:t>
            </w:r>
          </w:p>
        </w:tc>
        <w:tc>
          <w:tcPr>
            <w:tcW w:w="380" w:type="dxa"/>
            <w:vAlign w:val="bottom"/>
            <w:tcBorders>
              <w:bottom w:val="single" w:sz="8" w:color="CCEEFF"/>
            </w:tcBorders>
            <w:gridSpan w:val="2"/>
          </w:tcPr>
          <w:p>
            <w:pPr>
              <w:jc w:val="right"/>
              <w:ind w:right="172"/>
              <w:spacing w:after="0" w:line="108"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29,376</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32,452</w:t>
            </w:r>
          </w:p>
        </w:tc>
      </w:tr>
      <w:tr>
        <w:trPr>
          <w:trHeight w:val="135"/>
        </w:trPr>
        <w:tc>
          <w:tcPr>
            <w:tcW w:w="70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Conversion of Operating Partnership Units to common stock</w:t>
            </w:r>
          </w:p>
        </w:tc>
        <w:tc>
          <w:tcPr>
            <w:tcW w:w="72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48,807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12,086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1,005</w:t>
            </w:r>
          </w:p>
        </w:tc>
      </w:tr>
      <w:tr>
        <w:trPr>
          <w:trHeight w:val="136"/>
        </w:trPr>
        <w:tc>
          <w:tcPr>
            <w:tcW w:w="7040" w:type="dxa"/>
            <w:vAlign w:val="bottom"/>
            <w:tcBorders>
              <w:bottom w:val="single" w:sz="8" w:color="CCEEFF"/>
            </w:tcBorders>
          </w:tcPr>
          <w:p>
            <w:pPr>
              <w:ind w:left="100"/>
              <w:spacing w:after="0" w:line="104" w:lineRule="exact"/>
              <w:rPr>
                <w:sz w:val="20"/>
                <w:szCs w:val="20"/>
                <w:color w:val="auto"/>
              </w:rPr>
            </w:pPr>
            <w:r>
              <w:rPr>
                <w:rFonts w:ascii="Arial" w:cs="Arial" w:eastAsia="Arial" w:hAnsi="Arial"/>
                <w:sz w:val="10"/>
                <w:szCs w:val="10"/>
                <w:color w:val="auto"/>
              </w:rPr>
              <w:t>Receivable in connection with sale of joint venture property</w:t>
            </w:r>
          </w:p>
        </w:tc>
        <w:tc>
          <w:tcPr>
            <w:tcW w:w="720" w:type="dxa"/>
            <w:vAlign w:val="bottom"/>
            <w:tcBorders>
              <w:bottom w:val="single" w:sz="8" w:color="auto"/>
            </w:tcBorders>
          </w:tcPr>
          <w:p>
            <w:pPr>
              <w:jc w:val="right"/>
              <w:ind w:right="612"/>
              <w:spacing w:after="0" w:line="104"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0"/>
                <w:szCs w:val="10"/>
                <w:color w:val="auto"/>
              </w:rPr>
              <w:t>21,000</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jc w:val="right"/>
              <w:ind w:right="172"/>
              <w:spacing w:after="0" w:line="104" w:lineRule="exact"/>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line="104"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0"/>
                <w:szCs w:val="10"/>
                <w:color w:val="auto"/>
              </w:rPr>
              <w:t>—</w:t>
            </w:r>
          </w:p>
        </w:tc>
      </w:tr>
      <w:tr>
        <w:trPr>
          <w:trHeight w:val="124"/>
        </w:trPr>
        <w:tc>
          <w:tcPr>
            <w:tcW w:w="7040" w:type="dxa"/>
            <w:vAlign w:val="bottom"/>
            <w:tcBorders>
              <w:top w:val="single" w:sz="8" w:color="CCEEFF"/>
              <w:bottom w:val="single" w:sz="8" w:color="CCEEFF"/>
            </w:tcBorders>
            <w:shd w:val="clear" w:color="auto" w:fill="CCEEFF"/>
          </w:tcPr>
          <w:p>
            <w:pPr>
              <w:ind w:left="100"/>
              <w:spacing w:after="0" w:line="97" w:lineRule="exact"/>
              <w:rPr>
                <w:sz w:val="20"/>
                <w:szCs w:val="20"/>
                <w:color w:val="auto"/>
              </w:rPr>
            </w:pPr>
            <w:r>
              <w:rPr>
                <w:rFonts w:ascii="Arial" w:cs="Arial" w:eastAsia="Arial" w:hAnsi="Arial"/>
                <w:sz w:val="10"/>
                <w:szCs w:val="10"/>
                <w:color w:val="auto"/>
              </w:rPr>
              <w:t>Lease liabilities recorded in connection with right-of-use assets</w:t>
            </w:r>
          </w:p>
        </w:tc>
        <w:tc>
          <w:tcPr>
            <w:tcW w:w="720" w:type="dxa"/>
            <w:vAlign w:val="bottom"/>
            <w:tcBorders>
              <w:top w:val="single" w:sz="8" w:color="auto"/>
              <w:bottom w:val="single" w:sz="8" w:color="auto"/>
            </w:tcBorders>
            <w:shd w:val="clear" w:color="auto" w:fill="CCEEFF"/>
          </w:tcPr>
          <w:p>
            <w:pPr>
              <w:jc w:val="right"/>
              <w:ind w:right="612"/>
              <w:spacing w:after="0" w:line="97"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CCEEFF"/>
            </w:tcBorders>
            <w:shd w:val="clear" w:color="auto" w:fill="CCEEFF"/>
          </w:tcPr>
          <w:p>
            <w:pPr>
              <w:jc w:val="right"/>
              <w:ind w:right="172"/>
              <w:spacing w:after="0" w:line="97" w:lineRule="exact"/>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109,299</w:t>
            </w:r>
          </w:p>
        </w:tc>
      </w:tr>
      <w:tr>
        <w:trPr>
          <w:trHeight w:val="131"/>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Assets acquired from previously unconsolidated joint venture</w:t>
            </w:r>
          </w:p>
        </w:tc>
        <w:tc>
          <w:tcPr>
            <w:tcW w:w="7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395,844</w:t>
            </w:r>
          </w:p>
        </w:tc>
        <w:tc>
          <w:tcPr>
            <w:tcW w:w="10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71"/>
        </w:trPr>
        <w:tc>
          <w:tcPr>
            <w:tcW w:w="7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Liabilities assumed from previously unconsolidated joint venture</w:t>
            </w:r>
          </w:p>
        </w:tc>
        <w:tc>
          <w:tcPr>
            <w:tcW w:w="7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263,393</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15"/>
        </w:trPr>
        <w:tc>
          <w:tcPr>
            <w:tcW w:w="7040" w:type="dxa"/>
            <w:vAlign w:val="bottom"/>
          </w:tcPr>
          <w:p>
            <w:pPr>
              <w:ind w:left="100"/>
              <w:spacing w:after="0"/>
              <w:rPr>
                <w:sz w:val="20"/>
                <w:szCs w:val="20"/>
                <w:color w:val="auto"/>
              </w:rPr>
            </w:pPr>
            <w:r>
              <w:rPr>
                <w:rFonts w:ascii="Arial" w:cs="Arial" w:eastAsia="Arial" w:hAnsi="Arial"/>
                <w:sz w:val="10"/>
                <w:szCs w:val="10"/>
                <w:color w:val="auto"/>
              </w:rPr>
              <w:t>Property distribution from unconsolidated joint venture</w:t>
            </w:r>
          </w:p>
        </w:tc>
        <w:tc>
          <w:tcPr>
            <w:tcW w:w="7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19,300</w:t>
            </w:r>
          </w:p>
        </w:tc>
        <w:tc>
          <w:tcPr>
            <w:tcW w:w="10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20"/>
        </w:trPr>
        <w:tc>
          <w:tcPr>
            <w:tcW w:w="7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42545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40"/>
          </w:cols>
          <w:pgMar w:left="520" w:top="739" w:right="539" w:bottom="1440" w:gutter="0" w:footer="0" w:header="0"/>
        </w:sectPr>
      </w:pPr>
    </w:p>
    <w:bookmarkStart w:id="72" w:name="page73"/>
    <w:bookmarkEnd w:id="72"/>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MACERICH COMPANY</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Organization:</w:t>
      </w:r>
    </w:p>
    <w:p>
      <w:pPr>
        <w:spacing w:after="0" w:line="100" w:lineRule="exact"/>
        <w:rPr>
          <w:sz w:val="20"/>
          <w:szCs w:val="20"/>
          <w:color w:val="auto"/>
        </w:rPr>
      </w:pPr>
    </w:p>
    <w:p>
      <w:pPr>
        <w:ind w:left="8" w:right="120" w:firstLine="297"/>
        <w:spacing w:after="0" w:line="276" w:lineRule="auto"/>
        <w:rPr>
          <w:sz w:val="20"/>
          <w:szCs w:val="20"/>
          <w:color w:val="auto"/>
        </w:rPr>
      </w:pPr>
      <w:r>
        <w:rPr>
          <w:rFonts w:ascii="Arial" w:cs="Arial" w:eastAsia="Arial" w:hAnsi="Arial"/>
          <w:sz w:val="12"/>
          <w:szCs w:val="12"/>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70" w:lineRule="exact"/>
        <w:rPr>
          <w:sz w:val="20"/>
          <w:szCs w:val="20"/>
          <w:color w:val="auto"/>
        </w:rPr>
      </w:pPr>
    </w:p>
    <w:p>
      <w:pPr>
        <w:ind w:left="8" w:right="160" w:firstLine="297"/>
        <w:spacing w:after="0" w:line="323" w:lineRule="auto"/>
        <w:rPr>
          <w:sz w:val="20"/>
          <w:szCs w:val="20"/>
          <w:color w:val="auto"/>
        </w:rPr>
      </w:pPr>
      <w:r>
        <w:rPr>
          <w:rFonts w:ascii="Arial" w:cs="Arial" w:eastAsia="Arial" w:hAnsi="Arial"/>
          <w:sz w:val="11"/>
          <w:szCs w:val="11"/>
          <w:color w:val="auto"/>
        </w:rPr>
        <w:t>The Company commenced operations effective with the completion of its initial public offering on March 16, 1994. As of December 31, 2021,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47" w:lineRule="exact"/>
        <w:rPr>
          <w:sz w:val="20"/>
          <w:szCs w:val="20"/>
          <w:color w:val="auto"/>
        </w:rPr>
      </w:pPr>
    </w:p>
    <w:p>
      <w:pPr>
        <w:ind w:left="8" w:right="20" w:firstLine="297"/>
        <w:spacing w:after="0" w:line="289" w:lineRule="auto"/>
        <w:rPr>
          <w:sz w:val="20"/>
          <w:szCs w:val="20"/>
          <w:color w:val="auto"/>
        </w:rPr>
      </w:pPr>
      <w:r>
        <w:rPr>
          <w:rFonts w:ascii="Arial" w:cs="Arial" w:eastAsia="Arial" w:hAnsi="Arial"/>
          <w:sz w:val="11"/>
          <w:szCs w:val="11"/>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53" w:lineRule="exact"/>
        <w:rPr>
          <w:sz w:val="20"/>
          <w:szCs w:val="20"/>
          <w:color w:val="auto"/>
        </w:rPr>
      </w:pPr>
    </w:p>
    <w:p>
      <w:pPr>
        <w:ind w:left="288" w:right="8880" w:hanging="288"/>
        <w:spacing w:after="0" w:line="426" w:lineRule="auto"/>
        <w:tabs>
          <w:tab w:leader="none" w:pos="111"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Summary of Significant Accounting Policies: </w:t>
      </w:r>
      <w:r>
        <w:rPr>
          <w:rFonts w:ascii="Arial" w:cs="Arial" w:eastAsia="Arial" w:hAnsi="Arial"/>
          <w:sz w:val="12"/>
          <w:szCs w:val="12"/>
          <w:i w:val="1"/>
          <w:iCs w:val="1"/>
          <w:color w:val="auto"/>
        </w:rPr>
        <w:t>Basis of Presentation:</w:t>
      </w:r>
    </w:p>
    <w:p>
      <w:pPr>
        <w:ind w:left="288"/>
        <w:spacing w:after="0"/>
        <w:rPr>
          <w:sz w:val="20"/>
          <w:szCs w:val="20"/>
          <w:color w:val="auto"/>
        </w:rPr>
      </w:pPr>
      <w:r>
        <w:rPr>
          <w:rFonts w:ascii="Arial" w:cs="Arial" w:eastAsia="Arial" w:hAnsi="Arial"/>
          <w:sz w:val="12"/>
          <w:szCs w:val="12"/>
          <w:color w:val="auto"/>
        </w:rPr>
        <w:t>These consolidated financial statements have been prepared in accordance with generally accepted accounting principles ("GAAP") in the United States of America.</w:t>
      </w:r>
    </w:p>
    <w:p>
      <w:pPr>
        <w:spacing w:after="0" w:line="96" w:lineRule="exact"/>
        <w:rPr>
          <w:sz w:val="20"/>
          <w:szCs w:val="20"/>
          <w:color w:val="auto"/>
        </w:rPr>
      </w:pPr>
    </w:p>
    <w:p>
      <w:pPr>
        <w:ind w:left="8" w:right="60" w:firstLine="297"/>
        <w:spacing w:after="0" w:line="259" w:lineRule="auto"/>
        <w:rPr>
          <w:sz w:val="20"/>
          <w:szCs w:val="20"/>
          <w:color w:val="auto"/>
        </w:rPr>
      </w:pPr>
      <w:r>
        <w:rPr>
          <w:rFonts w:ascii="Arial" w:cs="Arial" w:eastAsia="Arial" w:hAnsi="Arial"/>
          <w:sz w:val="12"/>
          <w:szCs w:val="12"/>
          <w:color w:val="auto"/>
        </w:rPr>
        <w:t>The accompanying consolidated financial statements include the accounts of the Company. Investments in entities in which the Company has a controlling financial interest or entities that meet the definition of a variable interest entity ("VIE") in which the Company has, as a result of ownership, contractual or other financial interests, both the power to direct activities that most significantly impact the economic performance of the VIE and the obligation to absorb losses or the right to receive benefits that could potentially be significant to the VIE are consolidated; otherwise they are accounted for under the equity method of accounting and are reflected as investments in unconsolidated joint ventures.</w:t>
      </w:r>
    </w:p>
    <w:p>
      <w:pPr>
        <w:spacing w:after="0" w:line="79" w:lineRule="exact"/>
        <w:rPr>
          <w:sz w:val="20"/>
          <w:szCs w:val="20"/>
          <w:color w:val="auto"/>
        </w:rPr>
      </w:pPr>
    </w:p>
    <w:p>
      <w:pPr>
        <w:ind w:left="8" w:firstLine="297"/>
        <w:spacing w:after="0" w:line="276" w:lineRule="auto"/>
        <w:rPr>
          <w:sz w:val="20"/>
          <w:szCs w:val="20"/>
          <w:color w:val="auto"/>
        </w:rPr>
      </w:pPr>
      <w:r>
        <w:rPr>
          <w:rFonts w:ascii="Arial" w:cs="Arial" w:eastAsia="Arial" w:hAnsi="Arial"/>
          <w:sz w:val="12"/>
          <w:szCs w:val="12"/>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VIEs, including Fashion District Philadelphia and SanTan Village Regional Center.</w:t>
      </w:r>
    </w:p>
    <w:p>
      <w:pPr>
        <w:spacing w:after="0" w:line="7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Operating Partnership's VIEs included the following assets and liabilities: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4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December 31,</w:t>
            </w:r>
          </w:p>
        </w:tc>
        <w:tc>
          <w:tcPr>
            <w:tcW w:w="1000" w:type="dxa"/>
            <w:vAlign w:val="bottom"/>
            <w:tcBorders>
              <w:bottom w:val="single" w:sz="8" w:color="auto"/>
            </w:tcBorders>
          </w:tcPr>
          <w:p>
            <w:pPr>
              <w:spacing w:after="0"/>
              <w:rPr>
                <w:sz w:val="11"/>
                <w:szCs w:val="11"/>
                <w:color w:val="auto"/>
              </w:rPr>
            </w:pPr>
          </w:p>
        </w:tc>
      </w:tr>
      <w:tr>
        <w:trPr>
          <w:trHeight w:val="118"/>
        </w:trPr>
        <w:tc>
          <w:tcPr>
            <w:tcW w:w="744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r>
      <w:tr>
        <w:trPr>
          <w:trHeight w:val="143"/>
        </w:trPr>
        <w:tc>
          <w:tcPr>
            <w:tcW w:w="74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Assets:</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3"/>
        </w:trPr>
        <w:tc>
          <w:tcPr>
            <w:tcW w:w="7440" w:type="dxa"/>
            <w:vAlign w:val="bottom"/>
          </w:tcPr>
          <w:p>
            <w:pPr>
              <w:ind w:left="380"/>
              <w:spacing w:after="0"/>
              <w:rPr>
                <w:sz w:val="20"/>
                <w:szCs w:val="20"/>
                <w:color w:val="auto"/>
              </w:rPr>
            </w:pPr>
            <w:r>
              <w:rPr>
                <w:rFonts w:ascii="Arial" w:cs="Arial" w:eastAsia="Arial" w:hAnsi="Arial"/>
                <w:sz w:val="12"/>
                <w:szCs w:val="12"/>
                <w:color w:val="auto"/>
              </w:rPr>
              <w:t>Property, net</w:t>
            </w:r>
          </w:p>
        </w:tc>
        <w:tc>
          <w:tcPr>
            <w:tcW w:w="1120" w:type="dxa"/>
            <w:vAlign w:val="bottom"/>
          </w:tcPr>
          <w:p>
            <w:pPr>
              <w:jc w:val="right"/>
              <w:ind w:right="68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
              <w:spacing w:after="0"/>
              <w:rPr>
                <w:sz w:val="20"/>
                <w:szCs w:val="20"/>
                <w:color w:val="auto"/>
              </w:rPr>
            </w:pPr>
            <w:r>
              <w:rPr>
                <w:rFonts w:ascii="Arial" w:cs="Arial" w:eastAsia="Arial" w:hAnsi="Arial"/>
                <w:sz w:val="12"/>
                <w:szCs w:val="12"/>
                <w:color w:val="auto"/>
                <w:w w:val="96"/>
              </w:rPr>
              <w:t>458,964</w:t>
            </w:r>
          </w:p>
        </w:tc>
        <w:tc>
          <w:tcPr>
            <w:tcW w:w="80" w:type="dxa"/>
            <w:vAlign w:val="bottom"/>
          </w:tcPr>
          <w:p>
            <w:pPr>
              <w:spacing w:after="0"/>
              <w:rPr>
                <w:sz w:val="13"/>
                <w:szCs w:val="13"/>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551,062</w:t>
            </w:r>
          </w:p>
        </w:tc>
      </w:tr>
      <w:tr>
        <w:trPr>
          <w:trHeight w:val="153"/>
        </w:trPr>
        <w:tc>
          <w:tcPr>
            <w:tcW w:w="74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assets</w:t>
            </w:r>
          </w:p>
        </w:tc>
        <w:tc>
          <w:tcPr>
            <w:tcW w:w="1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83,685</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97,713</w:t>
            </w:r>
          </w:p>
        </w:tc>
      </w:tr>
      <w:tr>
        <w:trPr>
          <w:trHeight w:val="158"/>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assets</w:t>
            </w:r>
          </w:p>
        </w:tc>
        <w:tc>
          <w:tcPr>
            <w:tcW w:w="1120" w:type="dxa"/>
            <w:vAlign w:val="bottom"/>
            <w:tcBorders>
              <w:bottom w:val="single" w:sz="8" w:color="auto"/>
            </w:tcBorders>
          </w:tcPr>
          <w:p>
            <w:pPr>
              <w:jc w:val="right"/>
              <w:ind w:right="68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96"/>
              </w:rPr>
              <w:t>542,649</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648,775</w:t>
            </w:r>
          </w:p>
        </w:tc>
      </w:tr>
      <w:tr>
        <w:trPr>
          <w:trHeight w:val="153"/>
        </w:trPr>
        <w:tc>
          <w:tcPr>
            <w:tcW w:w="74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Liabilities:</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3"/>
        </w:trPr>
        <w:tc>
          <w:tcPr>
            <w:tcW w:w="7440" w:type="dxa"/>
            <w:vAlign w:val="bottom"/>
          </w:tcPr>
          <w:p>
            <w:pPr>
              <w:ind w:left="380"/>
              <w:spacing w:after="0"/>
              <w:rPr>
                <w:sz w:val="20"/>
                <w:szCs w:val="20"/>
                <w:color w:val="auto"/>
              </w:rPr>
            </w:pPr>
            <w:r>
              <w:rPr>
                <w:rFonts w:ascii="Arial" w:cs="Arial" w:eastAsia="Arial" w:hAnsi="Arial"/>
                <w:sz w:val="12"/>
                <w:szCs w:val="12"/>
                <w:color w:val="auto"/>
              </w:rPr>
              <w:t>Mortgage notes payable</w:t>
            </w:r>
          </w:p>
        </w:tc>
        <w:tc>
          <w:tcPr>
            <w:tcW w:w="1120" w:type="dxa"/>
            <w:vAlign w:val="bottom"/>
          </w:tcPr>
          <w:p>
            <w:pPr>
              <w:jc w:val="right"/>
              <w:ind w:right="68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
              <w:spacing w:after="0"/>
              <w:rPr>
                <w:sz w:val="20"/>
                <w:szCs w:val="20"/>
                <w:color w:val="auto"/>
              </w:rPr>
            </w:pPr>
            <w:r>
              <w:rPr>
                <w:rFonts w:ascii="Arial" w:cs="Arial" w:eastAsia="Arial" w:hAnsi="Arial"/>
                <w:sz w:val="12"/>
                <w:szCs w:val="12"/>
                <w:color w:val="auto"/>
                <w:w w:val="96"/>
              </w:rPr>
              <w:t>413,925</w:t>
            </w:r>
          </w:p>
        </w:tc>
        <w:tc>
          <w:tcPr>
            <w:tcW w:w="80" w:type="dxa"/>
            <w:vAlign w:val="bottom"/>
          </w:tcPr>
          <w:p>
            <w:pPr>
              <w:spacing w:after="0"/>
              <w:rPr>
                <w:sz w:val="13"/>
                <w:szCs w:val="13"/>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420,233</w:t>
            </w:r>
          </w:p>
        </w:tc>
      </w:tr>
      <w:tr>
        <w:trPr>
          <w:trHeight w:val="153"/>
        </w:trPr>
        <w:tc>
          <w:tcPr>
            <w:tcW w:w="74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liabilities</w:t>
            </w:r>
          </w:p>
        </w:tc>
        <w:tc>
          <w:tcPr>
            <w:tcW w:w="1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56,947</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81,266</w:t>
            </w:r>
          </w:p>
        </w:tc>
      </w:tr>
      <w:tr>
        <w:trPr>
          <w:trHeight w:val="142"/>
        </w:trPr>
        <w:tc>
          <w:tcPr>
            <w:tcW w:w="7440" w:type="dxa"/>
            <w:vAlign w:val="bottom"/>
          </w:tcPr>
          <w:p>
            <w:pPr>
              <w:ind w:left="380"/>
              <w:spacing w:after="0"/>
              <w:rPr>
                <w:sz w:val="20"/>
                <w:szCs w:val="20"/>
                <w:color w:val="auto"/>
              </w:rPr>
            </w:pPr>
            <w:r>
              <w:rPr>
                <w:rFonts w:ascii="Arial" w:cs="Arial" w:eastAsia="Arial" w:hAnsi="Arial"/>
                <w:sz w:val="12"/>
                <w:szCs w:val="12"/>
                <w:color w:val="auto"/>
              </w:rPr>
              <w:t>Total liabilities</w:t>
            </w:r>
          </w:p>
        </w:tc>
        <w:tc>
          <w:tcPr>
            <w:tcW w:w="1120" w:type="dxa"/>
            <w:vAlign w:val="bottom"/>
            <w:tcBorders>
              <w:bottom w:val="single" w:sz="8" w:color="auto"/>
            </w:tcBorders>
          </w:tcPr>
          <w:p>
            <w:pPr>
              <w:jc w:val="right"/>
              <w:ind w:right="68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96"/>
              </w:rPr>
              <w:t>470,872</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501,499</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All intercompany accounts and transactions have been eliminated in the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73" w:name="page74"/>
    <w:bookmarkEnd w:id="7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Basis of Presentation: (Continued)</w:t>
      </w:r>
    </w:p>
    <w:p>
      <w:pPr>
        <w:spacing w:after="0" w:line="105" w:lineRule="exact"/>
        <w:rPr>
          <w:sz w:val="20"/>
          <w:szCs w:val="20"/>
          <w:color w:val="auto"/>
        </w:rPr>
      </w:pPr>
    </w:p>
    <w:p>
      <w:pPr>
        <w:ind w:right="760" w:firstLine="297"/>
        <w:spacing w:after="0" w:line="276" w:lineRule="auto"/>
        <w:rPr>
          <w:sz w:val="20"/>
          <w:szCs w:val="20"/>
          <w:color w:val="auto"/>
        </w:rPr>
      </w:pPr>
      <w:r>
        <w:rPr>
          <w:rFonts w:ascii="Arial" w:cs="Arial" w:eastAsia="Arial" w:hAnsi="Arial"/>
          <w:sz w:val="12"/>
          <w:szCs w:val="12"/>
          <w:color w:val="auto"/>
        </w:rPr>
        <w:t>The following table presents a reconciliation of the beginning of period and end of period cash and cash equivalents and restricted cash reported on the Company's consolidated balance sheets to the totals shown on its consolidated statements of cash flows:</w:t>
      </w:r>
    </w:p>
    <w:p>
      <w:pPr>
        <w:spacing w:after="0" w:line="91" w:lineRule="exact"/>
        <w:rPr>
          <w:sz w:val="20"/>
          <w:szCs w:val="20"/>
          <w:color w:val="auto"/>
        </w:rPr>
      </w:pPr>
    </w:p>
    <w:tbl>
      <w:tblPr>
        <w:tblLayout w:type="fixed"/>
        <w:tblInd w:w="420" w:type="dxa"/>
        <w:tblCellMar>
          <w:top w:w="0" w:type="dxa"/>
          <w:left w:w="0" w:type="dxa"/>
          <w:bottom w:w="0" w:type="dxa"/>
          <w:right w:w="0" w:type="dxa"/>
        </w:tblCellMar>
      </w:tblPr>
      <w:tr>
        <w:trPr>
          <w:trHeight w:val="123"/>
        </w:trPr>
        <w:tc>
          <w:tcPr>
            <w:tcW w:w="576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2019</w:t>
            </w:r>
          </w:p>
        </w:tc>
      </w:tr>
      <w:tr>
        <w:trPr>
          <w:trHeight w:val="141"/>
        </w:trPr>
        <w:tc>
          <w:tcPr>
            <w:tcW w:w="5760" w:type="dxa"/>
            <w:vAlign w:val="bottom"/>
          </w:tcPr>
          <w:p>
            <w:pPr>
              <w:ind w:left="20"/>
              <w:spacing w:after="0"/>
              <w:rPr>
                <w:sz w:val="20"/>
                <w:szCs w:val="20"/>
                <w:color w:val="auto"/>
              </w:rPr>
            </w:pPr>
            <w:r>
              <w:rPr>
                <w:rFonts w:ascii="Arial" w:cs="Arial" w:eastAsia="Arial" w:hAnsi="Arial"/>
                <w:sz w:val="12"/>
                <w:szCs w:val="12"/>
                <w:b w:val="1"/>
                <w:bCs w:val="1"/>
                <w:color w:val="auto"/>
              </w:rPr>
              <w:t>Beginning of period</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3"/>
        </w:trPr>
        <w:tc>
          <w:tcPr>
            <w:tcW w:w="5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465,297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100,005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102,711</w:t>
            </w:r>
          </w:p>
        </w:tc>
      </w:tr>
      <w:tr>
        <w:trPr>
          <w:trHeight w:val="153"/>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Restricted cash</w:t>
            </w: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17,362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14,211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46,590</w:t>
            </w:r>
          </w:p>
        </w:tc>
      </w:tr>
      <w:tr>
        <w:trPr>
          <w:trHeight w:val="162"/>
        </w:trPr>
        <w:tc>
          <w:tcPr>
            <w:tcW w:w="5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Cash and cash equivalents and restricted cash</w:t>
            </w:r>
          </w:p>
        </w:tc>
        <w:tc>
          <w:tcPr>
            <w:tcW w:w="6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482,659</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114,216</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149,301</w:t>
            </w:r>
          </w:p>
        </w:tc>
      </w:tr>
      <w:tr>
        <w:trPr>
          <w:trHeight w:val="131"/>
        </w:trPr>
        <w:tc>
          <w:tcPr>
            <w:tcW w:w="5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End of period</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53"/>
        </w:trPr>
        <w:tc>
          <w:tcPr>
            <w:tcW w:w="5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112,454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465,297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100,005</w:t>
            </w:r>
          </w:p>
        </w:tc>
      </w:tr>
      <w:tr>
        <w:trPr>
          <w:trHeight w:val="153"/>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Restricted cash</w:t>
            </w: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54,517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17,362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14,211</w:t>
            </w:r>
          </w:p>
        </w:tc>
      </w:tr>
      <w:tr>
        <w:trPr>
          <w:trHeight w:val="158"/>
        </w:trPr>
        <w:tc>
          <w:tcPr>
            <w:tcW w:w="5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Cash and cash equivalents and restricted cash</w:t>
            </w:r>
          </w:p>
        </w:tc>
        <w:tc>
          <w:tcPr>
            <w:tcW w:w="6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166,971</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482,659</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114,216</w:t>
            </w:r>
          </w:p>
        </w:tc>
      </w:tr>
    </w:tbl>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COVID-19 Pandemic:</w:t>
      </w:r>
    </w:p>
    <w:p>
      <w:pPr>
        <w:spacing w:after="0" w:line="96" w:lineRule="exact"/>
        <w:rPr>
          <w:sz w:val="20"/>
          <w:szCs w:val="20"/>
          <w:color w:val="auto"/>
        </w:rPr>
      </w:pPr>
    </w:p>
    <w:p>
      <w:pPr>
        <w:ind w:right="280" w:firstLine="297"/>
        <w:spacing w:after="0" w:line="263" w:lineRule="auto"/>
        <w:rPr>
          <w:sz w:val="20"/>
          <w:szCs w:val="20"/>
          <w:color w:val="auto"/>
        </w:rPr>
      </w:pPr>
      <w:r>
        <w:rPr>
          <w:rFonts w:ascii="Arial" w:cs="Arial" w:eastAsia="Arial" w:hAnsi="Arial"/>
          <w:sz w:val="12"/>
          <w:szCs w:val="12"/>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and government-imposed capacity restrictions resulting from COVID-19 have been essentially eliminated across the Company’s markets.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COVID-19 Lease Accounting:</w:t>
      </w:r>
    </w:p>
    <w:p>
      <w:pPr>
        <w:spacing w:after="0" w:line="105" w:lineRule="exact"/>
        <w:rPr>
          <w:sz w:val="20"/>
          <w:szCs w:val="20"/>
          <w:color w:val="auto"/>
        </w:rPr>
      </w:pPr>
    </w:p>
    <w:p>
      <w:pPr>
        <w:ind w:right="80" w:firstLine="297"/>
        <w:spacing w:after="0" w:line="285" w:lineRule="auto"/>
        <w:rPr>
          <w:sz w:val="20"/>
          <w:szCs w:val="20"/>
          <w:color w:val="auto"/>
        </w:rPr>
      </w:pPr>
      <w:r>
        <w:rPr>
          <w:rFonts w:ascii="Arial" w:cs="Arial" w:eastAsia="Arial" w:hAnsi="Arial"/>
          <w:sz w:val="11"/>
          <w:szCs w:val="11"/>
          <w:color w:val="auto"/>
        </w:rPr>
        <w:t>In April 2020, the Financial Accounting Standards Board issued a Staff Question-and-Answer (“Q&amp;A”) to clarify whether lease concessions related to the effects of COVID-19 require the application of the lease modification guidance under Accounting Standards Codification ("ASC") 842, "Leases" ("the lease modification accounting framework").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 has elected to apply the lease modification accounting framework to lease concessions that include the abatement of rent in its consolidated financial statements for the twelve months ended December 31, 2021 and 2020.</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Cash and Cash Equivalents and Restricted Cash:</w:t>
      </w:r>
    </w:p>
    <w:p>
      <w:pPr>
        <w:spacing w:after="0" w:line="105"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loan and other agreements.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0" w:right="299" w:bottom="1440" w:gutter="0" w:footer="0" w:header="0"/>
        </w:sectPr>
      </w:pPr>
    </w:p>
    <w:bookmarkStart w:id="74" w:name="page75"/>
    <w:bookmarkEnd w:id="7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Revenues:</w:t>
      </w:r>
    </w:p>
    <w:p>
      <w:pPr>
        <w:spacing w:after="0" w:line="105" w:lineRule="exact"/>
        <w:rPr>
          <w:sz w:val="20"/>
          <w:szCs w:val="20"/>
          <w:color w:val="auto"/>
        </w:rPr>
      </w:pPr>
    </w:p>
    <w:p>
      <w:pPr>
        <w:ind w:firstLine="297"/>
        <w:spacing w:after="0" w:line="256" w:lineRule="auto"/>
        <w:rPr>
          <w:sz w:val="20"/>
          <w:szCs w:val="20"/>
          <w:color w:val="auto"/>
        </w:rPr>
      </w:pPr>
      <w:r>
        <w:rPr>
          <w:rFonts w:ascii="Arial" w:cs="Arial" w:eastAsia="Arial" w:hAnsi="Arial"/>
          <w:sz w:val="12"/>
          <w:szCs w:val="12"/>
          <w:color w:val="auto"/>
        </w:rPr>
        <w:t>Leasing revenue includes minimum rents, percentage rents, tenant recoveries and other leasing income. Minimum rental revenues are recognized on a straight-line basis over the terms of the related leases. The difference between the amount of rent due in a year and the amount recorded as rental income is referred to as the "straight-line rent adjustment." Minimum rents were increased by $5,873, $24,789 and $10,533 due to the straight-line rent adjustment during the years ended December 31, 2021, 2020 and 2019, respectively.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83" w:lineRule="exact"/>
        <w:rPr>
          <w:sz w:val="20"/>
          <w:szCs w:val="20"/>
          <w:color w:val="auto"/>
        </w:rPr>
      </w:pPr>
    </w:p>
    <w:p>
      <w:pPr>
        <w:ind w:right="340" w:firstLine="297"/>
        <w:spacing w:after="0" w:line="276" w:lineRule="auto"/>
        <w:rPr>
          <w:sz w:val="20"/>
          <w:szCs w:val="20"/>
          <w:color w:val="auto"/>
        </w:rPr>
      </w:pPr>
      <w:r>
        <w:rPr>
          <w:rFonts w:ascii="Arial" w:cs="Arial" w:eastAsia="Arial" w:hAnsi="Arial"/>
          <w:sz w:val="12"/>
          <w:szCs w:val="12"/>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4% of the gross monthly rental revenue of the properties managed.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Property:</w:t>
      </w:r>
    </w:p>
    <w:p>
      <w:pPr>
        <w:spacing w:after="0" w:line="105" w:lineRule="exact"/>
        <w:rPr>
          <w:sz w:val="20"/>
          <w:szCs w:val="20"/>
          <w:color w:val="auto"/>
        </w:rPr>
      </w:pPr>
    </w:p>
    <w:p>
      <w:pPr>
        <w:ind w:right="460" w:firstLine="297"/>
        <w:spacing w:after="0" w:line="276" w:lineRule="auto"/>
        <w:rPr>
          <w:sz w:val="20"/>
          <w:szCs w:val="20"/>
          <w:color w:val="auto"/>
        </w:rPr>
      </w:pPr>
      <w:r>
        <w:rPr>
          <w:rFonts w:ascii="Arial" w:cs="Arial" w:eastAsia="Arial" w:hAnsi="Arial"/>
          <w:sz w:val="12"/>
          <w:szCs w:val="12"/>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70"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7640" w:type="dxa"/>
            <w:vAlign w:val="bottom"/>
            <w:gridSpan w:val="2"/>
          </w:tcPr>
          <w:p>
            <w:pPr>
              <w:spacing w:after="0"/>
              <w:rPr>
                <w:sz w:val="20"/>
                <w:szCs w:val="20"/>
                <w:color w:val="auto"/>
              </w:rPr>
            </w:pPr>
            <w:r>
              <w:rPr>
                <w:rFonts w:ascii="Arial" w:cs="Arial" w:eastAsia="Arial" w:hAnsi="Arial"/>
                <w:sz w:val="12"/>
                <w:szCs w:val="12"/>
                <w:color w:val="auto"/>
              </w:rPr>
              <w:t>Property is recorded at cost and is depreciated using a straight-line method over the estimated useful lives of the assets as follows:</w:t>
            </w:r>
          </w:p>
        </w:tc>
        <w:tc>
          <w:tcPr>
            <w:tcW w:w="14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08"/>
        </w:trPr>
        <w:tc>
          <w:tcPr>
            <w:tcW w:w="88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53"/>
        </w:trPr>
        <w:tc>
          <w:tcPr>
            <w:tcW w:w="880" w:type="dxa"/>
            <w:vAlign w:val="bottom"/>
          </w:tcPr>
          <w:p>
            <w:pPr>
              <w:spacing w:after="0"/>
              <w:rPr>
                <w:sz w:val="13"/>
                <w:szCs w:val="13"/>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Buildings and improvements</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- 40 years</w:t>
            </w:r>
          </w:p>
        </w:tc>
      </w:tr>
      <w:tr>
        <w:trPr>
          <w:trHeight w:val="153"/>
        </w:trPr>
        <w:tc>
          <w:tcPr>
            <w:tcW w:w="880" w:type="dxa"/>
            <w:vAlign w:val="bottom"/>
          </w:tcPr>
          <w:p>
            <w:pPr>
              <w:spacing w:after="0"/>
              <w:rPr>
                <w:sz w:val="13"/>
                <w:szCs w:val="13"/>
                <w:color w:val="auto"/>
              </w:rPr>
            </w:pPr>
          </w:p>
        </w:tc>
        <w:tc>
          <w:tcPr>
            <w:tcW w:w="6760" w:type="dxa"/>
            <w:vAlign w:val="bottom"/>
          </w:tcPr>
          <w:p>
            <w:pPr>
              <w:ind w:left="300"/>
              <w:spacing w:after="0"/>
              <w:rPr>
                <w:sz w:val="20"/>
                <w:szCs w:val="20"/>
                <w:color w:val="auto"/>
              </w:rPr>
            </w:pPr>
            <w:r>
              <w:rPr>
                <w:rFonts w:ascii="Arial" w:cs="Arial" w:eastAsia="Arial" w:hAnsi="Arial"/>
                <w:sz w:val="12"/>
                <w:szCs w:val="12"/>
                <w:color w:val="auto"/>
              </w:rPr>
              <w:t>Tenant improvements</w:t>
            </w:r>
          </w:p>
        </w:tc>
        <w:tc>
          <w:tcPr>
            <w:tcW w:w="1460" w:type="dxa"/>
            <w:vAlign w:val="bottom"/>
          </w:tcPr>
          <w:p>
            <w:pPr>
              <w:jc w:val="right"/>
              <w:spacing w:after="0"/>
              <w:rPr>
                <w:sz w:val="20"/>
                <w:szCs w:val="20"/>
                <w:color w:val="auto"/>
              </w:rPr>
            </w:pPr>
            <w:r>
              <w:rPr>
                <w:rFonts w:ascii="Arial" w:cs="Arial" w:eastAsia="Arial" w:hAnsi="Arial"/>
                <w:sz w:val="12"/>
                <w:szCs w:val="12"/>
                <w:color w:val="auto"/>
              </w:rPr>
              <w:t>5</w:t>
            </w:r>
          </w:p>
        </w:tc>
        <w:tc>
          <w:tcPr>
            <w:tcW w:w="1060" w:type="dxa"/>
            <w:vAlign w:val="bottom"/>
          </w:tcPr>
          <w:p>
            <w:pPr>
              <w:ind w:left="20"/>
              <w:spacing w:after="0"/>
              <w:rPr>
                <w:sz w:val="20"/>
                <w:szCs w:val="20"/>
                <w:color w:val="auto"/>
              </w:rPr>
            </w:pPr>
            <w:r>
              <w:rPr>
                <w:rFonts w:ascii="Arial" w:cs="Arial" w:eastAsia="Arial" w:hAnsi="Arial"/>
                <w:sz w:val="12"/>
                <w:szCs w:val="12"/>
                <w:color w:val="auto"/>
              </w:rPr>
              <w:t>- 7 years</w:t>
            </w:r>
          </w:p>
        </w:tc>
      </w:tr>
      <w:tr>
        <w:trPr>
          <w:trHeight w:val="153"/>
        </w:trPr>
        <w:tc>
          <w:tcPr>
            <w:tcW w:w="880" w:type="dxa"/>
            <w:vAlign w:val="bottom"/>
          </w:tcPr>
          <w:p>
            <w:pPr>
              <w:spacing w:after="0"/>
              <w:rPr>
                <w:sz w:val="13"/>
                <w:szCs w:val="13"/>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Equipment and furnishings</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- 7 years</w:t>
            </w:r>
          </w:p>
        </w:tc>
      </w:tr>
    </w:tbl>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Capitalization of Costs:</w:t>
      </w:r>
    </w:p>
    <w:p>
      <w:pPr>
        <w:spacing w:after="0" w:line="105" w:lineRule="exact"/>
        <w:rPr>
          <w:sz w:val="20"/>
          <w:szCs w:val="20"/>
          <w:color w:val="auto"/>
        </w:rPr>
      </w:pPr>
    </w:p>
    <w:p>
      <w:pPr>
        <w:ind w:right="40" w:firstLine="297"/>
        <w:spacing w:after="0" w:line="281" w:lineRule="auto"/>
        <w:rPr>
          <w:sz w:val="20"/>
          <w:szCs w:val="20"/>
          <w:color w:val="auto"/>
        </w:rPr>
      </w:pPr>
      <w:r>
        <w:rPr>
          <w:rFonts w:ascii="Arial" w:cs="Arial" w:eastAsia="Arial" w:hAnsi="Arial"/>
          <w:sz w:val="11"/>
          <w:szCs w:val="11"/>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75" w:name="page76"/>
    <w:bookmarkEnd w:id="7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Investment in Unconsolidated Joint Ventures:</w:t>
      </w:r>
    </w:p>
    <w:p>
      <w:pPr>
        <w:spacing w:after="0" w:line="105" w:lineRule="exact"/>
        <w:rPr>
          <w:sz w:val="20"/>
          <w:szCs w:val="20"/>
          <w:color w:val="auto"/>
        </w:rPr>
      </w:pPr>
    </w:p>
    <w:p>
      <w:pPr>
        <w:ind w:right="60" w:firstLine="297"/>
        <w:spacing w:after="0" w:line="256" w:lineRule="auto"/>
        <w:rPr>
          <w:sz w:val="20"/>
          <w:szCs w:val="20"/>
          <w:color w:val="auto"/>
        </w:rPr>
      </w:pPr>
      <w:r>
        <w:rPr>
          <w:rFonts w:ascii="Arial" w:cs="Arial" w:eastAsia="Arial" w:hAnsi="Arial"/>
          <w:sz w:val="12"/>
          <w:szCs w:val="12"/>
          <w:color w:val="auto"/>
        </w:rPr>
        <w:t>The Company accounts for its investments in joint ventures using the equity method of accounting unless the Company has a controlling financial interest in the joint venture or the joint venture meets the definition of a variable interest entity in which the Company is the primary beneficiary through both its power to direct activities that most significantly impact the economic performance of the variable interest entity and the obligation to absorb losses or the right to receive benefits that could potentially be significant to the variable interest entity. Although the Company has a greater than 50% interest in Corte Madera Village, LLC, Macerich HHF Centers LLC, New River Associates LLC and Pacific Premier Retail LLC, the Company does not have controlling financial interests in these joint ventures due to the substantive participation rights of the outside partners in these joint ventures and, therefore, accounts for its investments in these joint ventures using the equity method of accounting.</w:t>
      </w:r>
    </w:p>
    <w:p>
      <w:pPr>
        <w:spacing w:after="0" w:line="83" w:lineRule="exact"/>
        <w:rPr>
          <w:sz w:val="20"/>
          <w:szCs w:val="20"/>
          <w:color w:val="auto"/>
        </w:rPr>
      </w:pPr>
    </w:p>
    <w:p>
      <w:pPr>
        <w:ind w:right="140" w:firstLine="297"/>
        <w:spacing w:after="0" w:line="259" w:lineRule="auto"/>
        <w:rPr>
          <w:sz w:val="20"/>
          <w:szCs w:val="20"/>
          <w:color w:val="auto"/>
        </w:rPr>
      </w:pPr>
      <w:r>
        <w:rPr>
          <w:rFonts w:ascii="Arial" w:cs="Arial" w:eastAsia="Arial" w:hAnsi="Arial"/>
          <w:sz w:val="12"/>
          <w:szCs w:val="12"/>
          <w:color w:val="auto"/>
        </w:rPr>
        <w:t>Equity method investments are initially recorded on the balance sheet at cost and are subsequently adjusted to reflect the Company’s proportionate share of net earnings and losses, distributions received, additional contributions and certain other adjustments, as appropriate. The Company separately reports investments in joint ventures when accumulated distributions have exceeded the Company’s investment, as distributions in excess of investments in unconsolidated joint ventures. The net investment of certain joint ventures is less than zero because of financing or operating distributions that are usually greater than net income, as net income includes charges for depreciation and amortization.</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Acquisitions:</w:t>
      </w:r>
    </w:p>
    <w:p>
      <w:pPr>
        <w:spacing w:after="0" w:line="105" w:lineRule="exact"/>
        <w:rPr>
          <w:sz w:val="20"/>
          <w:szCs w:val="20"/>
          <w:color w:val="auto"/>
        </w:rPr>
      </w:pPr>
    </w:p>
    <w:p>
      <w:pPr>
        <w:ind w:firstLine="297"/>
        <w:spacing w:after="0" w:line="277" w:lineRule="auto"/>
        <w:rPr>
          <w:sz w:val="20"/>
          <w:szCs w:val="20"/>
          <w:color w:val="auto"/>
        </w:rPr>
      </w:pPr>
      <w:r>
        <w:rPr>
          <w:rFonts w:ascii="Arial" w:cs="Arial" w:eastAsia="Arial" w:hAnsi="Arial"/>
          <w:sz w:val="11"/>
          <w:szCs w:val="11"/>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is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71" w:lineRule="exact"/>
        <w:rPr>
          <w:sz w:val="20"/>
          <w:szCs w:val="20"/>
          <w:color w:val="auto"/>
        </w:rPr>
      </w:pPr>
    </w:p>
    <w:p>
      <w:pPr>
        <w:ind w:right="40" w:firstLine="297"/>
        <w:spacing w:after="0" w:line="263" w:lineRule="auto"/>
        <w:rPr>
          <w:sz w:val="20"/>
          <w:szCs w:val="20"/>
          <w:color w:val="auto"/>
        </w:rPr>
      </w:pPr>
      <w:r>
        <w:rPr>
          <w:rFonts w:ascii="Arial" w:cs="Arial" w:eastAsia="Arial" w:hAnsi="Arial"/>
          <w:sz w:val="12"/>
          <w:szCs w:val="12"/>
          <w:color w:val="auto"/>
        </w:rPr>
        <w:t>Remeasurement gains and losses are recognized when the Company becomes the primary beneficiary of an existing equity method investment that is a VIE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0" w:right="299" w:bottom="1440" w:gutter="0" w:footer="0" w:header="0"/>
        </w:sectPr>
      </w:pPr>
    </w:p>
    <w:bookmarkStart w:id="76" w:name="page77"/>
    <w:bookmarkEnd w:id="7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Deferred Charges:</w:t>
      </w:r>
    </w:p>
    <w:p>
      <w:pPr>
        <w:spacing w:after="0" w:line="105"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Costs relating to obtaining tenant leases are deferred and amortized over the initial term of the lease agreement using the straight-line method. As these deferred leasing costs represent productive assets incurred in connection with the Company's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w:t>
      </w: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160" w:type="dxa"/>
            <w:vAlign w:val="bottom"/>
          </w:tcPr>
          <w:p>
            <w:pPr>
              <w:spacing w:after="0"/>
              <w:rPr>
                <w:sz w:val="20"/>
                <w:szCs w:val="20"/>
                <w:color w:val="auto"/>
              </w:rPr>
            </w:pPr>
            <w:r>
              <w:rPr>
                <w:rFonts w:ascii="Arial" w:cs="Arial" w:eastAsia="Arial" w:hAnsi="Arial"/>
                <w:sz w:val="12"/>
                <w:szCs w:val="12"/>
                <w:color w:val="auto"/>
              </w:rPr>
              <w:t>The range of the terms of the agreements is as follows:</w:t>
            </w:r>
          </w:p>
        </w:tc>
        <w:tc>
          <w:tcPr>
            <w:tcW w:w="3900" w:type="dxa"/>
            <w:vAlign w:val="bottom"/>
          </w:tcPr>
          <w:p>
            <w:pPr>
              <w:spacing w:after="0"/>
              <w:rPr>
                <w:sz w:val="14"/>
                <w:szCs w:val="14"/>
                <w:color w:val="auto"/>
              </w:rPr>
            </w:pPr>
          </w:p>
        </w:tc>
      </w:tr>
      <w:tr>
        <w:trPr>
          <w:trHeight w:val="162"/>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leasing costs</w:t>
            </w:r>
          </w:p>
        </w:tc>
        <w:tc>
          <w:tcPr>
            <w:tcW w:w="3900" w:type="dxa"/>
            <w:vAlign w:val="bottom"/>
            <w:shd w:val="clear" w:color="auto" w:fill="CCEEFF"/>
          </w:tcPr>
          <w:p>
            <w:pPr>
              <w:ind w:left="2520"/>
              <w:spacing w:after="0"/>
              <w:rPr>
                <w:sz w:val="20"/>
                <w:szCs w:val="20"/>
                <w:color w:val="auto"/>
              </w:rPr>
            </w:pPr>
            <w:r>
              <w:rPr>
                <w:rFonts w:ascii="Arial" w:cs="Arial" w:eastAsia="Arial" w:hAnsi="Arial"/>
                <w:sz w:val="12"/>
                <w:szCs w:val="12"/>
                <w:color w:val="auto"/>
              </w:rPr>
              <w:t>1 - 15 years</w:t>
            </w:r>
          </w:p>
        </w:tc>
      </w:tr>
      <w:tr>
        <w:trPr>
          <w:trHeight w:val="153"/>
        </w:trPr>
        <w:tc>
          <w:tcPr>
            <w:tcW w:w="5160" w:type="dxa"/>
            <w:vAlign w:val="bottom"/>
          </w:tcPr>
          <w:p>
            <w:pPr>
              <w:ind w:left="20"/>
              <w:spacing w:after="0"/>
              <w:rPr>
                <w:sz w:val="20"/>
                <w:szCs w:val="20"/>
                <w:color w:val="auto"/>
              </w:rPr>
            </w:pPr>
            <w:r>
              <w:rPr>
                <w:rFonts w:ascii="Arial" w:cs="Arial" w:eastAsia="Arial" w:hAnsi="Arial"/>
                <w:sz w:val="12"/>
                <w:szCs w:val="12"/>
                <w:color w:val="auto"/>
              </w:rPr>
              <w:t>Deferred financing costs</w:t>
            </w:r>
          </w:p>
        </w:tc>
        <w:tc>
          <w:tcPr>
            <w:tcW w:w="3900" w:type="dxa"/>
            <w:vAlign w:val="bottom"/>
          </w:tcPr>
          <w:p>
            <w:pPr>
              <w:ind w:left="2520"/>
              <w:spacing w:after="0"/>
              <w:rPr>
                <w:sz w:val="20"/>
                <w:szCs w:val="20"/>
                <w:color w:val="auto"/>
              </w:rPr>
            </w:pPr>
            <w:r>
              <w:rPr>
                <w:rFonts w:ascii="Arial" w:cs="Arial" w:eastAsia="Arial" w:hAnsi="Arial"/>
                <w:sz w:val="12"/>
                <w:szCs w:val="12"/>
                <w:color w:val="auto"/>
              </w:rPr>
              <w:t>1 - 15 years</w:t>
            </w:r>
          </w:p>
        </w:tc>
      </w:tr>
    </w:tbl>
    <w:p>
      <w:pPr>
        <w:spacing w:after="0" w:line="153"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Accounting for Impairment:</w:t>
      </w:r>
    </w:p>
    <w:p>
      <w:pPr>
        <w:spacing w:after="0" w:line="96" w:lineRule="exact"/>
        <w:rPr>
          <w:sz w:val="20"/>
          <w:szCs w:val="20"/>
          <w:color w:val="auto"/>
        </w:rPr>
      </w:pPr>
    </w:p>
    <w:p>
      <w:pPr>
        <w:ind w:firstLine="297"/>
        <w:spacing w:after="0" w:line="285" w:lineRule="auto"/>
        <w:rPr>
          <w:sz w:val="20"/>
          <w:szCs w:val="20"/>
          <w:color w:val="auto"/>
        </w:rPr>
      </w:pPr>
      <w:r>
        <w:rPr>
          <w:rFonts w:ascii="Arial" w:cs="Arial" w:eastAsia="Arial" w:hAnsi="Arial"/>
          <w:sz w:val="11"/>
          <w:szCs w:val="11"/>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Company reviews its investments in unconsolidated joint ventures for a series of operating losses and other factors that may indicate that a decrease in the value of its investments has occurred which is other-than-temporary.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investment in each unconsolidated joint venture is evaluated periodically, and as deemed necessary, for recoverability and valuation declines that are other-than-temporary.</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Share and Unit-based Compensation Plans:</w:t>
      </w:r>
    </w:p>
    <w:p>
      <w:pPr>
        <w:spacing w:after="0" w:line="96"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Derivative Instruments and Hedging Activities:</w:t>
      </w:r>
    </w:p>
    <w:p>
      <w:pPr>
        <w:spacing w:after="0" w:line="105"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Amounts paid (received) as a result of interest rate agreements are recorded as an addition (reduction) to (of) interest expense.</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If any derivative instrument used for risk management does not meet the hedging criteria, it is marked-to-market each period with the change in value included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77" w:name="page78"/>
    <w:bookmarkEnd w:id="7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Income Taxes:</w:t>
      </w:r>
    </w:p>
    <w:p>
      <w:pPr>
        <w:spacing w:after="0" w:line="105" w:lineRule="exact"/>
        <w:rPr>
          <w:sz w:val="20"/>
          <w:szCs w:val="20"/>
          <w:color w:val="auto"/>
        </w:rPr>
      </w:pPr>
    </w:p>
    <w:p>
      <w:pPr>
        <w:ind w:right="40" w:firstLine="297"/>
        <w:spacing w:after="0" w:line="256" w:lineRule="auto"/>
        <w:rPr>
          <w:sz w:val="20"/>
          <w:szCs w:val="20"/>
          <w:color w:val="auto"/>
        </w:rPr>
      </w:pPr>
      <w:r>
        <w:rPr>
          <w:rFonts w:ascii="Arial" w:cs="Arial" w:eastAsia="Arial" w:hAnsi="Arial"/>
          <w:sz w:val="12"/>
          <w:szCs w:val="12"/>
          <w:color w:val="auto"/>
        </w:rPr>
        <w:t>The Company elected to be taxed as a REIT under the Code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83" w:lineRule="exact"/>
        <w:rPr>
          <w:sz w:val="20"/>
          <w:szCs w:val="20"/>
          <w:color w:val="auto"/>
        </w:rPr>
      </w:pPr>
    </w:p>
    <w:p>
      <w:pPr>
        <w:ind w:right="180" w:firstLine="297"/>
        <w:spacing w:after="0" w:line="276" w:lineRule="auto"/>
        <w:rPr>
          <w:sz w:val="20"/>
          <w:szCs w:val="20"/>
          <w:color w:val="auto"/>
        </w:rPr>
      </w:pPr>
      <w:r>
        <w:rPr>
          <w:rFonts w:ascii="Arial" w:cs="Arial" w:eastAsia="Arial" w:hAnsi="Arial"/>
          <w:sz w:val="12"/>
          <w:szCs w:val="12"/>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61" w:lineRule="exact"/>
        <w:rPr>
          <w:sz w:val="20"/>
          <w:szCs w:val="20"/>
          <w:color w:val="auto"/>
        </w:rPr>
      </w:pPr>
    </w:p>
    <w:p>
      <w:pPr>
        <w:ind w:right="160" w:firstLine="297"/>
        <w:spacing w:after="0" w:line="326" w:lineRule="auto"/>
        <w:rPr>
          <w:sz w:val="20"/>
          <w:szCs w:val="20"/>
          <w:color w:val="auto"/>
        </w:rPr>
      </w:pPr>
      <w:r>
        <w:rPr>
          <w:rFonts w:ascii="Arial" w:cs="Arial" w:eastAsia="Arial" w:hAnsi="Arial"/>
          <w:sz w:val="10"/>
          <w:szCs w:val="10"/>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Segment Information:</w:t>
      </w:r>
    </w:p>
    <w:p>
      <w:pPr>
        <w:spacing w:after="0" w:line="105" w:lineRule="exact"/>
        <w:rPr>
          <w:sz w:val="20"/>
          <w:szCs w:val="20"/>
          <w:color w:val="auto"/>
        </w:rPr>
      </w:pPr>
    </w:p>
    <w:p>
      <w:pPr>
        <w:ind w:right="140" w:firstLine="297"/>
        <w:spacing w:after="0" w:line="276" w:lineRule="auto"/>
        <w:rPr>
          <w:sz w:val="20"/>
          <w:szCs w:val="20"/>
          <w:color w:val="auto"/>
        </w:rPr>
      </w:pPr>
      <w:r>
        <w:rPr>
          <w:rFonts w:ascii="Arial" w:cs="Arial" w:eastAsia="Arial" w:hAnsi="Arial"/>
          <w:sz w:val="12"/>
          <w:szCs w:val="12"/>
          <w:color w:val="auto"/>
        </w:rPr>
        <w:t>The Company currently operates in one business segment, the acquisition, ownership, development, redevelopment, management and leasing of regional and community shopping centers. Additionally, the Company operates in one geographic area, the United States.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Fair Value of Financial Instruments:</w:t>
      </w:r>
    </w:p>
    <w:p>
      <w:pPr>
        <w:spacing w:after="0" w:line="105" w:lineRule="exact"/>
        <w:rPr>
          <w:sz w:val="20"/>
          <w:szCs w:val="20"/>
          <w:color w:val="auto"/>
        </w:rPr>
      </w:pPr>
    </w:p>
    <w:p>
      <w:pPr>
        <w:ind w:right="120" w:firstLine="297"/>
        <w:spacing w:after="0" w:line="276" w:lineRule="auto"/>
        <w:rPr>
          <w:sz w:val="20"/>
          <w:szCs w:val="20"/>
          <w:color w:val="auto"/>
        </w:rPr>
      </w:pPr>
      <w:r>
        <w:rPr>
          <w:rFonts w:ascii="Arial" w:cs="Arial" w:eastAsia="Arial" w:hAnsi="Arial"/>
          <w:sz w:val="12"/>
          <w:szCs w:val="12"/>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70" w:lineRule="exact"/>
        <w:rPr>
          <w:sz w:val="20"/>
          <w:szCs w:val="20"/>
          <w:color w:val="auto"/>
        </w:rPr>
      </w:pPr>
    </w:p>
    <w:p>
      <w:pPr>
        <w:ind w:right="60" w:firstLine="297"/>
        <w:spacing w:after="0" w:line="255" w:lineRule="auto"/>
        <w:rPr>
          <w:sz w:val="20"/>
          <w:szCs w:val="20"/>
          <w:color w:val="auto"/>
        </w:rPr>
      </w:pPr>
      <w:r>
        <w:rPr>
          <w:rFonts w:ascii="Arial" w:cs="Arial" w:eastAsia="Arial" w:hAnsi="Arial"/>
          <w:sz w:val="12"/>
          <w:szCs w:val="12"/>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74" w:lineRule="exact"/>
        <w:rPr>
          <w:sz w:val="20"/>
          <w:szCs w:val="20"/>
          <w:color w:val="auto"/>
        </w:rPr>
      </w:pPr>
    </w:p>
    <w:p>
      <w:pPr>
        <w:ind w:right="220" w:firstLine="297"/>
        <w:spacing w:after="0" w:line="276" w:lineRule="auto"/>
        <w:rPr>
          <w:sz w:val="20"/>
          <w:szCs w:val="20"/>
          <w:color w:val="auto"/>
        </w:rPr>
      </w:pPr>
      <w:r>
        <w:rPr>
          <w:rFonts w:ascii="Arial" w:cs="Arial" w:eastAsia="Arial" w:hAnsi="Arial"/>
          <w:sz w:val="12"/>
          <w:szCs w:val="12"/>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70"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fair values of interest rate agreements are determined using the market standard methodology of discounting the future expected cash receipts that would occur if variable interest rates fell below or rose above the strike rate of the interest rate agreements. The variable interest rates used in the calculation of projected receipts on the interest rate agreements are based 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0" w:right="299" w:bottom="1440" w:gutter="0" w:footer="0" w:header="0"/>
        </w:sectPr>
      </w:pPr>
    </w:p>
    <w:bookmarkStart w:id="78" w:name="page79"/>
    <w:bookmarkEnd w:id="7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60" w:lineRule="exact"/>
        <w:rPr>
          <w:sz w:val="20"/>
          <w:szCs w:val="20"/>
          <w:color w:val="auto"/>
        </w:rPr>
      </w:pPr>
    </w:p>
    <w:p>
      <w:pPr>
        <w:jc w:val="both"/>
        <w:ind w:right="360"/>
        <w:spacing w:after="0" w:line="263" w:lineRule="auto"/>
        <w:rPr>
          <w:sz w:val="20"/>
          <w:szCs w:val="20"/>
          <w:color w:val="auto"/>
        </w:rPr>
      </w:pPr>
      <w:r>
        <w:rPr>
          <w:rFonts w:ascii="Arial" w:cs="Arial" w:eastAsia="Arial" w:hAnsi="Arial"/>
          <w:sz w:val="12"/>
          <w:szCs w:val="12"/>
          <w:color w:val="auto"/>
        </w:rPr>
        <w:t>an expectation of future 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77"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Concentration of Risk:</w:t>
      </w:r>
    </w:p>
    <w:p>
      <w:pPr>
        <w:spacing w:after="0" w:line="96" w:lineRule="exact"/>
        <w:rPr>
          <w:sz w:val="20"/>
          <w:szCs w:val="20"/>
          <w:color w:val="auto"/>
        </w:rPr>
      </w:pPr>
    </w:p>
    <w:p>
      <w:pPr>
        <w:ind w:right="320" w:firstLine="297"/>
        <w:spacing w:after="0" w:line="276" w:lineRule="auto"/>
        <w:rPr>
          <w:sz w:val="20"/>
          <w:szCs w:val="20"/>
          <w:color w:val="auto"/>
        </w:rPr>
      </w:pPr>
      <w:r>
        <w:rPr>
          <w:rFonts w:ascii="Arial" w:cs="Arial" w:eastAsia="Arial" w:hAnsi="Arial"/>
          <w:sz w:val="12"/>
          <w:szCs w:val="12"/>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 Center or tenant generated more than 10% of total revenues during the years ended December 31, 2021, 2020 or 2019.</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Management Estimates:</w:t>
      </w:r>
    </w:p>
    <w:p>
      <w:pPr>
        <w:spacing w:after="0" w:line="96"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Recent Accounting Pronouncements:</w:t>
      </w:r>
    </w:p>
    <w:p>
      <w:pPr>
        <w:spacing w:after="0" w:line="105" w:lineRule="exact"/>
        <w:rPr>
          <w:sz w:val="20"/>
          <w:szCs w:val="20"/>
          <w:color w:val="auto"/>
        </w:rPr>
      </w:pPr>
    </w:p>
    <w:p>
      <w:pPr>
        <w:ind w:right="100" w:firstLine="270"/>
        <w:spacing w:after="0" w:line="289" w:lineRule="auto"/>
        <w:rPr>
          <w:sz w:val="20"/>
          <w:szCs w:val="20"/>
          <w:color w:val="auto"/>
        </w:rPr>
      </w:pPr>
      <w:r>
        <w:rPr>
          <w:rFonts w:ascii="Arial" w:cs="Arial" w:eastAsia="Arial" w:hAnsi="Arial"/>
          <w:sz w:val="11"/>
          <w:szCs w:val="11"/>
          <w:color w:val="auto"/>
        </w:rPr>
        <w:t>On January 1, 2019, the Company adopted Accounting Standards Codification ("ASC") 842, "Leases", under the modified retrospective method. The new standard amended the principles for the recognition, measurement, presentation and disclosure of leases for both parties to a contract (i.e. lessees and lessors). In connection with the adoption of the new lease standard, the Company elected to use the transition packages of practical expedients for implementation provided by the FASB, which included (i) relief from re-assessing whether an expired or existing contract meets the definition of a lease, (ii) relief from re-assessing the classification of expired or existing leases at the adoption date, (iii) allowing previously capitalized initial direct leasing costs to continue to be amortized, and (iv) application of the standard as of the adoption date rather than to all periods presented.</w:t>
      </w:r>
    </w:p>
    <w:p>
      <w:pPr>
        <w:spacing w:after="0" w:line="57"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The new standard requires the Company to reduce leasing revenue for credit losses associated with lease receivables. In addition, straight-line rent receivables are written off when the Company believes there is uncertainty regarding a tenant's ability to complete the term of the lease. As a result, the Company recognized a cumulative effect adjustment of $2,203 upon adoption for the write off of straight-line rent receivables of tenants that were in litigation or bankruptcy. The standard also requires that the provision for bad debts relating to leases be presented as a reduction of leasing revenue.</w:t>
      </w:r>
    </w:p>
    <w:p>
      <w:pPr>
        <w:spacing w:after="0" w:line="77" w:lineRule="exact"/>
        <w:rPr>
          <w:sz w:val="20"/>
          <w:szCs w:val="20"/>
          <w:color w:val="auto"/>
        </w:rPr>
      </w:pPr>
    </w:p>
    <w:p>
      <w:pPr>
        <w:ind w:right="80" w:firstLine="297"/>
        <w:spacing w:after="0" w:line="259" w:lineRule="auto"/>
        <w:rPr>
          <w:sz w:val="20"/>
          <w:szCs w:val="20"/>
          <w:color w:val="auto"/>
        </w:rPr>
      </w:pPr>
      <w:r>
        <w:rPr>
          <w:rFonts w:ascii="Arial" w:cs="Arial" w:eastAsia="Arial" w:hAnsi="Arial"/>
          <w:sz w:val="12"/>
          <w:szCs w:val="12"/>
          <w:color w:val="auto"/>
        </w:rPr>
        <w:t>The standard requires that lessors expense, on an as-incurred basis, certain initial direct costs that are not incremental in negotiating a lease. Initial direct costs include the salaries and related costs for employees directly working on leasing activities. Prior to January 1, 2019, these costs were capitalizable and therefore the new lease standard resulted in certain of these costs being expensed as incurred. Upon the adoption of the new standard, the Company elected the practical expedient to not separate non-lease components, most significantly certain common area maintenance recoveries, from the associated lease components, resulting in the Company presenting all revenues associated with leases as leasing revenue on its consolidated statements of operations.</w:t>
      </w:r>
    </w:p>
    <w:p>
      <w:pPr>
        <w:spacing w:after="0" w:line="79" w:lineRule="exact"/>
        <w:rPr>
          <w:sz w:val="20"/>
          <w:szCs w:val="20"/>
          <w:color w:val="auto"/>
        </w:rPr>
      </w:pPr>
    </w:p>
    <w:p>
      <w:pPr>
        <w:ind w:right="60" w:firstLine="270"/>
        <w:spacing w:after="0" w:line="263" w:lineRule="auto"/>
        <w:rPr>
          <w:sz w:val="20"/>
          <w:szCs w:val="20"/>
          <w:color w:val="auto"/>
        </w:rPr>
      </w:pPr>
      <w:r>
        <w:rPr>
          <w:rFonts w:ascii="Arial" w:cs="Arial" w:eastAsia="Arial" w:hAnsi="Arial"/>
          <w:sz w:val="12"/>
          <w:szCs w:val="12"/>
          <w:color w:val="auto"/>
        </w:rPr>
        <w:t>In August 2017, the FASB issued ASU 2017-12, “Targeted Improvements to Accounting for Hedging Activities,” which aims to (i) improve the transparency and understandability of information conveyed to financial statement users about an entity’s risk management activities by better aligning the entity’s financial reporting for hedging relationships with those risk management activities and (ii) reduce the complexity of and simplify the application of hedge accounting by preparers. The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79" w:name="page80"/>
    <w:bookmarkEnd w:id="7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standard was effective for the Company beginning January 1, 2019. The Company's adoption of this standard did not have a significant impact on its consolidated financial statements.</w:t>
      </w:r>
    </w:p>
    <w:p>
      <w:pPr>
        <w:spacing w:after="0" w:line="105" w:lineRule="exact"/>
        <w:rPr>
          <w:sz w:val="20"/>
          <w:szCs w:val="20"/>
          <w:color w:val="auto"/>
        </w:rPr>
      </w:pPr>
    </w:p>
    <w:p>
      <w:pPr>
        <w:ind w:firstLine="270"/>
        <w:spacing w:after="0" w:line="285" w:lineRule="auto"/>
        <w:rPr>
          <w:sz w:val="20"/>
          <w:szCs w:val="20"/>
          <w:color w:val="auto"/>
        </w:rPr>
      </w:pPr>
      <w:r>
        <w:rPr>
          <w:rFonts w:ascii="Arial" w:cs="Arial" w:eastAsia="Arial" w:hAnsi="Arial"/>
          <w:sz w:val="11"/>
          <w:szCs w:val="11"/>
          <w:color w:val="auto"/>
        </w:rPr>
        <w:t>In March 2020, the FASB issued guidance codified in ASU 2020-04, “Reference Rate Reform (Topic 848): Facilitation of the Effects of Reference Rate Reform on Financial Reporting,” which provides optional expedients for a limited period of time to ease the potential burden in accounting for (or recognizing the effects of) reference rate reform on financial reporting. ASU 2020-04 provides optional expedients and exceptions for applying GAAP to contracts, hedging relationships, and other transactions affected by reference rate reform if certain criteria are met. The standard is effective for the Company as of March 12, 2020 through December 31, 2022. An entity can elect to apply the amendments as of any date from the beginning of an interim period that includes or is subsequent to March 12, 2020, or prospectively from a date within an interim period that includes or is subsequent to March 12, 2020, up to that date that the financial statements are available to be issued. The Company is currently evaluating the optional expedients and exceptions provided by ASU 2020-04 to determine the impact on its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Earnings Per Share ("EPS"):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reconciles the numerator and denominator used in the computation of earnings per share for the years ended December 31 (shares in thousands):</w:t>
      </w:r>
    </w:p>
    <w:p>
      <w:pPr>
        <w:spacing w:after="0" w:line="126"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57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2019</w:t>
            </w:r>
          </w:p>
        </w:tc>
      </w:tr>
      <w:tr>
        <w:trPr>
          <w:trHeight w:val="146"/>
        </w:trPr>
        <w:tc>
          <w:tcPr>
            <w:tcW w:w="5760" w:type="dxa"/>
            <w:vAlign w:val="bottom"/>
            <w:shd w:val="clear" w:color="auto" w:fill="CCEEFF"/>
          </w:tcPr>
          <w:p>
            <w:pPr>
              <w:ind w:left="280"/>
              <w:spacing w:after="0"/>
              <w:rPr>
                <w:sz w:val="20"/>
                <w:szCs w:val="20"/>
                <w:color w:val="auto"/>
              </w:rPr>
            </w:pPr>
            <w:r>
              <w:rPr>
                <w:rFonts w:ascii="Arial" w:cs="Arial" w:eastAsia="Arial" w:hAnsi="Arial"/>
                <w:sz w:val="12"/>
                <w:szCs w:val="12"/>
                <w:b w:val="1"/>
                <w:bCs w:val="1"/>
                <w:color w:val="auto"/>
              </w:rPr>
              <w:t>Numerator</w:t>
            </w:r>
          </w:p>
        </w:tc>
        <w:tc>
          <w:tcPr>
            <w:tcW w:w="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3"/>
        </w:trPr>
        <w:tc>
          <w:tcPr>
            <w:tcW w:w="5760" w:type="dxa"/>
            <w:vAlign w:val="bottom"/>
          </w:tcPr>
          <w:p>
            <w:pPr>
              <w:ind w:left="280"/>
              <w:spacing w:after="0"/>
              <w:rPr>
                <w:sz w:val="20"/>
                <w:szCs w:val="20"/>
                <w:color w:val="auto"/>
              </w:rPr>
            </w:pPr>
            <w:r>
              <w:rPr>
                <w:rFonts w:ascii="Arial" w:cs="Arial" w:eastAsia="Arial" w:hAnsi="Arial"/>
                <w:sz w:val="12"/>
                <w:szCs w:val="12"/>
                <w:color w:val="auto"/>
              </w:rPr>
              <w:t>Net income (loss)</w:t>
            </w:r>
          </w:p>
        </w:tc>
        <w:tc>
          <w:tcPr>
            <w:tcW w:w="940" w:type="dxa"/>
            <w:vAlign w:val="bottom"/>
          </w:tcPr>
          <w:p>
            <w:pPr>
              <w:jc w:val="right"/>
              <w:ind w:right="543"/>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16,163</w:t>
            </w:r>
          </w:p>
        </w:tc>
        <w:tc>
          <w:tcPr>
            <w:tcW w:w="100" w:type="dxa"/>
            <w:vAlign w:val="bottom"/>
          </w:tcPr>
          <w:p>
            <w:pPr>
              <w:spacing w:after="0"/>
              <w:rPr>
                <w:sz w:val="13"/>
                <w:szCs w:val="13"/>
                <w:color w:val="auto"/>
              </w:rPr>
            </w:pPr>
          </w:p>
        </w:tc>
        <w:tc>
          <w:tcPr>
            <w:tcW w:w="5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(245,462)</w:t>
            </w:r>
          </w:p>
        </w:tc>
        <w:tc>
          <w:tcPr>
            <w:tcW w:w="100" w:type="dxa"/>
            <w:vAlign w:val="bottom"/>
          </w:tcPr>
          <w:p>
            <w:pPr>
              <w:spacing w:after="0"/>
              <w:rPr>
                <w:sz w:val="13"/>
                <w:szCs w:val="13"/>
                <w:color w:val="auto"/>
              </w:rPr>
            </w:pPr>
          </w:p>
        </w:tc>
        <w:tc>
          <w:tcPr>
            <w:tcW w:w="5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102,554</w:t>
            </w:r>
          </w:p>
        </w:tc>
      </w:tr>
      <w:tr>
        <w:trPr>
          <w:trHeight w:val="153"/>
        </w:trPr>
        <w:tc>
          <w:tcPr>
            <w:tcW w:w="5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Less: net income (loss) attributable to noncontrolling interests</w:t>
            </w:r>
          </w:p>
        </w:tc>
        <w:tc>
          <w:tcPr>
            <w:tcW w:w="9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1,900</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(15,259)</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5,734</w:t>
            </w:r>
          </w:p>
        </w:tc>
      </w:tr>
      <w:tr>
        <w:trPr>
          <w:trHeight w:val="142"/>
        </w:trPr>
        <w:tc>
          <w:tcPr>
            <w:tcW w:w="5760" w:type="dxa"/>
            <w:vAlign w:val="bottom"/>
          </w:tcPr>
          <w:p>
            <w:pPr>
              <w:ind w:left="280"/>
              <w:spacing w:after="0"/>
              <w:rPr>
                <w:sz w:val="20"/>
                <w:szCs w:val="20"/>
                <w:color w:val="auto"/>
              </w:rPr>
            </w:pPr>
            <w:r>
              <w:rPr>
                <w:rFonts w:ascii="Arial" w:cs="Arial" w:eastAsia="Arial" w:hAnsi="Arial"/>
                <w:sz w:val="12"/>
                <w:szCs w:val="12"/>
                <w:color w:val="auto"/>
              </w:rPr>
              <w:t>Net income (loss) attributable to the Company</w:t>
            </w:r>
          </w:p>
        </w:tc>
        <w:tc>
          <w:tcPr>
            <w:tcW w:w="9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14,263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(230,203)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96,820</w:t>
            </w:r>
          </w:p>
        </w:tc>
      </w:tr>
      <w:tr>
        <w:trPr>
          <w:trHeight w:val="153"/>
        </w:trPr>
        <w:tc>
          <w:tcPr>
            <w:tcW w:w="5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Allocation of earnings to participating securities</w:t>
            </w:r>
          </w:p>
        </w:tc>
        <w:tc>
          <w:tcPr>
            <w:tcW w:w="9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(1,048)</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(1,190)</w:t>
            </w:r>
          </w:p>
        </w:tc>
      </w:tr>
      <w:tr>
        <w:trPr>
          <w:trHeight w:val="158"/>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Numerator for basic and diluted EPS—net income (loss) attributable to common stockholders</w:t>
            </w:r>
          </w:p>
        </w:tc>
        <w:tc>
          <w:tcPr>
            <w:tcW w:w="940" w:type="dxa"/>
            <w:vAlign w:val="bottom"/>
            <w:tcBorders>
              <w:bottom w:val="single" w:sz="8" w:color="auto"/>
            </w:tcBorders>
          </w:tcPr>
          <w:p>
            <w:pPr>
              <w:jc w:val="right"/>
              <w:ind w:right="543"/>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13,410</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(231,251)</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95,630</w:t>
            </w:r>
          </w:p>
        </w:tc>
      </w:tr>
      <w:tr>
        <w:trPr>
          <w:trHeight w:val="153"/>
        </w:trPr>
        <w:tc>
          <w:tcPr>
            <w:tcW w:w="5760" w:type="dxa"/>
            <w:vAlign w:val="bottom"/>
            <w:shd w:val="clear" w:color="auto" w:fill="CCEEFF"/>
          </w:tcPr>
          <w:p>
            <w:pPr>
              <w:ind w:left="280"/>
              <w:spacing w:after="0"/>
              <w:rPr>
                <w:sz w:val="20"/>
                <w:szCs w:val="20"/>
                <w:color w:val="auto"/>
              </w:rPr>
            </w:pPr>
            <w:r>
              <w:rPr>
                <w:rFonts w:ascii="Arial" w:cs="Arial" w:eastAsia="Arial" w:hAnsi="Arial"/>
                <w:sz w:val="12"/>
                <w:szCs w:val="12"/>
                <w:b w:val="1"/>
                <w:bCs w:val="1"/>
                <w:color w:val="auto"/>
              </w:rPr>
              <w:t>Denominator</w:t>
            </w: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9"/>
        </w:trPr>
        <w:tc>
          <w:tcPr>
            <w:tcW w:w="57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Denominator for basic and diluted EPS—weighted average number of common shares outstanding(1)</w:t>
            </w: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198,070</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146,232</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141,340</w:t>
            </w:r>
          </w:p>
        </w:tc>
      </w:tr>
      <w:tr>
        <w:trPr>
          <w:trHeight w:val="153"/>
        </w:trPr>
        <w:tc>
          <w:tcPr>
            <w:tcW w:w="5760" w:type="dxa"/>
            <w:vAlign w:val="bottom"/>
            <w:shd w:val="clear" w:color="auto" w:fill="CCEEFF"/>
          </w:tcPr>
          <w:p>
            <w:pPr>
              <w:ind w:left="280"/>
              <w:spacing w:after="0"/>
              <w:rPr>
                <w:sz w:val="20"/>
                <w:szCs w:val="20"/>
                <w:color w:val="auto"/>
              </w:rPr>
            </w:pPr>
            <w:r>
              <w:rPr>
                <w:rFonts w:ascii="Arial" w:cs="Arial" w:eastAsia="Arial" w:hAnsi="Arial"/>
                <w:sz w:val="12"/>
                <w:szCs w:val="12"/>
                <w:b w:val="1"/>
                <w:bCs w:val="1"/>
                <w:color w:val="auto"/>
              </w:rPr>
              <w:t>EPS—net income (loss) attributable to common stockholders:</w:t>
            </w:r>
          </w:p>
        </w:tc>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3"/>
        </w:trPr>
        <w:tc>
          <w:tcPr>
            <w:tcW w:w="5760" w:type="dxa"/>
            <w:vAlign w:val="bottom"/>
          </w:tcPr>
          <w:p>
            <w:pPr>
              <w:ind w:left="360"/>
              <w:spacing w:after="0"/>
              <w:rPr>
                <w:sz w:val="20"/>
                <w:szCs w:val="20"/>
                <w:color w:val="auto"/>
              </w:rPr>
            </w:pPr>
            <w:r>
              <w:rPr>
                <w:rFonts w:ascii="Arial" w:cs="Arial" w:eastAsia="Arial" w:hAnsi="Arial"/>
                <w:sz w:val="12"/>
                <w:szCs w:val="12"/>
                <w:color w:val="auto"/>
              </w:rPr>
              <w:t>Basic and diluted</w:t>
            </w:r>
          </w:p>
        </w:tc>
        <w:tc>
          <w:tcPr>
            <w:tcW w:w="940" w:type="dxa"/>
            <w:vAlign w:val="bottom"/>
            <w:tcBorders>
              <w:bottom w:val="single" w:sz="8" w:color="auto"/>
            </w:tcBorders>
          </w:tcPr>
          <w:p>
            <w:pPr>
              <w:jc w:val="right"/>
              <w:ind w:right="543"/>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0.07</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0.68</w:t>
            </w:r>
          </w:p>
        </w:tc>
      </w:tr>
      <w:tr>
        <w:trPr>
          <w:trHeight w:val="20"/>
        </w:trPr>
        <w:tc>
          <w:tcPr>
            <w:tcW w:w="5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10"/>
          <w:szCs w:val="10"/>
          <w:color w:val="auto"/>
        </w:rPr>
        <w:t>____________________________________</w:t>
      </w:r>
    </w:p>
    <w:p>
      <w:pPr>
        <w:spacing w:after="0" w:line="99" w:lineRule="exact"/>
        <w:rPr>
          <w:sz w:val="20"/>
          <w:szCs w:val="20"/>
          <w:color w:val="auto"/>
        </w:rPr>
      </w:pPr>
    </w:p>
    <w:p>
      <w:pPr>
        <w:ind w:left="540" w:hanging="278"/>
        <w:spacing w:after="0"/>
        <w:tabs>
          <w:tab w:leader="none" w:pos="5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Diluted EPS excludes 101,948, 97,926 and 90,619 convertible preferred units for the years ended December 31, 2021, 2020 and 2019, respectively, as their impact was antidilutive.</w:t>
      </w:r>
    </w:p>
    <w:p>
      <w:pPr>
        <w:spacing w:after="0" w:line="98"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Diluted EPS excludes 9,920,654, 10,688,179 and 10,415,291 Operating Partnership units ("OP Units") for the years ended December 31, 2021, 2020 and 2019, respectively, as their effect was antidilutive.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0" w:right="299" w:bottom="1440" w:gutter="0" w:footer="0" w:header="0"/>
        </w:sectPr>
      </w:pPr>
    </w:p>
    <w:bookmarkStart w:id="80" w:name="page81"/>
    <w:bookmarkEnd w:id="8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Investments in Unconsolidated Joint Ventures: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following are the Company's operating properties in various unconsolidated joint ventures with third parties. The Company's direct or indirect ownership interest in each joint venture as of December 31, 2021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7180" w:type="dxa"/>
            <w:vAlign w:val="bottom"/>
            <w:gridSpan w:val="2"/>
          </w:tcPr>
          <w:p>
            <w:pPr>
              <w:spacing w:after="0"/>
              <w:rPr>
                <w:sz w:val="20"/>
                <w:szCs w:val="20"/>
                <w:color w:val="auto"/>
              </w:rPr>
            </w:pPr>
            <w:r>
              <w:rPr>
                <w:rFonts w:ascii="Arial" w:cs="Arial" w:eastAsia="Arial" w:hAnsi="Arial"/>
                <w:sz w:val="10"/>
                <w:szCs w:val="10"/>
                <w:b w:val="1"/>
                <w:bCs w:val="1"/>
                <w:color w:val="auto"/>
              </w:rPr>
              <w:t>Joint Venture</w:t>
            </w:r>
          </w:p>
        </w:tc>
        <w:tc>
          <w:tcPr>
            <w:tcW w:w="1540" w:type="dxa"/>
            <w:vAlign w:val="bottom"/>
          </w:tcPr>
          <w:p>
            <w:pPr>
              <w:jc w:val="right"/>
              <w:ind w:right="81"/>
              <w:spacing w:after="0"/>
              <w:rPr>
                <w:sz w:val="20"/>
                <w:szCs w:val="20"/>
                <w:color w:val="auto"/>
              </w:rPr>
            </w:pPr>
            <w:r>
              <w:rPr>
                <w:rFonts w:ascii="Arial" w:cs="Arial" w:eastAsia="Arial" w:hAnsi="Arial"/>
                <w:sz w:val="10"/>
                <w:szCs w:val="10"/>
                <w:b w:val="1"/>
                <w:bCs w:val="1"/>
                <w:color w:val="auto"/>
              </w:rPr>
              <w:t>Ownership %(1)</w:t>
            </w:r>
          </w:p>
        </w:tc>
        <w:tc>
          <w:tcPr>
            <w:tcW w:w="260" w:type="dxa"/>
            <w:vAlign w:val="bottom"/>
          </w:tcPr>
          <w:p>
            <w:pPr>
              <w:spacing w:after="0"/>
              <w:rPr>
                <w:sz w:val="10"/>
                <w:szCs w:val="10"/>
                <w:color w:val="auto"/>
              </w:rPr>
            </w:pPr>
          </w:p>
        </w:tc>
      </w:tr>
      <w:tr>
        <w:trPr>
          <w:trHeight w:val="20"/>
        </w:trPr>
        <w:tc>
          <w:tcPr>
            <w:tcW w:w="3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29"/>
        </w:trPr>
        <w:tc>
          <w:tcPr>
            <w:tcW w:w="300" w:type="dxa"/>
            <w:vAlign w:val="bottom"/>
            <w:shd w:val="clear" w:color="auto" w:fill="CCEEFF"/>
          </w:tcPr>
          <w:p>
            <w:pPr>
              <w:spacing w:after="0"/>
              <w:rPr>
                <w:sz w:val="11"/>
                <w:szCs w:val="11"/>
                <w:color w:val="auto"/>
              </w:rPr>
            </w:pPr>
          </w:p>
        </w:tc>
        <w:tc>
          <w:tcPr>
            <w:tcW w:w="71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AM Tysons LLC</w:t>
            </w:r>
          </w:p>
        </w:tc>
        <w:tc>
          <w:tcPr>
            <w:tcW w:w="1540" w:type="dxa"/>
            <w:vAlign w:val="bottom"/>
            <w:shd w:val="clear" w:color="auto" w:fill="CCEEFF"/>
          </w:tcPr>
          <w:p>
            <w:pPr>
              <w:jc w:val="right"/>
              <w:ind w:right="121"/>
              <w:spacing w:after="0" w:line="129" w:lineRule="exact"/>
              <w:rPr>
                <w:sz w:val="20"/>
                <w:szCs w:val="20"/>
                <w:color w:val="auto"/>
              </w:rPr>
            </w:pPr>
            <w:r>
              <w:rPr>
                <w:rFonts w:ascii="Arial" w:cs="Arial" w:eastAsia="Arial" w:hAnsi="Arial"/>
                <w:sz w:val="12"/>
                <w:szCs w:val="12"/>
                <w:color w:val="auto"/>
              </w:rPr>
              <w:t>50.0</w:t>
            </w: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Biltmore Shopping Center Partners LLC</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Corte Madera Village, LLC</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50.1</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Country Club Plaza KC Partners LLC</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HPP-MAC WSP, LLC—One Westside</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25.0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Kierland Commons Investment LLC</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Macerich HHF Broadway Plaza LLC—Broadway Plaza</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Macerich HHF Centers LLC—Various Properties</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51.0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MS Portfolio LLC</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New River Associates LLC—Arrowhead Towne Center</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60.0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Pacific Premier Retail LLC—Various Properties</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60.0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Propcor II Associates, LLC—Boulevard Shops</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PV Land SPE, LLC</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Scottsdale Fashion Square Partnership</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TM TRS Holding Company LLC</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Tysons Corner LLC</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Tysons Corner Hotel I LLC</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Tysons Corner Property Holdings II LLC</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Tysons Corner Property LLC</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tcPr>
          <w:p>
            <w:pPr>
              <w:spacing w:after="0"/>
              <w:rPr>
                <w:sz w:val="13"/>
                <w:szCs w:val="13"/>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West Acres Development, LLP</w:t>
            </w:r>
          </w:p>
        </w:tc>
        <w:tc>
          <w:tcPr>
            <w:tcW w:w="1540" w:type="dxa"/>
            <w:vAlign w:val="bottom"/>
          </w:tcPr>
          <w:p>
            <w:pPr>
              <w:jc w:val="right"/>
              <w:ind w:right="121"/>
              <w:spacing w:after="0"/>
              <w:rPr>
                <w:sz w:val="20"/>
                <w:szCs w:val="20"/>
                <w:color w:val="auto"/>
              </w:rPr>
            </w:pPr>
            <w:r>
              <w:rPr>
                <w:rFonts w:ascii="Arial" w:cs="Arial" w:eastAsia="Arial" w:hAnsi="Arial"/>
                <w:sz w:val="12"/>
                <w:szCs w:val="12"/>
                <w:color w:val="auto"/>
              </w:rPr>
              <w:t>19.0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0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WMAP, L.L.C.—Atlas Park, The Shops at</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162" w:lineRule="exact"/>
        <w:rPr>
          <w:sz w:val="20"/>
          <w:szCs w:val="20"/>
          <w:color w:val="auto"/>
        </w:rPr>
      </w:pPr>
    </w:p>
    <w:p>
      <w:pPr>
        <w:ind w:left="800" w:hanging="376"/>
        <w:spacing w:after="0" w:line="243" w:lineRule="auto"/>
        <w:tabs>
          <w:tab w:leader="none" w:pos="80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Company's ownership interest in this table reflects its direct or indirect legal ownership interest. Legal ownership may, at times, not equal the Company’s economic interest in the listed entities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30" w:right="359" w:bottom="1440" w:gutter="0" w:footer="0" w:header="0"/>
        </w:sectPr>
      </w:pPr>
    </w:p>
    <w:bookmarkStart w:id="81" w:name="page82"/>
    <w:bookmarkEnd w:id="8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Investments in Unconsolidated Joint Ventures: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Company has made the following investments, dispositions and financings in unconsolidated joint ventures during the years ended December 31, 2021, 2020 and 2019 and events subsequent to December 31, 2021:</w:t>
      </w:r>
    </w:p>
    <w:p>
      <w:pPr>
        <w:spacing w:after="0" w:line="117" w:lineRule="exact"/>
        <w:rPr>
          <w:sz w:val="20"/>
          <w:szCs w:val="20"/>
          <w:color w:val="auto"/>
        </w:rPr>
      </w:pPr>
    </w:p>
    <w:p>
      <w:pPr>
        <w:jc w:val="both"/>
        <w:ind w:right="160" w:firstLine="297"/>
        <w:spacing w:after="0" w:line="263" w:lineRule="auto"/>
        <w:rPr>
          <w:sz w:val="20"/>
          <w:szCs w:val="20"/>
          <w:color w:val="auto"/>
        </w:rPr>
      </w:pPr>
      <w:r>
        <w:rPr>
          <w:rFonts w:ascii="Arial" w:cs="Arial" w:eastAsia="Arial" w:hAnsi="Arial"/>
          <w:sz w:val="12"/>
          <w:szCs w:val="12"/>
          <w:color w:val="auto"/>
        </w:rPr>
        <w:t>On February 22, 2019, the Company’s joint venture in The Shops at Atlas Park entered into an agreement to increase the total borrowing capacity of the existing loan on the property from $57,751 to $80,000, and to extend the maturity date to October 28, 2021, including extension options. Concurrent with the loan modification, the joint venture borrowed an additional $18,379. The Company used its $9,189 share of the additional proceeds to pay down its line of credit and for general corporate purposes.</w:t>
      </w:r>
    </w:p>
    <w:p>
      <w:pPr>
        <w:spacing w:after="0" w:line="77"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On July 25, 2019, the Company's previously unconsolidated joint venture in Fashion District Philadelphia amended the existing term loan on the joint venture to allow for additional borrowings up to $100,000 at LIBOR plus 2%. Concurrent with the amendment, the joint venture borrowed an additional $26,000. On August 16, 2019, the joint venture borrowed an additional $25,000. The Company used its share of the additional proceeds to pay down its line of credit and for general corporate purposes.</w:t>
      </w:r>
    </w:p>
    <w:p>
      <w:pPr>
        <w:spacing w:after="0" w:line="68" w:lineRule="exact"/>
        <w:rPr>
          <w:sz w:val="20"/>
          <w:szCs w:val="20"/>
          <w:color w:val="auto"/>
        </w:rPr>
      </w:pPr>
    </w:p>
    <w:p>
      <w:pPr>
        <w:ind w:right="40" w:firstLine="297"/>
        <w:spacing w:after="0" w:line="276" w:lineRule="auto"/>
        <w:rPr>
          <w:sz w:val="20"/>
          <w:szCs w:val="20"/>
          <w:color w:val="auto"/>
        </w:rPr>
      </w:pPr>
      <w:r>
        <w:rPr>
          <w:rFonts w:ascii="Arial" w:cs="Arial" w:eastAsia="Arial" w:hAnsi="Arial"/>
          <w:sz w:val="12"/>
          <w:szCs w:val="12"/>
          <w:color w:val="auto"/>
        </w:rPr>
        <w:t>On September 12, 2019, the Company’s joint venture in Tysons Tower placed a new $190,000 loan on the property that bears interest at an effective rate of 3.38% and matures on October 11, 2029. The Company used its share of the proceeds to pay down its line of credit and for general corporate purposes.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0"/>
          <w:szCs w:val="10"/>
          <w:color w:val="auto"/>
        </w:rPr>
        <w:t>On October 17, 2019, the Company’s joint venture in West Acres placed a construction loan on the property that allows for borrowing of up to $6,500, bears interest at an effective rate of 3.72% and matures on October 10, 2029.</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joint venture intends to use the proceeds from the loan to fund the expansion of the property.</w:t>
      </w:r>
    </w:p>
    <w:p>
      <w:pPr>
        <w:spacing w:after="0" w:line="96" w:lineRule="exact"/>
        <w:rPr>
          <w:sz w:val="20"/>
          <w:szCs w:val="20"/>
          <w:color w:val="auto"/>
        </w:rPr>
      </w:pPr>
    </w:p>
    <w:p>
      <w:pPr>
        <w:ind w:right="20" w:firstLine="297"/>
        <w:spacing w:after="0" w:line="276" w:lineRule="auto"/>
        <w:rPr>
          <w:sz w:val="20"/>
          <w:szCs w:val="20"/>
          <w:color w:val="auto"/>
        </w:rPr>
      </w:pPr>
      <w:r>
        <w:rPr>
          <w:rFonts w:ascii="Arial" w:cs="Arial" w:eastAsia="Arial" w:hAnsi="Arial"/>
          <w:sz w:val="12"/>
          <w:szCs w:val="12"/>
          <w:color w:val="auto"/>
        </w:rPr>
        <w:t>On December 18, 2019, the Company’s joint venture in One Westside placed a $414,600 construction loan on the redevelopment project. The loan bears interest at LIBOR plus 1.70%, which can be reduced to LIBOR plus 1.50% upon the completion of certain conditions, and matures on December 18, 2024. This loan is being used to fund the joint venture's remaining cost to complete the project.</w:t>
      </w:r>
    </w:p>
    <w:p>
      <w:pPr>
        <w:spacing w:after="0" w:line="61" w:lineRule="exact"/>
        <w:rPr>
          <w:sz w:val="20"/>
          <w:szCs w:val="20"/>
          <w:color w:val="auto"/>
        </w:rPr>
      </w:pPr>
    </w:p>
    <w:p>
      <w:pPr>
        <w:ind w:right="280" w:firstLine="297"/>
        <w:spacing w:after="0" w:line="379" w:lineRule="auto"/>
        <w:rPr>
          <w:sz w:val="20"/>
          <w:szCs w:val="20"/>
          <w:color w:val="auto"/>
        </w:rPr>
      </w:pPr>
      <w:r>
        <w:rPr>
          <w:rFonts w:ascii="Arial" w:cs="Arial" w:eastAsia="Arial" w:hAnsi="Arial"/>
          <w:sz w:val="10"/>
          <w:szCs w:val="10"/>
          <w:color w:val="auto"/>
        </w:rPr>
        <w:t>On November 17, 2020, the Company’s joint venture in Tysons VITA, the residential tower at Tysons Corner Center, placed a new $95,000 loan on the property that bears interest at an effective rate of 3.43% and matures on December 1, 2030. Initial loan funding for the Company’s joint venture was $90,000 with future advance potential of up to $5,000. The Company used its share of the initial proceeds of $45,000 for general corporate purposes.</w:t>
      </w:r>
    </w:p>
    <w:p>
      <w:pPr>
        <w:spacing w:after="0" w:line="24" w:lineRule="exact"/>
        <w:rPr>
          <w:sz w:val="20"/>
          <w:szCs w:val="20"/>
          <w:color w:val="auto"/>
        </w:rPr>
      </w:pPr>
    </w:p>
    <w:p>
      <w:pPr>
        <w:ind w:right="100" w:firstLine="297"/>
        <w:spacing w:after="0" w:line="255" w:lineRule="auto"/>
        <w:rPr>
          <w:sz w:val="20"/>
          <w:szCs w:val="20"/>
          <w:color w:val="auto"/>
        </w:rPr>
      </w:pPr>
      <w:r>
        <w:rPr>
          <w:rFonts w:ascii="Arial" w:cs="Arial" w:eastAsia="Arial" w:hAnsi="Arial"/>
          <w:sz w:val="12"/>
          <w:szCs w:val="12"/>
          <w:color w:val="auto"/>
        </w:rPr>
        <w:t>On December 10, 2020, the Company made a loan (the “Partnership Loan”) to the Company’s previously unconsolidated joint venture in Fashion District Philadelphia to fund the entirety of a $100,000 repayment to reduce the mortgage loan on Fashion District Philadelphia from $301,000 to $201,000. This mortgage loan now matures on January 22, 2024, including a one-year extension option, and bears interest at LIBOR plus 3.5%, with a LIBOR floor of 0.50%.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As a result of the substantive participation rights of the Company’s joint venture partner being terminated in the amended agreement, the Company determined that the joint venture is a VIE and the Company is the primary beneficiary. Effective December 10, 2020, the Company has consolidated the results of the joint venture into the consolidated financial statements of the Company (See Note 15–Consolidated Joint Venture and Acquisitions).</w:t>
      </w:r>
    </w:p>
    <w:p>
      <w:pPr>
        <w:spacing w:after="0" w:line="83"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On December 29, 2020, the Company’s joint venture in FlatIron Crossing closed on a one-year maturity date extension for the existing loan to January 5, 2022. The interest rate increased from 3.85% to 4.10%, and the Company’s joint venture repaid $15,000, $7,650 at the Company's pro rata share, of the outstanding loan balance at closing.</w:t>
      </w:r>
    </w:p>
    <w:p>
      <w:pPr>
        <w:spacing w:after="0" w:line="61"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On December 31, 2020, the Company and its joint venture partner in MS Portfolio LLC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the joint venture partner. The joint venture partners agreed that the distributed properties were of equal value. The Company now owns 100% of the former Sears parcel at South Plains Mall. Effective December 31, 2020, the Company consolidates its 100% interest in the Sears parcel at South Plains Mall in its consolidated financial statements (See Note 15 – Consolidated Joint Venture and Acquisitions).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82" w:name="page83"/>
    <w:bookmarkEnd w:id="8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Investments in Unconsolidated Joint Ventures: (Continued)</w:t>
      </w:r>
    </w:p>
    <w:p>
      <w:pPr>
        <w:spacing w:after="0" w:line="200" w:lineRule="exact"/>
        <w:rPr>
          <w:sz w:val="20"/>
          <w:szCs w:val="20"/>
          <w:color w:val="auto"/>
        </w:rPr>
      </w:pPr>
    </w:p>
    <w:p>
      <w:pPr>
        <w:spacing w:after="0" w:line="260" w:lineRule="exact"/>
        <w:rPr>
          <w:sz w:val="20"/>
          <w:szCs w:val="20"/>
          <w:color w:val="auto"/>
        </w:rPr>
      </w:pPr>
    </w:p>
    <w:p>
      <w:pPr>
        <w:ind w:right="340" w:firstLine="297"/>
        <w:spacing w:after="0" w:line="276" w:lineRule="auto"/>
        <w:rPr>
          <w:sz w:val="20"/>
          <w:szCs w:val="20"/>
          <w:color w:val="auto"/>
        </w:rPr>
      </w:pPr>
      <w:r>
        <w:rPr>
          <w:rFonts w:ascii="Arial" w:cs="Arial" w:eastAsia="Arial" w:hAnsi="Arial"/>
          <w:sz w:val="12"/>
          <w:szCs w:val="12"/>
          <w:color w:val="auto"/>
        </w:rPr>
        <w:t>On March 29, 2021, concurrent with the sale of Paradise Valley Mall (see Note 16 – Dispositions), the Company elected to reinvest into the newly formed joint venture at a 5% ownership interest for $3,819 in cash that is accounted for under the equity method of accounting.</w:t>
      </w:r>
    </w:p>
    <w:p>
      <w:pPr>
        <w:spacing w:after="0" w:line="70" w:lineRule="exact"/>
        <w:rPr>
          <w:sz w:val="20"/>
          <w:szCs w:val="20"/>
          <w:color w:val="auto"/>
        </w:rPr>
      </w:pPr>
    </w:p>
    <w:p>
      <w:pPr>
        <w:ind w:right="380" w:firstLine="297"/>
        <w:spacing w:after="0" w:line="323" w:lineRule="auto"/>
        <w:rPr>
          <w:sz w:val="20"/>
          <w:szCs w:val="20"/>
          <w:color w:val="auto"/>
        </w:rPr>
      </w:pPr>
      <w:r>
        <w:rPr>
          <w:rFonts w:ascii="Arial" w:cs="Arial" w:eastAsia="Arial" w:hAnsi="Arial"/>
          <w:sz w:val="11"/>
          <w:szCs w:val="11"/>
          <w:color w:val="auto"/>
        </w:rPr>
        <w:t>On October 26, 2021, the Company's joint venture in The Shops at Atlas Park replaced the existing loan on the property with a new $65,000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47" w:lineRule="exact"/>
        <w:rPr>
          <w:sz w:val="20"/>
          <w:szCs w:val="20"/>
          <w:color w:val="auto"/>
        </w:rPr>
      </w:pPr>
    </w:p>
    <w:p>
      <w:pPr>
        <w:ind w:firstLine="297"/>
        <w:spacing w:after="0" w:line="323" w:lineRule="auto"/>
        <w:rPr>
          <w:sz w:val="20"/>
          <w:szCs w:val="20"/>
          <w:color w:val="auto"/>
        </w:rPr>
      </w:pPr>
      <w:r>
        <w:rPr>
          <w:rFonts w:ascii="Arial" w:cs="Arial" w:eastAsia="Arial" w:hAnsi="Arial"/>
          <w:sz w:val="11"/>
          <w:szCs w:val="11"/>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$28,276 in connection with the assignment.</w:t>
      </w:r>
    </w:p>
    <w:p>
      <w:pPr>
        <w:spacing w:after="0" w:line="38" w:lineRule="exact"/>
        <w:rPr>
          <w:sz w:val="20"/>
          <w:szCs w:val="20"/>
          <w:color w:val="auto"/>
        </w:rPr>
      </w:pPr>
    </w:p>
    <w:p>
      <w:pPr>
        <w:ind w:right="300" w:firstLine="297"/>
        <w:spacing w:after="0" w:line="276" w:lineRule="auto"/>
        <w:rPr>
          <w:sz w:val="20"/>
          <w:szCs w:val="20"/>
          <w:color w:val="auto"/>
        </w:rPr>
      </w:pPr>
      <w:r>
        <w:rPr>
          <w:rFonts w:ascii="Arial" w:cs="Arial" w:eastAsia="Arial" w:hAnsi="Arial"/>
          <w:sz w:val="12"/>
          <w:szCs w:val="12"/>
          <w:color w:val="auto"/>
        </w:rPr>
        <w:t>On December 31, 2021, the Company sold its joint venture interest in the undeveloped property at 443 North Wabash Avenue in Chicago, Illinois to its partner in the joint venture for $21,000. The Company recognized an immaterial gain in connection with the sale.</w:t>
      </w:r>
    </w:p>
    <w:p>
      <w:pPr>
        <w:spacing w:after="0" w:line="70" w:lineRule="exact"/>
        <w:rPr>
          <w:sz w:val="20"/>
          <w:szCs w:val="20"/>
          <w:color w:val="auto"/>
        </w:rPr>
      </w:pPr>
    </w:p>
    <w:p>
      <w:pPr>
        <w:ind w:right="100" w:firstLine="297"/>
        <w:spacing w:after="0" w:line="323" w:lineRule="auto"/>
        <w:rPr>
          <w:sz w:val="20"/>
          <w:szCs w:val="20"/>
          <w:color w:val="auto"/>
        </w:rPr>
      </w:pPr>
      <w:r>
        <w:rPr>
          <w:rFonts w:ascii="Arial" w:cs="Arial" w:eastAsia="Arial" w:hAnsi="Arial"/>
          <w:sz w:val="11"/>
          <w:szCs w:val="11"/>
          <w:color w:val="auto"/>
        </w:rPr>
        <w:t>On February 2, 2022, the Company’s joint venture in FlatIron Crossing replaced the existing $197,011 loan on the property with a new $175,000 loan that bears interest at the Secured Overnight Financing Rate ("SOFR") plus 3.45% and matures on February 9, 2027, including extension options. The loan is covered by an interest rate cap agreement that effectively prevents SOFR from exceeding 4.0% through 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230" w:right="419" w:bottom="1440" w:gutter="0" w:footer="0" w:header="0"/>
        </w:sectPr>
      </w:pPr>
    </w:p>
    <w:bookmarkStart w:id="83" w:name="page84"/>
    <w:bookmarkEnd w:id="83"/>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Combined and condensed balance sheets and statements of operations are presented below for all unconsolidated joint ventures.</w:t>
      </w:r>
    </w:p>
    <w:p>
      <w:pPr>
        <w:spacing w:after="0" w:line="353"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Combined and Condensed Balance Sheets of Unconsolidated Joint Ventures as of December 31:</w:t>
      </w:r>
    </w:p>
    <w:p>
      <w:pPr>
        <w:spacing w:after="0" w:line="31" w:lineRule="exact"/>
        <w:rPr>
          <w:sz w:val="20"/>
          <w:szCs w:val="20"/>
          <w:color w:val="auto"/>
        </w:rPr>
      </w:pPr>
    </w:p>
    <w:tbl>
      <w:tblPr>
        <w:tblLayout w:type="fixed"/>
        <w:tblInd w:w="1008" w:type="dxa"/>
        <w:tblCellMar>
          <w:top w:w="0" w:type="dxa"/>
          <w:left w:w="0" w:type="dxa"/>
          <w:bottom w:w="0" w:type="dxa"/>
          <w:right w:w="0" w:type="dxa"/>
        </w:tblCellMar>
      </w:tblPr>
      <w:tr>
        <w:trPr>
          <w:trHeight w:val="127"/>
        </w:trPr>
        <w:tc>
          <w:tcPr>
            <w:tcW w:w="63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r>
      <w:tr>
        <w:trPr>
          <w:trHeight w:val="146"/>
        </w:trPr>
        <w:tc>
          <w:tcPr>
            <w:tcW w:w="6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Assets(1):</w:t>
            </w: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3"/>
        </w:trPr>
        <w:tc>
          <w:tcPr>
            <w:tcW w:w="6300" w:type="dxa"/>
            <w:vAlign w:val="bottom"/>
          </w:tcPr>
          <w:p>
            <w:pPr>
              <w:ind w:left="100"/>
              <w:spacing w:after="0"/>
              <w:rPr>
                <w:sz w:val="20"/>
                <w:szCs w:val="20"/>
                <w:color w:val="auto"/>
              </w:rPr>
            </w:pPr>
            <w:r>
              <w:rPr>
                <w:rFonts w:ascii="Arial" w:cs="Arial" w:eastAsia="Arial" w:hAnsi="Arial"/>
                <w:sz w:val="12"/>
                <w:szCs w:val="12"/>
                <w:color w:val="auto"/>
              </w:rPr>
              <w:t>Property, net</w:t>
            </w:r>
          </w:p>
        </w:tc>
        <w:tc>
          <w:tcPr>
            <w:tcW w:w="860" w:type="dxa"/>
            <w:vAlign w:val="bottom"/>
          </w:tcPr>
          <w:p>
            <w:pPr>
              <w:jc w:val="right"/>
              <w:ind w:right="72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8,289,412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8,721,551</w:t>
            </w:r>
          </w:p>
        </w:tc>
      </w:tr>
      <w:tr>
        <w:trPr>
          <w:trHeight w:val="153"/>
        </w:trPr>
        <w:tc>
          <w:tcPr>
            <w:tcW w:w="6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assets</w:t>
            </w:r>
          </w:p>
        </w:tc>
        <w:tc>
          <w:tcPr>
            <w:tcW w:w="8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750,629</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774,583</w:t>
            </w:r>
          </w:p>
        </w:tc>
      </w:tr>
      <w:tr>
        <w:trPr>
          <w:trHeight w:val="158"/>
        </w:trPr>
        <w:tc>
          <w:tcPr>
            <w:tcW w:w="63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assets</w:t>
            </w:r>
          </w:p>
        </w:tc>
        <w:tc>
          <w:tcPr>
            <w:tcW w:w="860" w:type="dxa"/>
            <w:vAlign w:val="bottom"/>
            <w:tcBorders>
              <w:bottom w:val="single" w:sz="8" w:color="auto"/>
            </w:tcBorders>
          </w:tcPr>
          <w:p>
            <w:pPr>
              <w:jc w:val="right"/>
              <w:ind w:right="72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9,040,041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9,496,134</w:t>
            </w:r>
          </w:p>
        </w:tc>
      </w:tr>
      <w:tr>
        <w:trPr>
          <w:trHeight w:val="153"/>
        </w:trPr>
        <w:tc>
          <w:tcPr>
            <w:tcW w:w="6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 and partners' capital(1):</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6300" w:type="dxa"/>
            <w:vAlign w:val="bottom"/>
          </w:tcPr>
          <w:p>
            <w:pPr>
              <w:ind w:left="100"/>
              <w:spacing w:after="0"/>
              <w:rPr>
                <w:sz w:val="20"/>
                <w:szCs w:val="20"/>
                <w:color w:val="auto"/>
              </w:rPr>
            </w:pPr>
            <w:r>
              <w:rPr>
                <w:rFonts w:ascii="Arial" w:cs="Arial" w:eastAsia="Arial" w:hAnsi="Arial"/>
                <w:sz w:val="12"/>
                <w:szCs w:val="12"/>
                <w:color w:val="auto"/>
              </w:rPr>
              <w:t>Mortgage and other notes payable</w:t>
            </w:r>
          </w:p>
        </w:tc>
        <w:tc>
          <w:tcPr>
            <w:tcW w:w="860" w:type="dxa"/>
            <w:vAlign w:val="bottom"/>
          </w:tcPr>
          <w:p>
            <w:pPr>
              <w:jc w:val="right"/>
              <w:ind w:right="72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5,686,500</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5,942,478</w:t>
            </w:r>
          </w:p>
        </w:tc>
      </w:tr>
      <w:tr>
        <w:trPr>
          <w:trHeight w:val="153"/>
        </w:trPr>
        <w:tc>
          <w:tcPr>
            <w:tcW w:w="6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liabilities</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325,115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397,483</w:t>
            </w:r>
          </w:p>
        </w:tc>
      </w:tr>
      <w:tr>
        <w:trPr>
          <w:trHeight w:val="153"/>
        </w:trPr>
        <w:tc>
          <w:tcPr>
            <w:tcW w:w="6300" w:type="dxa"/>
            <w:vAlign w:val="bottom"/>
          </w:tcPr>
          <w:p>
            <w:pPr>
              <w:ind w:left="100"/>
              <w:spacing w:after="0"/>
              <w:rPr>
                <w:sz w:val="20"/>
                <w:szCs w:val="20"/>
                <w:color w:val="auto"/>
              </w:rPr>
            </w:pPr>
            <w:r>
              <w:rPr>
                <w:rFonts w:ascii="Arial" w:cs="Arial" w:eastAsia="Arial" w:hAnsi="Arial"/>
                <w:sz w:val="12"/>
                <w:szCs w:val="12"/>
                <w:color w:val="auto"/>
              </w:rPr>
              <w:t>Company's capital</w:t>
            </w: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7"/>
              </w:rPr>
              <w:t>1,638,112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1,711,944</w:t>
            </w:r>
          </w:p>
        </w:tc>
      </w:tr>
      <w:tr>
        <w:trPr>
          <w:trHeight w:val="153"/>
        </w:trPr>
        <w:tc>
          <w:tcPr>
            <w:tcW w:w="6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Outside partners' capital</w:t>
            </w:r>
          </w:p>
        </w:tc>
        <w:tc>
          <w:tcPr>
            <w:tcW w:w="8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1,390,314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1,444,229</w:t>
            </w:r>
          </w:p>
        </w:tc>
      </w:tr>
      <w:tr>
        <w:trPr>
          <w:trHeight w:val="158"/>
        </w:trPr>
        <w:tc>
          <w:tcPr>
            <w:tcW w:w="63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liabilities and partners' capital</w:t>
            </w:r>
          </w:p>
        </w:tc>
        <w:tc>
          <w:tcPr>
            <w:tcW w:w="860" w:type="dxa"/>
            <w:vAlign w:val="bottom"/>
            <w:tcBorders>
              <w:bottom w:val="single" w:sz="8" w:color="auto"/>
            </w:tcBorders>
          </w:tcPr>
          <w:p>
            <w:pPr>
              <w:jc w:val="right"/>
              <w:ind w:right="72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9,040,041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9,496,134</w:t>
            </w:r>
          </w:p>
        </w:tc>
      </w:tr>
      <w:tr>
        <w:trPr>
          <w:trHeight w:val="153"/>
        </w:trPr>
        <w:tc>
          <w:tcPr>
            <w:tcW w:w="6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in unconsolidated joint ventures:</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6300" w:type="dxa"/>
            <w:vAlign w:val="bottom"/>
          </w:tcPr>
          <w:p>
            <w:pPr>
              <w:ind w:left="100"/>
              <w:spacing w:after="0"/>
              <w:rPr>
                <w:sz w:val="20"/>
                <w:szCs w:val="20"/>
                <w:color w:val="auto"/>
              </w:rPr>
            </w:pPr>
            <w:r>
              <w:rPr>
                <w:rFonts w:ascii="Arial" w:cs="Arial" w:eastAsia="Arial" w:hAnsi="Arial"/>
                <w:sz w:val="12"/>
                <w:szCs w:val="12"/>
                <w:color w:val="auto"/>
              </w:rPr>
              <w:t>Company's capital</w:t>
            </w:r>
          </w:p>
        </w:tc>
        <w:tc>
          <w:tcPr>
            <w:tcW w:w="860" w:type="dxa"/>
            <w:vAlign w:val="bottom"/>
          </w:tcPr>
          <w:p>
            <w:pPr>
              <w:jc w:val="right"/>
              <w:ind w:right="72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1,638,112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1,711,944</w:t>
            </w:r>
          </w:p>
        </w:tc>
      </w:tr>
      <w:tr>
        <w:trPr>
          <w:trHeight w:val="153"/>
        </w:trPr>
        <w:tc>
          <w:tcPr>
            <w:tcW w:w="6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Basis adjustment(2)</w:t>
            </w:r>
          </w:p>
        </w:tc>
        <w:tc>
          <w:tcPr>
            <w:tcW w:w="8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(448,149)</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(479,678)</w:t>
            </w:r>
          </w:p>
        </w:tc>
      </w:tr>
      <w:tr>
        <w:trPr>
          <w:trHeight w:val="158"/>
        </w:trPr>
        <w:tc>
          <w:tcPr>
            <w:tcW w:w="63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2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1,189,963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1,232,266</w:t>
            </w:r>
          </w:p>
        </w:tc>
      </w:tr>
      <w:tr>
        <w:trPr>
          <w:trHeight w:val="162"/>
        </w:trPr>
        <w:tc>
          <w:tcPr>
            <w:tcW w:w="6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3"/>
        </w:trPr>
        <w:tc>
          <w:tcPr>
            <w:tcW w:w="6300" w:type="dxa"/>
            <w:vAlign w:val="bottom"/>
          </w:tcPr>
          <w:p>
            <w:pPr>
              <w:ind w:left="100"/>
              <w:spacing w:after="0"/>
              <w:rPr>
                <w:sz w:val="20"/>
                <w:szCs w:val="20"/>
                <w:color w:val="auto"/>
              </w:rPr>
            </w:pPr>
            <w:r>
              <w:rPr>
                <w:rFonts w:ascii="Arial" w:cs="Arial" w:eastAsia="Arial" w:hAnsi="Arial"/>
                <w:sz w:val="12"/>
                <w:szCs w:val="12"/>
                <w:color w:val="auto"/>
              </w:rPr>
              <w:t>Assets—Investments in unconsolidated joint ventures</w:t>
            </w: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7"/>
              </w:rPr>
              <w:t>1,317,571</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1,340,647</w:t>
            </w:r>
          </w:p>
        </w:tc>
      </w:tr>
      <w:tr>
        <w:trPr>
          <w:trHeight w:val="153"/>
        </w:trPr>
        <w:tc>
          <w:tcPr>
            <w:tcW w:w="6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Liabilities—Distributions in excess of investments in unconsolidated joint ventures</w:t>
            </w:r>
          </w:p>
        </w:tc>
        <w:tc>
          <w:tcPr>
            <w:tcW w:w="8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(127,608)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(108,381)</w:t>
            </w:r>
          </w:p>
        </w:tc>
      </w:tr>
      <w:tr>
        <w:trPr>
          <w:trHeight w:val="142"/>
        </w:trPr>
        <w:tc>
          <w:tcPr>
            <w:tcW w:w="6300" w:type="dxa"/>
            <w:vAlign w:val="bottom"/>
          </w:tcPr>
          <w:p>
            <w:pPr>
              <w:spacing w:after="0"/>
              <w:rPr>
                <w:sz w:val="12"/>
                <w:szCs w:val="12"/>
                <w:color w:val="auto"/>
              </w:rPr>
            </w:pPr>
          </w:p>
        </w:tc>
        <w:tc>
          <w:tcPr>
            <w:tcW w:w="860" w:type="dxa"/>
            <w:vAlign w:val="bottom"/>
            <w:tcBorders>
              <w:bottom w:val="single" w:sz="8" w:color="auto"/>
            </w:tcBorders>
          </w:tcPr>
          <w:p>
            <w:pPr>
              <w:jc w:val="right"/>
              <w:ind w:right="72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1,189,963</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1,232,266</w:t>
            </w:r>
          </w:p>
        </w:tc>
      </w:tr>
      <w:tr>
        <w:trPr>
          <w:trHeight w:val="20"/>
        </w:trPr>
        <w:tc>
          <w:tcPr>
            <w:tcW w:w="6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162" w:lineRule="exact"/>
        <w:rPr>
          <w:sz w:val="20"/>
          <w:szCs w:val="20"/>
          <w:color w:val="auto"/>
        </w:rPr>
      </w:pPr>
    </w:p>
    <w:p>
      <w:pPr>
        <w:ind w:left="388" w:hanging="388"/>
        <w:spacing w:after="0" w:line="257" w:lineRule="auto"/>
        <w:tabs>
          <w:tab w:leader="none" w:pos="388"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These amounts include the assets of $2,789,568 and $2,857,757 of Pacific Premier Retail LLC (the "PPR Portfolio") as of December 31, 2021 and 2020, respectively, and liabilities of $1,661,110 and $1,687,042 of the PPR Portfolio as of December 31, 2021 and 2020, respectively.</w:t>
      </w:r>
    </w:p>
    <w:p>
      <w:pPr>
        <w:spacing w:after="0" w:line="143" w:lineRule="exact"/>
        <w:rPr>
          <w:rFonts w:ascii="Arial" w:cs="Arial" w:eastAsia="Arial" w:hAnsi="Arial"/>
          <w:sz w:val="11"/>
          <w:szCs w:val="11"/>
          <w:color w:val="auto"/>
        </w:rPr>
      </w:pPr>
    </w:p>
    <w:p>
      <w:pPr>
        <w:ind w:left="388" w:right="440" w:hanging="388"/>
        <w:spacing w:after="0" w:line="257" w:lineRule="auto"/>
        <w:tabs>
          <w:tab w:leader="none" w:pos="388"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$10,276, $13,168 and $18,834 for the years ended December 31, 2021, 2020 and 2019, respectively.</w:t>
      </w:r>
    </w:p>
    <w:p>
      <w:pPr>
        <w:spacing w:after="0" w:line="373"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230" w:right="359" w:bottom="1440" w:gutter="0" w:footer="0" w:header="0"/>
        </w:sectPr>
      </w:pPr>
    </w:p>
    <w:bookmarkStart w:id="84" w:name="page85"/>
    <w:bookmarkEnd w:id="8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740" w:type="dxa"/>
            <w:vAlign w:val="bottom"/>
            <w:gridSpan w:val="8"/>
          </w:tcPr>
          <w:p>
            <w:pPr>
              <w:jc w:val="center"/>
              <w:ind w:left="603"/>
              <w:spacing w:after="0"/>
              <w:rPr>
                <w:sz w:val="20"/>
                <w:szCs w:val="20"/>
                <w:color w:val="auto"/>
              </w:rPr>
            </w:pPr>
            <w:r>
              <w:rPr>
                <w:rFonts w:ascii="Arial" w:cs="Arial" w:eastAsia="Arial" w:hAnsi="Arial"/>
                <w:sz w:val="12"/>
                <w:szCs w:val="12"/>
                <w:b w:val="1"/>
                <w:bCs w:val="1"/>
                <w:color w:val="auto"/>
              </w:rPr>
              <w:t>THE MACERICH COMPANY</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120" w:type="dxa"/>
            <w:vAlign w:val="bottom"/>
            <w:gridSpan w:val="9"/>
          </w:tcPr>
          <w:p>
            <w:pPr>
              <w:jc w:val="center"/>
              <w:ind w:left="223"/>
              <w:spacing w:after="0"/>
              <w:rPr>
                <w:sz w:val="20"/>
                <w:szCs w:val="20"/>
                <w:color w:val="auto"/>
              </w:rPr>
            </w:pPr>
            <w:r>
              <w:rPr>
                <w:rFonts w:ascii="Arial" w:cs="Arial" w:eastAsia="Arial" w:hAnsi="Arial"/>
                <w:sz w:val="12"/>
                <w:szCs w:val="12"/>
                <w:b w:val="1"/>
                <w:bCs w:val="1"/>
                <w:color w:val="auto"/>
                <w:w w:val="98"/>
              </w:rPr>
              <w:t>NOTES TO CONSOLIDATED FINANCIAL STATEMENTS (Continued)</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740" w:type="dxa"/>
            <w:vAlign w:val="bottom"/>
            <w:gridSpan w:val="8"/>
          </w:tcPr>
          <w:p>
            <w:pPr>
              <w:jc w:val="center"/>
              <w:ind w:left="623"/>
              <w:spacing w:after="0"/>
              <w:rPr>
                <w:sz w:val="20"/>
                <w:szCs w:val="20"/>
                <w:color w:val="auto"/>
              </w:rPr>
            </w:pPr>
            <w:r>
              <w:rPr>
                <w:rFonts w:ascii="Arial" w:cs="Arial" w:eastAsia="Arial" w:hAnsi="Arial"/>
                <w:sz w:val="12"/>
                <w:szCs w:val="12"/>
                <w:b w:val="1"/>
                <w:bCs w:val="1"/>
                <w:color w:val="auto"/>
                <w:w w:val="88"/>
              </w:rPr>
              <w:t>(Dollars in thousands, except per share amounts)</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2"/>
                <w:szCs w:val="12"/>
                <w:b w:val="1"/>
                <w:bCs w:val="1"/>
                <w:color w:val="auto"/>
                <w:w w:val="97"/>
              </w:rPr>
              <w:t>4. Investments in Unconsolidated Joint Ventures: (Continued)</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360" w:type="dxa"/>
            <w:vAlign w:val="bottom"/>
          </w:tcPr>
          <w:p>
            <w:pPr>
              <w:spacing w:after="0"/>
              <w:rPr>
                <w:sz w:val="24"/>
                <w:szCs w:val="24"/>
                <w:color w:val="auto"/>
              </w:rPr>
            </w:pPr>
          </w:p>
        </w:tc>
        <w:tc>
          <w:tcPr>
            <w:tcW w:w="4720" w:type="dxa"/>
            <w:vAlign w:val="bottom"/>
            <w:gridSpan w:val="4"/>
          </w:tcPr>
          <w:p>
            <w:pPr>
              <w:ind w:left="20"/>
              <w:spacing w:after="0"/>
              <w:rPr>
                <w:sz w:val="20"/>
                <w:szCs w:val="20"/>
                <w:color w:val="auto"/>
              </w:rPr>
            </w:pPr>
            <w:r>
              <w:rPr>
                <w:rFonts w:ascii="Arial" w:cs="Arial" w:eastAsia="Arial" w:hAnsi="Arial"/>
                <w:sz w:val="12"/>
                <w:szCs w:val="12"/>
                <w:b w:val="1"/>
                <w:bCs w:val="1"/>
                <w:color w:val="auto"/>
                <w:w w:val="93"/>
              </w:rPr>
              <w:t>Combined and Condensed Statements of Operations of Unconsolidated Joint Ventures: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89"/>
              </w:rPr>
              <w:t>Other</w:t>
            </w: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PPR Portfolio</w:t>
            </w:r>
          </w:p>
        </w:tc>
        <w:tc>
          <w:tcPr>
            <w:tcW w:w="200" w:type="dxa"/>
            <w:vAlign w:val="bottom"/>
          </w:tcPr>
          <w:p>
            <w:pPr>
              <w:spacing w:after="0"/>
              <w:rPr>
                <w:sz w:val="7"/>
                <w:szCs w:val="7"/>
                <w:color w:val="auto"/>
              </w:rPr>
            </w:pPr>
          </w:p>
        </w:tc>
        <w:tc>
          <w:tcPr>
            <w:tcW w:w="920" w:type="dxa"/>
            <w:vAlign w:val="bottom"/>
            <w:gridSpan w:val="2"/>
          </w:tcPr>
          <w:p>
            <w:pPr>
              <w:jc w:val="center"/>
              <w:ind w:right="280"/>
              <w:spacing w:after="0" w:line="90" w:lineRule="exact"/>
              <w:rPr>
                <w:sz w:val="20"/>
                <w:szCs w:val="20"/>
                <w:color w:val="auto"/>
              </w:rPr>
            </w:pPr>
            <w:r>
              <w:rPr>
                <w:rFonts w:ascii="Arial" w:cs="Arial" w:eastAsia="Arial" w:hAnsi="Arial"/>
                <w:sz w:val="10"/>
                <w:szCs w:val="10"/>
                <w:b w:val="1"/>
                <w:bCs w:val="1"/>
                <w:color w:val="auto"/>
                <w:w w:val="83"/>
              </w:rPr>
              <w:t>Joint</w:t>
            </w:r>
          </w:p>
        </w:tc>
        <w:tc>
          <w:tcPr>
            <w:tcW w:w="380" w:type="dxa"/>
            <w:vAlign w:val="bottom"/>
          </w:tcPr>
          <w:p>
            <w:pPr>
              <w:spacing w:after="0"/>
              <w:rPr>
                <w:sz w:val="7"/>
                <w:szCs w:val="7"/>
                <w:color w:val="auto"/>
              </w:rPr>
            </w:pPr>
          </w:p>
        </w:tc>
        <w:tc>
          <w:tcPr>
            <w:tcW w:w="640" w:type="dxa"/>
            <w:vAlign w:val="bottom"/>
            <w:vMerge w:val="restart"/>
          </w:tcPr>
          <w:p>
            <w:pPr>
              <w:jc w:val="right"/>
              <w:ind w:right="35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4"/>
              </w:rPr>
              <w:t>Ventures</w:t>
            </w:r>
          </w:p>
        </w:tc>
        <w:tc>
          <w:tcPr>
            <w:tcW w:w="3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308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0"/>
                <w:szCs w:val="10"/>
                <w:i w:val="1"/>
                <w:iCs w:val="1"/>
                <w:color w:val="auto"/>
              </w:rPr>
              <w:t>Year Ended December 31, 2021</w:t>
            </w:r>
          </w:p>
        </w:tc>
        <w:tc>
          <w:tcPr>
            <w:tcW w:w="1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3080" w:type="dxa"/>
            <w:vAlign w:val="bottom"/>
          </w:tcPr>
          <w:p>
            <w:pPr>
              <w:ind w:left="20"/>
              <w:spacing w:after="0"/>
              <w:rPr>
                <w:sz w:val="20"/>
                <w:szCs w:val="20"/>
                <w:color w:val="auto"/>
              </w:rPr>
            </w:pPr>
            <w:r>
              <w:rPr>
                <w:rFonts w:ascii="Arial" w:cs="Arial" w:eastAsia="Arial" w:hAnsi="Arial"/>
                <w:sz w:val="10"/>
                <w:szCs w:val="10"/>
                <w:color w:val="auto"/>
              </w:rPr>
              <w:t>Revenues:</w:t>
            </w: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Leasing revenue</w:t>
            </w:r>
          </w:p>
        </w:tc>
        <w:tc>
          <w:tcPr>
            <w:tcW w:w="1640" w:type="dxa"/>
            <w:vAlign w:val="bottom"/>
            <w:gridSpan w:val="3"/>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168,842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631,139</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799,981</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w:t>
            </w:r>
          </w:p>
        </w:tc>
        <w:tc>
          <w:tcPr>
            <w:tcW w:w="14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57,083</w:t>
            </w: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57,145</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080" w:type="dxa"/>
            <w:vAlign w:val="bottom"/>
            <w:shd w:val="clear" w:color="auto" w:fill="CCEEFF"/>
          </w:tcPr>
          <w:p>
            <w:pPr>
              <w:ind w:left="160"/>
              <w:spacing w:after="0" w:line="110" w:lineRule="exact"/>
              <w:rPr>
                <w:sz w:val="20"/>
                <w:szCs w:val="20"/>
                <w:color w:val="auto"/>
              </w:rPr>
            </w:pPr>
            <w:r>
              <w:rPr>
                <w:rFonts w:ascii="Arial" w:cs="Arial" w:eastAsia="Arial" w:hAnsi="Arial"/>
                <w:sz w:val="10"/>
                <w:szCs w:val="10"/>
                <w:color w:val="auto"/>
              </w:rPr>
              <w:t>Total revenues</w:t>
            </w: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168,904</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688,222</w:t>
            </w:r>
          </w:p>
        </w:tc>
        <w:tc>
          <w:tcPr>
            <w:tcW w:w="10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857,126</w:t>
            </w:r>
          </w:p>
        </w:tc>
        <w:tc>
          <w:tcPr>
            <w:tcW w:w="0" w:type="dxa"/>
            <w:vAlign w:val="bottom"/>
          </w:tcPr>
          <w:p>
            <w:pPr>
              <w:spacing w:after="0"/>
              <w:rPr>
                <w:sz w:val="1"/>
                <w:szCs w:val="1"/>
                <w:color w:val="auto"/>
              </w:rPr>
            </w:pPr>
          </w:p>
        </w:tc>
      </w:tr>
      <w:tr>
        <w:trPr>
          <w:trHeight w:val="111"/>
        </w:trPr>
        <w:tc>
          <w:tcPr>
            <w:tcW w:w="360" w:type="dxa"/>
            <w:vAlign w:val="bottom"/>
          </w:tcPr>
          <w:p>
            <w:pPr>
              <w:spacing w:after="0"/>
              <w:rPr>
                <w:sz w:val="9"/>
                <w:szCs w:val="9"/>
                <w:color w:val="auto"/>
              </w:rPr>
            </w:pPr>
          </w:p>
        </w:tc>
        <w:tc>
          <w:tcPr>
            <w:tcW w:w="3080" w:type="dxa"/>
            <w:vAlign w:val="bottom"/>
          </w:tcPr>
          <w:p>
            <w:pPr>
              <w:ind w:left="20"/>
              <w:spacing w:after="0" w:line="107" w:lineRule="exact"/>
              <w:rPr>
                <w:sz w:val="20"/>
                <w:szCs w:val="20"/>
                <w:color w:val="auto"/>
              </w:rPr>
            </w:pPr>
            <w:r>
              <w:rPr>
                <w:rFonts w:ascii="Arial" w:cs="Arial" w:eastAsia="Arial" w:hAnsi="Arial"/>
                <w:sz w:val="10"/>
                <w:szCs w:val="10"/>
                <w:color w:val="auto"/>
              </w:rPr>
              <w:t>Expenses:</w:t>
            </w: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Shopping center and operating expenses</w:t>
            </w: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40,298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246,692</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286,990</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3080" w:type="dxa"/>
            <w:vAlign w:val="bottom"/>
          </w:tcPr>
          <w:p>
            <w:pPr>
              <w:ind w:left="100"/>
              <w:spacing w:after="0"/>
              <w:rPr>
                <w:sz w:val="20"/>
                <w:szCs w:val="20"/>
                <w:color w:val="auto"/>
              </w:rPr>
            </w:pPr>
            <w:r>
              <w:rPr>
                <w:rFonts w:ascii="Arial" w:cs="Arial" w:eastAsia="Arial" w:hAnsi="Arial"/>
                <w:sz w:val="10"/>
                <w:szCs w:val="10"/>
                <w:color w:val="auto"/>
              </w:rPr>
              <w:t>Leasing expense</w:t>
            </w: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1,286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4,392</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5,678</w:t>
            </w: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Interest expense</w:t>
            </w: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63,072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147,545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210,617</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Depreciation and amortization</w:t>
            </w:r>
          </w:p>
        </w:tc>
        <w:tc>
          <w:tcPr>
            <w:tcW w:w="14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97,494</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253,561</w:t>
            </w: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351,055</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080" w:type="dxa"/>
            <w:vAlign w:val="bottom"/>
            <w:shd w:val="clear" w:color="auto" w:fill="CCEEFF"/>
          </w:tcPr>
          <w:p>
            <w:pPr>
              <w:ind w:left="100"/>
              <w:spacing w:after="0" w:line="110" w:lineRule="exact"/>
              <w:rPr>
                <w:sz w:val="20"/>
                <w:szCs w:val="20"/>
                <w:color w:val="auto"/>
              </w:rPr>
            </w:pPr>
            <w:r>
              <w:rPr>
                <w:rFonts w:ascii="Arial" w:cs="Arial" w:eastAsia="Arial" w:hAnsi="Arial"/>
                <w:sz w:val="10"/>
                <w:szCs w:val="10"/>
                <w:color w:val="auto"/>
              </w:rPr>
              <w:t>Total operating expenses</w:t>
            </w: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202,150</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652,190</w:t>
            </w:r>
          </w:p>
        </w:tc>
        <w:tc>
          <w:tcPr>
            <w:tcW w:w="10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854,340</w:t>
            </w: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080" w:type="dxa"/>
            <w:vAlign w:val="bottom"/>
            <w:tcBorders>
              <w:bottom w:val="single" w:sz="8" w:color="CCEEFF"/>
            </w:tcBorders>
          </w:tcPr>
          <w:p>
            <w:pPr>
              <w:ind w:left="20"/>
              <w:spacing w:after="0" w:line="107" w:lineRule="exact"/>
              <w:rPr>
                <w:sz w:val="20"/>
                <w:szCs w:val="20"/>
                <w:color w:val="auto"/>
              </w:rPr>
            </w:pPr>
            <w:r>
              <w:rPr>
                <w:rFonts w:ascii="Arial" w:cs="Arial" w:eastAsia="Arial" w:hAnsi="Arial"/>
                <w:sz w:val="10"/>
                <w:szCs w:val="10"/>
                <w:color w:val="auto"/>
              </w:rPr>
              <w:t>Loss on sale of assets</w:t>
            </w:r>
          </w:p>
        </w:tc>
        <w:tc>
          <w:tcPr>
            <w:tcW w:w="14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(9,178)</w:t>
            </w:r>
          </w:p>
        </w:tc>
        <w:tc>
          <w:tcPr>
            <w:tcW w:w="1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(9,178)</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 income</w:t>
            </w:r>
          </w:p>
        </w:tc>
        <w:tc>
          <w:tcPr>
            <w:tcW w:w="1500" w:type="dxa"/>
            <w:vAlign w:val="bottom"/>
            <w:tcBorders>
              <w:bottom w:val="single" w:sz="8" w:color="CCEEFF"/>
            </w:tcBorders>
            <w:gridSpan w:val="2"/>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(33,246)</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26,854</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(6,392)</w:t>
            </w: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Company's equity in net (loss) income</w:t>
            </w:r>
          </w:p>
        </w:tc>
        <w:tc>
          <w:tcPr>
            <w:tcW w:w="1500" w:type="dxa"/>
            <w:vAlign w:val="bottom"/>
            <w:tcBorders>
              <w:bottom w:val="single" w:sz="8" w:color="CCEEFF"/>
            </w:tcBorders>
            <w:gridSpan w:val="2"/>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(10,866)</w:t>
            </w: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26,555</w:t>
            </w:r>
          </w:p>
        </w:tc>
        <w:tc>
          <w:tcPr>
            <w:tcW w:w="10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15,689</w:t>
            </w:r>
          </w:p>
        </w:tc>
        <w:tc>
          <w:tcPr>
            <w:tcW w:w="0" w:type="dxa"/>
            <w:vAlign w:val="bottom"/>
          </w:tcPr>
          <w:p>
            <w:pPr>
              <w:spacing w:after="0"/>
              <w:rPr>
                <w:sz w:val="1"/>
                <w:szCs w:val="1"/>
                <w:color w:val="auto"/>
              </w:rPr>
            </w:pPr>
          </w:p>
        </w:tc>
      </w:tr>
      <w:tr>
        <w:trPr>
          <w:trHeight w:val="126"/>
        </w:trPr>
        <w:tc>
          <w:tcPr>
            <w:tcW w:w="360" w:type="dxa"/>
            <w:vAlign w:val="bottom"/>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3080" w:type="dxa"/>
            <w:vAlign w:val="bottom"/>
          </w:tcPr>
          <w:p>
            <w:pPr>
              <w:ind w:left="20"/>
              <w:spacing w:after="0"/>
              <w:rPr>
                <w:sz w:val="20"/>
                <w:szCs w:val="20"/>
                <w:color w:val="auto"/>
              </w:rPr>
            </w:pPr>
            <w:r>
              <w:rPr>
                <w:rFonts w:ascii="Arial" w:cs="Arial" w:eastAsia="Arial" w:hAnsi="Arial"/>
                <w:sz w:val="10"/>
                <w:szCs w:val="10"/>
                <w:i w:val="1"/>
                <w:iCs w:val="1"/>
                <w:color w:val="auto"/>
              </w:rPr>
              <w:t>Year Ended December 31, 2020</w:t>
            </w: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Revenues:</w:t>
            </w: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3080" w:type="dxa"/>
            <w:vAlign w:val="bottom"/>
          </w:tcPr>
          <w:p>
            <w:pPr>
              <w:ind w:left="100"/>
              <w:spacing w:after="0"/>
              <w:rPr>
                <w:sz w:val="20"/>
                <w:szCs w:val="20"/>
                <w:color w:val="auto"/>
              </w:rPr>
            </w:pPr>
            <w:r>
              <w:rPr>
                <w:rFonts w:ascii="Arial" w:cs="Arial" w:eastAsia="Arial" w:hAnsi="Arial"/>
                <w:sz w:val="10"/>
                <w:szCs w:val="10"/>
                <w:color w:val="auto"/>
              </w:rPr>
              <w:t>Leasing revenue</w:t>
            </w: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171,505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633,357</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804,862</w:t>
            </w: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w:t>
            </w:r>
          </w:p>
        </w:tc>
        <w:tc>
          <w:tcPr>
            <w:tcW w:w="14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614</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18,439</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19,053</w:t>
            </w: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080" w:type="dxa"/>
            <w:vAlign w:val="bottom"/>
            <w:tcBorders>
              <w:bottom w:val="single" w:sz="8" w:color="CCEEFF"/>
            </w:tcBorders>
          </w:tcPr>
          <w:p>
            <w:pPr>
              <w:ind w:left="160"/>
              <w:spacing w:after="0" w:line="107" w:lineRule="exact"/>
              <w:rPr>
                <w:sz w:val="20"/>
                <w:szCs w:val="20"/>
                <w:color w:val="auto"/>
              </w:rPr>
            </w:pPr>
            <w:r>
              <w:rPr>
                <w:rFonts w:ascii="Arial" w:cs="Arial" w:eastAsia="Arial" w:hAnsi="Arial"/>
                <w:sz w:val="10"/>
                <w:szCs w:val="10"/>
                <w:color w:val="auto"/>
              </w:rPr>
              <w:t>Total revenues</w:t>
            </w:r>
          </w:p>
        </w:tc>
        <w:tc>
          <w:tcPr>
            <w:tcW w:w="14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172,119</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651,796</w:t>
            </w:r>
          </w:p>
        </w:tc>
        <w:tc>
          <w:tcPr>
            <w:tcW w:w="1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823,915</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08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Expenses:</w:t>
            </w: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3080" w:type="dxa"/>
            <w:vAlign w:val="bottom"/>
          </w:tcPr>
          <w:p>
            <w:pPr>
              <w:ind w:left="100"/>
              <w:spacing w:after="0"/>
              <w:rPr>
                <w:sz w:val="20"/>
                <w:szCs w:val="20"/>
                <w:color w:val="auto"/>
              </w:rPr>
            </w:pPr>
            <w:r>
              <w:rPr>
                <w:rFonts w:ascii="Arial" w:cs="Arial" w:eastAsia="Arial" w:hAnsi="Arial"/>
                <w:sz w:val="10"/>
                <w:szCs w:val="10"/>
                <w:color w:val="auto"/>
              </w:rPr>
              <w:t>Shopping center and operating expenses</w:t>
            </w: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37,018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240,139</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277,157</w:t>
            </w: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Leasing expense</w:t>
            </w: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4,173</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5,498</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3080" w:type="dxa"/>
            <w:vAlign w:val="bottom"/>
          </w:tcPr>
          <w:p>
            <w:pPr>
              <w:ind w:left="100"/>
              <w:spacing w:after="0"/>
              <w:rPr>
                <w:sz w:val="20"/>
                <w:szCs w:val="20"/>
                <w:color w:val="auto"/>
              </w:rPr>
            </w:pPr>
            <w:r>
              <w:rPr>
                <w:rFonts w:ascii="Arial" w:cs="Arial" w:eastAsia="Arial" w:hAnsi="Arial"/>
                <w:sz w:val="10"/>
                <w:szCs w:val="10"/>
                <w:color w:val="auto"/>
              </w:rPr>
              <w:t>Interest expense</w:t>
            </w: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64,460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151,857</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216,317</w:t>
            </w: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Depreciation and amortization</w:t>
            </w:r>
          </w:p>
        </w:tc>
        <w:tc>
          <w:tcPr>
            <w:tcW w:w="14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102,788</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285,948</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388,736</w:t>
            </w: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080" w:type="dxa"/>
            <w:vAlign w:val="bottom"/>
            <w:tcBorders>
              <w:bottom w:val="single" w:sz="8" w:color="CCEEFF"/>
            </w:tcBorders>
          </w:tcPr>
          <w:p>
            <w:pPr>
              <w:ind w:left="100"/>
              <w:spacing w:after="0" w:line="107" w:lineRule="exact"/>
              <w:rPr>
                <w:sz w:val="20"/>
                <w:szCs w:val="20"/>
                <w:color w:val="auto"/>
              </w:rPr>
            </w:pPr>
            <w:r>
              <w:rPr>
                <w:rFonts w:ascii="Arial" w:cs="Arial" w:eastAsia="Arial" w:hAnsi="Arial"/>
                <w:sz w:val="10"/>
                <w:szCs w:val="10"/>
                <w:color w:val="auto"/>
              </w:rPr>
              <w:t>Total operating expenses</w:t>
            </w:r>
          </w:p>
        </w:tc>
        <w:tc>
          <w:tcPr>
            <w:tcW w:w="14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205,591</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682,117</w:t>
            </w:r>
          </w:p>
        </w:tc>
        <w:tc>
          <w:tcPr>
            <w:tcW w:w="1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887,708</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08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(Loss) gain on sale of assets</w:t>
            </w: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157</w:t>
            </w:r>
          </w:p>
        </w:tc>
        <w:tc>
          <w:tcPr>
            <w:tcW w:w="10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loss</w:t>
            </w:r>
          </w:p>
        </w:tc>
        <w:tc>
          <w:tcPr>
            <w:tcW w:w="1500" w:type="dxa"/>
            <w:vAlign w:val="bottom"/>
            <w:tcBorders>
              <w:bottom w:val="single" w:sz="8" w:color="CCEEFF"/>
            </w:tcBorders>
            <w:gridSpan w:val="2"/>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(33,592)</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(30,164)</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(63,756)</w:t>
            </w: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Company's equity in net loss</w:t>
            </w:r>
          </w:p>
        </w:tc>
        <w:tc>
          <w:tcPr>
            <w:tcW w:w="14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(10,371)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(16,667)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230" w:right="1440" w:bottom="1440" w:gutter="0" w:footer="0" w:header="0"/>
        </w:sectPr>
      </w:pPr>
    </w:p>
    <w:bookmarkStart w:id="85" w:name="page86"/>
    <w:bookmarkEnd w:id="85"/>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 Investments in Unconsolidated Joint Ventures: (Continued)</w:t>
      </w:r>
    </w:p>
    <w:p>
      <w:pPr>
        <w:spacing w:after="0" w:line="200" w:lineRule="exact"/>
        <w:rPr>
          <w:sz w:val="20"/>
          <w:szCs w:val="20"/>
          <w:color w:val="auto"/>
        </w:rPr>
      </w:pPr>
    </w:p>
    <w:p>
      <w:pPr>
        <w:spacing w:after="0" w:line="262" w:lineRule="exact"/>
        <w:rPr>
          <w:sz w:val="20"/>
          <w:szCs w:val="20"/>
          <w:color w:val="auto"/>
        </w:rPr>
      </w:pPr>
    </w:p>
    <w:tbl>
      <w:tblPr>
        <w:tblLayout w:type="fixed"/>
        <w:tblInd w:w="1788"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Other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PPR Portfolio</w:t>
            </w:r>
          </w:p>
        </w:tc>
        <w:tc>
          <w:tcPr>
            <w:tcW w:w="180" w:type="dxa"/>
            <w:vAlign w:val="bottom"/>
          </w:tcPr>
          <w:p>
            <w:pPr>
              <w:spacing w:after="0"/>
              <w:rPr>
                <w:sz w:val="7"/>
                <w:szCs w:val="7"/>
                <w:color w:val="auto"/>
              </w:rPr>
            </w:pPr>
          </w:p>
        </w:tc>
        <w:tc>
          <w:tcPr>
            <w:tcW w:w="960" w:type="dxa"/>
            <w:vAlign w:val="bottom"/>
            <w:gridSpan w:val="2"/>
          </w:tcPr>
          <w:p>
            <w:pPr>
              <w:jc w:val="center"/>
              <w:ind w:right="300"/>
              <w:spacing w:after="0" w:line="90" w:lineRule="exact"/>
              <w:rPr>
                <w:sz w:val="20"/>
                <w:szCs w:val="20"/>
                <w:color w:val="auto"/>
              </w:rPr>
            </w:pPr>
            <w:r>
              <w:rPr>
                <w:rFonts w:ascii="Arial" w:cs="Arial" w:eastAsia="Arial" w:hAnsi="Arial"/>
                <w:sz w:val="10"/>
                <w:szCs w:val="10"/>
                <w:b w:val="1"/>
                <w:bCs w:val="1"/>
                <w:color w:val="auto"/>
                <w:w w:val="91"/>
              </w:rPr>
              <w:t>Joint</w:t>
            </w:r>
          </w:p>
        </w:tc>
        <w:tc>
          <w:tcPr>
            <w:tcW w:w="240" w:type="dxa"/>
            <w:vAlign w:val="bottom"/>
          </w:tcPr>
          <w:p>
            <w:pPr>
              <w:spacing w:after="0"/>
              <w:rPr>
                <w:sz w:val="7"/>
                <w:szCs w:val="7"/>
                <w:color w:val="auto"/>
              </w:rPr>
            </w:pPr>
          </w:p>
        </w:tc>
        <w:tc>
          <w:tcPr>
            <w:tcW w:w="84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4"/>
              </w:rPr>
              <w:t>Ventures</w:t>
            </w:r>
          </w:p>
        </w:tc>
        <w:tc>
          <w:tcPr>
            <w:tcW w:w="2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02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0"/>
                <w:szCs w:val="10"/>
                <w:i w:val="1"/>
                <w:iCs w:val="1"/>
                <w:color w:val="auto"/>
              </w:rPr>
              <w:t>Year Ended December 31, 2019</w:t>
            </w:r>
          </w:p>
        </w:tc>
        <w:tc>
          <w:tcPr>
            <w:tcW w:w="1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160" w:type="dxa"/>
            <w:vAlign w:val="bottom"/>
            <w:gridSpan w:val="2"/>
          </w:tcPr>
          <w:p>
            <w:pPr>
              <w:ind w:left="20"/>
              <w:spacing w:after="0"/>
              <w:rPr>
                <w:sz w:val="20"/>
                <w:szCs w:val="20"/>
                <w:color w:val="auto"/>
              </w:rPr>
            </w:pPr>
            <w:r>
              <w:rPr>
                <w:rFonts w:ascii="Arial" w:cs="Arial" w:eastAsia="Arial" w:hAnsi="Arial"/>
                <w:sz w:val="10"/>
                <w:szCs w:val="10"/>
                <w:color w:val="auto"/>
              </w:rPr>
              <w:t>Revenues:</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Leasing revenue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187,789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712,860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900,649</w:t>
            </w:r>
          </w:p>
        </w:tc>
        <w:tc>
          <w:tcPr>
            <w:tcW w:w="0" w:type="dxa"/>
            <w:vAlign w:val="bottom"/>
          </w:tcPr>
          <w:p>
            <w:pPr>
              <w:spacing w:after="0"/>
              <w:rPr>
                <w:sz w:val="1"/>
                <w:szCs w:val="1"/>
                <w:color w:val="auto"/>
              </w:rPr>
            </w:pPr>
          </w:p>
        </w:tc>
      </w:tr>
      <w:tr>
        <w:trPr>
          <w:trHeight w:val="124"/>
        </w:trPr>
        <w:tc>
          <w:tcPr>
            <w:tcW w:w="4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0"/>
                <w:szCs w:val="10"/>
                <w:color w:val="auto"/>
              </w:rPr>
              <w:t>Other</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1,598</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49,184</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50,782</w:t>
            </w:r>
          </w:p>
        </w:tc>
        <w:tc>
          <w:tcPr>
            <w:tcW w:w="0" w:type="dxa"/>
            <w:vAlign w:val="bottom"/>
          </w:tcPr>
          <w:p>
            <w:pPr>
              <w:spacing w:after="0"/>
              <w:rPr>
                <w:sz w:val="1"/>
                <w:szCs w:val="1"/>
                <w:color w:val="auto"/>
              </w:rPr>
            </w:pPr>
          </w:p>
        </w:tc>
      </w:tr>
      <w:tr>
        <w:trPr>
          <w:trHeight w:val="117"/>
        </w:trPr>
        <w:tc>
          <w:tcPr>
            <w:tcW w:w="4160" w:type="dxa"/>
            <w:vAlign w:val="bottom"/>
            <w:gridSpan w:val="2"/>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revenues</w:t>
            </w:r>
          </w:p>
        </w:tc>
        <w:tc>
          <w:tcPr>
            <w:tcW w:w="2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189,387</w:t>
            </w: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762,044</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951,431</w:t>
            </w:r>
          </w:p>
        </w:tc>
        <w:tc>
          <w:tcPr>
            <w:tcW w:w="0" w:type="dxa"/>
            <w:vAlign w:val="bottom"/>
          </w:tcPr>
          <w:p>
            <w:pPr>
              <w:spacing w:after="0"/>
              <w:rPr>
                <w:sz w:val="1"/>
                <w:szCs w:val="1"/>
                <w:color w:val="auto"/>
              </w:rPr>
            </w:pPr>
          </w:p>
        </w:tc>
      </w:tr>
      <w:tr>
        <w:trPr>
          <w:trHeight w:val="104"/>
        </w:trPr>
        <w:tc>
          <w:tcPr>
            <w:tcW w:w="4160" w:type="dxa"/>
            <w:vAlign w:val="bottom"/>
            <w:gridSpan w:val="2"/>
          </w:tcPr>
          <w:p>
            <w:pPr>
              <w:ind w:left="20"/>
              <w:spacing w:after="0" w:line="102" w:lineRule="exact"/>
              <w:rPr>
                <w:sz w:val="20"/>
                <w:szCs w:val="20"/>
                <w:color w:val="auto"/>
              </w:rPr>
            </w:pPr>
            <w:r>
              <w:rPr>
                <w:rFonts w:ascii="Arial" w:cs="Arial" w:eastAsia="Arial" w:hAnsi="Arial"/>
                <w:sz w:val="10"/>
                <w:szCs w:val="10"/>
                <w:color w:val="auto"/>
              </w:rPr>
              <w:t>Expenses:</w:t>
            </w: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Shopping center and operating expenses</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37,528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250,598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288,126</w:t>
            </w:r>
          </w:p>
        </w:tc>
        <w:tc>
          <w:tcPr>
            <w:tcW w:w="0" w:type="dxa"/>
            <w:vAlign w:val="bottom"/>
          </w:tcPr>
          <w:p>
            <w:pPr>
              <w:spacing w:after="0"/>
              <w:rPr>
                <w:sz w:val="1"/>
                <w:szCs w:val="1"/>
                <w:color w:val="auto"/>
              </w:rPr>
            </w:pPr>
          </w:p>
        </w:tc>
      </w:tr>
      <w:tr>
        <w:trPr>
          <w:trHeight w:val="124"/>
        </w:trPr>
        <w:tc>
          <w:tcPr>
            <w:tcW w:w="4160" w:type="dxa"/>
            <w:vAlign w:val="bottom"/>
            <w:gridSpan w:val="2"/>
          </w:tcPr>
          <w:p>
            <w:pPr>
              <w:ind w:left="100"/>
              <w:spacing w:after="0"/>
              <w:rPr>
                <w:sz w:val="20"/>
                <w:szCs w:val="20"/>
                <w:color w:val="auto"/>
              </w:rPr>
            </w:pPr>
            <w:r>
              <w:rPr>
                <w:rFonts w:ascii="Arial" w:cs="Arial" w:eastAsia="Arial" w:hAnsi="Arial"/>
                <w:sz w:val="10"/>
                <w:szCs w:val="10"/>
                <w:color w:val="auto"/>
              </w:rPr>
              <w:t>Leasing expense</w:t>
            </w:r>
          </w:p>
        </w:tc>
        <w:tc>
          <w:tcPr>
            <w:tcW w:w="200" w:type="dxa"/>
            <w:vAlign w:val="bottom"/>
          </w:tcPr>
          <w:p>
            <w:pPr>
              <w:spacing w:after="0"/>
              <w:rPr>
                <w:sz w:val="10"/>
                <w:szCs w:val="10"/>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1,598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6,695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8,293</w:t>
            </w:r>
          </w:p>
        </w:tc>
        <w:tc>
          <w:tcPr>
            <w:tcW w:w="0" w:type="dxa"/>
            <w:vAlign w:val="bottom"/>
          </w:tcPr>
          <w:p>
            <w:pPr>
              <w:spacing w:after="0"/>
              <w:rPr>
                <w:sz w:val="1"/>
                <w:szCs w:val="1"/>
                <w:color w:val="auto"/>
              </w:rPr>
            </w:pPr>
          </w:p>
        </w:tc>
      </w:tr>
      <w:tr>
        <w:trPr>
          <w:trHeight w:val="128"/>
        </w:trPr>
        <w:tc>
          <w:tcPr>
            <w:tcW w:w="4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Interest expense</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67,354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150,111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217,465</w:t>
            </w:r>
          </w:p>
        </w:tc>
        <w:tc>
          <w:tcPr>
            <w:tcW w:w="0" w:type="dxa"/>
            <w:vAlign w:val="bottom"/>
          </w:tcPr>
          <w:p>
            <w:pPr>
              <w:spacing w:after="0"/>
              <w:rPr>
                <w:sz w:val="1"/>
                <w:szCs w:val="1"/>
                <w:color w:val="auto"/>
              </w:rPr>
            </w:pPr>
          </w:p>
        </w:tc>
      </w:tr>
      <w:tr>
        <w:trPr>
          <w:trHeight w:val="124"/>
        </w:trPr>
        <w:tc>
          <w:tcPr>
            <w:tcW w:w="4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0"/>
                <w:szCs w:val="10"/>
                <w:color w:val="auto"/>
              </w:rPr>
              <w:t>Depreciation and amortization</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100,490</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273,565</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374,055</w:t>
            </w:r>
          </w:p>
        </w:tc>
        <w:tc>
          <w:tcPr>
            <w:tcW w:w="0" w:type="dxa"/>
            <w:vAlign w:val="bottom"/>
          </w:tcPr>
          <w:p>
            <w:pPr>
              <w:spacing w:after="0"/>
              <w:rPr>
                <w:sz w:val="1"/>
                <w:szCs w:val="1"/>
                <w:color w:val="auto"/>
              </w:rPr>
            </w:pPr>
          </w:p>
        </w:tc>
      </w:tr>
      <w:tr>
        <w:trPr>
          <w:trHeight w:val="117"/>
        </w:trPr>
        <w:tc>
          <w:tcPr>
            <w:tcW w:w="4160" w:type="dxa"/>
            <w:vAlign w:val="bottom"/>
            <w:gridSpan w:val="2"/>
            <w:shd w:val="clear" w:color="auto" w:fill="CCEEFF"/>
          </w:tcPr>
          <w:p>
            <w:pPr>
              <w:ind w:left="100"/>
              <w:spacing w:after="0" w:line="110" w:lineRule="exact"/>
              <w:rPr>
                <w:sz w:val="20"/>
                <w:szCs w:val="20"/>
                <w:color w:val="auto"/>
              </w:rPr>
            </w:pPr>
            <w:r>
              <w:rPr>
                <w:rFonts w:ascii="Arial" w:cs="Arial" w:eastAsia="Arial" w:hAnsi="Arial"/>
                <w:sz w:val="10"/>
                <w:szCs w:val="10"/>
                <w:color w:val="auto"/>
              </w:rPr>
              <w:t>Total operating expenses</w:t>
            </w:r>
          </w:p>
        </w:tc>
        <w:tc>
          <w:tcPr>
            <w:tcW w:w="2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206,970</w:t>
            </w: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680,969</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887,939</w:t>
            </w:r>
          </w:p>
        </w:tc>
        <w:tc>
          <w:tcPr>
            <w:tcW w:w="0" w:type="dxa"/>
            <w:vAlign w:val="bottom"/>
          </w:tcPr>
          <w:p>
            <w:pPr>
              <w:spacing w:after="0"/>
              <w:rPr>
                <w:sz w:val="1"/>
                <w:szCs w:val="1"/>
                <w:color w:val="auto"/>
              </w:rPr>
            </w:pPr>
          </w:p>
        </w:tc>
      </w:tr>
      <w:tr>
        <w:trPr>
          <w:trHeight w:val="113"/>
        </w:trPr>
        <w:tc>
          <w:tcPr>
            <w:tcW w:w="4160" w:type="dxa"/>
            <w:vAlign w:val="bottom"/>
            <w:tcBorders>
              <w:bottom w:val="single" w:sz="8" w:color="CCEEFF"/>
            </w:tcBorders>
            <w:gridSpan w:val="2"/>
          </w:tcPr>
          <w:p>
            <w:pPr>
              <w:ind w:left="20"/>
              <w:spacing w:after="0" w:line="107" w:lineRule="exact"/>
              <w:rPr>
                <w:sz w:val="20"/>
                <w:szCs w:val="20"/>
                <w:color w:val="auto"/>
              </w:rPr>
            </w:pPr>
            <w:r>
              <w:rPr>
                <w:rFonts w:ascii="Arial" w:cs="Arial" w:eastAsia="Arial" w:hAnsi="Arial"/>
                <w:sz w:val="10"/>
                <w:szCs w:val="10"/>
                <w:color w:val="auto"/>
              </w:rPr>
              <w:t>Loss on sale of assets</w:t>
            </w: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(452)</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(380)</w:t>
            </w: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(832)</w:t>
            </w:r>
          </w:p>
        </w:tc>
        <w:tc>
          <w:tcPr>
            <w:tcW w:w="0" w:type="dxa"/>
            <w:vAlign w:val="bottom"/>
          </w:tcPr>
          <w:p>
            <w:pPr>
              <w:spacing w:after="0"/>
              <w:rPr>
                <w:sz w:val="1"/>
                <w:szCs w:val="1"/>
                <w:color w:val="auto"/>
              </w:rPr>
            </w:pPr>
          </w:p>
        </w:tc>
      </w:tr>
      <w:tr>
        <w:trPr>
          <w:trHeight w:val="13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Net (loss) income</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(18,035)</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80,695</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62,660</w:t>
            </w:r>
          </w:p>
        </w:tc>
        <w:tc>
          <w:tcPr>
            <w:tcW w:w="0" w:type="dxa"/>
            <w:vAlign w:val="bottom"/>
          </w:tcPr>
          <w:p>
            <w:pPr>
              <w:spacing w:after="0"/>
              <w:rPr>
                <w:sz w:val="1"/>
                <w:szCs w:val="1"/>
                <w:color w:val="auto"/>
              </w:rPr>
            </w:pPr>
          </w:p>
        </w:tc>
      </w:tr>
      <w:tr>
        <w:trPr>
          <w:trHeight w:val="126"/>
        </w:trPr>
        <w:tc>
          <w:tcPr>
            <w:tcW w:w="4160" w:type="dxa"/>
            <w:vAlign w:val="bottom"/>
            <w:gridSpan w:val="2"/>
          </w:tcPr>
          <w:p>
            <w:pPr>
              <w:ind w:left="20"/>
              <w:spacing w:after="0"/>
              <w:rPr>
                <w:sz w:val="20"/>
                <w:szCs w:val="20"/>
                <w:color w:val="auto"/>
              </w:rPr>
            </w:pPr>
            <w:r>
              <w:rPr>
                <w:rFonts w:ascii="Arial" w:cs="Arial" w:eastAsia="Arial" w:hAnsi="Arial"/>
                <w:sz w:val="10"/>
                <w:szCs w:val="10"/>
                <w:color w:val="auto"/>
              </w:rPr>
              <w:t>Company's equity in net (loss) income</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(590)</w:t>
            </w: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116"/>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49,098</w:t>
            </w:r>
          </w:p>
        </w:tc>
        <w:tc>
          <w:tcPr>
            <w:tcW w:w="100" w:type="dxa"/>
            <w:vAlign w:val="bottom"/>
          </w:tcPr>
          <w:p>
            <w:pPr>
              <w:spacing w:after="0"/>
              <w:rPr>
                <w:sz w:val="10"/>
                <w:szCs w:val="10"/>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48,508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Significant accounting policies used by the unconsolidated joint ventures are similar to those used by the Company.</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5. Derivative Instruments and Hedging Activities:</w:t>
      </w:r>
    </w:p>
    <w:p>
      <w:pPr>
        <w:spacing w:after="0" w:line="109" w:lineRule="exact"/>
        <w:rPr>
          <w:sz w:val="20"/>
          <w:szCs w:val="20"/>
          <w:color w:val="auto"/>
        </w:rPr>
      </w:pPr>
    </w:p>
    <w:p>
      <w:pPr>
        <w:ind w:left="8" w:firstLine="297"/>
        <w:spacing w:after="0" w:line="263" w:lineRule="auto"/>
        <w:rPr>
          <w:sz w:val="20"/>
          <w:szCs w:val="20"/>
          <w:color w:val="auto"/>
        </w:rPr>
      </w:pPr>
      <w:r>
        <w:rPr>
          <w:rFonts w:ascii="Arial" w:cs="Arial" w:eastAsia="Arial" w:hAnsi="Arial"/>
          <w:sz w:val="12"/>
          <w:szCs w:val="12"/>
          <w:color w:val="auto"/>
        </w:rPr>
        <w:t>The Company uses an interest rate cap and four interest rate swap agreements to manage the interest rate risk of its floating rate debt. The Company recorded other comprehensive income (loss) related to the marking-to-market of derivative instruments of $8,184, $843 and $(4,585) during the years ended December 31, 2021, 2020 and 2019, respectively. The fair value of the Company's derivatives was $6 and $(8,208) at December 31, 2021 and 2020, respectively.</w:t>
      </w:r>
    </w:p>
    <w:p>
      <w:pPr>
        <w:spacing w:after="0" w:line="77"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derivatives were outstanding at December 31, 2021 and December 31, 2020:</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91"/>
              </w:rPr>
              <w:t>Fair Value</w:t>
            </w: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28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Property</w:t>
            </w:r>
          </w:p>
        </w:tc>
        <w:tc>
          <w:tcPr>
            <w:tcW w:w="120" w:type="dxa"/>
            <w:vAlign w:val="bottom"/>
            <w:vMerge w:val="restart"/>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vMerge w:val="restart"/>
          </w:tcPr>
          <w:p>
            <w:pPr>
              <w:jc w:val="right"/>
              <w:ind w:right="148"/>
              <w:spacing w:after="0"/>
              <w:rPr>
                <w:sz w:val="20"/>
                <w:szCs w:val="20"/>
                <w:color w:val="auto"/>
              </w:rPr>
            </w:pPr>
            <w:r>
              <w:rPr>
                <w:rFonts w:ascii="Arial" w:cs="Arial" w:eastAsia="Arial" w:hAnsi="Arial"/>
                <w:sz w:val="10"/>
                <w:szCs w:val="10"/>
                <w:b w:val="1"/>
                <w:bCs w:val="1"/>
                <w:color w:val="auto"/>
                <w:w w:val="96"/>
              </w:rPr>
              <w:t>Notional Amount</w:t>
            </w:r>
          </w:p>
        </w:tc>
        <w:tc>
          <w:tcPr>
            <w:tcW w:w="80" w:type="dxa"/>
            <w:vAlign w:val="bottom"/>
            <w:vMerge w:val="restart"/>
          </w:tcPr>
          <w:p>
            <w:pPr>
              <w:spacing w:after="0"/>
              <w:rPr>
                <w:sz w:val="7"/>
                <w:szCs w:val="7"/>
                <w:color w:val="auto"/>
              </w:rPr>
            </w:pPr>
          </w:p>
        </w:tc>
        <w:tc>
          <w:tcPr>
            <w:tcW w:w="78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Product</w:t>
            </w:r>
          </w:p>
        </w:tc>
        <w:tc>
          <w:tcPr>
            <w:tcW w:w="80" w:type="dxa"/>
            <w:vAlign w:val="bottom"/>
            <w:vMerge w:val="restart"/>
          </w:tcPr>
          <w:p>
            <w:pPr>
              <w:spacing w:after="0"/>
              <w:rPr>
                <w:sz w:val="7"/>
                <w:szCs w:val="7"/>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LIBOR Rate</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rPr>
              <w:t>Maturity</w:t>
            </w:r>
          </w:p>
        </w:tc>
        <w:tc>
          <w:tcPr>
            <w:tcW w:w="80" w:type="dxa"/>
            <w:vAlign w:val="bottom"/>
            <w:vMerge w:val="restart"/>
          </w:tcPr>
          <w:p>
            <w:pPr>
              <w:spacing w:after="0"/>
              <w:rPr>
                <w:sz w:val="7"/>
                <w:szCs w:val="7"/>
                <w:color w:val="auto"/>
              </w:rPr>
            </w:pPr>
          </w:p>
        </w:tc>
        <w:tc>
          <w:tcPr>
            <w:tcW w:w="114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December 31,</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jc w:val="right"/>
              <w:ind w:right="231"/>
              <w:spacing w:after="0" w:line="83" w:lineRule="exact"/>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125"/>
        </w:trPr>
        <w:tc>
          <w:tcPr>
            <w:tcW w:w="22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5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4"/>
        </w:trPr>
        <w:tc>
          <w:tcPr>
            <w:tcW w:w="24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Santa Monica Place(1)</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Cap</w:t>
            </w:r>
          </w:p>
        </w:tc>
        <w:tc>
          <w:tcPr>
            <w:tcW w:w="1100" w:type="dxa"/>
            <w:vAlign w:val="bottom"/>
            <w:shd w:val="clear" w:color="auto" w:fill="CCEEFF"/>
          </w:tcPr>
          <w:p>
            <w:pPr>
              <w:jc w:val="right"/>
              <w:ind w:right="208"/>
              <w:spacing w:after="0"/>
              <w:rPr>
                <w:sz w:val="20"/>
                <w:szCs w:val="20"/>
                <w:color w:val="auto"/>
              </w:rPr>
            </w:pPr>
            <w:r>
              <w:rPr>
                <w:rFonts w:ascii="Arial" w:cs="Arial" w:eastAsia="Arial" w:hAnsi="Arial"/>
                <w:sz w:val="11"/>
                <w:szCs w:val="11"/>
                <w:color w:val="auto"/>
              </w:rPr>
              <w:t>4.00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12/9/2022</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731"/>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400" w:type="dxa"/>
            <w:vAlign w:val="bottom"/>
            <w:gridSpan w:val="2"/>
          </w:tcPr>
          <w:p>
            <w:pPr>
              <w:ind w:left="300"/>
              <w:spacing w:after="0"/>
              <w:rPr>
                <w:sz w:val="20"/>
                <w:szCs w:val="20"/>
                <w:color w:val="auto"/>
              </w:rPr>
            </w:pPr>
            <w:r>
              <w:rPr>
                <w:rFonts w:ascii="Arial" w:cs="Arial" w:eastAsia="Arial" w:hAnsi="Arial"/>
                <w:sz w:val="11"/>
                <w:szCs w:val="11"/>
                <w:color w:val="auto"/>
              </w:rPr>
              <w:t>The Macerich Partnership, L.P.(1)</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400,000</w:t>
            </w:r>
          </w:p>
        </w:tc>
        <w:tc>
          <w:tcPr>
            <w:tcW w:w="80" w:type="dxa"/>
            <w:vAlign w:val="bottom"/>
          </w:tcPr>
          <w:p>
            <w:pPr>
              <w:spacing w:after="0"/>
              <w:rPr>
                <w:sz w:val="12"/>
                <w:szCs w:val="12"/>
                <w:color w:val="auto"/>
              </w:rPr>
            </w:pPr>
          </w:p>
        </w:tc>
        <w:tc>
          <w:tcPr>
            <w:tcW w:w="860" w:type="dxa"/>
            <w:vAlign w:val="bottom"/>
            <w:gridSpan w:val="2"/>
          </w:tcPr>
          <w:p>
            <w:pPr>
              <w:ind w:left="300"/>
              <w:spacing w:after="0"/>
              <w:rPr>
                <w:sz w:val="20"/>
                <w:szCs w:val="20"/>
                <w:color w:val="auto"/>
              </w:rPr>
            </w:pPr>
            <w:r>
              <w:rPr>
                <w:rFonts w:ascii="Arial" w:cs="Arial" w:eastAsia="Arial" w:hAnsi="Arial"/>
                <w:sz w:val="11"/>
                <w:szCs w:val="11"/>
                <w:color w:val="auto"/>
              </w:rPr>
              <w:t>Swaps</w:t>
            </w:r>
          </w:p>
        </w:tc>
        <w:tc>
          <w:tcPr>
            <w:tcW w:w="1100" w:type="dxa"/>
            <w:vAlign w:val="bottom"/>
          </w:tcPr>
          <w:p>
            <w:pPr>
              <w:jc w:val="right"/>
              <w:ind w:right="208"/>
              <w:spacing w:after="0"/>
              <w:rPr>
                <w:sz w:val="20"/>
                <w:szCs w:val="20"/>
                <w:color w:val="auto"/>
              </w:rPr>
            </w:pPr>
            <w:r>
              <w:rPr>
                <w:rFonts w:ascii="Arial" w:cs="Arial" w:eastAsia="Arial" w:hAnsi="Arial"/>
                <w:sz w:val="11"/>
                <w:szCs w:val="11"/>
                <w:color w:val="auto"/>
              </w:rPr>
              <w:t>2.85</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9/30/2021</w:t>
            </w:r>
          </w:p>
        </w:tc>
        <w:tc>
          <w:tcPr>
            <w:tcW w:w="80" w:type="dxa"/>
            <w:vAlign w:val="bottom"/>
          </w:tcPr>
          <w:p>
            <w:pPr>
              <w:spacing w:after="0"/>
              <w:rPr>
                <w:sz w:val="12"/>
                <w:szCs w:val="12"/>
                <w:color w:val="auto"/>
              </w:rPr>
            </w:pPr>
          </w:p>
        </w:tc>
        <w:tc>
          <w:tcPr>
            <w:tcW w:w="1140" w:type="dxa"/>
            <w:vAlign w:val="bottom"/>
          </w:tcPr>
          <w:p>
            <w:pPr>
              <w:jc w:val="right"/>
              <w:ind w:right="731"/>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(8,208)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88" w:hanging="388"/>
        <w:spacing w:after="0" w:line="277" w:lineRule="auto"/>
        <w:tabs>
          <w:tab w:leader="none" w:pos="218" w:val="left"/>
        </w:tabs>
        <w:numPr>
          <w:ilvl w:val="0"/>
          <w:numId w:val="33"/>
        </w:numPr>
        <w:rPr>
          <w:rFonts w:ascii="Arial" w:cs="Arial" w:eastAsia="Arial" w:hAnsi="Arial"/>
          <w:sz w:val="8"/>
          <w:szCs w:val="8"/>
          <w:color w:val="auto"/>
        </w:rPr>
      </w:pPr>
      <w:r>
        <w:rPr>
          <w:rFonts w:ascii="Arial" w:cs="Arial" w:eastAsia="Arial" w:hAnsi="Arial"/>
          <w:sz w:val="9"/>
          <w:szCs w:val="9"/>
          <w:color w:val="auto"/>
        </w:rPr>
        <w:t>On April 14, 2021, the Company entered into a new credit facility to replace the existing credit facility (See Note 11 - Bank and Other Notes Payable). Concurrent with entering into the new credit facility, the Company de-designated the Santa Monica Place $300,000 interest rate cap. As a result of the new credit facility and the Santa Monica Place cap de-designation, the notional amounts of the swaps that were previously hedged against the Company’s prior revolving line of credit were hedged against the Santa Monica Place floating rate debt and a portion of the Green Acres Commons floating rate debt effectively converting the Santa Monica Place loan and a majority of the Green Acres Commons loan to fixed rate debt through September 30, 2021.</w:t>
      </w:r>
    </w:p>
    <w:p>
      <w:pPr>
        <w:ind w:left="388"/>
        <w:spacing w:after="0" w:line="232" w:lineRule="auto"/>
        <w:rPr>
          <w:rFonts w:ascii="Arial" w:cs="Arial" w:eastAsia="Arial" w:hAnsi="Arial"/>
          <w:sz w:val="8"/>
          <w:szCs w:val="8"/>
          <w:color w:val="auto"/>
        </w:rPr>
      </w:pPr>
      <w:r>
        <w:rPr>
          <w:rFonts w:ascii="Arial" w:cs="Arial" w:eastAsia="Arial" w:hAnsi="Arial"/>
          <w:sz w:val="11"/>
          <w:szCs w:val="11"/>
          <w:color w:val="auto"/>
        </w:rPr>
        <w:t>The Company did not renew the swaps that expired on September 30, 2021 and, as a result, on October 1, 2021, these loans reverted back to floating interest rate loans. Effective December 9, 2021, the Company entered into a new $300,000 interest rate cap for Santa Monica Place that was designated as a hedging instrument.</w:t>
      </w:r>
    </w:p>
    <w:p>
      <w:pPr>
        <w:spacing w:after="0" w:line="86" w:lineRule="exact"/>
        <w:rPr>
          <w:sz w:val="20"/>
          <w:szCs w:val="20"/>
          <w:color w:val="auto"/>
        </w:rPr>
      </w:pPr>
    </w:p>
    <w:p>
      <w:pPr>
        <w:ind w:left="8" w:right="40" w:firstLine="535"/>
        <w:spacing w:after="0" w:line="259" w:lineRule="auto"/>
        <w:rPr>
          <w:sz w:val="20"/>
          <w:szCs w:val="20"/>
          <w:color w:val="auto"/>
        </w:rPr>
      </w:pPr>
      <w:r>
        <w:rPr>
          <w:rFonts w:ascii="Arial" w:cs="Arial" w:eastAsia="Arial" w:hAnsi="Arial"/>
          <w:sz w:val="12"/>
          <w:szCs w:val="12"/>
          <w:color w:val="auto"/>
        </w:rPr>
        <w:t>The above derivative instruments were designated as hedging instruments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200" w:lineRule="exact"/>
        <w:rPr>
          <w:sz w:val="20"/>
          <w:szCs w:val="20"/>
          <w:color w:val="auto"/>
        </w:rPr>
      </w:pP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30" w:right="319" w:bottom="1440" w:gutter="0" w:footer="0" w:header="0"/>
        </w:sectPr>
      </w:pPr>
    </w:p>
    <w:bookmarkStart w:id="86" w:name="page87"/>
    <w:bookmarkEnd w:id="86"/>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5. Derivative Instruments and Hedging Activities: (Continued)</w:t>
      </w:r>
    </w:p>
    <w:p>
      <w:pPr>
        <w:spacing w:after="0" w:line="200" w:lineRule="exact"/>
        <w:rPr>
          <w:sz w:val="20"/>
          <w:szCs w:val="20"/>
          <w:color w:val="auto"/>
        </w:rPr>
      </w:pPr>
    </w:p>
    <w:p>
      <w:pPr>
        <w:spacing w:after="0" w:line="260" w:lineRule="exact"/>
        <w:rPr>
          <w:sz w:val="20"/>
          <w:szCs w:val="20"/>
          <w:color w:val="auto"/>
        </w:rPr>
      </w:pPr>
    </w:p>
    <w:p>
      <w:pPr>
        <w:ind w:left="8" w:right="40" w:firstLine="297"/>
        <w:spacing w:after="0" w:line="259" w:lineRule="auto"/>
        <w:rPr>
          <w:sz w:val="20"/>
          <w:szCs w:val="20"/>
          <w:color w:val="auto"/>
        </w:rPr>
      </w:pPr>
      <w:r>
        <w:rPr>
          <w:rFonts w:ascii="Arial" w:cs="Arial" w:eastAsia="Arial" w:hAnsi="Arial"/>
          <w:sz w:val="12"/>
          <w:szCs w:val="12"/>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6. Property, net:</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Property, net at December 31, 2021 and 2020 consists of the following:</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8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2020</w:t>
            </w:r>
          </w:p>
        </w:tc>
      </w:tr>
      <w:tr>
        <w:trPr>
          <w:trHeight w:val="146"/>
        </w:trPr>
        <w:tc>
          <w:tcPr>
            <w:tcW w:w="5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Land</w:t>
            </w:r>
          </w:p>
        </w:tc>
        <w:tc>
          <w:tcPr>
            <w:tcW w:w="6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1,441,858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1,538,270</w:t>
            </w:r>
          </w:p>
        </w:tc>
      </w:tr>
      <w:tr>
        <w:trPr>
          <w:trHeight w:val="153"/>
        </w:trPr>
        <w:tc>
          <w:tcPr>
            <w:tcW w:w="5820" w:type="dxa"/>
            <w:vAlign w:val="bottom"/>
          </w:tcPr>
          <w:p>
            <w:pPr>
              <w:ind w:left="300"/>
              <w:spacing w:after="0"/>
              <w:rPr>
                <w:sz w:val="20"/>
                <w:szCs w:val="20"/>
                <w:color w:val="auto"/>
              </w:rPr>
            </w:pPr>
            <w:r>
              <w:rPr>
                <w:rFonts w:ascii="Arial" w:cs="Arial" w:eastAsia="Arial" w:hAnsi="Arial"/>
                <w:sz w:val="12"/>
                <w:szCs w:val="12"/>
                <w:color w:val="auto"/>
              </w:rPr>
              <w:t>Buildings and improvements</w:t>
            </w:r>
          </w:p>
        </w:tc>
        <w:tc>
          <w:tcPr>
            <w:tcW w:w="6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6,306,764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6,620,708</w:t>
            </w:r>
          </w:p>
        </w:tc>
      </w:tr>
      <w:tr>
        <w:trPr>
          <w:trHeight w:val="153"/>
        </w:trPr>
        <w:tc>
          <w:tcPr>
            <w:tcW w:w="5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Tenant improvements</w:t>
            </w: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685,242</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750,250</w:t>
            </w:r>
          </w:p>
        </w:tc>
      </w:tr>
      <w:tr>
        <w:trPr>
          <w:trHeight w:val="153"/>
        </w:trPr>
        <w:tc>
          <w:tcPr>
            <w:tcW w:w="5820" w:type="dxa"/>
            <w:vAlign w:val="bottom"/>
          </w:tcPr>
          <w:p>
            <w:pPr>
              <w:ind w:left="300"/>
              <w:spacing w:after="0"/>
              <w:rPr>
                <w:sz w:val="20"/>
                <w:szCs w:val="20"/>
                <w:color w:val="auto"/>
              </w:rPr>
            </w:pPr>
            <w:r>
              <w:rPr>
                <w:rFonts w:ascii="Arial" w:cs="Arial" w:eastAsia="Arial" w:hAnsi="Arial"/>
                <w:sz w:val="12"/>
                <w:szCs w:val="12"/>
                <w:color w:val="auto"/>
              </w:rPr>
              <w:t>Equipment and furnishings(1)</w:t>
            </w:r>
          </w:p>
        </w:tc>
        <w:tc>
          <w:tcPr>
            <w:tcW w:w="6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191,266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194,231</w:t>
            </w:r>
          </w:p>
        </w:tc>
      </w:tr>
      <w:tr>
        <w:trPr>
          <w:trHeight w:val="153"/>
        </w:trPr>
        <w:tc>
          <w:tcPr>
            <w:tcW w:w="5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Construction in progress</w:t>
            </w:r>
          </w:p>
        </w:tc>
        <w:tc>
          <w:tcPr>
            <w:tcW w:w="6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222,420</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153,253</w:t>
            </w:r>
          </w:p>
        </w:tc>
      </w:tr>
      <w:tr>
        <w:trPr>
          <w:trHeight w:val="142"/>
        </w:trPr>
        <w:tc>
          <w:tcPr>
            <w:tcW w:w="5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8,847,550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9,256,712</w:t>
            </w:r>
          </w:p>
        </w:tc>
      </w:tr>
      <w:tr>
        <w:trPr>
          <w:trHeight w:val="153"/>
        </w:trPr>
        <w:tc>
          <w:tcPr>
            <w:tcW w:w="58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Less accumulated depreciation(1)</w:t>
            </w:r>
          </w:p>
        </w:tc>
        <w:tc>
          <w:tcPr>
            <w:tcW w:w="6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(2,563,344)</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(2,562,133)</w:t>
            </w:r>
          </w:p>
        </w:tc>
      </w:tr>
      <w:tr>
        <w:trPr>
          <w:trHeight w:val="142"/>
        </w:trPr>
        <w:tc>
          <w:tcPr>
            <w:tcW w:w="5820" w:type="dxa"/>
            <w:vAlign w:val="bottom"/>
          </w:tcPr>
          <w:p>
            <w:pPr>
              <w:spacing w:after="0"/>
              <w:rPr>
                <w:sz w:val="12"/>
                <w:szCs w:val="12"/>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6,284,206</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6,694,579</w:t>
            </w:r>
          </w:p>
        </w:tc>
      </w:tr>
      <w:tr>
        <w:trPr>
          <w:trHeight w:val="20"/>
        </w:trPr>
        <w:tc>
          <w:tcPr>
            <w:tcW w:w="5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68" w:hanging="368"/>
        <w:spacing w:after="0"/>
        <w:tabs>
          <w:tab w:leader="none" w:pos="368" w:val="left"/>
        </w:tabs>
        <w:numPr>
          <w:ilvl w:val="0"/>
          <w:numId w:val="34"/>
        </w:numPr>
        <w:rPr>
          <w:rFonts w:ascii="Arial" w:cs="Arial" w:eastAsia="Arial" w:hAnsi="Arial"/>
          <w:sz w:val="11"/>
          <w:szCs w:val="11"/>
          <w:color w:val="auto"/>
        </w:rPr>
      </w:pPr>
      <w:r>
        <w:rPr>
          <w:rFonts w:ascii="Arial" w:cs="Arial" w:eastAsia="Arial" w:hAnsi="Arial"/>
          <w:sz w:val="11"/>
          <w:szCs w:val="11"/>
          <w:color w:val="auto"/>
        </w:rPr>
        <w:t>Equipment and furnishings and accumulated depreciation include the cost and accumulated amortization of ROU assets in connection with finance leases at December 31, 2021 and 2020 (See Note 8—Leases).</w:t>
      </w:r>
    </w:p>
    <w:p>
      <w:pPr>
        <w:spacing w:after="0" w:line="9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Depreciation expense for the years ended December 31, 2021, 2020 and 2019 was $282,158, $287,925 and $287,846, respectively.</w:t>
      </w:r>
    </w:p>
    <w:p>
      <w:pPr>
        <w:spacing w:after="0" w:line="9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gain (loss) on sale or write down of assets, net for the years ended December 31, 2021, 2020 and 2019 consist of the following:</w:t>
      </w:r>
    </w:p>
    <w:p>
      <w:pPr>
        <w:spacing w:after="0" w:line="126" w:lineRule="exact"/>
        <w:rPr>
          <w:sz w:val="20"/>
          <w:szCs w:val="20"/>
          <w:color w:val="auto"/>
        </w:rPr>
      </w:pPr>
    </w:p>
    <w:tbl>
      <w:tblPr>
        <w:tblLayout w:type="fixed"/>
        <w:tblInd w:w="1168" w:type="dxa"/>
        <w:tblCellMar>
          <w:top w:w="0" w:type="dxa"/>
          <w:left w:w="0" w:type="dxa"/>
          <w:bottom w:w="0" w:type="dxa"/>
          <w:right w:w="0" w:type="dxa"/>
        </w:tblCellMar>
      </w:tblPr>
      <w:tr>
        <w:trPr>
          <w:trHeight w:val="127"/>
        </w:trPr>
        <w:tc>
          <w:tcPr>
            <w:tcW w:w="41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2019</w:t>
            </w:r>
          </w:p>
        </w:tc>
      </w:tr>
      <w:tr>
        <w:trPr>
          <w:trHeight w:val="146"/>
        </w:trPr>
        <w:tc>
          <w:tcPr>
            <w:tcW w:w="41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Property sales(1)</w:t>
            </w:r>
          </w:p>
        </w:tc>
        <w:tc>
          <w:tcPr>
            <w:tcW w:w="114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113,657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180" w:type="dxa"/>
            <w:vAlign w:val="bottom"/>
          </w:tcPr>
          <w:p>
            <w:pPr>
              <w:ind w:left="300"/>
              <w:spacing w:after="0"/>
              <w:rPr>
                <w:sz w:val="20"/>
                <w:szCs w:val="20"/>
                <w:color w:val="auto"/>
              </w:rPr>
            </w:pPr>
            <w:r>
              <w:rPr>
                <w:rFonts w:ascii="Arial" w:cs="Arial" w:eastAsia="Arial" w:hAnsi="Arial"/>
                <w:sz w:val="12"/>
                <w:szCs w:val="12"/>
                <w:color w:val="auto"/>
              </w:rPr>
              <w:t>Write-down of assets(2)</w:t>
            </w:r>
          </w:p>
        </w:tc>
        <w:tc>
          <w:tcPr>
            <w:tcW w:w="1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(67,344)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(76,705)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(16,285)</w:t>
            </w:r>
          </w:p>
        </w:tc>
      </w:tr>
      <w:tr>
        <w:trPr>
          <w:trHeight w:val="153"/>
        </w:trPr>
        <w:tc>
          <w:tcPr>
            <w:tcW w:w="41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Land sales(3)</w:t>
            </w:r>
          </w:p>
        </w:tc>
        <w:tc>
          <w:tcPr>
            <w:tcW w:w="1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29,427</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8,593</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4,376</w:t>
            </w:r>
          </w:p>
        </w:tc>
      </w:tr>
      <w:tr>
        <w:trPr>
          <w:trHeight w:val="142"/>
        </w:trPr>
        <w:tc>
          <w:tcPr>
            <w:tcW w:w="4180" w:type="dxa"/>
            <w:vAlign w:val="bottom"/>
          </w:tcPr>
          <w:p>
            <w:pPr>
              <w:spacing w:after="0"/>
              <w:rPr>
                <w:sz w:val="12"/>
                <w:szCs w:val="12"/>
                <w:color w:val="auto"/>
              </w:rPr>
            </w:pPr>
          </w:p>
        </w:tc>
        <w:tc>
          <w:tcPr>
            <w:tcW w:w="114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75,740</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(68,112)</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(11,909)</w:t>
            </w: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162" w:lineRule="exact"/>
        <w:rPr>
          <w:sz w:val="20"/>
          <w:szCs w:val="20"/>
          <w:color w:val="auto"/>
        </w:rPr>
      </w:pPr>
    </w:p>
    <w:p>
      <w:pPr>
        <w:ind w:left="368" w:hanging="368"/>
        <w:spacing w:after="0"/>
        <w:tabs>
          <w:tab w:leader="none" w:pos="368"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gains related to the sale of La Encantada and Paradise Valley Mall (See Note 16-Dispositions).</w:t>
      </w:r>
    </w:p>
    <w:p>
      <w:pPr>
        <w:spacing w:after="0" w:line="161" w:lineRule="exact"/>
        <w:rPr>
          <w:rFonts w:ascii="Arial" w:cs="Arial" w:eastAsia="Arial" w:hAnsi="Arial"/>
          <w:sz w:val="11"/>
          <w:szCs w:val="11"/>
          <w:color w:val="auto"/>
        </w:rPr>
      </w:pPr>
    </w:p>
    <w:p>
      <w:pPr>
        <w:ind w:left="388" w:hanging="388"/>
        <w:spacing w:after="0" w:line="248" w:lineRule="auto"/>
        <w:tabs>
          <w:tab w:leader="none" w:pos="388"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a loss of $28,276 in 2021 in connection with the assignment of the Company's partnership interest in The Shops at North Bridge (See Note 4—Investments in Unconsolidated Joint Ventures). Includes impairment loss of $27,281 on Estrella Falls during the year ended December 31, 2021 and impairment losses of $30,063 on Wilton Mall and $6,640 on Paradise Valley Mall during the year ended December 31, 2020. The impairment losses were due to the reduction of the estimated holding periods of the properties. The remaining amounts for the years ended December 31, 2021, 2020 and 2019 mainly pertain to the write off of development costs.</w:t>
      </w:r>
    </w:p>
    <w:p>
      <w:pPr>
        <w:spacing w:after="0" w:line="147" w:lineRule="exact"/>
        <w:rPr>
          <w:rFonts w:ascii="Arial" w:cs="Arial" w:eastAsia="Arial" w:hAnsi="Arial"/>
          <w:sz w:val="11"/>
          <w:szCs w:val="11"/>
          <w:color w:val="auto"/>
        </w:rPr>
      </w:pPr>
    </w:p>
    <w:p>
      <w:pPr>
        <w:ind w:left="368" w:hanging="368"/>
        <w:spacing w:after="0"/>
        <w:tabs>
          <w:tab w:leader="none" w:pos="368"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$1,334 related to the sale of Paradise Valley Mall (See Note 16-Dispositions).</w:t>
      </w:r>
    </w:p>
    <w:p>
      <w:pPr>
        <w:spacing w:after="0" w:line="200" w:lineRule="exact"/>
        <w:rPr>
          <w:sz w:val="20"/>
          <w:szCs w:val="20"/>
          <w:color w:val="auto"/>
        </w:rPr>
      </w:pPr>
    </w:p>
    <w:p>
      <w:pPr>
        <w:spacing w:after="0" w:line="354"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230" w:right="359" w:bottom="1440" w:gutter="0" w:footer="0" w:header="0"/>
        </w:sectPr>
      </w:pPr>
    </w:p>
    <w:bookmarkStart w:id="87" w:name="page88"/>
    <w:bookmarkEnd w:id="8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Property, net: (Continued)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following table summarizes certain of the Company's assets that were measured on a nonrecurring basis as a result of impairment charges recorded for the years ended December 31, 2021 and 2020 as described above: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Quoted Prices in Active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3"/>
          </w:tcPr>
          <w:p>
            <w:pPr>
              <w:ind w:left="380"/>
              <w:spacing w:after="0"/>
              <w:rPr>
                <w:sz w:val="20"/>
                <w:szCs w:val="20"/>
                <w:color w:val="auto"/>
              </w:rPr>
            </w:pPr>
            <w:r>
              <w:rPr>
                <w:rFonts w:ascii="Arial" w:cs="Arial" w:eastAsia="Arial" w:hAnsi="Arial"/>
                <w:sz w:val="11"/>
                <w:szCs w:val="11"/>
                <w:b w:val="1"/>
                <w:bCs w:val="1"/>
                <w:color w:val="auto"/>
              </w:rPr>
              <w:t>Significant Other Observable</w:t>
            </w:r>
          </w:p>
        </w:tc>
        <w:tc>
          <w:tcPr>
            <w:tcW w:w="420" w:type="dxa"/>
            <w:vAlign w:val="bottom"/>
          </w:tcPr>
          <w:p>
            <w:pPr>
              <w:spacing w:after="0"/>
              <w:rPr>
                <w:sz w:val="10"/>
                <w:szCs w:val="10"/>
                <w:color w:val="auto"/>
              </w:rPr>
            </w:pPr>
          </w:p>
        </w:tc>
        <w:tc>
          <w:tcPr>
            <w:tcW w:w="1360" w:type="dxa"/>
            <w:vAlign w:val="bottom"/>
          </w:tcPr>
          <w:p>
            <w:pPr>
              <w:jc w:val="center"/>
              <w:ind w:right="64"/>
              <w:spacing w:after="0"/>
              <w:rPr>
                <w:sz w:val="20"/>
                <w:szCs w:val="20"/>
                <w:color w:val="auto"/>
              </w:rPr>
            </w:pPr>
            <w:r>
              <w:rPr>
                <w:rFonts w:ascii="Arial" w:cs="Arial" w:eastAsia="Arial" w:hAnsi="Arial"/>
                <w:sz w:val="11"/>
                <w:szCs w:val="11"/>
                <w:b w:val="1"/>
                <w:bCs w:val="1"/>
                <w:color w:val="auto"/>
                <w:w w:val="87"/>
              </w:rPr>
              <w:t>Significant Unobservable</w:t>
            </w:r>
          </w:p>
        </w:tc>
        <w:tc>
          <w:tcPr>
            <w:tcW w:w="0" w:type="dxa"/>
            <w:vAlign w:val="bottom"/>
          </w:tcPr>
          <w:p>
            <w:pPr>
              <w:spacing w:after="0"/>
              <w:rPr>
                <w:sz w:val="1"/>
                <w:szCs w:val="1"/>
                <w:color w:val="auto"/>
              </w:rPr>
            </w:pPr>
          </w:p>
        </w:tc>
      </w:tr>
      <w:tr>
        <w:trPr>
          <w:trHeight w:val="140"/>
        </w:trPr>
        <w:tc>
          <w:tcPr>
            <w:tcW w:w="1560" w:type="dxa"/>
            <w:vAlign w:val="bottom"/>
            <w:gridSpan w:val="2"/>
            <w:vMerge w:val="restart"/>
          </w:tcPr>
          <w:p>
            <w:pPr>
              <w:jc w:val="center"/>
              <w:ind w:left="83"/>
              <w:spacing w:after="0"/>
              <w:rPr>
                <w:sz w:val="20"/>
                <w:szCs w:val="20"/>
                <w:color w:val="auto"/>
              </w:rPr>
            </w:pPr>
            <w:r>
              <w:rPr>
                <w:rFonts w:ascii="Arial" w:cs="Arial" w:eastAsia="Arial" w:hAnsi="Arial"/>
                <w:sz w:val="11"/>
                <w:szCs w:val="11"/>
                <w:b w:val="1"/>
                <w:bCs w:val="1"/>
                <w:color w:val="auto"/>
                <w:w w:val="87"/>
              </w:rPr>
              <w:t>Years ended December</w:t>
            </w: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Markets for Identical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Inputs</w:t>
            </w:r>
          </w:p>
        </w:tc>
        <w:tc>
          <w:tcPr>
            <w:tcW w:w="420" w:type="dxa"/>
            <w:vAlign w:val="bottom"/>
          </w:tcPr>
          <w:p>
            <w:pPr>
              <w:spacing w:after="0"/>
              <w:rPr>
                <w:sz w:val="12"/>
                <w:szCs w:val="12"/>
                <w:color w:val="auto"/>
              </w:rPr>
            </w:pPr>
          </w:p>
        </w:tc>
        <w:tc>
          <w:tcPr>
            <w:tcW w:w="1360" w:type="dxa"/>
            <w:vAlign w:val="bottom"/>
          </w:tcPr>
          <w:p>
            <w:pPr>
              <w:ind w:left="320"/>
              <w:spacing w:after="0"/>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31"/>
        </w:trPr>
        <w:tc>
          <w:tcPr>
            <w:tcW w:w="1560" w:type="dxa"/>
            <w:vAlign w:val="bottom"/>
            <w:gridSpan w:val="2"/>
            <w:vMerge w:val="continue"/>
          </w:tcPr>
          <w:p>
            <w:pPr>
              <w:spacing w:after="0"/>
              <w:rPr>
                <w:sz w:val="2"/>
                <w:szCs w:val="2"/>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Total Fair Value Measurement</w:t>
            </w:r>
          </w:p>
        </w:tc>
        <w:tc>
          <w:tcPr>
            <w:tcW w:w="180" w:type="dxa"/>
            <w:vAlign w:val="bottom"/>
            <w:vMerge w:val="restart"/>
          </w:tcPr>
          <w:p>
            <w:pPr>
              <w:spacing w:after="0"/>
              <w:rPr>
                <w:sz w:val="2"/>
                <w:szCs w:val="2"/>
                <w:color w:val="auto"/>
              </w:rPr>
            </w:pPr>
          </w:p>
        </w:tc>
        <w:tc>
          <w:tcPr>
            <w:tcW w:w="1580" w:type="dxa"/>
            <w:vAlign w:val="bottom"/>
            <w:vMerge w:val="restart"/>
          </w:tcPr>
          <w:p>
            <w:pPr>
              <w:jc w:val="right"/>
              <w:ind w:right="284"/>
              <w:spacing w:after="0"/>
              <w:rPr>
                <w:sz w:val="20"/>
                <w:szCs w:val="20"/>
                <w:color w:val="auto"/>
              </w:rPr>
            </w:pPr>
            <w:r>
              <w:rPr>
                <w:rFonts w:ascii="Arial" w:cs="Arial" w:eastAsia="Arial" w:hAnsi="Arial"/>
                <w:sz w:val="11"/>
                <w:szCs w:val="11"/>
                <w:b w:val="1"/>
                <w:bCs w:val="1"/>
                <w:color w:val="auto"/>
              </w:rPr>
              <w:t>(Level 1)</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vMerge w:val="restart"/>
          </w:tcPr>
          <w:p>
            <w:pPr>
              <w:jc w:val="right"/>
              <w:ind w:right="483"/>
              <w:spacing w:after="0"/>
              <w:rPr>
                <w:sz w:val="20"/>
                <w:szCs w:val="20"/>
                <w:color w:val="auto"/>
              </w:rPr>
            </w:pPr>
            <w:r>
              <w:rPr>
                <w:rFonts w:ascii="Arial" w:cs="Arial" w:eastAsia="Arial" w:hAnsi="Arial"/>
                <w:sz w:val="11"/>
                <w:szCs w:val="11"/>
                <w:b w:val="1"/>
                <w:bCs w:val="1"/>
                <w:color w:val="auto"/>
              </w:rPr>
              <w:t>(Level 2)</w:t>
            </w:r>
          </w:p>
        </w:tc>
        <w:tc>
          <w:tcPr>
            <w:tcW w:w="1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vMerge w:val="restart"/>
          </w:tcPr>
          <w:p>
            <w:pPr>
              <w:jc w:val="center"/>
              <w:ind w:right="64"/>
              <w:spacing w:after="0"/>
              <w:rPr>
                <w:sz w:val="20"/>
                <w:szCs w:val="20"/>
                <w:color w:val="auto"/>
              </w:rPr>
            </w:pPr>
            <w:r>
              <w:rPr>
                <w:rFonts w:ascii="Arial" w:cs="Arial" w:eastAsia="Arial" w:hAnsi="Arial"/>
                <w:sz w:val="11"/>
                <w:szCs w:val="11"/>
                <w:b w:val="1"/>
                <w:bCs w:val="1"/>
                <w:color w:val="auto"/>
                <w:w w:val="89"/>
              </w:rPr>
              <w:t>(Level 3)</w:t>
            </w:r>
          </w:p>
        </w:tc>
        <w:tc>
          <w:tcPr>
            <w:tcW w:w="0" w:type="dxa"/>
            <w:vAlign w:val="bottom"/>
          </w:tcPr>
          <w:p>
            <w:pPr>
              <w:spacing w:after="0" w:line="20" w:lineRule="exact"/>
              <w:rPr>
                <w:sz w:val="1"/>
                <w:szCs w:val="1"/>
                <w:color w:val="auto"/>
              </w:rPr>
            </w:pPr>
          </w:p>
        </w:tc>
      </w:tr>
      <w:tr>
        <w:trPr>
          <w:trHeight w:val="142"/>
        </w:trPr>
        <w:tc>
          <w:tcPr>
            <w:tcW w:w="142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31,</w:t>
            </w:r>
          </w:p>
        </w:tc>
        <w:tc>
          <w:tcPr>
            <w:tcW w:w="14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20" w:type="dxa"/>
            <w:vAlign w:val="bottom"/>
            <w:shd w:val="clear" w:color="auto" w:fill="CCEEFF"/>
          </w:tcPr>
          <w:p>
            <w:pPr>
              <w:jc w:val="center"/>
              <w:ind w:left="243"/>
              <w:spacing w:after="0"/>
              <w:rPr>
                <w:sz w:val="20"/>
                <w:szCs w:val="20"/>
                <w:color w:val="auto"/>
              </w:rPr>
            </w:pPr>
            <w:r>
              <w:rPr>
                <w:rFonts w:ascii="Arial" w:cs="Arial" w:eastAsia="Arial" w:hAnsi="Arial"/>
                <w:sz w:val="12"/>
                <w:szCs w:val="12"/>
                <w:color w:val="auto"/>
                <w:w w:val="89"/>
              </w:rPr>
              <w:t>2021</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42"/>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1164"/>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4,720</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ind w:left="1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20" w:type="dxa"/>
            <w:vAlign w:val="bottom"/>
          </w:tcPr>
          <w:p>
            <w:pPr>
              <w:jc w:val="center"/>
              <w:ind w:left="243"/>
              <w:spacing w:after="0"/>
              <w:rPr>
                <w:sz w:val="20"/>
                <w:szCs w:val="20"/>
                <w:color w:val="auto"/>
              </w:rPr>
            </w:pPr>
            <w:r>
              <w:rPr>
                <w:rFonts w:ascii="Arial" w:cs="Arial" w:eastAsia="Arial" w:hAnsi="Arial"/>
                <w:sz w:val="12"/>
                <w:szCs w:val="12"/>
                <w:color w:val="auto"/>
                <w:w w:val="89"/>
              </w:rPr>
              <w:t>2020</w:t>
            </w:r>
          </w:p>
        </w:tc>
        <w:tc>
          <w:tcPr>
            <w:tcW w:w="140" w:type="dxa"/>
            <w:vAlign w:val="bottom"/>
          </w:tcPr>
          <w:p>
            <w:pPr>
              <w:spacing w:after="0"/>
              <w:rPr>
                <w:sz w:val="13"/>
                <w:szCs w:val="13"/>
                <w:color w:val="auto"/>
              </w:rPr>
            </w:pPr>
          </w:p>
        </w:tc>
        <w:tc>
          <w:tcPr>
            <w:tcW w:w="860" w:type="dxa"/>
            <w:vAlign w:val="bottom"/>
          </w:tcPr>
          <w:p>
            <w:pPr>
              <w:jc w:val="right"/>
              <w:ind w:right="442"/>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151,875</w:t>
            </w:r>
          </w:p>
        </w:tc>
        <w:tc>
          <w:tcPr>
            <w:tcW w:w="180" w:type="dxa"/>
            <w:vAlign w:val="bottom"/>
          </w:tcPr>
          <w:p>
            <w:pPr>
              <w:spacing w:after="0"/>
              <w:rPr>
                <w:sz w:val="13"/>
                <w:szCs w:val="13"/>
                <w:color w:val="auto"/>
              </w:rPr>
            </w:pPr>
          </w:p>
        </w:tc>
        <w:tc>
          <w:tcPr>
            <w:tcW w:w="1580" w:type="dxa"/>
            <w:vAlign w:val="bottom"/>
          </w:tcPr>
          <w:p>
            <w:pPr>
              <w:jc w:val="right"/>
              <w:ind w:right="1164"/>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151,875</w:t>
            </w: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tcPr>
          <w:p>
            <w:pPr>
              <w:ind w:left="1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fair value relating to the 2020 impairments and the 2021 impairments were based on sales contracts and are classified within Level 2 of the fair value hierarchy.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Tenant and Other Receivables, net:</w:t>
      </w:r>
    </w:p>
    <w:p>
      <w:pPr>
        <w:spacing w:after="0" w:line="109" w:lineRule="exact"/>
        <w:rPr>
          <w:sz w:val="20"/>
          <w:szCs w:val="20"/>
          <w:color w:val="auto"/>
        </w:rPr>
      </w:pPr>
    </w:p>
    <w:p>
      <w:pPr>
        <w:ind w:right="60" w:firstLine="297"/>
        <w:spacing w:after="0" w:line="323" w:lineRule="auto"/>
        <w:rPr>
          <w:sz w:val="20"/>
          <w:szCs w:val="20"/>
          <w:color w:val="auto"/>
        </w:rPr>
      </w:pPr>
      <w:r>
        <w:rPr>
          <w:rFonts w:ascii="Arial" w:cs="Arial" w:eastAsia="Arial" w:hAnsi="Arial"/>
          <w:sz w:val="11"/>
          <w:szCs w:val="11"/>
          <w:color w:val="auto"/>
        </w:rPr>
        <w:t>Included in tenant and other receivables, net is an allowance for doubtful accounts of $14,917 and $37,545 at December 31, 2021 and 2020, respectively. Also included in tenant and other receivables, net are accrued percentage rents of $19,907 and $4,673 at December 31, 2021 and 2020, respectively, and a deferred rent receivable due to straight-line rent adjustments of $110,969 and $107,003 at December 31, 2021 and 2020,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Leases: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Lessor Leases:</w:t>
      </w:r>
    </w:p>
    <w:p>
      <w:pPr>
        <w:spacing w:after="0" w:line="105" w:lineRule="exact"/>
        <w:rPr>
          <w:sz w:val="20"/>
          <w:szCs w:val="20"/>
          <w:color w:val="auto"/>
        </w:rPr>
      </w:pPr>
    </w:p>
    <w:p>
      <w:pPr>
        <w:ind w:firstLine="297"/>
        <w:spacing w:after="0" w:line="320" w:lineRule="auto"/>
        <w:rPr>
          <w:sz w:val="20"/>
          <w:szCs w:val="20"/>
          <w:color w:val="auto"/>
        </w:rPr>
      </w:pPr>
      <w:r>
        <w:rPr>
          <w:rFonts w:ascii="Arial" w:cs="Arial" w:eastAsia="Arial" w:hAnsi="Arial"/>
          <w:sz w:val="10"/>
          <w:szCs w:val="10"/>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of substantially all of the rents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components of leasing revenue for the years ended December 31, 2021, 2020 and 2019:</w:t>
      </w:r>
    </w:p>
    <w:p>
      <w:pPr>
        <w:spacing w:after="0" w:line="378" w:lineRule="exact"/>
        <w:rPr>
          <w:sz w:val="20"/>
          <w:szCs w:val="20"/>
          <w:color w:val="auto"/>
        </w:rPr>
      </w:pPr>
    </w:p>
    <w:tbl>
      <w:tblPr>
        <w:tblLayout w:type="fixed"/>
        <w:tblInd w:w="100" w:type="dxa"/>
        <w:tblCellMar>
          <w:top w:w="0" w:type="dxa"/>
          <w:left w:w="0" w:type="dxa"/>
          <w:bottom w:w="0" w:type="dxa"/>
          <w:right w:w="0" w:type="dxa"/>
        </w:tblCellMar>
      </w:tblPr>
      <w:tr>
        <w:trPr>
          <w:trHeight w:val="127"/>
        </w:trPr>
        <w:tc>
          <w:tcPr>
            <w:tcW w:w="47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2019</w:t>
            </w:r>
          </w:p>
        </w:tc>
      </w:tr>
      <w:tr>
        <w:trPr>
          <w:trHeight w:val="146"/>
        </w:trPr>
        <w:tc>
          <w:tcPr>
            <w:tcW w:w="4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Leasing revenue - fixed payments</w:t>
            </w: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529,227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ind w:left="660"/>
              <w:spacing w:after="0"/>
              <w:rPr>
                <w:sz w:val="20"/>
                <w:szCs w:val="20"/>
                <w:color w:val="auto"/>
              </w:rPr>
            </w:pPr>
            <w:r>
              <w:rPr>
                <w:rFonts w:ascii="Arial" w:cs="Arial" w:eastAsia="Arial" w:hAnsi="Arial"/>
                <w:sz w:val="12"/>
                <w:szCs w:val="12"/>
                <w:color w:val="auto"/>
                <w:w w:val="92"/>
              </w:rPr>
              <w:t>592,858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647,876</w:t>
            </w:r>
          </w:p>
        </w:tc>
      </w:tr>
      <w:tr>
        <w:trPr>
          <w:trHeight w:val="153"/>
        </w:trPr>
        <w:tc>
          <w:tcPr>
            <w:tcW w:w="4760" w:type="dxa"/>
            <w:vAlign w:val="bottom"/>
          </w:tcPr>
          <w:p>
            <w:pPr>
              <w:ind w:left="20"/>
              <w:spacing w:after="0"/>
              <w:rPr>
                <w:sz w:val="20"/>
                <w:szCs w:val="20"/>
                <w:color w:val="auto"/>
              </w:rPr>
            </w:pPr>
            <w:r>
              <w:rPr>
                <w:rFonts w:ascii="Arial" w:cs="Arial" w:eastAsia="Arial" w:hAnsi="Arial"/>
                <w:sz w:val="12"/>
                <w:szCs w:val="12"/>
                <w:color w:val="auto"/>
              </w:rPr>
              <w:t>Leasing revenue - variable payments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251,930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ind w:left="660"/>
              <w:spacing w:after="0"/>
              <w:rPr>
                <w:sz w:val="20"/>
                <w:szCs w:val="20"/>
                <w:color w:val="auto"/>
              </w:rPr>
            </w:pPr>
            <w:r>
              <w:rPr>
                <w:rFonts w:ascii="Arial" w:cs="Arial" w:eastAsia="Arial" w:hAnsi="Arial"/>
                <w:sz w:val="12"/>
                <w:szCs w:val="12"/>
                <w:color w:val="auto"/>
                <w:w w:val="92"/>
              </w:rPr>
              <w:t>191,715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218,680</w:t>
            </w:r>
          </w:p>
        </w:tc>
      </w:tr>
      <w:tr>
        <w:trPr>
          <w:trHeight w:val="153"/>
        </w:trPr>
        <w:tc>
          <w:tcPr>
            <w:tcW w:w="4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Recovery of (provision for) doubtful accounts</w:t>
            </w: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6,390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w w:val="89"/>
              </w:rPr>
              <w:t>(44,250)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(7,682)</w:t>
            </w:r>
          </w:p>
        </w:tc>
      </w:tr>
      <w:tr>
        <w:trPr>
          <w:trHeight w:val="142"/>
        </w:trPr>
        <w:tc>
          <w:tcPr>
            <w:tcW w:w="4760" w:type="dxa"/>
            <w:vAlign w:val="bottom"/>
          </w:tcPr>
          <w:p>
            <w:pPr>
              <w:spacing w:after="0"/>
              <w:rPr>
                <w:sz w:val="12"/>
                <w:szCs w:val="12"/>
                <w:color w:val="auto"/>
              </w:rPr>
            </w:pP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787,547</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2"/>
              </w:rPr>
              <w:t>740,323</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858,874</w:t>
            </w:r>
          </w:p>
        </w:tc>
      </w:tr>
      <w:tr>
        <w:trPr>
          <w:trHeight w:val="20"/>
        </w:trPr>
        <w:tc>
          <w:tcPr>
            <w:tcW w:w="4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30" w:right="379" w:bottom="1440" w:gutter="0" w:footer="0" w:header="0"/>
        </w:sectPr>
      </w:pPr>
    </w:p>
    <w:bookmarkStart w:id="88" w:name="page89"/>
    <w:bookmarkEnd w:id="8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40" w:type="dxa"/>
            <w:vAlign w:val="bottom"/>
          </w:tcPr>
          <w:p>
            <w:pPr>
              <w:spacing w:after="0"/>
              <w:rPr>
                <w:sz w:val="13"/>
                <w:szCs w:val="13"/>
                <w:color w:val="auto"/>
              </w:rPr>
            </w:pPr>
          </w:p>
        </w:tc>
        <w:tc>
          <w:tcPr>
            <w:tcW w:w="5460" w:type="dxa"/>
            <w:vAlign w:val="bottom"/>
            <w:gridSpan w:val="2"/>
          </w:tcPr>
          <w:p>
            <w:pPr>
              <w:jc w:val="center"/>
              <w:ind w:left="880"/>
              <w:spacing w:after="0"/>
              <w:rPr>
                <w:sz w:val="20"/>
                <w:szCs w:val="20"/>
                <w:color w:val="auto"/>
              </w:rPr>
            </w:pPr>
            <w:r>
              <w:rPr>
                <w:rFonts w:ascii="Arial" w:cs="Arial" w:eastAsia="Arial" w:hAnsi="Arial"/>
                <w:sz w:val="12"/>
                <w:szCs w:val="12"/>
                <w:b w:val="1"/>
                <w:bCs w:val="1"/>
                <w:color w:val="auto"/>
              </w:rPr>
              <w:t>THE MACERICH COMPANY</w:t>
            </w:r>
          </w:p>
        </w:tc>
        <w:tc>
          <w:tcPr>
            <w:tcW w:w="860" w:type="dxa"/>
            <w:vAlign w:val="bottom"/>
          </w:tcPr>
          <w:p>
            <w:pPr>
              <w:spacing w:after="0"/>
              <w:rPr>
                <w:sz w:val="13"/>
                <w:szCs w:val="13"/>
                <w:color w:val="auto"/>
              </w:rPr>
            </w:pPr>
          </w:p>
        </w:tc>
      </w:tr>
      <w:tr>
        <w:trPr>
          <w:trHeight w:val="243"/>
        </w:trPr>
        <w:tc>
          <w:tcPr>
            <w:tcW w:w="2440" w:type="dxa"/>
            <w:vAlign w:val="bottom"/>
          </w:tcPr>
          <w:p>
            <w:pPr>
              <w:spacing w:after="0"/>
              <w:rPr>
                <w:sz w:val="21"/>
                <w:szCs w:val="21"/>
                <w:color w:val="auto"/>
              </w:rPr>
            </w:pPr>
          </w:p>
        </w:tc>
        <w:tc>
          <w:tcPr>
            <w:tcW w:w="5460" w:type="dxa"/>
            <w:vAlign w:val="bottom"/>
            <w:gridSpan w:val="2"/>
          </w:tcPr>
          <w:p>
            <w:pPr>
              <w:jc w:val="center"/>
              <w:ind w:left="880"/>
              <w:spacing w:after="0"/>
              <w:rPr>
                <w:sz w:val="20"/>
                <w:szCs w:val="20"/>
                <w:color w:val="auto"/>
              </w:rPr>
            </w:pPr>
            <w:r>
              <w:rPr>
                <w:rFonts w:ascii="Arial" w:cs="Arial" w:eastAsia="Arial" w:hAnsi="Arial"/>
                <w:sz w:val="12"/>
                <w:szCs w:val="12"/>
                <w:b w:val="1"/>
                <w:bCs w:val="1"/>
                <w:color w:val="auto"/>
                <w:w w:val="98"/>
              </w:rPr>
              <w:t>NOTES TO CONSOLIDATED FINANCIAL STATEMENTS (Continued)</w:t>
            </w:r>
          </w:p>
        </w:tc>
        <w:tc>
          <w:tcPr>
            <w:tcW w:w="860" w:type="dxa"/>
            <w:vAlign w:val="bottom"/>
          </w:tcPr>
          <w:p>
            <w:pPr>
              <w:spacing w:after="0"/>
              <w:rPr>
                <w:sz w:val="21"/>
                <w:szCs w:val="21"/>
                <w:color w:val="auto"/>
              </w:rPr>
            </w:pPr>
          </w:p>
        </w:tc>
      </w:tr>
      <w:tr>
        <w:trPr>
          <w:trHeight w:val="243"/>
        </w:trPr>
        <w:tc>
          <w:tcPr>
            <w:tcW w:w="2440" w:type="dxa"/>
            <w:vAlign w:val="bottom"/>
          </w:tcPr>
          <w:p>
            <w:pPr>
              <w:spacing w:after="0"/>
              <w:rPr>
                <w:sz w:val="21"/>
                <w:szCs w:val="21"/>
                <w:color w:val="auto"/>
              </w:rPr>
            </w:pPr>
          </w:p>
        </w:tc>
        <w:tc>
          <w:tcPr>
            <w:tcW w:w="5460" w:type="dxa"/>
            <w:vAlign w:val="bottom"/>
            <w:gridSpan w:val="2"/>
          </w:tcPr>
          <w:p>
            <w:pPr>
              <w:jc w:val="center"/>
              <w:ind w:left="900"/>
              <w:spacing w:after="0"/>
              <w:rPr>
                <w:sz w:val="20"/>
                <w:szCs w:val="20"/>
                <w:color w:val="auto"/>
              </w:rPr>
            </w:pPr>
            <w:r>
              <w:rPr>
                <w:rFonts w:ascii="Arial" w:cs="Arial" w:eastAsia="Arial" w:hAnsi="Arial"/>
                <w:sz w:val="12"/>
                <w:szCs w:val="12"/>
                <w:b w:val="1"/>
                <w:bCs w:val="1"/>
                <w:color w:val="auto"/>
                <w:w w:val="88"/>
              </w:rPr>
              <w:t>(Dollars in thousands, except per share amounts)</w:t>
            </w:r>
          </w:p>
        </w:tc>
        <w:tc>
          <w:tcPr>
            <w:tcW w:w="860" w:type="dxa"/>
            <w:vAlign w:val="bottom"/>
          </w:tcPr>
          <w:p>
            <w:pPr>
              <w:spacing w:after="0"/>
              <w:rPr>
                <w:sz w:val="21"/>
                <w:szCs w:val="21"/>
                <w:color w:val="auto"/>
              </w:rPr>
            </w:pPr>
          </w:p>
        </w:tc>
      </w:tr>
      <w:tr>
        <w:trPr>
          <w:trHeight w:val="234"/>
        </w:trPr>
        <w:tc>
          <w:tcPr>
            <w:tcW w:w="2440" w:type="dxa"/>
            <w:vAlign w:val="bottom"/>
          </w:tcPr>
          <w:p>
            <w:pPr>
              <w:spacing w:after="0"/>
              <w:rPr>
                <w:sz w:val="20"/>
                <w:szCs w:val="20"/>
                <w:color w:val="auto"/>
              </w:rPr>
            </w:pPr>
            <w:r>
              <w:rPr>
                <w:rFonts w:ascii="Arial" w:cs="Arial" w:eastAsia="Arial" w:hAnsi="Arial"/>
                <w:sz w:val="12"/>
                <w:szCs w:val="12"/>
                <w:b w:val="1"/>
                <w:bCs w:val="1"/>
                <w:color w:val="auto"/>
              </w:rPr>
              <w:t>8. Leases: (Continued)</w:t>
            </w:r>
          </w:p>
        </w:tc>
        <w:tc>
          <w:tcPr>
            <w:tcW w:w="4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603"/>
        </w:trPr>
        <w:tc>
          <w:tcPr>
            <w:tcW w:w="7900" w:type="dxa"/>
            <w:vAlign w:val="bottom"/>
            <w:gridSpan w:val="3"/>
          </w:tcPr>
          <w:p>
            <w:pPr>
              <w:ind w:left="280"/>
              <w:spacing w:after="0"/>
              <w:rPr>
                <w:sz w:val="20"/>
                <w:szCs w:val="20"/>
                <w:color w:val="auto"/>
              </w:rPr>
            </w:pPr>
            <w:r>
              <w:rPr>
                <w:rFonts w:ascii="Arial" w:cs="Arial" w:eastAsia="Arial" w:hAnsi="Arial"/>
                <w:sz w:val="12"/>
                <w:szCs w:val="12"/>
                <w:color w:val="auto"/>
              </w:rPr>
              <w:t>The following table summarizes the future rental payments to the Company:</w:t>
            </w:r>
          </w:p>
        </w:tc>
        <w:tc>
          <w:tcPr>
            <w:tcW w:w="860" w:type="dxa"/>
            <w:vAlign w:val="bottom"/>
          </w:tcPr>
          <w:p>
            <w:pPr>
              <w:spacing w:after="0"/>
              <w:rPr>
                <w:sz w:val="24"/>
                <w:szCs w:val="24"/>
                <w:color w:val="auto"/>
              </w:rPr>
            </w:pPr>
          </w:p>
        </w:tc>
      </w:tr>
      <w:tr>
        <w:trPr>
          <w:trHeight w:val="162"/>
        </w:trPr>
        <w:tc>
          <w:tcPr>
            <w:tcW w:w="24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2022</w:t>
            </w:r>
          </w:p>
        </w:tc>
        <w:tc>
          <w:tcPr>
            <w:tcW w:w="54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373,164</w:t>
            </w:r>
          </w:p>
        </w:tc>
      </w:tr>
      <w:tr>
        <w:trPr>
          <w:trHeight w:val="153"/>
        </w:trPr>
        <w:tc>
          <w:tcPr>
            <w:tcW w:w="2440" w:type="dxa"/>
            <w:vAlign w:val="bottom"/>
          </w:tcPr>
          <w:p>
            <w:pPr>
              <w:ind w:left="300"/>
              <w:spacing w:after="0"/>
              <w:rPr>
                <w:sz w:val="20"/>
                <w:szCs w:val="20"/>
                <w:color w:val="auto"/>
              </w:rPr>
            </w:pPr>
            <w:r>
              <w:rPr>
                <w:rFonts w:ascii="Arial" w:cs="Arial" w:eastAsia="Arial" w:hAnsi="Arial"/>
                <w:sz w:val="12"/>
                <w:szCs w:val="12"/>
                <w:color w:val="auto"/>
              </w:rPr>
              <w:t>2023</w:t>
            </w:r>
          </w:p>
        </w:tc>
        <w:tc>
          <w:tcPr>
            <w:tcW w:w="4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329,071</w:t>
            </w:r>
          </w:p>
        </w:tc>
      </w:tr>
      <w:tr>
        <w:trPr>
          <w:trHeight w:val="153"/>
        </w:trPr>
        <w:tc>
          <w:tcPr>
            <w:tcW w:w="24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2024</w:t>
            </w:r>
          </w:p>
        </w:tc>
        <w:tc>
          <w:tcPr>
            <w:tcW w:w="46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272,035</w:t>
            </w:r>
          </w:p>
        </w:tc>
      </w:tr>
      <w:tr>
        <w:trPr>
          <w:trHeight w:val="153"/>
        </w:trPr>
        <w:tc>
          <w:tcPr>
            <w:tcW w:w="2440" w:type="dxa"/>
            <w:vAlign w:val="bottom"/>
          </w:tcPr>
          <w:p>
            <w:pPr>
              <w:ind w:left="300"/>
              <w:spacing w:after="0"/>
              <w:rPr>
                <w:sz w:val="20"/>
                <w:szCs w:val="20"/>
                <w:color w:val="auto"/>
              </w:rPr>
            </w:pPr>
            <w:r>
              <w:rPr>
                <w:rFonts w:ascii="Arial" w:cs="Arial" w:eastAsia="Arial" w:hAnsi="Arial"/>
                <w:sz w:val="12"/>
                <w:szCs w:val="12"/>
                <w:color w:val="auto"/>
              </w:rPr>
              <w:t>2025</w:t>
            </w:r>
          </w:p>
        </w:tc>
        <w:tc>
          <w:tcPr>
            <w:tcW w:w="4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223,412</w:t>
            </w:r>
          </w:p>
        </w:tc>
      </w:tr>
      <w:tr>
        <w:trPr>
          <w:trHeight w:val="153"/>
        </w:trPr>
        <w:tc>
          <w:tcPr>
            <w:tcW w:w="24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2026</w:t>
            </w:r>
          </w:p>
        </w:tc>
        <w:tc>
          <w:tcPr>
            <w:tcW w:w="46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176,352</w:t>
            </w:r>
          </w:p>
        </w:tc>
      </w:tr>
      <w:tr>
        <w:trPr>
          <w:trHeight w:val="153"/>
        </w:trPr>
        <w:tc>
          <w:tcPr>
            <w:tcW w:w="244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Thereafter</w:t>
            </w:r>
          </w:p>
        </w:tc>
        <w:tc>
          <w:tcPr>
            <w:tcW w:w="46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502,336</w:t>
            </w:r>
          </w:p>
        </w:tc>
      </w:tr>
      <w:tr>
        <w:trPr>
          <w:trHeight w:val="158"/>
        </w:trPr>
        <w:tc>
          <w:tcPr>
            <w:tcW w:w="2440" w:type="dxa"/>
            <w:vAlign w:val="bottom"/>
            <w:tcBorders>
              <w:bottom w:val="single" w:sz="8" w:color="CCEEFF"/>
            </w:tcBorders>
            <w:shd w:val="clear" w:color="auto" w:fill="CCEEFF"/>
          </w:tcPr>
          <w:p>
            <w:pPr>
              <w:spacing w:after="0"/>
              <w:rPr>
                <w:sz w:val="13"/>
                <w:szCs w:val="13"/>
                <w:color w:val="auto"/>
              </w:rPr>
            </w:pPr>
          </w:p>
        </w:tc>
        <w:tc>
          <w:tcPr>
            <w:tcW w:w="46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1,876,370</w:t>
            </w:r>
          </w:p>
        </w:tc>
      </w:tr>
    </w:tbl>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Lessee Leases:</w:t>
      </w:r>
    </w:p>
    <w:p>
      <w:pPr>
        <w:spacing w:after="0" w:line="105" w:lineRule="exact"/>
        <w:rPr>
          <w:sz w:val="20"/>
          <w:szCs w:val="20"/>
          <w:color w:val="auto"/>
        </w:rPr>
      </w:pPr>
    </w:p>
    <w:p>
      <w:pPr>
        <w:ind w:firstLine="297"/>
        <w:spacing w:after="0" w:line="323" w:lineRule="auto"/>
        <w:rPr>
          <w:sz w:val="20"/>
          <w:szCs w:val="20"/>
          <w:color w:val="auto"/>
        </w:rPr>
      </w:pPr>
      <w:r>
        <w:rPr>
          <w:rFonts w:ascii="Arial" w:cs="Arial" w:eastAsia="Arial" w:hAnsi="Arial"/>
          <w:sz w:val="11"/>
          <w:szCs w:val="11"/>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ectPr>
          <w:pgSz w:w="11900" w:h="16838" w:orient="portrait"/>
          <w:cols w:equalWidth="0" w:num="1">
            <w:col w:w="11240"/>
          </w:cols>
          <w:pgMar w:left="300" w:top="230" w:right="359" w:bottom="1440" w:gutter="0" w:footer="0" w:header="0"/>
        </w:sectPr>
      </w:pPr>
    </w:p>
    <w:p>
      <w:pPr>
        <w:spacing w:after="0" w:line="4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lease costs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4606290" cy="97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06290" cy="97155"/>
                    </a:xfrm>
                    <a:prstGeom prst="rect">
                      <a:avLst/>
                    </a:prstGeom>
                    <a:noFill/>
                  </pic:spPr>
                </pic:pic>
              </a:graphicData>
            </a:graphic>
          </wp:anchor>
        </w:drawing>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Operating lease costs</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Finance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4606290" cy="97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06290" cy="971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2"/>
          <w:szCs w:val="12"/>
          <w:color w:val="auto"/>
        </w:rPr>
        <w:t>Amortization of ROU assets</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4606290"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06290" cy="11430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following table summarizes the future rental payments required under the leases as of December 31, 2021: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927" w:hanging="927"/>
        <w:spacing w:after="0"/>
        <w:tabs>
          <w:tab w:leader="none" w:pos="927" w:val="left"/>
        </w:tabs>
        <w:numPr>
          <w:ilvl w:val="0"/>
          <w:numId w:val="36"/>
        </w:numPr>
        <w:rPr>
          <w:rFonts w:ascii="Arial" w:cs="Arial" w:eastAsia="Arial" w:hAnsi="Arial"/>
          <w:sz w:val="10"/>
          <w:szCs w:val="10"/>
          <w:color w:val="auto"/>
        </w:rPr>
      </w:pPr>
      <w:r>
        <w:rPr>
          <w:rFonts w:ascii="Arial" w:cs="Arial" w:eastAsia="Arial" w:hAnsi="Arial"/>
          <w:sz w:val="10"/>
          <w:szCs w:val="10"/>
          <w:color w:val="auto"/>
        </w:rPr>
        <w:t>14,611</w:t>
      </w:r>
    </w:p>
    <w:p>
      <w:pPr>
        <w:spacing w:after="0" w:line="191" w:lineRule="exact"/>
        <w:rPr>
          <w:sz w:val="20"/>
          <w:szCs w:val="20"/>
          <w:color w:val="auto"/>
        </w:rPr>
      </w:pPr>
    </w:p>
    <w:p>
      <w:pPr>
        <w:jc w:val="right"/>
        <w:ind w:right="4040"/>
        <w:spacing w:after="0"/>
        <w:rPr>
          <w:sz w:val="20"/>
          <w:szCs w:val="20"/>
          <w:color w:val="auto"/>
        </w:rPr>
      </w:pPr>
      <w:r>
        <w:rPr>
          <w:rFonts w:ascii="Arial" w:cs="Arial" w:eastAsia="Arial" w:hAnsi="Arial"/>
          <w:sz w:val="12"/>
          <w:szCs w:val="12"/>
          <w:color w:val="auto"/>
        </w:rPr>
        <w:t>1,917</w:t>
      </w:r>
    </w:p>
    <w:p>
      <w:pPr>
        <w:spacing w:after="0" w:line="15" w:lineRule="exact"/>
        <w:rPr>
          <w:sz w:val="20"/>
          <w:szCs w:val="20"/>
          <w:color w:val="auto"/>
        </w:rPr>
      </w:pPr>
    </w:p>
    <w:p>
      <w:pPr>
        <w:jc w:val="right"/>
        <w:ind w:right="4040"/>
        <w:spacing w:after="0"/>
        <w:rPr>
          <w:sz w:val="20"/>
          <w:szCs w:val="20"/>
          <w:color w:val="auto"/>
        </w:rPr>
      </w:pPr>
      <w:r>
        <w:rPr>
          <w:rFonts w:ascii="Arial" w:cs="Arial" w:eastAsia="Arial" w:hAnsi="Arial"/>
          <w:sz w:val="12"/>
          <w:szCs w:val="12"/>
          <w:color w:val="auto"/>
        </w:rPr>
        <w:t>574</w:t>
      </w:r>
    </w:p>
    <w:p>
      <w:pPr>
        <w:spacing w:after="0" w:line="24" w:lineRule="exact"/>
        <w:rPr>
          <w:sz w:val="20"/>
          <w:szCs w:val="20"/>
          <w:color w:val="auto"/>
        </w:rPr>
      </w:pPr>
    </w:p>
    <w:p>
      <w:pPr>
        <w:ind w:left="907" w:hanging="907"/>
        <w:spacing w:after="0"/>
        <w:tabs>
          <w:tab w:leader="none" w:pos="907" w:val="left"/>
        </w:tabs>
        <w:numPr>
          <w:ilvl w:val="0"/>
          <w:numId w:val="37"/>
        </w:numPr>
        <w:rPr>
          <w:rFonts w:ascii="Arial" w:cs="Arial" w:eastAsia="Arial" w:hAnsi="Arial"/>
          <w:sz w:val="11"/>
          <w:szCs w:val="11"/>
          <w:color w:val="auto"/>
        </w:rPr>
      </w:pPr>
      <w:r>
        <w:rPr>
          <w:rFonts w:ascii="Arial" w:cs="Arial" w:eastAsia="Arial" w:hAnsi="Arial"/>
          <w:sz w:val="11"/>
          <w:szCs w:val="11"/>
          <w:color w:val="auto"/>
        </w:rPr>
        <w:t>17,102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33655</wp:posOffset>
            </wp:positionV>
            <wp:extent cx="101727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17270" cy="5715"/>
                    </a:xfrm>
                    <a:prstGeom prst="rect">
                      <a:avLst/>
                    </a:prstGeom>
                    <a:noFill/>
                  </pic:spPr>
                </pic:pic>
              </a:graphicData>
            </a:graphic>
          </wp:anchor>
        </w:drawing>
      </w:r>
    </w:p>
    <w:p>
      <w:pPr>
        <w:spacing w:after="0" w:line="613" w:lineRule="exact"/>
        <w:rPr>
          <w:sz w:val="20"/>
          <w:szCs w:val="20"/>
          <w:color w:val="auto"/>
        </w:rPr>
      </w:pPr>
    </w:p>
    <w:p>
      <w:pPr>
        <w:sectPr>
          <w:pgSz w:w="11900" w:h="16838" w:orient="portrait"/>
          <w:cols w:equalWidth="0" w:num="2">
            <w:col w:w="5620" w:space="333"/>
            <w:col w:w="5287"/>
          </w:cols>
          <w:pgMar w:left="300" w:top="230" w:right="35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402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Year ending</w:t>
            </w:r>
          </w:p>
        </w:tc>
        <w:tc>
          <w:tcPr>
            <w:tcW w:w="520" w:type="dxa"/>
            <w:vAlign w:val="bottom"/>
          </w:tcPr>
          <w:p>
            <w:pPr>
              <w:spacing w:after="0"/>
              <w:rPr>
                <w:sz w:val="10"/>
                <w:szCs w:val="10"/>
                <w:color w:val="auto"/>
              </w:rPr>
            </w:pPr>
          </w:p>
        </w:tc>
        <w:tc>
          <w:tcPr>
            <w:tcW w:w="1220" w:type="dxa"/>
            <w:vAlign w:val="bottom"/>
            <w:gridSpan w:val="2"/>
          </w:tcPr>
          <w:p>
            <w:pPr>
              <w:ind w:left="220"/>
              <w:spacing w:after="0"/>
              <w:rPr>
                <w:sz w:val="20"/>
                <w:szCs w:val="20"/>
                <w:color w:val="auto"/>
              </w:rPr>
            </w:pPr>
            <w:r>
              <w:rPr>
                <w:rFonts w:ascii="Arial" w:cs="Arial" w:eastAsia="Arial" w:hAnsi="Arial"/>
                <w:sz w:val="10"/>
                <w:szCs w:val="10"/>
                <w:b w:val="1"/>
                <w:bCs w:val="1"/>
                <w:color w:val="auto"/>
              </w:rPr>
              <w:t>Operating</w:t>
            </w:r>
          </w:p>
        </w:tc>
        <w:tc>
          <w:tcPr>
            <w:tcW w:w="480" w:type="dxa"/>
            <w:vAlign w:val="bottom"/>
          </w:tcPr>
          <w:p>
            <w:pPr>
              <w:spacing w:after="0"/>
              <w:rPr>
                <w:sz w:val="10"/>
                <w:szCs w:val="10"/>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Finance Leases</w:t>
            </w:r>
          </w:p>
        </w:tc>
        <w:tc>
          <w:tcPr>
            <w:tcW w:w="0" w:type="dxa"/>
            <w:vAlign w:val="bottom"/>
          </w:tcPr>
          <w:p>
            <w:pPr>
              <w:spacing w:after="0"/>
              <w:rPr>
                <w:sz w:val="1"/>
                <w:szCs w:val="1"/>
                <w:color w:val="auto"/>
              </w:rPr>
            </w:pPr>
          </w:p>
        </w:tc>
      </w:tr>
      <w:tr>
        <w:trPr>
          <w:trHeight w:val="125"/>
        </w:trPr>
        <w:tc>
          <w:tcPr>
            <w:tcW w:w="402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b w:val="1"/>
                <w:bCs w:val="1"/>
                <w:color w:val="auto"/>
              </w:rPr>
              <w:t>Leases</w:t>
            </w:r>
          </w:p>
        </w:tc>
        <w:tc>
          <w:tcPr>
            <w:tcW w:w="4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20" w:type="dxa"/>
            <w:vAlign w:val="bottom"/>
            <w:tcBorders>
              <w:top w:val="single" w:sz="8" w:color="auto"/>
            </w:tcBorders>
          </w:tcPr>
          <w:p>
            <w:pPr>
              <w:ind w:left="300"/>
              <w:spacing w:after="0"/>
              <w:rPr>
                <w:sz w:val="20"/>
                <w:szCs w:val="20"/>
                <w:color w:val="auto"/>
              </w:rPr>
            </w:pPr>
            <w:r>
              <w:rPr>
                <w:rFonts w:ascii="Arial" w:cs="Arial" w:eastAsia="Arial" w:hAnsi="Arial"/>
                <w:sz w:val="12"/>
                <w:szCs w:val="12"/>
                <w:color w:val="auto"/>
              </w:rPr>
              <w:t>2022</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14,302</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4,461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300"/>
              <w:spacing w:after="0"/>
              <w:rPr>
                <w:sz w:val="20"/>
                <w:szCs w:val="20"/>
                <w:color w:val="auto"/>
              </w:rPr>
            </w:pPr>
            <w:r>
              <w:rPr>
                <w:rFonts w:ascii="Arial" w:cs="Arial" w:eastAsia="Arial" w:hAnsi="Arial"/>
                <w:sz w:val="12"/>
                <w:szCs w:val="12"/>
                <w:color w:val="auto"/>
              </w:rPr>
              <w:t>2024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6,471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9,072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2025</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20" w:type="dxa"/>
            <w:vAlign w:val="bottom"/>
          </w:tcPr>
          <w:p>
            <w:pPr>
              <w:ind w:left="300"/>
              <w:spacing w:after="0"/>
              <w:rPr>
                <w:sz w:val="20"/>
                <w:szCs w:val="20"/>
                <w:color w:val="auto"/>
              </w:rPr>
            </w:pPr>
            <w:r>
              <w:rPr>
                <w:rFonts w:ascii="Arial" w:cs="Arial" w:eastAsia="Arial" w:hAnsi="Arial"/>
                <w:sz w:val="12"/>
                <w:szCs w:val="12"/>
                <w:color w:val="auto"/>
              </w:rPr>
              <w:t>2026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6,470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0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Thereafter</w:t>
            </w: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109,358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020" w:type="dxa"/>
            <w:vAlign w:val="bottom"/>
            <w:gridSpan w:val="2"/>
          </w:tcPr>
          <w:p>
            <w:pPr>
              <w:ind w:left="300"/>
              <w:spacing w:after="0"/>
              <w:rPr>
                <w:sz w:val="20"/>
                <w:szCs w:val="20"/>
                <w:color w:val="auto"/>
              </w:rPr>
            </w:pPr>
            <w:r>
              <w:rPr>
                <w:rFonts w:ascii="Arial" w:cs="Arial" w:eastAsia="Arial" w:hAnsi="Arial"/>
                <w:sz w:val="12"/>
                <w:szCs w:val="12"/>
                <w:color w:val="auto"/>
              </w:rPr>
              <w:t>Total undiscounted rental payments</w:t>
            </w: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151,566</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15,576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Less imputed interest</w:t>
            </w:r>
          </w:p>
        </w:tc>
        <w:tc>
          <w:tcPr>
            <w:tcW w:w="5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(85,383)</w:t>
            </w: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20" w:type="dxa"/>
            <w:vAlign w:val="bottom"/>
            <w:gridSpan w:val="2"/>
          </w:tcPr>
          <w:p>
            <w:pPr>
              <w:ind w:left="300"/>
              <w:spacing w:after="0"/>
              <w:rPr>
                <w:sz w:val="20"/>
                <w:szCs w:val="20"/>
                <w:color w:val="auto"/>
              </w:rPr>
            </w:pPr>
            <w:r>
              <w:rPr>
                <w:rFonts w:ascii="Arial" w:cs="Arial" w:eastAsia="Arial" w:hAnsi="Arial"/>
                <w:sz w:val="12"/>
                <w:szCs w:val="12"/>
                <w:color w:val="auto"/>
              </w:rPr>
              <w:t>Total lease liabilities</w:t>
            </w: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66,183</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14,528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right="220" w:firstLine="297"/>
        <w:spacing w:after="0" w:line="276" w:lineRule="auto"/>
        <w:rPr>
          <w:sz w:val="20"/>
          <w:szCs w:val="20"/>
          <w:color w:val="auto"/>
        </w:rPr>
      </w:pPr>
      <w:r>
        <w:rPr>
          <w:rFonts w:ascii="Arial" w:cs="Arial" w:eastAsia="Arial" w:hAnsi="Arial"/>
          <w:sz w:val="12"/>
          <w:szCs w:val="12"/>
          <w:color w:val="auto"/>
        </w:rPr>
        <w:t>The Company's weighted average remaining lease term of its operating and finance leases at December 31, 2021 was 36.3 years and 2.1 years, respectively. The Company's weighted average incremental borrowing rate of its operating and finance leases at December 31, 2021 was 7.8% and 3.7%, respectively.</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30" w:right="359" w:bottom="1440" w:gutter="0" w:footer="0" w:header="0"/>
          <w:type w:val="continuous"/>
        </w:sectPr>
      </w:pPr>
    </w:p>
    <w:bookmarkStart w:id="89" w:name="page90"/>
    <w:bookmarkEnd w:id="8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Deferred Charges and Other Assets,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Deferred charges and other assets, net at December 31, 2021 and 2020 consist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8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2020</w:t>
            </w:r>
          </w:p>
        </w:tc>
      </w:tr>
      <w:tr>
        <w:trPr>
          <w:trHeight w:val="146"/>
        </w:trPr>
        <w:tc>
          <w:tcPr>
            <w:tcW w:w="5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Leasing</w:t>
            </w:r>
          </w:p>
        </w:tc>
        <w:tc>
          <w:tcPr>
            <w:tcW w:w="6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134,887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162,652</w:t>
            </w:r>
          </w:p>
        </w:tc>
      </w:tr>
      <w:tr>
        <w:trPr>
          <w:trHeight w:val="153"/>
        </w:trPr>
        <w:tc>
          <w:tcPr>
            <w:tcW w:w="5840" w:type="dxa"/>
            <w:vAlign w:val="bottom"/>
          </w:tcPr>
          <w:p>
            <w:pPr>
              <w:ind w:left="300"/>
              <w:spacing w:after="0"/>
              <w:rPr>
                <w:sz w:val="20"/>
                <w:szCs w:val="20"/>
                <w:color w:val="auto"/>
              </w:rPr>
            </w:pPr>
            <w:r>
              <w:rPr>
                <w:rFonts w:ascii="Arial" w:cs="Arial" w:eastAsia="Arial" w:hAnsi="Arial"/>
                <w:sz w:val="12"/>
                <w:szCs w:val="12"/>
                <w:color w:val="auto"/>
              </w:rPr>
              <w:t>Intangible assets:</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3"/>
        </w:trPr>
        <w:tc>
          <w:tcPr>
            <w:tcW w:w="58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In-place lease values(1)</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62,826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74,298</w:t>
            </w:r>
          </w:p>
        </w:tc>
      </w:tr>
      <w:tr>
        <w:trPr>
          <w:trHeight w:val="153"/>
        </w:trPr>
        <w:tc>
          <w:tcPr>
            <w:tcW w:w="5840" w:type="dxa"/>
            <w:vAlign w:val="bottom"/>
          </w:tcPr>
          <w:p>
            <w:pPr>
              <w:ind w:left="380"/>
              <w:spacing w:after="0"/>
              <w:rPr>
                <w:sz w:val="20"/>
                <w:szCs w:val="20"/>
                <w:color w:val="auto"/>
              </w:rPr>
            </w:pPr>
            <w:r>
              <w:rPr>
                <w:rFonts w:ascii="Arial" w:cs="Arial" w:eastAsia="Arial" w:hAnsi="Arial"/>
                <w:sz w:val="12"/>
                <w:szCs w:val="12"/>
                <w:color w:val="auto"/>
              </w:rPr>
              <w:t>Leasing commissions and legal costs(1)</w:t>
            </w:r>
          </w:p>
        </w:tc>
        <w:tc>
          <w:tcPr>
            <w:tcW w:w="6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16,710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21,096</w:t>
            </w:r>
          </w:p>
        </w:tc>
      </w:tr>
      <w:tr>
        <w:trPr>
          <w:trHeight w:val="153"/>
        </w:trPr>
        <w:tc>
          <w:tcPr>
            <w:tcW w:w="58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Above-market leases</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72,289</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80,120</w:t>
            </w:r>
          </w:p>
        </w:tc>
      </w:tr>
      <w:tr>
        <w:trPr>
          <w:trHeight w:val="153"/>
        </w:trPr>
        <w:tc>
          <w:tcPr>
            <w:tcW w:w="5840" w:type="dxa"/>
            <w:vAlign w:val="bottom"/>
          </w:tcPr>
          <w:p>
            <w:pPr>
              <w:ind w:left="300"/>
              <w:spacing w:after="0"/>
              <w:rPr>
                <w:sz w:val="20"/>
                <w:szCs w:val="20"/>
                <w:color w:val="auto"/>
              </w:rPr>
            </w:pPr>
            <w:r>
              <w:rPr>
                <w:rFonts w:ascii="Arial" w:cs="Arial" w:eastAsia="Arial" w:hAnsi="Arial"/>
                <w:sz w:val="12"/>
                <w:szCs w:val="12"/>
                <w:color w:val="auto"/>
              </w:rPr>
              <w:t>Deferred tax assets</w:t>
            </w:r>
          </w:p>
        </w:tc>
        <w:tc>
          <w:tcPr>
            <w:tcW w:w="6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23,406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30,767</w:t>
            </w:r>
          </w:p>
        </w:tc>
      </w:tr>
      <w:tr>
        <w:trPr>
          <w:trHeight w:val="153"/>
        </w:trPr>
        <w:tc>
          <w:tcPr>
            <w:tcW w:w="5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Deferred compensation plan assets</w:t>
            </w: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68,807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62,874</w:t>
            </w:r>
          </w:p>
        </w:tc>
      </w:tr>
      <w:tr>
        <w:trPr>
          <w:trHeight w:val="153"/>
        </w:trPr>
        <w:tc>
          <w:tcPr>
            <w:tcW w:w="584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Other assets</w:t>
            </w: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46,319</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61,553</w:t>
            </w:r>
          </w:p>
        </w:tc>
      </w:tr>
      <w:tr>
        <w:trPr>
          <w:trHeight w:val="142"/>
        </w:trPr>
        <w:tc>
          <w:tcPr>
            <w:tcW w:w="58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425,244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493,360</w:t>
            </w:r>
          </w:p>
        </w:tc>
      </w:tr>
      <w:tr>
        <w:trPr>
          <w:trHeight w:val="153"/>
        </w:trPr>
        <w:tc>
          <w:tcPr>
            <w:tcW w:w="584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Less accumulated amortization(2)</w:t>
            </w: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(170,336)</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(186,401)</w:t>
            </w:r>
          </w:p>
        </w:tc>
      </w:tr>
      <w:tr>
        <w:trPr>
          <w:trHeight w:val="158"/>
        </w:trPr>
        <w:tc>
          <w:tcPr>
            <w:tcW w:w="58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254,908</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306,959</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w:t>
      </w:r>
    </w:p>
    <w:p>
      <w:pPr>
        <w:spacing w:after="0" w:line="159" w:lineRule="exact"/>
        <w:rPr>
          <w:sz w:val="20"/>
          <w:szCs w:val="20"/>
          <w:color w:val="auto"/>
        </w:rPr>
      </w:pPr>
    </w:p>
    <w:p>
      <w:pPr>
        <w:ind w:left="800" w:hanging="376"/>
        <w:spacing w:after="0"/>
        <w:tabs>
          <w:tab w:leader="none" w:pos="8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amortization of these intangible assets for the next five years and thereafter is as follows:</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123"/>
        </w:trPr>
        <w:tc>
          <w:tcPr>
            <w:tcW w:w="4180" w:type="dxa"/>
            <w:vAlign w:val="bottom"/>
            <w:gridSpan w:val="2"/>
          </w:tcPr>
          <w:p>
            <w:pPr>
              <w:spacing w:after="0"/>
              <w:rPr>
                <w:sz w:val="20"/>
                <w:szCs w:val="20"/>
                <w:color w:val="auto"/>
              </w:rPr>
            </w:pPr>
            <w:r>
              <w:rPr>
                <w:rFonts w:ascii="Arial" w:cs="Arial" w:eastAsia="Arial" w:hAnsi="Arial"/>
                <w:sz w:val="10"/>
                <w:szCs w:val="10"/>
                <w:b w:val="1"/>
                <w:bCs w:val="1"/>
                <w:color w:val="auto"/>
              </w:rPr>
              <w:t>Year Ending December 31,</w:t>
            </w:r>
          </w:p>
        </w:tc>
        <w:tc>
          <w:tcPr>
            <w:tcW w:w="34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61"/>
        </w:trPr>
        <w:tc>
          <w:tcPr>
            <w:tcW w:w="360" w:type="dxa"/>
            <w:vAlign w:val="bottom"/>
          </w:tcPr>
          <w:p>
            <w:pPr>
              <w:spacing w:after="0"/>
              <w:rPr>
                <w:sz w:val="20"/>
                <w:szCs w:val="20"/>
                <w:color w:val="auto"/>
              </w:rPr>
            </w:pPr>
            <w:r>
              <w:rPr>
                <w:rFonts w:ascii="Arial" w:cs="Arial" w:eastAsia="Arial" w:hAnsi="Arial"/>
                <w:sz w:val="12"/>
                <w:szCs w:val="12"/>
                <w:color w:val="auto"/>
              </w:rPr>
              <w:t>2022</w:t>
            </w:r>
          </w:p>
        </w:tc>
        <w:tc>
          <w:tcPr>
            <w:tcW w:w="3820" w:type="dxa"/>
            <w:vAlign w:val="bottom"/>
            <w:shd w:val="clear" w:color="auto" w:fill="CCEEFF"/>
          </w:tcPr>
          <w:p>
            <w:pPr>
              <w:spacing w:after="0"/>
              <w:rPr>
                <w:sz w:val="14"/>
                <w:szCs w:val="14"/>
                <w:color w:val="auto"/>
              </w:rPr>
            </w:pPr>
          </w:p>
        </w:tc>
        <w:tc>
          <w:tcPr>
            <w:tcW w:w="34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6,617</w:t>
            </w: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2023</w:t>
            </w:r>
          </w:p>
        </w:tc>
        <w:tc>
          <w:tcPr>
            <w:tcW w:w="38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5,430</w:t>
            </w: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2024</w:t>
            </w:r>
          </w:p>
        </w:tc>
        <w:tc>
          <w:tcPr>
            <w:tcW w:w="382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4,369</w:t>
            </w: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2025</w:t>
            </w:r>
          </w:p>
        </w:tc>
        <w:tc>
          <w:tcPr>
            <w:tcW w:w="38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3,395</w:t>
            </w: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2026</w:t>
            </w:r>
          </w:p>
        </w:tc>
        <w:tc>
          <w:tcPr>
            <w:tcW w:w="3820" w:type="dxa"/>
            <w:vAlign w:val="bottom"/>
            <w:shd w:val="clear" w:color="auto" w:fill="CCEEFF"/>
          </w:tcPr>
          <w:p>
            <w:pPr>
              <w:spacing w:after="0"/>
              <w:rPr>
                <w:sz w:val="13"/>
                <w:szCs w:val="13"/>
                <w:color w:val="auto"/>
              </w:rPr>
            </w:pPr>
          </w:p>
        </w:tc>
        <w:tc>
          <w:tcPr>
            <w:tcW w:w="34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3,437</w:t>
            </w:r>
          </w:p>
        </w:tc>
      </w:tr>
      <w:tr>
        <w:trPr>
          <w:trHeight w:val="153"/>
        </w:trPr>
        <w:tc>
          <w:tcPr>
            <w:tcW w:w="4180" w:type="dxa"/>
            <w:vAlign w:val="bottom"/>
            <w:gridSpan w:val="2"/>
          </w:tcPr>
          <w:p>
            <w:pPr>
              <w:spacing w:after="0"/>
              <w:rPr>
                <w:sz w:val="20"/>
                <w:szCs w:val="20"/>
                <w:color w:val="auto"/>
              </w:rPr>
            </w:pPr>
            <w:r>
              <w:rPr>
                <w:rFonts w:ascii="Arial" w:cs="Arial" w:eastAsia="Arial" w:hAnsi="Arial"/>
                <w:sz w:val="12"/>
                <w:szCs w:val="12"/>
                <w:color w:val="auto"/>
              </w:rPr>
              <w:t>Thereafter</w:t>
            </w:r>
          </w:p>
        </w:tc>
        <w:tc>
          <w:tcPr>
            <w:tcW w:w="34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12,310</w:t>
            </w:r>
          </w:p>
        </w:tc>
      </w:tr>
      <w:tr>
        <w:trPr>
          <w:trHeight w:val="158"/>
        </w:trPr>
        <w:tc>
          <w:tcPr>
            <w:tcW w:w="360" w:type="dxa"/>
            <w:vAlign w:val="bottom"/>
          </w:tcPr>
          <w:p>
            <w:pPr>
              <w:spacing w:after="0"/>
              <w:rPr>
                <w:sz w:val="13"/>
                <w:szCs w:val="13"/>
                <w:color w:val="auto"/>
              </w:rPr>
            </w:pPr>
          </w:p>
        </w:tc>
        <w:tc>
          <w:tcPr>
            <w:tcW w:w="3820" w:type="dxa"/>
            <w:vAlign w:val="bottom"/>
            <w:tcBorders>
              <w:top w:val="single" w:sz="8" w:color="CCEEFF"/>
              <w:bottom w:val="single" w:sz="8" w:color="CCEEFF"/>
            </w:tcBorders>
            <w:shd w:val="clear" w:color="auto" w:fill="CCEEFF"/>
          </w:tcPr>
          <w:p>
            <w:pPr>
              <w:spacing w:after="0"/>
              <w:rPr>
                <w:sz w:val="13"/>
                <w:szCs w:val="13"/>
                <w:color w:val="auto"/>
              </w:rPr>
            </w:pPr>
          </w:p>
        </w:tc>
        <w:tc>
          <w:tcPr>
            <w:tcW w:w="3480" w:type="dxa"/>
            <w:vAlign w:val="bottom"/>
            <w:tcBorders>
              <w:top w:val="single" w:sz="8" w:color="CCEEFF"/>
              <w:bottom w:val="single" w:sz="8" w:color="CCEEFF"/>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35,558</w:t>
            </w:r>
          </w:p>
        </w:tc>
      </w:tr>
    </w:tbl>
    <w:p>
      <w:pPr>
        <w:spacing w:after="0" w:line="216" w:lineRule="exact"/>
        <w:rPr>
          <w:sz w:val="20"/>
          <w:szCs w:val="20"/>
          <w:color w:val="auto"/>
        </w:rPr>
      </w:pPr>
    </w:p>
    <w:p>
      <w:pPr>
        <w:ind w:left="800" w:hanging="376"/>
        <w:spacing w:after="0" w:line="276" w:lineRule="auto"/>
        <w:tabs>
          <w:tab w:leader="none" w:pos="796" w:val="left"/>
        </w:tabs>
        <w:numPr>
          <w:ilvl w:val="0"/>
          <w:numId w:val="39"/>
        </w:numPr>
        <w:rPr>
          <w:rFonts w:ascii="Arial" w:cs="Arial" w:eastAsia="Arial" w:hAnsi="Arial"/>
          <w:sz w:val="12"/>
          <w:szCs w:val="12"/>
          <w:color w:val="auto"/>
        </w:rPr>
      </w:pPr>
      <w:r>
        <w:rPr>
          <w:rFonts w:ascii="Arial" w:cs="Arial" w:eastAsia="Arial" w:hAnsi="Arial"/>
          <w:sz w:val="12"/>
          <w:szCs w:val="12"/>
          <w:color w:val="auto"/>
        </w:rPr>
        <w:t>Accumulated amortization includes $43,978 and $47,249 relating to in-place lease values, leasing commissions and legal costs at December 31, 2021 and 2020, respectively. Amortization expense for in-place lease values, leasing commissions and legal costs was $11,233, $9,412 and $13,821 for the years ended December 31, 2021, 2020 and 2019, respectively.</w:t>
      </w: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40"/>
          </w:cols>
          <w:pgMar w:left="300" w:top="230" w:right="559" w:bottom="1440" w:gutter="0" w:footer="0" w:header="0"/>
        </w:sectPr>
      </w:pPr>
    </w:p>
    <w:bookmarkStart w:id="90" w:name="page91"/>
    <w:bookmarkEnd w:id="9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Deferred Charges and Other Assets, net: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allocated values of above-market leases and below-market leases consist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84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2020</w:t>
            </w:r>
          </w:p>
        </w:tc>
      </w:tr>
      <w:tr>
        <w:trPr>
          <w:trHeight w:val="146"/>
        </w:trPr>
        <w:tc>
          <w:tcPr>
            <w:tcW w:w="5840" w:type="dxa"/>
            <w:vAlign w:val="bottom"/>
            <w:shd w:val="clear" w:color="auto" w:fill="CCEEFF"/>
          </w:tcPr>
          <w:p>
            <w:pPr>
              <w:ind w:left="300"/>
              <w:spacing w:after="0"/>
              <w:rPr>
                <w:sz w:val="20"/>
                <w:szCs w:val="20"/>
                <w:color w:val="auto"/>
              </w:rPr>
            </w:pPr>
            <w:r>
              <w:rPr>
                <w:rFonts w:ascii="Arial" w:cs="Arial" w:eastAsia="Arial" w:hAnsi="Arial"/>
                <w:sz w:val="12"/>
                <w:szCs w:val="12"/>
                <w:i w:val="1"/>
                <w:iCs w:val="1"/>
                <w:color w:val="auto"/>
              </w:rPr>
              <w:t>Above-Market Leases</w:t>
            </w: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53"/>
        </w:trPr>
        <w:tc>
          <w:tcPr>
            <w:tcW w:w="5840" w:type="dxa"/>
            <w:vAlign w:val="bottom"/>
          </w:tcPr>
          <w:p>
            <w:pPr>
              <w:ind w:left="300"/>
              <w:spacing w:after="0"/>
              <w:rPr>
                <w:sz w:val="20"/>
                <w:szCs w:val="20"/>
                <w:color w:val="auto"/>
              </w:rPr>
            </w:pPr>
            <w:r>
              <w:rPr>
                <w:rFonts w:ascii="Arial" w:cs="Arial" w:eastAsia="Arial" w:hAnsi="Arial"/>
                <w:sz w:val="12"/>
                <w:szCs w:val="12"/>
                <w:color w:val="auto"/>
              </w:rPr>
              <w:t>Original allocated value</w:t>
            </w:r>
          </w:p>
        </w:tc>
        <w:tc>
          <w:tcPr>
            <w:tcW w:w="1160" w:type="dxa"/>
            <w:vAlign w:val="bottom"/>
          </w:tcPr>
          <w:p>
            <w:pPr>
              <w:jc w:val="right"/>
              <w:ind w:right="742"/>
              <w:spacing w:after="0"/>
              <w:rPr>
                <w:sz w:val="20"/>
                <w:szCs w:val="20"/>
                <w:color w:val="auto"/>
              </w:rPr>
            </w:pPr>
            <w:r>
              <w:rPr>
                <w:rFonts w:ascii="Arial" w:cs="Arial" w:eastAsia="Arial" w:hAnsi="Arial"/>
                <w:sz w:val="12"/>
                <w:szCs w:val="12"/>
                <w:color w:val="auto"/>
              </w:rPr>
              <w:t>$</w:t>
            </w:r>
          </w:p>
        </w:tc>
        <w:tc>
          <w:tcPr>
            <w:tcW w:w="500" w:type="dxa"/>
            <w:vAlign w:val="bottom"/>
          </w:tcPr>
          <w:p>
            <w:pPr>
              <w:jc w:val="center"/>
              <w:ind w:left="20"/>
              <w:spacing w:after="0"/>
              <w:rPr>
                <w:sz w:val="20"/>
                <w:szCs w:val="20"/>
                <w:color w:val="auto"/>
              </w:rPr>
            </w:pPr>
            <w:r>
              <w:rPr>
                <w:rFonts w:ascii="Arial" w:cs="Arial" w:eastAsia="Arial" w:hAnsi="Arial"/>
                <w:sz w:val="12"/>
                <w:szCs w:val="12"/>
                <w:color w:val="auto"/>
                <w:w w:val="92"/>
              </w:rPr>
              <w:t>72,289</w:t>
            </w:r>
          </w:p>
        </w:tc>
        <w:tc>
          <w:tcPr>
            <w:tcW w:w="100" w:type="dxa"/>
            <w:vAlign w:val="bottom"/>
          </w:tcPr>
          <w:p>
            <w:pPr>
              <w:spacing w:after="0"/>
              <w:rPr>
                <w:sz w:val="13"/>
                <w:szCs w:val="13"/>
                <w:color w:val="auto"/>
              </w:rPr>
            </w:pPr>
          </w:p>
        </w:tc>
        <w:tc>
          <w:tcPr>
            <w:tcW w:w="6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80,120</w:t>
            </w:r>
          </w:p>
        </w:tc>
      </w:tr>
      <w:tr>
        <w:trPr>
          <w:trHeight w:val="153"/>
        </w:trPr>
        <w:tc>
          <w:tcPr>
            <w:tcW w:w="5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Less accumulated amortization</w:t>
            </w:r>
          </w:p>
        </w:tc>
        <w:tc>
          <w:tcPr>
            <w:tcW w:w="11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(32,484)</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(33,271)</w:t>
            </w:r>
          </w:p>
        </w:tc>
      </w:tr>
      <w:tr>
        <w:trPr>
          <w:trHeight w:val="158"/>
        </w:trPr>
        <w:tc>
          <w:tcPr>
            <w:tcW w:w="58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74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color w:val="auto"/>
                <w:w w:val="92"/>
              </w:rPr>
              <w:t>39,805</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46,849</w:t>
            </w:r>
          </w:p>
        </w:tc>
      </w:tr>
      <w:tr>
        <w:trPr>
          <w:trHeight w:val="153"/>
        </w:trPr>
        <w:tc>
          <w:tcPr>
            <w:tcW w:w="5840" w:type="dxa"/>
            <w:vAlign w:val="bottom"/>
            <w:shd w:val="clear" w:color="auto" w:fill="CCEEFF"/>
          </w:tcPr>
          <w:p>
            <w:pPr>
              <w:ind w:left="300"/>
              <w:spacing w:after="0"/>
              <w:rPr>
                <w:sz w:val="20"/>
                <w:szCs w:val="20"/>
                <w:color w:val="auto"/>
              </w:rPr>
            </w:pPr>
            <w:r>
              <w:rPr>
                <w:rFonts w:ascii="Arial" w:cs="Arial" w:eastAsia="Arial" w:hAnsi="Arial"/>
                <w:sz w:val="12"/>
                <w:szCs w:val="12"/>
                <w:i w:val="1"/>
                <w:iCs w:val="1"/>
                <w:color w:val="auto"/>
              </w:rPr>
              <w:t>Below-Market Leases(1)</w:t>
            </w:r>
          </w:p>
        </w:tc>
        <w:tc>
          <w:tcPr>
            <w:tcW w:w="1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3"/>
        </w:trPr>
        <w:tc>
          <w:tcPr>
            <w:tcW w:w="5840" w:type="dxa"/>
            <w:vAlign w:val="bottom"/>
          </w:tcPr>
          <w:p>
            <w:pPr>
              <w:ind w:left="300"/>
              <w:spacing w:after="0"/>
              <w:rPr>
                <w:sz w:val="20"/>
                <w:szCs w:val="20"/>
                <w:color w:val="auto"/>
              </w:rPr>
            </w:pPr>
            <w:r>
              <w:rPr>
                <w:rFonts w:ascii="Arial" w:cs="Arial" w:eastAsia="Arial" w:hAnsi="Arial"/>
                <w:sz w:val="12"/>
                <w:szCs w:val="12"/>
                <w:color w:val="auto"/>
              </w:rPr>
              <w:t>Original allocated value</w:t>
            </w:r>
          </w:p>
        </w:tc>
        <w:tc>
          <w:tcPr>
            <w:tcW w:w="1160" w:type="dxa"/>
            <w:vAlign w:val="bottom"/>
          </w:tcPr>
          <w:p>
            <w:pPr>
              <w:jc w:val="right"/>
              <w:ind w:right="742"/>
              <w:spacing w:after="0"/>
              <w:rPr>
                <w:sz w:val="20"/>
                <w:szCs w:val="20"/>
                <w:color w:val="auto"/>
              </w:rPr>
            </w:pPr>
            <w:r>
              <w:rPr>
                <w:rFonts w:ascii="Arial" w:cs="Arial" w:eastAsia="Arial" w:hAnsi="Arial"/>
                <w:sz w:val="12"/>
                <w:szCs w:val="12"/>
                <w:color w:val="auto"/>
              </w:rPr>
              <w:t>$</w:t>
            </w:r>
          </w:p>
        </w:tc>
        <w:tc>
          <w:tcPr>
            <w:tcW w:w="500" w:type="dxa"/>
            <w:vAlign w:val="bottom"/>
          </w:tcPr>
          <w:p>
            <w:pPr>
              <w:jc w:val="center"/>
              <w:ind w:left="20"/>
              <w:spacing w:after="0"/>
              <w:rPr>
                <w:sz w:val="20"/>
                <w:szCs w:val="20"/>
                <w:color w:val="auto"/>
              </w:rPr>
            </w:pPr>
            <w:r>
              <w:rPr>
                <w:rFonts w:ascii="Arial" w:cs="Arial" w:eastAsia="Arial" w:hAnsi="Arial"/>
                <w:sz w:val="12"/>
                <w:szCs w:val="12"/>
                <w:color w:val="auto"/>
                <w:w w:val="92"/>
              </w:rPr>
              <w:t>99,332</w:t>
            </w:r>
          </w:p>
        </w:tc>
        <w:tc>
          <w:tcPr>
            <w:tcW w:w="100" w:type="dxa"/>
            <w:vAlign w:val="bottom"/>
          </w:tcPr>
          <w:p>
            <w:pPr>
              <w:spacing w:after="0"/>
              <w:rPr>
                <w:sz w:val="13"/>
                <w:szCs w:val="13"/>
                <w:color w:val="auto"/>
              </w:rPr>
            </w:pPr>
          </w:p>
        </w:tc>
        <w:tc>
          <w:tcPr>
            <w:tcW w:w="6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114,790</w:t>
            </w:r>
          </w:p>
        </w:tc>
      </w:tr>
      <w:tr>
        <w:trPr>
          <w:trHeight w:val="153"/>
        </w:trPr>
        <w:tc>
          <w:tcPr>
            <w:tcW w:w="5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Less accumulated amortization</w:t>
            </w:r>
          </w:p>
        </w:tc>
        <w:tc>
          <w:tcPr>
            <w:tcW w:w="11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(37,122)</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(43,656)</w:t>
            </w:r>
          </w:p>
        </w:tc>
      </w:tr>
      <w:tr>
        <w:trPr>
          <w:trHeight w:val="142"/>
        </w:trPr>
        <w:tc>
          <w:tcPr>
            <w:tcW w:w="5840" w:type="dxa"/>
            <w:vAlign w:val="bottom"/>
          </w:tcPr>
          <w:p>
            <w:pPr>
              <w:spacing w:after="0"/>
              <w:rPr>
                <w:sz w:val="12"/>
                <w:szCs w:val="12"/>
                <w:color w:val="auto"/>
              </w:rPr>
            </w:pPr>
          </w:p>
        </w:tc>
        <w:tc>
          <w:tcPr>
            <w:tcW w:w="1160" w:type="dxa"/>
            <w:vAlign w:val="bottom"/>
            <w:tcBorders>
              <w:bottom w:val="single" w:sz="8" w:color="auto"/>
            </w:tcBorders>
          </w:tcPr>
          <w:p>
            <w:pPr>
              <w:jc w:val="right"/>
              <w:ind w:right="74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color w:val="auto"/>
                <w:w w:val="92"/>
              </w:rPr>
              <w:t>62,210</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71,134</w:t>
            </w:r>
          </w:p>
        </w:tc>
      </w:tr>
      <w:tr>
        <w:trPr>
          <w:trHeight w:val="20"/>
        </w:trPr>
        <w:tc>
          <w:tcPr>
            <w:tcW w:w="5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w:t>
      </w:r>
    </w:p>
    <w:p>
      <w:pPr>
        <w:spacing w:after="0" w:line="159" w:lineRule="exact"/>
        <w:rPr>
          <w:sz w:val="20"/>
          <w:szCs w:val="20"/>
          <w:color w:val="auto"/>
        </w:rPr>
      </w:pPr>
    </w:p>
    <w:p>
      <w:pPr>
        <w:ind w:left="800" w:hanging="376"/>
        <w:spacing w:after="0"/>
        <w:tabs>
          <w:tab w:leader="none" w:pos="8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Below-market leases are included in other accrued liabilities.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allocated values of above and below-market leases will be amortized into minimum rents on a straight-line basis over the individual remaining lease terms. The amortization of these values for the next five years and</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594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Year Ending December 31,</w:t>
            </w:r>
          </w:p>
        </w:tc>
        <w:tc>
          <w:tcPr>
            <w:tcW w:w="1200" w:type="dxa"/>
            <w:vAlign w:val="bottom"/>
          </w:tcPr>
          <w:p>
            <w:pPr>
              <w:jc w:val="right"/>
              <w:ind w:right="46"/>
              <w:spacing w:after="0"/>
              <w:rPr>
                <w:sz w:val="20"/>
                <w:szCs w:val="20"/>
                <w:color w:val="auto"/>
              </w:rPr>
            </w:pPr>
            <w:r>
              <w:rPr>
                <w:rFonts w:ascii="Arial" w:cs="Arial" w:eastAsia="Arial" w:hAnsi="Arial"/>
                <w:sz w:val="10"/>
                <w:szCs w:val="10"/>
                <w:b w:val="1"/>
                <w:bCs w:val="1"/>
                <w:color w:val="auto"/>
              </w:rPr>
              <w:t>Above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jc w:val="right"/>
              <w:ind w:right="503"/>
              <w:spacing w:after="0"/>
              <w:rPr>
                <w:sz w:val="20"/>
                <w:szCs w:val="20"/>
                <w:color w:val="auto"/>
              </w:rPr>
            </w:pPr>
            <w:r>
              <w:rPr>
                <w:rFonts w:ascii="Arial" w:cs="Arial" w:eastAsia="Arial" w:hAnsi="Arial"/>
                <w:sz w:val="10"/>
                <w:szCs w:val="10"/>
                <w:b w:val="1"/>
                <w:bCs w:val="1"/>
                <w:color w:val="auto"/>
              </w:rPr>
              <w:t>Below</w:t>
            </w:r>
          </w:p>
        </w:tc>
        <w:tc>
          <w:tcPr>
            <w:tcW w:w="0" w:type="dxa"/>
            <w:vAlign w:val="bottom"/>
          </w:tcPr>
          <w:p>
            <w:pPr>
              <w:spacing w:after="0"/>
              <w:rPr>
                <w:sz w:val="1"/>
                <w:szCs w:val="1"/>
                <w:color w:val="auto"/>
              </w:rPr>
            </w:pPr>
          </w:p>
        </w:tc>
      </w:tr>
      <w:tr>
        <w:trPr>
          <w:trHeight w:val="125"/>
        </w:trPr>
        <w:tc>
          <w:tcPr>
            <w:tcW w:w="5940" w:type="dxa"/>
            <w:vAlign w:val="bottom"/>
            <w:tcBorders>
              <w:bottom w:val="single" w:sz="8" w:color="CCEEFF"/>
            </w:tcBorders>
            <w:vMerge w:val="continue"/>
          </w:tcPr>
          <w:p>
            <w:pPr>
              <w:spacing w:after="0"/>
              <w:rPr>
                <w:sz w:val="10"/>
                <w:szCs w:val="10"/>
                <w:color w:val="auto"/>
              </w:rPr>
            </w:pPr>
          </w:p>
        </w:tc>
        <w:tc>
          <w:tcPr>
            <w:tcW w:w="1200" w:type="dxa"/>
            <w:vAlign w:val="bottom"/>
            <w:tcBorders>
              <w:bottom w:val="single" w:sz="8" w:color="auto"/>
            </w:tcBorders>
          </w:tcPr>
          <w:p>
            <w:pPr>
              <w:jc w:val="right"/>
              <w:ind w:right="166"/>
              <w:spacing w:after="0"/>
              <w:rPr>
                <w:sz w:val="20"/>
                <w:szCs w:val="20"/>
                <w:color w:val="auto"/>
              </w:rPr>
            </w:pPr>
            <w:r>
              <w:rPr>
                <w:rFonts w:ascii="Arial" w:cs="Arial" w:eastAsia="Arial" w:hAnsi="Arial"/>
                <w:sz w:val="10"/>
                <w:szCs w:val="10"/>
                <w:b w:val="1"/>
                <w:bCs w:val="1"/>
                <w:color w:val="auto"/>
              </w:rPr>
              <w:t>Market</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Market</w:t>
            </w:r>
          </w:p>
        </w:tc>
        <w:tc>
          <w:tcPr>
            <w:tcW w:w="0" w:type="dxa"/>
            <w:vAlign w:val="bottom"/>
          </w:tcPr>
          <w:p>
            <w:pPr>
              <w:spacing w:after="0"/>
              <w:rPr>
                <w:sz w:val="1"/>
                <w:szCs w:val="1"/>
                <w:color w:val="auto"/>
              </w:rPr>
            </w:pPr>
          </w:p>
        </w:tc>
      </w:tr>
      <w:tr>
        <w:trPr>
          <w:trHeight w:val="143"/>
        </w:trPr>
        <w:tc>
          <w:tcPr>
            <w:tcW w:w="59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2022</w:t>
            </w:r>
          </w:p>
        </w:tc>
        <w:tc>
          <w:tcPr>
            <w:tcW w:w="1200" w:type="dxa"/>
            <w:vAlign w:val="bottom"/>
            <w:shd w:val="clear" w:color="auto" w:fill="CCEEFF"/>
          </w:tcPr>
          <w:p>
            <w:pPr>
              <w:jc w:val="right"/>
              <w:ind w:right="786"/>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8,454</w:t>
            </w:r>
          </w:p>
        </w:tc>
        <w:tc>
          <w:tcPr>
            <w:tcW w:w="0" w:type="dxa"/>
            <w:vAlign w:val="bottom"/>
          </w:tcPr>
          <w:p>
            <w:pPr>
              <w:spacing w:after="0"/>
              <w:rPr>
                <w:sz w:val="1"/>
                <w:szCs w:val="1"/>
                <w:color w:val="auto"/>
              </w:rPr>
            </w:pPr>
          </w:p>
        </w:tc>
      </w:tr>
      <w:tr>
        <w:trPr>
          <w:trHeight w:val="153"/>
        </w:trPr>
        <w:tc>
          <w:tcPr>
            <w:tcW w:w="5940" w:type="dxa"/>
            <w:vAlign w:val="bottom"/>
          </w:tcPr>
          <w:p>
            <w:pPr>
              <w:ind w:left="300"/>
              <w:spacing w:after="0"/>
              <w:rPr>
                <w:sz w:val="20"/>
                <w:szCs w:val="20"/>
                <w:color w:val="auto"/>
              </w:rPr>
            </w:pPr>
            <w:r>
              <w:rPr>
                <w:rFonts w:ascii="Arial" w:cs="Arial" w:eastAsia="Arial" w:hAnsi="Arial"/>
                <w:sz w:val="12"/>
                <w:szCs w:val="12"/>
                <w:color w:val="auto"/>
              </w:rPr>
              <w:t>2023</w:t>
            </w:r>
          </w:p>
        </w:tc>
        <w:tc>
          <w:tcPr>
            <w:tcW w:w="1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5,724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7,766</w:t>
            </w: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2024</w:t>
            </w: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7,650</w:t>
            </w:r>
          </w:p>
        </w:tc>
        <w:tc>
          <w:tcPr>
            <w:tcW w:w="0" w:type="dxa"/>
            <w:vAlign w:val="bottom"/>
          </w:tcPr>
          <w:p>
            <w:pPr>
              <w:spacing w:after="0"/>
              <w:rPr>
                <w:sz w:val="1"/>
                <w:szCs w:val="1"/>
                <w:color w:val="auto"/>
              </w:rPr>
            </w:pPr>
          </w:p>
        </w:tc>
      </w:tr>
      <w:tr>
        <w:trPr>
          <w:trHeight w:val="153"/>
        </w:trPr>
        <w:tc>
          <w:tcPr>
            <w:tcW w:w="5940" w:type="dxa"/>
            <w:vAlign w:val="bottom"/>
          </w:tcPr>
          <w:p>
            <w:pPr>
              <w:ind w:left="300"/>
              <w:spacing w:after="0"/>
              <w:rPr>
                <w:sz w:val="20"/>
                <w:szCs w:val="20"/>
                <w:color w:val="auto"/>
              </w:rPr>
            </w:pPr>
            <w:r>
              <w:rPr>
                <w:rFonts w:ascii="Arial" w:cs="Arial" w:eastAsia="Arial" w:hAnsi="Arial"/>
                <w:sz w:val="12"/>
                <w:szCs w:val="12"/>
                <w:color w:val="auto"/>
              </w:rPr>
              <w:t>2025</w:t>
            </w:r>
          </w:p>
        </w:tc>
        <w:tc>
          <w:tcPr>
            <w:tcW w:w="1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3,821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6,071</w:t>
            </w: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2026</w:t>
            </w:r>
          </w:p>
        </w:tc>
        <w:tc>
          <w:tcPr>
            <w:tcW w:w="1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4,745</w:t>
            </w:r>
          </w:p>
        </w:tc>
        <w:tc>
          <w:tcPr>
            <w:tcW w:w="0" w:type="dxa"/>
            <w:vAlign w:val="bottom"/>
          </w:tcPr>
          <w:p>
            <w:pPr>
              <w:spacing w:after="0"/>
              <w:rPr>
                <w:sz w:val="1"/>
                <w:szCs w:val="1"/>
                <w:color w:val="auto"/>
              </w:rPr>
            </w:pPr>
          </w:p>
        </w:tc>
      </w:tr>
      <w:tr>
        <w:trPr>
          <w:trHeight w:val="153"/>
        </w:trPr>
        <w:tc>
          <w:tcPr>
            <w:tcW w:w="5940" w:type="dxa"/>
            <w:vAlign w:val="bottom"/>
          </w:tcPr>
          <w:p>
            <w:pPr>
              <w:ind w:left="300"/>
              <w:spacing w:after="0"/>
              <w:rPr>
                <w:sz w:val="20"/>
                <w:szCs w:val="20"/>
                <w:color w:val="auto"/>
              </w:rPr>
            </w:pPr>
            <w:r>
              <w:rPr>
                <w:rFonts w:ascii="Arial" w:cs="Arial" w:eastAsia="Arial" w:hAnsi="Arial"/>
                <w:sz w:val="12"/>
                <w:szCs w:val="12"/>
                <w:color w:val="auto"/>
              </w:rPr>
              <w:t>Thereafter</w:t>
            </w:r>
          </w:p>
        </w:tc>
        <w:tc>
          <w:tcPr>
            <w:tcW w:w="1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15,218</w:t>
            </w: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27,524</w:t>
            </w:r>
          </w:p>
        </w:tc>
        <w:tc>
          <w:tcPr>
            <w:tcW w:w="0" w:type="dxa"/>
            <w:vAlign w:val="bottom"/>
          </w:tcPr>
          <w:p>
            <w:pPr>
              <w:spacing w:after="0"/>
              <w:rPr>
                <w:sz w:val="1"/>
                <w:szCs w:val="1"/>
                <w:color w:val="auto"/>
              </w:rPr>
            </w:pPr>
          </w:p>
        </w:tc>
      </w:tr>
      <w:tr>
        <w:trPr>
          <w:trHeight w:val="107"/>
        </w:trPr>
        <w:tc>
          <w:tcPr>
            <w:tcW w:w="5940" w:type="dxa"/>
            <w:vAlign w:val="bottom"/>
          </w:tcPr>
          <w:p>
            <w:pPr>
              <w:spacing w:after="0"/>
              <w:rPr>
                <w:sz w:val="9"/>
                <w:szCs w:val="9"/>
                <w:color w:val="auto"/>
              </w:rPr>
            </w:pPr>
          </w:p>
        </w:tc>
        <w:tc>
          <w:tcPr>
            <w:tcW w:w="1200" w:type="dxa"/>
            <w:vAlign w:val="bottom"/>
          </w:tcPr>
          <w:p>
            <w:pPr>
              <w:jc w:val="right"/>
              <w:ind w:right="786"/>
              <w:spacing w:after="0" w:line="107"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07" w:lineRule="exact"/>
              <w:rPr>
                <w:sz w:val="20"/>
                <w:szCs w:val="20"/>
                <w:color w:val="auto"/>
              </w:rPr>
            </w:pPr>
            <w:r>
              <w:rPr>
                <w:rFonts w:ascii="Arial" w:cs="Arial" w:eastAsia="Arial" w:hAnsi="Arial"/>
                <w:sz w:val="12"/>
                <w:szCs w:val="12"/>
                <w:color w:val="auto"/>
              </w:rPr>
              <w:t>39,805</w:t>
            </w:r>
          </w:p>
        </w:tc>
        <w:tc>
          <w:tcPr>
            <w:tcW w:w="100" w:type="dxa"/>
            <w:vAlign w:val="bottom"/>
          </w:tcPr>
          <w:p>
            <w:pPr>
              <w:spacing w:after="0"/>
              <w:rPr>
                <w:sz w:val="9"/>
                <w:szCs w:val="9"/>
                <w:color w:val="auto"/>
              </w:rPr>
            </w:pPr>
          </w:p>
        </w:tc>
        <w:tc>
          <w:tcPr>
            <w:tcW w:w="520" w:type="dxa"/>
            <w:vAlign w:val="bottom"/>
          </w:tcPr>
          <w:p>
            <w:pPr>
              <w:jc w:val="right"/>
              <w:ind w:right="100"/>
              <w:spacing w:after="0" w:line="107"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07" w:lineRule="exact"/>
              <w:rPr>
                <w:sz w:val="20"/>
                <w:szCs w:val="20"/>
                <w:color w:val="auto"/>
              </w:rPr>
            </w:pPr>
            <w:r>
              <w:rPr>
                <w:rFonts w:ascii="Arial" w:cs="Arial" w:eastAsia="Arial" w:hAnsi="Arial"/>
                <w:sz w:val="12"/>
                <w:szCs w:val="12"/>
                <w:color w:val="auto"/>
              </w:rPr>
              <w:t>62,210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-80010</wp:posOffset>
            </wp:positionV>
            <wp:extent cx="5949315"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49315" cy="1143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-47625</wp:posOffset>
            </wp:positionV>
            <wp:extent cx="21774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774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20"/>
          </w:cols>
          <w:pgMar w:left="300" w:top="230" w:right="779" w:bottom="1440" w:gutter="0" w:footer="0" w:header="0"/>
        </w:sectPr>
      </w:pPr>
    </w:p>
    <w:bookmarkStart w:id="91" w:name="page92"/>
    <w:bookmarkEnd w:id="9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Mortgage Notes Payable: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Mortgage notes payable at December 31, 2021 and 2020 consist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1"/>
                <w:szCs w:val="11"/>
                <w:b w:val="1"/>
                <w:bCs w:val="1"/>
                <w:color w:val="auto"/>
                <w:w w:val="98"/>
              </w:rPr>
              <w:t>Carrying Amounts of Mortgage Notes(1)</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ind w:left="180"/>
              <w:spacing w:after="0"/>
              <w:rPr>
                <w:sz w:val="20"/>
                <w:szCs w:val="20"/>
                <w:color w:val="auto"/>
              </w:rPr>
            </w:pPr>
            <w:r>
              <w:rPr>
                <w:rFonts w:ascii="Arial" w:cs="Arial" w:eastAsia="Arial" w:hAnsi="Arial"/>
                <w:sz w:val="11"/>
                <w:szCs w:val="11"/>
                <w:b w:val="1"/>
                <w:bCs w:val="1"/>
                <w:color w:val="auto"/>
              </w:rPr>
              <w:t>Monthly</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0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Property Pledged as Collateral</w:t>
            </w:r>
          </w:p>
        </w:tc>
        <w:tc>
          <w:tcPr>
            <w:tcW w:w="1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vMerge w:val="restart"/>
          </w:tcPr>
          <w:p>
            <w:pPr>
              <w:jc w:val="right"/>
              <w:ind w:right="421"/>
              <w:spacing w:after="0"/>
              <w:rPr>
                <w:sz w:val="20"/>
                <w:szCs w:val="20"/>
                <w:color w:val="auto"/>
              </w:rPr>
            </w:pPr>
            <w:r>
              <w:rPr>
                <w:rFonts w:ascii="Arial" w:cs="Arial" w:eastAsia="Arial" w:hAnsi="Arial"/>
                <w:sz w:val="11"/>
                <w:szCs w:val="11"/>
                <w:b w:val="1"/>
                <w:bCs w:val="1"/>
                <w:color w:val="auto"/>
              </w:rPr>
              <w:t>2021</w:t>
            </w: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vMerge w:val="restart"/>
          </w:tcPr>
          <w:p>
            <w:pPr>
              <w:jc w:val="right"/>
              <w:ind w:right="42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7"/>
                <w:szCs w:val="7"/>
                <w:color w:val="auto"/>
              </w:rPr>
            </w:pPr>
          </w:p>
        </w:tc>
        <w:tc>
          <w:tcPr>
            <w:tcW w:w="1380" w:type="dxa"/>
            <w:vAlign w:val="bottom"/>
            <w:gridSpan w:val="3"/>
          </w:tcPr>
          <w:p>
            <w:pPr>
              <w:ind w:left="400"/>
              <w:spacing w:after="0" w:line="88" w:lineRule="exact"/>
              <w:rPr>
                <w:sz w:val="20"/>
                <w:szCs w:val="20"/>
                <w:color w:val="auto"/>
              </w:rPr>
            </w:pPr>
            <w:r>
              <w:rPr>
                <w:rFonts w:ascii="Arial" w:cs="Arial" w:eastAsia="Arial" w:hAnsi="Arial"/>
                <w:sz w:val="10"/>
                <w:szCs w:val="10"/>
                <w:b w:val="1"/>
                <w:bCs w:val="1"/>
                <w:color w:val="auto"/>
              </w:rPr>
              <w:t>Effective Interest</w:t>
            </w:r>
          </w:p>
        </w:tc>
        <w:tc>
          <w:tcPr>
            <w:tcW w:w="380" w:type="dxa"/>
            <w:vAlign w:val="bottom"/>
          </w:tcPr>
          <w:p>
            <w:pPr>
              <w:spacing w:after="0"/>
              <w:rPr>
                <w:sz w:val="7"/>
                <w:szCs w:val="7"/>
                <w:color w:val="auto"/>
              </w:rPr>
            </w:pPr>
          </w:p>
        </w:tc>
        <w:tc>
          <w:tcPr>
            <w:tcW w:w="94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Debt</w:t>
            </w:r>
          </w:p>
        </w:tc>
        <w:tc>
          <w:tcPr>
            <w:tcW w:w="1040" w:type="dxa"/>
            <w:vAlign w:val="bottom"/>
          </w:tcPr>
          <w:p>
            <w:pPr>
              <w:jc w:val="right"/>
              <w:ind w:right="101"/>
              <w:spacing w:after="0" w:line="88" w:lineRule="exact"/>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Rate(2)</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w w:val="83"/>
              </w:rPr>
              <w:t>Service(3)</w:t>
            </w: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Date(4)</w:t>
            </w:r>
          </w:p>
        </w:tc>
        <w:tc>
          <w:tcPr>
            <w:tcW w:w="0" w:type="dxa"/>
            <w:vAlign w:val="bottom"/>
          </w:tcPr>
          <w:p>
            <w:pPr>
              <w:spacing w:after="0"/>
              <w:rPr>
                <w:sz w:val="1"/>
                <w:szCs w:val="1"/>
                <w:color w:val="auto"/>
              </w:rPr>
            </w:pPr>
          </w:p>
        </w:tc>
      </w:tr>
      <w:tr>
        <w:trPr>
          <w:trHeight w:val="144"/>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Chandler Fashion Center(5)</w:t>
            </w: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255,548</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255,361</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4.18</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875</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Danbury Fair Mall(6)</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168,037</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186,741</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5.71</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1,538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Fashion District Philadelphia(7)</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194,602</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4.00</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649</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Fashion Outlets of Chicago</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299,274</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299,193</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4.61</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1,145</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2031</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Fashion Outlets of Niagara Falls USA(8)</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95,329</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101,463</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6.45</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727</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Freehold Raceway Mall(5)</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398,711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398,545</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3.94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1,300</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2029</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Fresno Fashion Fair</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324,056</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323,857</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3.67</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971</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2026</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Green Acres Commons(9)</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124,875</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129,847</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3.12</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298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Green Acres Mall(10)</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246,061</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270,570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3.94</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1,447</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Kings Plaza Shopping Center</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535,928</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535,413</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3.71</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1,629</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2030</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Oaks, The</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176,721</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183,108</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4.14</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1,064</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Pacific View</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111,481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114,909</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4.08</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668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Queens Center</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600,000</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3.49</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1,744</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Santa Monica Place(11)</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299,314</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298,566</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1.84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396</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SanTan Village Regional Center</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219,323</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219,233</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4.34</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788</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Towne Mall</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19,320</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19,815</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4.48</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117</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Tucson La Encantada(12)</w:t>
            </w:r>
          </w:p>
        </w:tc>
        <w:tc>
          <w:tcPr>
            <w:tcW w:w="5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62,018</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4.23</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60" w:type="dxa"/>
            <w:vAlign w:val="bottom"/>
            <w:gridSpan w:val="2"/>
          </w:tcPr>
          <w:p>
            <w:pPr>
              <w:ind w:left="300"/>
              <w:spacing w:after="0"/>
              <w:rPr>
                <w:sz w:val="20"/>
                <w:szCs w:val="20"/>
                <w:color w:val="auto"/>
              </w:rPr>
            </w:pPr>
            <w:r>
              <w:rPr>
                <w:rFonts w:ascii="Arial" w:cs="Arial" w:eastAsia="Arial" w:hAnsi="Arial"/>
                <w:sz w:val="12"/>
                <w:szCs w:val="12"/>
                <w:color w:val="auto"/>
              </w:rPr>
              <w:t>Victor Valley, Mall of</w:t>
            </w:r>
          </w:p>
        </w:tc>
        <w:tc>
          <w:tcPr>
            <w:tcW w:w="5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114,850</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114,791</w:t>
            </w:r>
          </w:p>
        </w:tc>
        <w:tc>
          <w:tcPr>
            <w:tcW w:w="1100" w:type="dxa"/>
            <w:vAlign w:val="bottom"/>
            <w:gridSpan w:val="2"/>
          </w:tcPr>
          <w:p>
            <w:pPr>
              <w:jc w:val="right"/>
              <w:ind w:right="109"/>
              <w:spacing w:after="0"/>
              <w:rPr>
                <w:sz w:val="20"/>
                <w:szCs w:val="20"/>
                <w:color w:val="auto"/>
              </w:rPr>
            </w:pPr>
            <w:r>
              <w:rPr>
                <w:rFonts w:ascii="Arial" w:cs="Arial" w:eastAsia="Arial" w:hAnsi="Arial"/>
                <w:sz w:val="12"/>
                <w:szCs w:val="12"/>
                <w:color w:val="auto"/>
              </w:rPr>
              <w:t>4.00</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380</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53"/>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Vintage Faire Mall</w:t>
            </w:r>
          </w:p>
        </w:tc>
        <w:tc>
          <w:tcPr>
            <w:tcW w:w="5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240,124</w:t>
            </w:r>
          </w:p>
        </w:tc>
        <w:tc>
          <w:tcPr>
            <w:tcW w:w="16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246,380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3.55</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1,256</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2026</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4,423,554</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4,560,810</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540" w:hanging="278"/>
        <w:spacing w:after="0" w:line="239" w:lineRule="auto"/>
        <w:tabs>
          <w:tab w:leader="none" w:pos="535"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were $11,946 and $14,085 at December 31, 2021 and 2020, respectively.</w:t>
      </w:r>
    </w:p>
    <w:p>
      <w:pPr>
        <w:spacing w:after="0" w:line="85" w:lineRule="exact"/>
        <w:rPr>
          <w:rFonts w:ascii="Arial" w:cs="Arial" w:eastAsia="Arial" w:hAnsi="Arial"/>
          <w:sz w:val="10"/>
          <w:szCs w:val="10"/>
          <w:color w:val="auto"/>
        </w:rPr>
      </w:pPr>
    </w:p>
    <w:p>
      <w:pPr>
        <w:ind w:left="520" w:hanging="258"/>
        <w:spacing w:after="0"/>
        <w:tabs>
          <w:tab w:leader="none" w:pos="520"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 interest rate disclosed represents the effective interest rate, including the impact of debt premium and deferred finance costs.</w:t>
      </w:r>
    </w:p>
    <w:p>
      <w:pPr>
        <w:spacing w:after="0" w:line="83" w:lineRule="exact"/>
        <w:rPr>
          <w:rFonts w:ascii="Arial" w:cs="Arial" w:eastAsia="Arial" w:hAnsi="Arial"/>
          <w:sz w:val="10"/>
          <w:szCs w:val="10"/>
          <w:color w:val="auto"/>
        </w:rPr>
      </w:pPr>
    </w:p>
    <w:p>
      <w:pPr>
        <w:ind w:left="520" w:hanging="258"/>
        <w:spacing w:after="0"/>
        <w:tabs>
          <w:tab w:leader="none" w:pos="520"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 monthly debt service represents the payment of principal and interest.</w:t>
      </w:r>
    </w:p>
    <w:p>
      <w:pPr>
        <w:spacing w:after="0" w:line="92" w:lineRule="exact"/>
        <w:rPr>
          <w:rFonts w:ascii="Arial" w:cs="Arial" w:eastAsia="Arial" w:hAnsi="Arial"/>
          <w:sz w:val="10"/>
          <w:szCs w:val="10"/>
          <w:color w:val="auto"/>
        </w:rPr>
      </w:pPr>
    </w:p>
    <w:p>
      <w:pPr>
        <w:ind w:left="520" w:hanging="258"/>
        <w:spacing w:after="0"/>
        <w:tabs>
          <w:tab w:leader="none" w:pos="520" w:val="left"/>
        </w:tabs>
        <w:numPr>
          <w:ilvl w:val="0"/>
          <w:numId w:val="41"/>
        </w:numPr>
        <w:rPr>
          <w:rFonts w:ascii="Arial" w:cs="Arial" w:eastAsia="Arial" w:hAnsi="Arial"/>
          <w:sz w:val="8"/>
          <w:szCs w:val="8"/>
          <w:color w:val="auto"/>
        </w:rPr>
      </w:pPr>
      <w:r>
        <w:rPr>
          <w:rFonts w:ascii="Arial" w:cs="Arial" w:eastAsia="Arial" w:hAnsi="Arial"/>
          <w:sz w:val="8"/>
          <w:szCs w:val="8"/>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15" w:lineRule="exact"/>
        <w:rPr>
          <w:rFonts w:ascii="Arial" w:cs="Arial" w:eastAsia="Arial" w:hAnsi="Arial"/>
          <w:sz w:val="8"/>
          <w:szCs w:val="8"/>
          <w:color w:val="auto"/>
        </w:rPr>
      </w:pPr>
    </w:p>
    <w:p>
      <w:pPr>
        <w:ind w:left="520" w:hanging="258"/>
        <w:spacing w:after="0"/>
        <w:tabs>
          <w:tab w:leader="none" w:pos="520" w:val="left"/>
        </w:tabs>
        <w:numPr>
          <w:ilvl w:val="0"/>
          <w:numId w:val="41"/>
        </w:numPr>
        <w:rPr>
          <w:rFonts w:ascii="Arial" w:cs="Arial" w:eastAsia="Arial" w:hAnsi="Arial"/>
          <w:sz w:val="10"/>
          <w:szCs w:val="10"/>
          <w:color w:val="auto"/>
        </w:rPr>
      </w:pPr>
      <w:r>
        <w:rPr>
          <w:rFonts w:ascii="Arial" w:cs="Arial" w:eastAsia="Arial" w:hAnsi="Arial"/>
          <w:sz w:val="10"/>
          <w:szCs w:val="10"/>
          <w:color w:val="auto"/>
        </w:rPr>
        <w:t>A 49.9% interest in the loan has been assumed by a third party in connection with the Company's joint venture in Chandler Freehold (See Note 12—Financing Arrangement).</w:t>
      </w:r>
    </w:p>
    <w:p>
      <w:pPr>
        <w:spacing w:after="0" w:line="83" w:lineRule="exact"/>
        <w:rPr>
          <w:rFonts w:ascii="Arial" w:cs="Arial" w:eastAsia="Arial" w:hAnsi="Arial"/>
          <w:sz w:val="10"/>
          <w:szCs w:val="10"/>
          <w:color w:val="auto"/>
        </w:rPr>
      </w:pPr>
    </w:p>
    <w:p>
      <w:pPr>
        <w:ind w:left="540" w:right="260" w:hanging="278"/>
        <w:spacing w:after="0" w:line="358" w:lineRule="auto"/>
        <w:tabs>
          <w:tab w:leader="none" w:pos="535" w:val="left"/>
        </w:tabs>
        <w:numPr>
          <w:ilvl w:val="0"/>
          <w:numId w:val="41"/>
        </w:numPr>
        <w:rPr>
          <w:rFonts w:ascii="Arial" w:cs="Arial" w:eastAsia="Arial" w:hAnsi="Arial"/>
          <w:sz w:val="8"/>
          <w:szCs w:val="8"/>
          <w:color w:val="auto"/>
        </w:rPr>
      </w:pPr>
      <w:r>
        <w:rPr>
          <w:rFonts w:ascii="Arial" w:cs="Arial" w:eastAsia="Arial" w:hAnsi="Arial"/>
          <w:sz w:val="8"/>
          <w:szCs w:val="8"/>
          <w:color w:val="auto"/>
        </w:rPr>
        <w:t>On September 15, 2020, the Company closed on a loan extension agreement for Danbury Fair Mall. Under the extension agreement, the original loan maturity date of October 1, 2020 was extended to April 1, 2021 and subsequently to October 1, 2021. The loan amount and interest rate remained unchanged following these extensions. On September 15, 2021, the Company further extended the loan maturity to July 1, 2022. The interest rate remained unchanged, and the Company repaid $10,000 of the outstanding loan balance at closing.</w:t>
      </w:r>
    </w:p>
    <w:p>
      <w:pPr>
        <w:spacing w:after="0" w:line="40" w:lineRule="exact"/>
        <w:rPr>
          <w:rFonts w:ascii="Arial" w:cs="Arial" w:eastAsia="Arial" w:hAnsi="Arial"/>
          <w:sz w:val="8"/>
          <w:szCs w:val="8"/>
          <w:color w:val="auto"/>
        </w:rPr>
      </w:pPr>
    </w:p>
    <w:p>
      <w:pPr>
        <w:ind w:left="520" w:hanging="258"/>
        <w:spacing w:after="0"/>
        <w:tabs>
          <w:tab w:leader="none" w:pos="520" w:val="left"/>
        </w:tabs>
        <w:numPr>
          <w:ilvl w:val="0"/>
          <w:numId w:val="41"/>
        </w:numPr>
        <w:rPr>
          <w:rFonts w:ascii="Arial" w:cs="Arial" w:eastAsia="Arial" w:hAnsi="Arial"/>
          <w:sz w:val="10"/>
          <w:szCs w:val="10"/>
          <w:color w:val="auto"/>
        </w:rPr>
      </w:pPr>
      <w:r>
        <w:rPr>
          <w:rFonts w:ascii="Arial" w:cs="Arial" w:eastAsia="Arial" w:hAnsi="Arial"/>
          <w:sz w:val="10"/>
          <w:szCs w:val="10"/>
          <w:color w:val="auto"/>
        </w:rPr>
        <w:t>Effective December 10, 2020, the Company began consolidating this joint venture and assumed this debt (See Note 15—Consolidated Joint Venture and Acquisitions).</w:t>
      </w:r>
    </w:p>
    <w:p>
      <w:pPr>
        <w:spacing w:after="0" w:line="92" w:lineRule="exact"/>
        <w:rPr>
          <w:rFonts w:ascii="Arial" w:cs="Arial" w:eastAsia="Arial" w:hAnsi="Arial"/>
          <w:sz w:val="10"/>
          <w:szCs w:val="10"/>
          <w:color w:val="auto"/>
        </w:rPr>
      </w:pPr>
    </w:p>
    <w:p>
      <w:pPr>
        <w:ind w:left="540" w:right="120" w:hanging="278"/>
        <w:spacing w:after="0" w:line="239" w:lineRule="auto"/>
        <w:tabs>
          <w:tab w:leader="none" w:pos="535" w:val="left"/>
        </w:tabs>
        <w:numPr>
          <w:ilvl w:val="0"/>
          <w:numId w:val="41"/>
        </w:numPr>
        <w:rPr>
          <w:rFonts w:ascii="Arial" w:cs="Arial" w:eastAsia="Arial" w:hAnsi="Arial"/>
          <w:sz w:val="10"/>
          <w:szCs w:val="10"/>
          <w:color w:val="auto"/>
        </w:rPr>
      </w:pPr>
      <w:r>
        <w:rPr>
          <w:rFonts w:ascii="Arial" w:cs="Arial" w:eastAsia="Arial" w:hAnsi="Arial"/>
          <w:sz w:val="10"/>
          <w:szCs w:val="10"/>
          <w:color w:val="auto"/>
        </w:rPr>
        <w:t>On December 15, 2020, the Company closed on a loan extension agreement for the Fashion Outlets of Niagara. Under the extension agreement the original loan maturity date of October 6, 2020 was extended to October 6, 2023. The loan amount and interest rate are unchanged following the extension.</w:t>
      </w:r>
    </w:p>
    <w:p>
      <w:pPr>
        <w:spacing w:after="0" w:line="76" w:lineRule="exact"/>
        <w:rPr>
          <w:rFonts w:ascii="Arial" w:cs="Arial" w:eastAsia="Arial" w:hAnsi="Arial"/>
          <w:sz w:val="10"/>
          <w:szCs w:val="10"/>
          <w:color w:val="auto"/>
        </w:rPr>
      </w:pPr>
    </w:p>
    <w:p>
      <w:pPr>
        <w:ind w:left="520" w:hanging="258"/>
        <w:spacing w:after="0"/>
        <w:tabs>
          <w:tab w:leader="none" w:pos="520" w:val="left"/>
        </w:tabs>
        <w:numPr>
          <w:ilvl w:val="0"/>
          <w:numId w:val="41"/>
        </w:numPr>
        <w:rPr>
          <w:rFonts w:ascii="Arial" w:cs="Arial" w:eastAsia="Arial" w:hAnsi="Arial"/>
          <w:sz w:val="10"/>
          <w:szCs w:val="10"/>
          <w:color w:val="auto"/>
        </w:rPr>
      </w:pPr>
      <w:r>
        <w:rPr>
          <w:rFonts w:ascii="Arial" w:cs="Arial" w:eastAsia="Arial" w:hAnsi="Arial"/>
          <w:sz w:val="10"/>
          <w:szCs w:val="10"/>
          <w:color w:val="auto"/>
        </w:rPr>
        <w:t>On March 25, 2021, the Company closed on a two-year extension of the loan to March 29, 2023. The interest rate is LIBOR plus 2.75% and the Company repaid $4,680 of the outstanding loan balance at closing.</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92" w:name="page93"/>
    <w:bookmarkEnd w:id="92"/>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ind w:left="188" w:hanging="188"/>
        <w:spacing w:after="0"/>
        <w:tabs>
          <w:tab w:leader="none" w:pos="188"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Mortgage Notes Payable: (continued)</w:t>
      </w:r>
    </w:p>
    <w:p>
      <w:pPr>
        <w:spacing w:after="0" w:line="200" w:lineRule="exact"/>
        <w:rPr>
          <w:rFonts w:ascii="Arial" w:cs="Arial" w:eastAsia="Arial" w:hAnsi="Arial"/>
          <w:sz w:val="12"/>
          <w:szCs w:val="12"/>
          <w:b w:val="1"/>
          <w:bCs w:val="1"/>
          <w:color w:val="auto"/>
        </w:rPr>
      </w:pPr>
    </w:p>
    <w:p>
      <w:pPr>
        <w:spacing w:after="0" w:line="256" w:lineRule="exact"/>
        <w:rPr>
          <w:rFonts w:ascii="Arial" w:cs="Arial" w:eastAsia="Arial" w:hAnsi="Arial"/>
          <w:sz w:val="12"/>
          <w:szCs w:val="12"/>
          <w:b w:val="1"/>
          <w:bCs w:val="1"/>
          <w:color w:val="auto"/>
        </w:rPr>
      </w:pPr>
    </w:p>
    <w:p>
      <w:pPr>
        <w:ind w:left="548" w:right="260" w:hanging="278"/>
        <w:spacing w:after="0" w:line="239" w:lineRule="auto"/>
        <w:tabs>
          <w:tab w:leader="none" w:pos="546" w:val="left"/>
        </w:tabs>
        <w:numPr>
          <w:ilvl w:val="1"/>
          <w:numId w:val="42"/>
        </w:numPr>
        <w:rPr>
          <w:rFonts w:ascii="Arial" w:cs="Arial" w:eastAsia="Arial" w:hAnsi="Arial"/>
          <w:sz w:val="10"/>
          <w:szCs w:val="10"/>
          <w:color w:val="auto"/>
        </w:rPr>
      </w:pPr>
      <w:r>
        <w:rPr>
          <w:rFonts w:ascii="Arial" w:cs="Arial" w:eastAsia="Arial" w:hAnsi="Arial"/>
          <w:sz w:val="10"/>
          <w:szCs w:val="10"/>
          <w:color w:val="auto"/>
        </w:rPr>
        <w:t>On January 22, 2021, the Company closed on a one-year extension of the loan to February 3, 2022, which also included a one-year extension option to February 3, 2023 which has been exercised. The interest rate remained unchanged, and the Company repaid $9,000 of the outstanding loan balance at closing.</w:t>
      </w:r>
    </w:p>
    <w:p>
      <w:pPr>
        <w:spacing w:after="0" w:line="85" w:lineRule="exact"/>
        <w:rPr>
          <w:rFonts w:ascii="Arial" w:cs="Arial" w:eastAsia="Arial" w:hAnsi="Arial"/>
          <w:sz w:val="10"/>
          <w:szCs w:val="10"/>
          <w:color w:val="auto"/>
        </w:rPr>
      </w:pPr>
    </w:p>
    <w:p>
      <w:pPr>
        <w:ind w:left="528" w:hanging="258"/>
        <w:spacing w:after="0"/>
        <w:tabs>
          <w:tab w:leader="none" w:pos="528" w:val="left"/>
        </w:tabs>
        <w:numPr>
          <w:ilvl w:val="1"/>
          <w:numId w:val="42"/>
        </w:numPr>
        <w:rPr>
          <w:rFonts w:ascii="Arial" w:cs="Arial" w:eastAsia="Arial" w:hAnsi="Arial"/>
          <w:sz w:val="10"/>
          <w:szCs w:val="10"/>
          <w:color w:val="auto"/>
        </w:rPr>
      </w:pPr>
      <w:r>
        <w:rPr>
          <w:rFonts w:ascii="Arial" w:cs="Arial" w:eastAsia="Arial" w:hAnsi="Arial"/>
          <w:sz w:val="10"/>
          <w:szCs w:val="10"/>
          <w:color w:val="auto"/>
        </w:rPr>
        <w:t>The loan bears interest at LIBOR plus 1.48%. The loan is covered by an interest rate cap agreement that effectively prevents LIBOR from exceeding 4.0% during the period ending December 9, 2022.</w:t>
      </w:r>
    </w:p>
    <w:p>
      <w:pPr>
        <w:spacing w:after="0" w:line="92" w:lineRule="exact"/>
        <w:rPr>
          <w:rFonts w:ascii="Arial" w:cs="Arial" w:eastAsia="Arial" w:hAnsi="Arial"/>
          <w:sz w:val="10"/>
          <w:szCs w:val="10"/>
          <w:color w:val="auto"/>
        </w:rPr>
      </w:pPr>
    </w:p>
    <w:p>
      <w:pPr>
        <w:ind w:left="528" w:hanging="258"/>
        <w:spacing w:after="0"/>
        <w:tabs>
          <w:tab w:leader="none" w:pos="528" w:val="left"/>
        </w:tabs>
        <w:numPr>
          <w:ilvl w:val="1"/>
          <w:numId w:val="42"/>
        </w:numPr>
        <w:rPr>
          <w:rFonts w:ascii="Arial" w:cs="Arial" w:eastAsia="Arial" w:hAnsi="Arial"/>
          <w:sz w:val="10"/>
          <w:szCs w:val="10"/>
          <w:color w:val="auto"/>
        </w:rPr>
      </w:pPr>
      <w:r>
        <w:rPr>
          <w:rFonts w:ascii="Arial" w:cs="Arial" w:eastAsia="Arial" w:hAnsi="Arial"/>
          <w:sz w:val="10"/>
          <w:szCs w:val="10"/>
          <w:color w:val="auto"/>
        </w:rPr>
        <w:t>On September 17, 2021, the Company sold Tucson La Encantada and the mortgage payable was paid in full (See Note 16—Dispositions).</w:t>
      </w:r>
    </w:p>
    <w:p>
      <w:pPr>
        <w:spacing w:after="0" w:line="87" w:lineRule="exact"/>
        <w:rPr>
          <w:sz w:val="20"/>
          <w:szCs w:val="20"/>
          <w:color w:val="auto"/>
        </w:rPr>
      </w:pPr>
    </w:p>
    <w:p>
      <w:pPr>
        <w:ind w:left="288"/>
        <w:spacing w:after="0"/>
        <w:rPr>
          <w:sz w:val="20"/>
          <w:szCs w:val="20"/>
          <w:color w:val="auto"/>
        </w:rPr>
      </w:pPr>
      <w:r>
        <w:rPr>
          <w:rFonts w:ascii="Arial" w:cs="Arial" w:eastAsia="Arial" w:hAnsi="Arial"/>
          <w:sz w:val="12"/>
          <w:szCs w:val="12"/>
          <w:color w:val="auto"/>
        </w:rPr>
        <w:t>Most of the mortgage loan agreements contain a prepayment penalty provision for the early extinguishment of the debt.</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As of December 31, 2021, all of the Company's mortgage notes payable are secured by the properties on which they are placed and are non-recourse to the Company.</w:t>
      </w:r>
    </w:p>
    <w:p>
      <w:pPr>
        <w:spacing w:after="0" w:line="105" w:lineRule="exact"/>
        <w:rPr>
          <w:sz w:val="20"/>
          <w:szCs w:val="20"/>
          <w:color w:val="auto"/>
        </w:rPr>
      </w:pPr>
    </w:p>
    <w:p>
      <w:pPr>
        <w:ind w:left="8" w:right="60" w:firstLine="297"/>
        <w:spacing w:after="0" w:line="379" w:lineRule="auto"/>
        <w:rPr>
          <w:sz w:val="20"/>
          <w:szCs w:val="20"/>
          <w:color w:val="auto"/>
        </w:rPr>
      </w:pPr>
      <w:r>
        <w:rPr>
          <w:rFonts w:ascii="Arial" w:cs="Arial" w:eastAsia="Arial" w:hAnsi="Arial"/>
          <w:sz w:val="10"/>
          <w:szCs w:val="10"/>
          <w:color w:val="auto"/>
        </w:rPr>
        <w:t>During the second quarter of 2020 and in July 2020, the Company secured agreements with its mortgage lenders on nine property mortgage loans to defer approximately $28,683 of both second and third quarter of 2020 debt service payments. Of the deferred payments, $15,208 and $20,195 was repaid in the three months and twelve months ended December 31, 2020, respectively, and the remaining balance was fully repaid during the first quarter of 2021.</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Company expects all loan maturities during the next twelve months will be refinanced, restructured, extended and/or paid off from the Company's line of credit or with cash on hand.</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Total interest expense capitalized during the years ended December 31, 2021, 2020 and 2019 was $9,504, $5,247 and $9,614, respectively.</w:t>
      </w:r>
    </w:p>
    <w:p>
      <w:pPr>
        <w:spacing w:after="0" w:line="105" w:lineRule="exact"/>
        <w:rPr>
          <w:sz w:val="20"/>
          <w:szCs w:val="20"/>
          <w:color w:val="auto"/>
        </w:rPr>
      </w:pPr>
    </w:p>
    <w:p>
      <w:pPr>
        <w:ind w:left="8" w:right="320" w:firstLine="297"/>
        <w:spacing w:after="0" w:line="323" w:lineRule="auto"/>
        <w:rPr>
          <w:sz w:val="20"/>
          <w:szCs w:val="20"/>
          <w:color w:val="auto"/>
        </w:rPr>
      </w:pPr>
      <w:r>
        <w:rPr>
          <w:rFonts w:ascii="Arial" w:cs="Arial" w:eastAsia="Arial" w:hAnsi="Arial"/>
          <w:sz w:val="11"/>
          <w:szCs w:val="11"/>
          <w:color w:val="auto"/>
        </w:rPr>
        <w:t>The estimated fair value (Level 2 measurement) of mortgage notes payable at December 31, 2021 and 2020 was $4,261,429 and $4,459,797,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38"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future maturities of mortgage notes payable are as follows:</w:t>
      </w:r>
    </w:p>
    <w:p>
      <w:pPr>
        <w:spacing w:after="0" w:line="29" w:lineRule="exact"/>
        <w:rPr>
          <w:sz w:val="20"/>
          <w:szCs w:val="20"/>
          <w:color w:val="auto"/>
        </w:rPr>
      </w:pPr>
    </w:p>
    <w:p>
      <w:pPr>
        <w:ind w:left="308"/>
        <w:spacing w:after="0"/>
        <w:rPr>
          <w:sz w:val="20"/>
          <w:szCs w:val="20"/>
          <w:color w:val="auto"/>
        </w:rPr>
      </w:pPr>
      <w:r>
        <w:rPr>
          <w:rFonts w:ascii="Arial" w:cs="Arial" w:eastAsia="Arial" w:hAnsi="Arial"/>
          <w:sz w:val="12"/>
          <w:szCs w:val="12"/>
          <w:b w:val="1"/>
          <w:bCs w:val="1"/>
          <w:color w:val="auto"/>
        </w:rPr>
        <w:t>Year Ending December 31,</w:t>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2022</w:t>
            </w:r>
          </w:p>
        </w:tc>
        <w:tc>
          <w:tcPr>
            <w:tcW w:w="80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794,526</w:t>
            </w:r>
          </w:p>
        </w:tc>
      </w:tr>
      <w:tr>
        <w:trPr>
          <w:trHeight w:val="142"/>
        </w:trPr>
        <w:tc>
          <w:tcPr>
            <w:tcW w:w="7560" w:type="dxa"/>
            <w:vAlign w:val="bottom"/>
          </w:tcPr>
          <w:p>
            <w:pPr>
              <w:ind w:left="300"/>
              <w:spacing w:after="0"/>
              <w:rPr>
                <w:sz w:val="20"/>
                <w:szCs w:val="20"/>
                <w:color w:val="auto"/>
              </w:rPr>
            </w:pPr>
            <w:r>
              <w:rPr>
                <w:rFonts w:ascii="Arial" w:cs="Arial" w:eastAsia="Arial" w:hAnsi="Arial"/>
                <w:sz w:val="11"/>
                <w:szCs w:val="11"/>
                <w:color w:val="auto"/>
              </w:rPr>
              <w:t>2023</w:t>
            </w:r>
          </w:p>
        </w:tc>
        <w:tc>
          <w:tcPr>
            <w:tcW w:w="80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473,111</w:t>
            </w:r>
          </w:p>
        </w:tc>
      </w:tr>
      <w:tr>
        <w:trPr>
          <w:trHeight w:val="146"/>
        </w:trPr>
        <w:tc>
          <w:tcPr>
            <w:tcW w:w="7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2024</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562,722</w:t>
            </w:r>
          </w:p>
        </w:tc>
      </w:tr>
      <w:tr>
        <w:trPr>
          <w:trHeight w:val="142"/>
        </w:trPr>
        <w:tc>
          <w:tcPr>
            <w:tcW w:w="7560" w:type="dxa"/>
            <w:vAlign w:val="bottom"/>
          </w:tcPr>
          <w:p>
            <w:pPr>
              <w:ind w:left="300"/>
              <w:spacing w:after="0"/>
              <w:rPr>
                <w:sz w:val="20"/>
                <w:szCs w:val="20"/>
                <w:color w:val="auto"/>
              </w:rPr>
            </w:pPr>
            <w:r>
              <w:rPr>
                <w:rFonts w:ascii="Arial" w:cs="Arial" w:eastAsia="Arial" w:hAnsi="Arial"/>
                <w:sz w:val="11"/>
                <w:szCs w:val="11"/>
                <w:color w:val="auto"/>
              </w:rPr>
              <w:t>2025</w:t>
            </w:r>
          </w:p>
        </w:tc>
        <w:tc>
          <w:tcPr>
            <w:tcW w:w="80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607,399</w:t>
            </w:r>
          </w:p>
        </w:tc>
      </w:tr>
      <w:tr>
        <w:trPr>
          <w:trHeight w:val="146"/>
        </w:trPr>
        <w:tc>
          <w:tcPr>
            <w:tcW w:w="7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2026</w:t>
            </w: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537,742</w:t>
            </w:r>
          </w:p>
        </w:tc>
      </w:tr>
      <w:tr>
        <w:trPr>
          <w:trHeight w:val="142"/>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Thereafter</w:t>
            </w:r>
          </w:p>
        </w:tc>
        <w:tc>
          <w:tcPr>
            <w:tcW w:w="8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1,460,000</w:t>
            </w:r>
          </w:p>
        </w:tc>
      </w:tr>
      <w:tr>
        <w:trPr>
          <w:trHeight w:val="135"/>
        </w:trPr>
        <w:tc>
          <w:tcPr>
            <w:tcW w:w="7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4,435,500</w:t>
            </w:r>
          </w:p>
        </w:tc>
      </w:tr>
      <w:tr>
        <w:trPr>
          <w:trHeight w:val="142"/>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Deferred finance cost, net</w:t>
            </w:r>
          </w:p>
        </w:tc>
        <w:tc>
          <w:tcPr>
            <w:tcW w:w="8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(11,946)</w:t>
            </w:r>
          </w:p>
        </w:tc>
      </w:tr>
      <w:tr>
        <w:trPr>
          <w:trHeight w:val="151"/>
        </w:trPr>
        <w:tc>
          <w:tcPr>
            <w:tcW w:w="75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4,423,554</w:t>
            </w:r>
          </w:p>
        </w:tc>
      </w:tr>
    </w:tbl>
    <w:p>
      <w:pPr>
        <w:spacing w:after="0" w:line="153"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future maturities reflected above reflect the extension options that the Company believes will be exercised.</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Bank and Other Notes Payable:</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Bank and other notes payable at December 31, 2021 and 2020 consist of the following:</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Line of Credit:</w:t>
      </w:r>
    </w:p>
    <w:p>
      <w:pPr>
        <w:spacing w:after="0" w:line="96" w:lineRule="exact"/>
        <w:rPr>
          <w:sz w:val="20"/>
          <w:szCs w:val="20"/>
          <w:color w:val="auto"/>
        </w:rPr>
      </w:pPr>
    </w:p>
    <w:p>
      <w:pPr>
        <w:ind w:left="8" w:firstLine="297"/>
        <w:spacing w:after="0" w:line="263" w:lineRule="auto"/>
        <w:rPr>
          <w:sz w:val="20"/>
          <w:szCs w:val="20"/>
          <w:color w:val="auto"/>
        </w:rPr>
      </w:pPr>
      <w:r>
        <w:rPr>
          <w:rFonts w:ascii="Arial" w:cs="Arial" w:eastAsia="Arial" w:hAnsi="Arial"/>
          <w:sz w:val="12"/>
          <w:szCs w:val="12"/>
          <w:color w:val="auto"/>
        </w:rPr>
        <w:t>On April 14, 2021, the Company terminated its existing credit facility and entered into a new credit agreement, which provides for an aggregate $700,000 facility, including a $525,000 revolving loan facility that matures on April 14, 2023, with a one-year extension option, and a $175,000 term loan facility that matures on April 14, 2024. The revolving loan facility can be expanded up to $800,000, subject to receipt of lender commitments and other conditions. Concurrently with entering into the new credit agreement, the Company drew the $175,000 term loan facility in its entirety and drew $320,000 of the amount</w:t>
      </w:r>
    </w:p>
    <w:p>
      <w:pPr>
        <w:spacing w:after="0" w:line="200" w:lineRule="exact"/>
        <w:rPr>
          <w:sz w:val="20"/>
          <w:szCs w:val="20"/>
          <w:color w:val="auto"/>
        </w:rPr>
      </w:pPr>
    </w:p>
    <w:p>
      <w:pPr>
        <w:spacing w:after="0" w:line="27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230" w:right="339" w:bottom="1440" w:gutter="0" w:footer="0" w:header="0"/>
        </w:sectPr>
      </w:pPr>
    </w:p>
    <w:bookmarkStart w:id="93" w:name="page94"/>
    <w:bookmarkEnd w:id="9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Bank and Other Notes Payable: (Continued)</w:t>
      </w:r>
    </w:p>
    <w:p>
      <w:pPr>
        <w:spacing w:after="0" w:line="200" w:lineRule="exact"/>
        <w:rPr>
          <w:sz w:val="20"/>
          <w:szCs w:val="20"/>
          <w:color w:val="auto"/>
        </w:rPr>
      </w:pPr>
    </w:p>
    <w:p>
      <w:pPr>
        <w:spacing w:after="0" w:line="260"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available under the revolving loan facility. Simultaneously with entering into the new credit agreement, the Company repaid $985,000 of debt, which included terminating and repaying all amounts outstanding under its prior revolving line of credit facility. All obligations under the facility are guaranteed unconditionally by the Company and are secured in the form of mortgages on certain wholly-owned assets and pledges of equity interests held by certain of the Company’s subsidiaries. The new credit facility bears interest at LIBOR plus a spread of 2.25% to 3.25% depending on the Company’s overall leverage level. As of December 31, 2021, the borrowing rate was LIBOR plus 2.25%. As of December 31, 2021, borrowings under the facility were $119,000, less unamortized deferred finance costs of $14,189, for the revolving loan facility at a total interest rate of 3.86%. As of December 31, 2021, the Company's availability under the revolving loan facility for additional borrowings was $405,719. On September 20, 2021, the Company paid off the remaining balance outstanding on the term loan facility with proceeds from the sale of Tucson La Encantada (See Note 16—Dispositions). The estimated fair value (Level 2 measurement) of borrowings under the credit facility at December 31, 2021 was $118,198 for the revolving loan facility based on a present value model using a credit interest rate spread offered to the Company for comparable debt.</w:t>
      </w:r>
    </w:p>
    <w:p>
      <w:pPr>
        <w:spacing w:after="0" w:line="85" w:lineRule="exact"/>
        <w:rPr>
          <w:sz w:val="20"/>
          <w:szCs w:val="20"/>
          <w:color w:val="auto"/>
        </w:rPr>
      </w:pPr>
    </w:p>
    <w:p>
      <w:pPr>
        <w:ind w:right="40" w:firstLine="297"/>
        <w:spacing w:after="0" w:line="279" w:lineRule="auto"/>
        <w:rPr>
          <w:sz w:val="20"/>
          <w:szCs w:val="20"/>
          <w:color w:val="auto"/>
        </w:rPr>
      </w:pPr>
      <w:r>
        <w:rPr>
          <w:rFonts w:ascii="Arial" w:cs="Arial" w:eastAsia="Arial" w:hAnsi="Arial"/>
          <w:sz w:val="11"/>
          <w:szCs w:val="11"/>
          <w:color w:val="auto"/>
        </w:rPr>
        <w:t>The Company had a $1,500,000 revolving line of credit that bore interest at LIBOR plus a spread of 1.30% to 1.90%, depending on the Company's overall leverage level, and was to mature on July 6, 2020. On April 8, 2020, the Company exercised its option to extend the maturity of the facility to July 6, 2021. The line of credit could have been expanded, depending on certain conditions, up to a total facility of $2,000,000. Based on the Company's leverage level as of December 31, 2020, the borrowing rate on the facility was LIBOR plus 1.65%. On April 14, 2021, the Company repaid the $985,000 of outstanding debt and terminated this credit facility. The Company had four interest rate swap agreements that effectively converted a total of $400,000 of the outstanding balance from floating rate debt of LIBOR plus 1.65% to fixed rate debt of 4.50% until September 30, 2021. These swaps were hedged against the Santa Monica Place floating rate loan and a portion of the Green Acres Commons floating rate loan effectively converting these loans to fixed rate debt through September 30, 2021. The Company did not renew the swaps that expired on September 30, 2021 and, as a result, on October 1, 2021, these loans reverted back to floating interest rate loans (See Note 5 – Derivative Instruments and Hedging Activities and Note 10 – Mortgage Notes Payable). As of December 31, 2020, borrowings under the prior line of credit was $1,480,000 less unamortized deferred finance costs of $2,460 at a total interest rate of 2.73%. As of December 31, 2020, the Company's availability under the prior line of credit for additional borrowings was $19,719. The estimated fair value (Level 2 measurement) of borrowings under the line of credit at December 31, 2020 was $1,485,598 based on a present value model using a credit interest rate spread offered to the Company for comparable debt.</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2021 and 2020, the Company was in compliance with all applicable financial loan covenants.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Financing Arrangement:</w:t>
      </w:r>
    </w:p>
    <w:p>
      <w:pPr>
        <w:spacing w:after="0" w:line="109" w:lineRule="exact"/>
        <w:rPr>
          <w:sz w:val="20"/>
          <w:szCs w:val="20"/>
          <w:color w:val="auto"/>
        </w:rPr>
      </w:pPr>
    </w:p>
    <w:p>
      <w:pPr>
        <w:ind w:right="20" w:firstLine="297"/>
        <w:spacing w:after="0" w:line="289" w:lineRule="auto"/>
        <w:rPr>
          <w:sz w:val="20"/>
          <w:szCs w:val="20"/>
          <w:color w:val="auto"/>
        </w:rPr>
      </w:pPr>
      <w:r>
        <w:rPr>
          <w:rFonts w:ascii="Arial" w:cs="Arial" w:eastAsia="Arial" w:hAnsi="Arial"/>
          <w:sz w:val="11"/>
          <w:szCs w:val="11"/>
          <w:color w:val="auto"/>
        </w:rPr>
        <w:t>On September 30, 2009, the Company formed a joint venture, whereby a third party acquired a 49.9% interest in Chandler Fashion Center, a 1,319,000 square foot regional town center in Chandler, Arizona, and Freehold Raceway Mall, a 1,553,000 square foot regional town center in Freehold, New Jersey, referred to herein as Chandler Freehold. As a result of the Company having certain rights under the agreement to repurchase the assets of Chandler Freehold, the transaction did not qualify for sale treatment. The Company, however, is not obligated to repurchase the assets. The transaction was initially accounted for as a co-venture arrangement, and accordingly the assets, liabilities and operations of the properties remain on the books of the Company and a co-venture obligation was established for the net cash proceeds received from the third party less costs allocated to a warrant.</w:t>
      </w:r>
    </w:p>
    <w:p>
      <w:pPr>
        <w:spacing w:after="0" w:line="66"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Upon adoption of ASC 606 on January 1, 2018, the Company changed its accounting for Chandler Freehold from a co-venture arrangement to a financing arrangement. Under the Financing Arrangement, the Company recognizes interest expense on (i) the changes in fair value of the Financing Arrangement obligation, (ii) any payments to the joint venture partner equal to their pro rata share of net (loss) income and (iii) any payments to the joint venture partner less than or in excess of their pro rata share of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94" w:name="page95"/>
    <w:bookmarkEnd w:id="9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Financing Arrangement: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During the years ended December 31, 2021, 2020 and 2019 the Company incurred interest (income) expense in connection with the financing arrangement as follows: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27"/>
        </w:trPr>
        <w:tc>
          <w:tcPr>
            <w:tcW w:w="49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2019</w:t>
            </w:r>
          </w:p>
        </w:tc>
      </w:tr>
      <w:tr>
        <w:trPr>
          <w:trHeight w:val="146"/>
        </w:trPr>
        <w:tc>
          <w:tcPr>
            <w:tcW w:w="49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Distributions of the partner's share of net (loss) income</w:t>
            </w:r>
          </w:p>
        </w:tc>
        <w:tc>
          <w:tcPr>
            <w:tcW w:w="1040" w:type="dxa"/>
            <w:vAlign w:val="bottom"/>
            <w:shd w:val="clear" w:color="auto" w:fill="CCEEFF"/>
          </w:tcPr>
          <w:p>
            <w:pPr>
              <w:jc w:val="right"/>
              <w:ind w:right="62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1,144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7,184</w:t>
            </w:r>
          </w:p>
        </w:tc>
      </w:tr>
      <w:tr>
        <w:trPr>
          <w:trHeight w:val="153"/>
        </w:trPr>
        <w:tc>
          <w:tcPr>
            <w:tcW w:w="4960" w:type="dxa"/>
            <w:vAlign w:val="bottom"/>
          </w:tcPr>
          <w:p>
            <w:pPr>
              <w:ind w:left="300"/>
              <w:spacing w:after="0"/>
              <w:rPr>
                <w:sz w:val="20"/>
                <w:szCs w:val="20"/>
                <w:color w:val="auto"/>
              </w:rPr>
            </w:pPr>
            <w:r>
              <w:rPr>
                <w:rFonts w:ascii="Arial" w:cs="Arial" w:eastAsia="Arial" w:hAnsi="Arial"/>
                <w:sz w:val="12"/>
                <w:szCs w:val="12"/>
                <w:color w:val="auto"/>
              </w:rPr>
              <w:t>Distributions in excess of the partner's share of net income</w:t>
            </w: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14,435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3,097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6,939</w:t>
            </w:r>
          </w:p>
        </w:tc>
      </w:tr>
      <w:tr>
        <w:trPr>
          <w:trHeight w:val="153"/>
        </w:trPr>
        <w:tc>
          <w:tcPr>
            <w:tcW w:w="49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Adjustment to fair value of financing arrangement obligation</w:t>
            </w:r>
          </w:p>
        </w:tc>
        <w:tc>
          <w:tcPr>
            <w:tcW w:w="10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(15,390)</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(139,522)</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(76,640)</w:t>
            </w:r>
          </w:p>
        </w:tc>
      </w:tr>
      <w:tr>
        <w:trPr>
          <w:trHeight w:val="142"/>
        </w:trPr>
        <w:tc>
          <w:tcPr>
            <w:tcW w:w="4960" w:type="dxa"/>
            <w:vAlign w:val="bottom"/>
          </w:tcPr>
          <w:p>
            <w:pPr>
              <w:spacing w:after="0"/>
              <w:rPr>
                <w:sz w:val="12"/>
                <w:szCs w:val="12"/>
                <w:color w:val="auto"/>
              </w:rPr>
            </w:pPr>
          </w:p>
        </w:tc>
        <w:tc>
          <w:tcPr>
            <w:tcW w:w="1040" w:type="dxa"/>
            <w:vAlign w:val="bottom"/>
            <w:tcBorders>
              <w:bottom w:val="single" w:sz="8" w:color="auto"/>
            </w:tcBorders>
          </w:tcPr>
          <w:p>
            <w:pPr>
              <w:jc w:val="right"/>
              <w:ind w:right="62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(3,718)</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(135,281)</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(62,517)</w:t>
            </w:r>
          </w:p>
        </w:tc>
      </w:tr>
      <w:tr>
        <w:trPr>
          <w:trHeight w:val="20"/>
        </w:trPr>
        <w:tc>
          <w:tcPr>
            <w:tcW w:w="4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The fair value (Level 3 measurement) of the financing arrangement obligation at December 31, 2021 and 2020 was based upon a terminal capitalization rate of approximately 5.75% and 5.5%, respectively, a discount rate of approximately 7.25% and 7.0%, respectively, and market rents per square foot ranging from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79"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On June 27, 2019, the Company replaced the existing mortgage note payable on Chandler Fashion Center with a new $256,000 loan (See Note 10—Mortgage Notes Payable). In connection with the refinancing transaction, the Company distributed $27,945 of the excess loan proceeds to its joint venture partner, which was recorded as a reduction to the financing arrangement obligation.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Noncontrolling Interests:</w:t>
      </w:r>
    </w:p>
    <w:p>
      <w:pPr>
        <w:spacing w:after="0" w:line="100" w:lineRule="exact"/>
        <w:rPr>
          <w:sz w:val="20"/>
          <w:szCs w:val="20"/>
          <w:color w:val="auto"/>
        </w:rPr>
      </w:pPr>
    </w:p>
    <w:p>
      <w:pPr>
        <w:ind w:firstLine="297"/>
        <w:spacing w:after="0" w:line="254" w:lineRule="auto"/>
        <w:rPr>
          <w:sz w:val="20"/>
          <w:szCs w:val="20"/>
          <w:color w:val="auto"/>
        </w:rPr>
      </w:pPr>
      <w:r>
        <w:rPr>
          <w:rFonts w:ascii="Arial" w:cs="Arial" w:eastAsia="Arial" w:hAnsi="Arial"/>
          <w:sz w:val="12"/>
          <w:szCs w:val="12"/>
          <w:color w:val="auto"/>
        </w:rPr>
        <w:t>The Company allocates net income of the Operating Partnership based on the weighted-average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periodically to reflect its ownership interest in the Company. The Company had a 96% and 93% ownership interest in the Operating Partnership as of December 31, 2021 and 2020, respectively. The remaining 4% and 7% limited partnership interest as of December 31, 2021 and 2020, respectively, was owned by certain of the Company's executive officers and directors, certain of their affiliates, and other third party investors in the form of OP Units. The OP Units may be redeemed for shares of registered or unregistered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2021 and 2020, the aggregate redemption value of the then-outstanding OP Units not owned by the Company was $147,259 and $117,602, respectively.</w:t>
      </w:r>
    </w:p>
    <w:p>
      <w:pPr>
        <w:spacing w:after="0" w:line="85" w:lineRule="exact"/>
        <w:rPr>
          <w:sz w:val="20"/>
          <w:szCs w:val="20"/>
          <w:color w:val="auto"/>
        </w:rPr>
      </w:pPr>
    </w:p>
    <w:p>
      <w:pPr>
        <w:ind w:right="80" w:firstLine="297"/>
        <w:spacing w:after="0" w:line="276" w:lineRule="auto"/>
        <w:rPr>
          <w:sz w:val="20"/>
          <w:szCs w:val="20"/>
          <w:color w:val="auto"/>
        </w:rPr>
      </w:pPr>
      <w:r>
        <w:rPr>
          <w:rFonts w:ascii="Arial" w:cs="Arial" w:eastAsia="Arial" w:hAnsi="Arial"/>
          <w:sz w:val="12"/>
          <w:szCs w:val="12"/>
          <w:color w:val="auto"/>
        </w:rPr>
        <w:t>The Company issued common and cumulative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95" w:name="page96"/>
    <w:bookmarkEnd w:id="95"/>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8" w:right="10000" w:hanging="288"/>
        <w:spacing w:after="0" w:line="511" w:lineRule="auto"/>
        <w:tabs>
          <w:tab w:leader="none" w:pos="171" w:val="left"/>
        </w:tabs>
        <w:numPr>
          <w:ilvl w:val="0"/>
          <w:numId w:val="4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Stockholders' Equity: </w:t>
      </w:r>
      <w:r>
        <w:rPr>
          <w:rFonts w:ascii="Arial" w:cs="Arial" w:eastAsia="Arial" w:hAnsi="Arial"/>
          <w:sz w:val="10"/>
          <w:szCs w:val="10"/>
          <w:i w:val="1"/>
          <w:iCs w:val="1"/>
          <w:color w:val="auto"/>
        </w:rPr>
        <w:t>Stock Dividend:</w:t>
      </w:r>
    </w:p>
    <w:p>
      <w:pPr>
        <w:jc w:val="both"/>
        <w:ind w:left="8" w:firstLine="297"/>
        <w:spacing w:after="0" w:line="263" w:lineRule="auto"/>
        <w:rPr>
          <w:sz w:val="20"/>
          <w:szCs w:val="20"/>
          <w:color w:val="auto"/>
        </w:rPr>
      </w:pPr>
      <w:r>
        <w:rPr>
          <w:rFonts w:ascii="Arial" w:cs="Arial" w:eastAsia="Arial" w:hAnsi="Arial"/>
          <w:sz w:val="12"/>
          <w:szCs w:val="12"/>
          <w:color w:val="auto"/>
        </w:rPr>
        <w:t>On June 3, 2020, the Company issued 7,759,280 common shares to its common stockholders in connection with the quarterly dividend of $0.50 per share of common stock declared on March 16, 2020. The dividend consisted of a combination of cash and shares of the Company's common stock. The cash component of the dividend (not including cash paid in lieu of fractional shares) was 20% in the aggregate, or $0.10 per share, with the balance paid in shares of the Company's common stock.</w:t>
      </w:r>
    </w:p>
    <w:p>
      <w:pPr>
        <w:spacing w:after="0" w:line="68" w:lineRule="exact"/>
        <w:rPr>
          <w:sz w:val="20"/>
          <w:szCs w:val="20"/>
          <w:color w:val="auto"/>
        </w:rPr>
      </w:pPr>
    </w:p>
    <w:p>
      <w:pPr>
        <w:ind w:left="8" w:firstLine="297"/>
        <w:spacing w:after="0" w:line="259" w:lineRule="auto"/>
        <w:rPr>
          <w:sz w:val="20"/>
          <w:szCs w:val="20"/>
          <w:color w:val="auto"/>
        </w:rPr>
      </w:pPr>
      <w:r>
        <w:rPr>
          <w:rFonts w:ascii="Arial" w:cs="Arial" w:eastAsia="Arial" w:hAnsi="Arial"/>
          <w:sz w:val="12"/>
          <w:szCs w:val="12"/>
          <w:color w:val="auto"/>
        </w:rPr>
        <w:t>In accordance with the provisions of Internal Revenue Service Revenue Procedure 2017-45, stockholders were asked to make an election to receive the dividend all in cash or all in shares. To the extent that more than 20% of cash was elected in the aggregate, the cash portion was prorated. Stockholders who elected to receive the dividend in cash received a cash payment of at least $0.10 per share. Stockholders who did not make an election received 20% in cash and 80% in shares of common stock. The number of shares issued as a result of the dividend was calculated based on the volume weighted average trading price of the Company's common stock on the New York Stock Exchange on May 20, May 21 and May 22, 2020 of $7.2956.</w:t>
      </w:r>
    </w:p>
    <w:p>
      <w:pPr>
        <w:spacing w:after="0" w:line="79" w:lineRule="exact"/>
        <w:rPr>
          <w:sz w:val="20"/>
          <w:szCs w:val="20"/>
          <w:color w:val="auto"/>
        </w:rPr>
      </w:pPr>
    </w:p>
    <w:p>
      <w:pPr>
        <w:ind w:left="8" w:right="200" w:firstLine="297"/>
        <w:spacing w:after="0" w:line="276" w:lineRule="auto"/>
        <w:rPr>
          <w:sz w:val="20"/>
          <w:szCs w:val="20"/>
          <w:color w:val="auto"/>
        </w:rPr>
      </w:pPr>
      <w:r>
        <w:rPr>
          <w:rFonts w:ascii="Arial" w:cs="Arial" w:eastAsia="Arial" w:hAnsi="Arial"/>
          <w:sz w:val="12"/>
          <w:szCs w:val="12"/>
          <w:color w:val="auto"/>
        </w:rPr>
        <w:t>The Company accounted for the stock portion of its distribution as a stock issuance as opposed to a stock dividend. Accordingly, the impact of the shares issued is reflected in the Company's earnings per share calculation on a prospective basis. The issuance of the stock dividend resulted in a reduction of $0.05 on both basic and diluted earnings per share for the year ended December 31, 2020.</w:t>
      </w:r>
    </w:p>
    <w:p>
      <w:pPr>
        <w:spacing w:after="0" w:line="7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Stock Offerings:</w:t>
      </w:r>
    </w:p>
    <w:p>
      <w:pPr>
        <w:spacing w:after="0" w:line="96" w:lineRule="exact"/>
        <w:rPr>
          <w:sz w:val="20"/>
          <w:szCs w:val="20"/>
          <w:color w:val="auto"/>
        </w:rPr>
      </w:pPr>
    </w:p>
    <w:p>
      <w:pPr>
        <w:jc w:val="both"/>
        <w:ind w:left="8" w:right="240" w:firstLine="297"/>
        <w:spacing w:after="0" w:line="298" w:lineRule="auto"/>
        <w:rPr>
          <w:sz w:val="20"/>
          <w:szCs w:val="20"/>
          <w:color w:val="auto"/>
        </w:rPr>
      </w:pPr>
      <w:r>
        <w:rPr>
          <w:rFonts w:ascii="Arial" w:cs="Arial" w:eastAsia="Arial" w:hAnsi="Arial"/>
          <w:sz w:val="11"/>
          <w:szCs w:val="11"/>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w:t>
      </w:r>
    </w:p>
    <w:p>
      <w:pPr>
        <w:spacing w:after="0" w:line="60" w:lineRule="exact"/>
        <w:rPr>
          <w:sz w:val="20"/>
          <w:szCs w:val="20"/>
          <w:color w:val="auto"/>
        </w:rPr>
      </w:pPr>
    </w:p>
    <w:p>
      <w:pPr>
        <w:ind w:left="8" w:right="40" w:firstLine="297"/>
        <w:spacing w:after="0" w:line="326" w:lineRule="auto"/>
        <w:rPr>
          <w:sz w:val="20"/>
          <w:szCs w:val="20"/>
          <w:color w:val="auto"/>
        </w:rPr>
      </w:pPr>
      <w:r>
        <w:rPr>
          <w:rFonts w:ascii="Arial" w:cs="Arial" w:eastAsia="Arial" w:hAnsi="Arial"/>
          <w:sz w:val="10"/>
          <w:szCs w:val="10"/>
          <w:color w:val="auto"/>
        </w:rPr>
        <w:t>During the twelve months ended December 31, 2021, the Company issued 62,049,131 shares of common stock under the ATM Programs for aggregate gross proceeds of $848,301 and net proceeds of $830,241 after commissions and other transaction costs. The proceeds from the sales under the ATM Programs were used to pay down the Company’s line of credit (See Note 11 – Bank and Other Notes Payable). As of December 31, 2021, $151,699 remained available to be sold under the March 2021 ATM Program. The February 2021 ATM Program was fully utilized as of June 30, 2021 and is no longer active. Actual future sales will depend upon a variety of factors including, but not limited to, market conditions, the trading price of the Company’s common stock and the Company’s capital needs. The Company has no obligation to sell the remaining shares available for sale under the ATM Programs.</w:t>
      </w:r>
    </w:p>
    <w:p>
      <w:pPr>
        <w:spacing w:after="0" w:line="5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Stock Buyback Program:</w:t>
      </w:r>
    </w:p>
    <w:p>
      <w:pPr>
        <w:spacing w:after="0" w:line="96" w:lineRule="exact"/>
        <w:rPr>
          <w:sz w:val="20"/>
          <w:szCs w:val="20"/>
          <w:color w:val="auto"/>
        </w:rPr>
      </w:pPr>
    </w:p>
    <w:p>
      <w:pPr>
        <w:ind w:left="8" w:right="300" w:firstLine="297"/>
        <w:spacing w:after="0" w:line="263" w:lineRule="auto"/>
        <w:rPr>
          <w:sz w:val="20"/>
          <w:szCs w:val="20"/>
          <w:color w:val="auto"/>
        </w:rPr>
      </w:pPr>
      <w:r>
        <w:rPr>
          <w:rFonts w:ascii="Arial" w:cs="Arial" w:eastAsia="Arial" w:hAnsi="Arial"/>
          <w:sz w:val="12"/>
          <w:szCs w:val="12"/>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77"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There were no repurchases under the Stock Buyback Program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30" w:right="319" w:bottom="1440" w:gutter="0" w:footer="0" w:header="0"/>
        </w:sectPr>
      </w:pPr>
    </w:p>
    <w:bookmarkStart w:id="96" w:name="page97"/>
    <w:bookmarkEnd w:id="96"/>
    <w:p>
      <w:pPr>
        <w:spacing w:after="0"/>
        <w:rPr>
          <w:sz w:val="20"/>
          <w:szCs w:val="20"/>
          <w:color w:val="auto"/>
        </w:rPr>
      </w:pPr>
      <w:r>
        <w:rPr>
          <w:rFonts w:ascii="Arial" w:cs="Arial" w:eastAsia="Arial" w:hAnsi="Arial"/>
          <w:sz w:val="12"/>
          <w:szCs w:val="12"/>
          <w:u w:val="single" w:color="auto"/>
          <w:color w:val="0000FF"/>
        </w:rPr>
        <w:t>Table of Contents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Consolidated Joint Venture and Acquisitions: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Fashion District Philadelphia:</w:t>
      </w:r>
    </w:p>
    <w:p>
      <w:pPr>
        <w:spacing w:after="0" w:line="105" w:lineRule="exact"/>
        <w:rPr>
          <w:sz w:val="20"/>
          <w:szCs w:val="20"/>
          <w:color w:val="auto"/>
        </w:rPr>
      </w:pPr>
    </w:p>
    <w:p>
      <w:pPr>
        <w:ind w:firstLine="297"/>
        <w:spacing w:after="0" w:line="283" w:lineRule="auto"/>
        <w:rPr>
          <w:sz w:val="20"/>
          <w:szCs w:val="20"/>
          <w:color w:val="auto"/>
        </w:rPr>
      </w:pPr>
      <w:r>
        <w:rPr>
          <w:rFonts w:ascii="Arial" w:cs="Arial" w:eastAsia="Arial" w:hAnsi="Arial"/>
          <w:sz w:val="11"/>
          <w:szCs w:val="11"/>
          <w:color w:val="auto"/>
        </w:rPr>
        <w:t>Effective December 10, 2020, the Company made the Partnership Loan to the Company’s previously unconsolidated joint venture in Fashion District Philadelphia, pursuant to the joint venture’s amended and restated partnership agreement, to fund a $100,000 repayment to reduce the mortgage notes payable on Fashion District Philadelphia from $301,000 to $201,000. The Partnership Loan plus 15% accrued interest must be repaid prior to the resumption of 50/50 cash distributions to the Company and its joint venture partner. Prior to the restructuring, the Company had accounted for its investment in Fashion District Philadelphia under the equity method of accounting due to substantive participation rights held by the Company’s joint venture partner. Pursuant to the amended and restated partnership agreement, the substantive participation rights of the Company’s joint venture partner were terminated and as a result, the joint venture is treated as a VIE. The Company became the primary beneficiary of the VIE and commenced consolidating Fashion District Philadelphia in its consolidated financial statements effective December 10, 2020. Prior to December 10, 2020, the Company’s share of the joint venture’s net (loss) income was included in its consolidated statements of operations in equity in (loss) income of unconsolidated joint ventures.</w:t>
      </w:r>
    </w:p>
    <w:p>
      <w:pPr>
        <w:spacing w:after="0" w:line="59" w:lineRule="exact"/>
        <w:rPr>
          <w:sz w:val="20"/>
          <w:szCs w:val="20"/>
          <w:color w:val="auto"/>
        </w:rPr>
      </w:pPr>
    </w:p>
    <w:p>
      <w:pPr>
        <w:ind w:right="40" w:firstLine="297"/>
        <w:spacing w:after="0" w:line="285" w:lineRule="auto"/>
        <w:rPr>
          <w:sz w:val="20"/>
          <w:szCs w:val="20"/>
          <w:color w:val="auto"/>
        </w:rPr>
      </w:pPr>
      <w:r>
        <w:rPr>
          <w:rFonts w:ascii="Arial" w:cs="Arial" w:eastAsia="Arial" w:hAnsi="Arial"/>
          <w:sz w:val="11"/>
          <w:szCs w:val="11"/>
          <w:color w:val="auto"/>
        </w:rPr>
        <w:t>The consolidation of the joint venture required the Company to recognize the joint venture’s identifiable assets and liabilities at fair value in the Company’s consolidated financial statements, along with the fair value of the non-controlling interest. The fair value of the joint venture’s assets and liabilities upon initial consolidation were measured using estimates of expected future cash flows and other valuation techniques. The fair value of the joint venture property was determined by using income and market or sales comparison valuation approaches which included, but are not limited to estimates of rental rates, comparable sales, revenue and expense growth rates, capitalization rates and discount rates. The allocation of fair value to assets was estimated by the market or sales comparison, cost and income approaches. Assumed debt was recorded at fair value based upon the present value of the expected future payments and current interest rates. Other acquired assets, including cash, and assumed liabilities were recorded at cost due to the short-term nature of the balances.</w:t>
      </w:r>
    </w:p>
    <w:p>
      <w:pPr>
        <w:spacing w:after="0" w:line="68"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The following is a summary of the allocation of the fair value of Fashion District Philadelphia:</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17"/>
        </w:trPr>
        <w:tc>
          <w:tcPr>
            <w:tcW w:w="7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3"/>
        </w:trPr>
        <w:tc>
          <w:tcPr>
            <w:tcW w:w="7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Property</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331,514</w:t>
            </w:r>
          </w:p>
        </w:tc>
      </w:tr>
      <w:tr>
        <w:trPr>
          <w:trHeight w:val="153"/>
        </w:trPr>
        <w:tc>
          <w:tcPr>
            <w:tcW w:w="7580" w:type="dxa"/>
            <w:vAlign w:val="bottom"/>
          </w:tcPr>
          <w:p>
            <w:pPr>
              <w:ind w:left="320"/>
              <w:spacing w:after="0"/>
              <w:rPr>
                <w:sz w:val="20"/>
                <w:szCs w:val="20"/>
                <w:color w:val="auto"/>
              </w:rPr>
            </w:pPr>
            <w:r>
              <w:rPr>
                <w:rFonts w:ascii="Arial" w:cs="Arial" w:eastAsia="Arial" w:hAnsi="Arial"/>
                <w:sz w:val="12"/>
                <w:szCs w:val="12"/>
                <w:color w:val="auto"/>
              </w:rPr>
              <w:t>Deferred charges</w:t>
            </w:r>
          </w:p>
        </w:tc>
        <w:tc>
          <w:tcPr>
            <w:tcW w:w="8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25,272</w:t>
            </w:r>
          </w:p>
        </w:tc>
      </w:tr>
      <w:tr>
        <w:trPr>
          <w:trHeight w:val="153"/>
        </w:trPr>
        <w:tc>
          <w:tcPr>
            <w:tcW w:w="7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Cash and cash equivalents</w:t>
            </w: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4,492</w:t>
            </w:r>
          </w:p>
        </w:tc>
      </w:tr>
      <w:tr>
        <w:trPr>
          <w:trHeight w:val="153"/>
        </w:trPr>
        <w:tc>
          <w:tcPr>
            <w:tcW w:w="7580" w:type="dxa"/>
            <w:vAlign w:val="bottom"/>
          </w:tcPr>
          <w:p>
            <w:pPr>
              <w:ind w:left="320"/>
              <w:spacing w:after="0"/>
              <w:rPr>
                <w:sz w:val="20"/>
                <w:szCs w:val="20"/>
                <w:color w:val="auto"/>
              </w:rPr>
            </w:pPr>
            <w:r>
              <w:rPr>
                <w:rFonts w:ascii="Arial" w:cs="Arial" w:eastAsia="Arial" w:hAnsi="Arial"/>
                <w:sz w:val="12"/>
                <w:szCs w:val="12"/>
                <w:color w:val="auto"/>
              </w:rPr>
              <w:t>Restricted cash</w:t>
            </w:r>
          </w:p>
        </w:tc>
        <w:tc>
          <w:tcPr>
            <w:tcW w:w="8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1,319</w:t>
            </w:r>
          </w:p>
        </w:tc>
      </w:tr>
      <w:tr>
        <w:trPr>
          <w:trHeight w:val="153"/>
        </w:trPr>
        <w:tc>
          <w:tcPr>
            <w:tcW w:w="7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Tenant receivables</w:t>
            </w: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8,476</w:t>
            </w:r>
          </w:p>
        </w:tc>
      </w:tr>
      <w:tr>
        <w:trPr>
          <w:trHeight w:val="153"/>
        </w:trPr>
        <w:tc>
          <w:tcPr>
            <w:tcW w:w="75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Other assets</w:t>
            </w: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30,582</w:t>
            </w:r>
          </w:p>
        </w:tc>
      </w:tr>
      <w:tr>
        <w:trPr>
          <w:trHeight w:val="142"/>
        </w:trPr>
        <w:tc>
          <w:tcPr>
            <w:tcW w:w="7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Total assets acquired</w:t>
            </w:r>
          </w:p>
        </w:tc>
        <w:tc>
          <w:tcPr>
            <w:tcW w:w="8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401,655</w:t>
            </w:r>
          </w:p>
        </w:tc>
      </w:tr>
      <w:tr>
        <w:trPr>
          <w:trHeight w:val="142"/>
        </w:trPr>
        <w:tc>
          <w:tcPr>
            <w:tcW w:w="7580" w:type="dxa"/>
            <w:vAlign w:val="bottom"/>
          </w:tcPr>
          <w:p>
            <w:pPr>
              <w:ind w:left="320"/>
              <w:spacing w:after="0"/>
              <w:rPr>
                <w:sz w:val="20"/>
                <w:szCs w:val="20"/>
                <w:color w:val="auto"/>
              </w:rPr>
            </w:pPr>
            <w:r>
              <w:rPr>
                <w:rFonts w:ascii="Arial" w:cs="Arial" w:eastAsia="Arial" w:hAnsi="Arial"/>
                <w:sz w:val="12"/>
                <w:szCs w:val="12"/>
                <w:color w:val="auto"/>
              </w:rPr>
              <w:t>Mortgage note payable</w:t>
            </w:r>
          </w:p>
        </w:tc>
        <w:tc>
          <w:tcPr>
            <w:tcW w:w="8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201,000</w:t>
            </w:r>
          </w:p>
        </w:tc>
      </w:tr>
      <w:tr>
        <w:trPr>
          <w:trHeight w:val="153"/>
        </w:trPr>
        <w:tc>
          <w:tcPr>
            <w:tcW w:w="7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Partnership loan(1)</w:t>
            </w: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r>
      <w:tr>
        <w:trPr>
          <w:trHeight w:val="153"/>
        </w:trPr>
        <w:tc>
          <w:tcPr>
            <w:tcW w:w="7580" w:type="dxa"/>
            <w:vAlign w:val="bottom"/>
          </w:tcPr>
          <w:p>
            <w:pPr>
              <w:ind w:left="320"/>
              <w:spacing w:after="0"/>
              <w:rPr>
                <w:sz w:val="20"/>
                <w:szCs w:val="20"/>
                <w:color w:val="auto"/>
              </w:rPr>
            </w:pPr>
            <w:r>
              <w:rPr>
                <w:rFonts w:ascii="Arial" w:cs="Arial" w:eastAsia="Arial" w:hAnsi="Arial"/>
                <w:sz w:val="12"/>
                <w:szCs w:val="12"/>
                <w:color w:val="auto"/>
              </w:rPr>
              <w:t>Accounts payable</w:t>
            </w:r>
          </w:p>
        </w:tc>
        <w:tc>
          <w:tcPr>
            <w:tcW w:w="8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6,673</w:t>
            </w:r>
          </w:p>
        </w:tc>
      </w:tr>
      <w:tr>
        <w:trPr>
          <w:trHeight w:val="153"/>
        </w:trPr>
        <w:tc>
          <w:tcPr>
            <w:tcW w:w="7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Due to affiliates</w:t>
            </w: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75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Other accrued liabilities</w:t>
            </w: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55,717</w:t>
            </w:r>
          </w:p>
        </w:tc>
      </w:tr>
      <w:tr>
        <w:trPr>
          <w:trHeight w:val="142"/>
        </w:trPr>
        <w:tc>
          <w:tcPr>
            <w:tcW w:w="7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Total liabilities assumed</w:t>
            </w:r>
          </w:p>
        </w:tc>
        <w:tc>
          <w:tcPr>
            <w:tcW w:w="8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363,393</w:t>
            </w:r>
          </w:p>
        </w:tc>
      </w:tr>
      <w:tr>
        <w:trPr>
          <w:trHeight w:val="142"/>
        </w:trPr>
        <w:tc>
          <w:tcPr>
            <w:tcW w:w="7580" w:type="dxa"/>
            <w:vAlign w:val="bottom"/>
          </w:tcPr>
          <w:p>
            <w:pPr>
              <w:ind w:left="400"/>
              <w:spacing w:after="0"/>
              <w:rPr>
                <w:sz w:val="20"/>
                <w:szCs w:val="20"/>
                <w:color w:val="auto"/>
              </w:rPr>
            </w:pPr>
            <w:r>
              <w:rPr>
                <w:rFonts w:ascii="Arial" w:cs="Arial" w:eastAsia="Arial" w:hAnsi="Arial"/>
                <w:sz w:val="12"/>
                <w:szCs w:val="12"/>
                <w:color w:val="auto"/>
              </w:rPr>
              <w:t>Fair value of acquired net assets (at 100% ownership)</w:t>
            </w: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38,262</w:t>
            </w:r>
          </w:p>
        </w:tc>
      </w:tr>
      <w:tr>
        <w:trPr>
          <w:trHeight w:val="20"/>
        </w:trPr>
        <w:tc>
          <w:tcPr>
            <w:tcW w:w="7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520" w:hanging="258"/>
        <w:spacing w:after="0"/>
        <w:tabs>
          <w:tab w:leader="none" w:pos="520"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Partnership Loan is eliminated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30" w:right="379" w:bottom="1440" w:gutter="0" w:footer="0" w:header="0"/>
        </w:sectPr>
      </w:pPr>
    </w:p>
    <w:bookmarkStart w:id="97" w:name="page98"/>
    <w:bookmarkEnd w:id="97"/>
    <w:p>
      <w:pPr>
        <w:spacing w:after="0"/>
        <w:rPr>
          <w:sz w:val="20"/>
          <w:szCs w:val="20"/>
          <w:color w:val="auto"/>
        </w:rPr>
      </w:pPr>
      <w:r>
        <w:rPr>
          <w:rFonts w:ascii="Arial" w:cs="Arial" w:eastAsia="Arial" w:hAnsi="Arial"/>
          <w:sz w:val="12"/>
          <w:szCs w:val="12"/>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Consolidated Joint Venture and Acquisitions: (Continued)</w:t>
      </w:r>
    </w:p>
    <w:p>
      <w:pPr>
        <w:spacing w:after="0" w:line="109" w:lineRule="exact"/>
        <w:rPr>
          <w:sz w:val="20"/>
          <w:szCs w:val="20"/>
          <w:color w:val="auto"/>
        </w:rPr>
      </w:pPr>
    </w:p>
    <w:p>
      <w:pPr>
        <w:ind w:firstLine="297"/>
        <w:spacing w:after="0" w:line="323" w:lineRule="auto"/>
        <w:rPr>
          <w:sz w:val="20"/>
          <w:szCs w:val="20"/>
          <w:color w:val="auto"/>
        </w:rPr>
      </w:pPr>
      <w:r>
        <w:rPr>
          <w:rFonts w:ascii="Arial" w:cs="Arial" w:eastAsia="Arial" w:hAnsi="Arial"/>
          <w:sz w:val="11"/>
          <w:szCs w:val="11"/>
          <w:color w:val="auto"/>
        </w:rPr>
        <w:t>The Company recognized a remeasurement loss to adjust the carrying value of its existing investment in the joint venture to its estimated fair value in the Company’s consolidated financial statements. The remeasurement loss was determined by taking the difference between the fair value of assets less its liabilities and the sum of the carrying value of the Company’s existing investment in the joint venture and the fair value of the noncontrolling interest.</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The Company recognized the following remeasurement loss on the Fashion District Philadelphia restructuring:</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08"/>
        </w:trPr>
        <w:tc>
          <w:tcPr>
            <w:tcW w:w="7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53"/>
        </w:trPr>
        <w:tc>
          <w:tcPr>
            <w:tcW w:w="7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Fair value of acquired net assets (at 100% ownership)</w:t>
            </w: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38,262</w:t>
            </w:r>
          </w:p>
        </w:tc>
      </w:tr>
      <w:tr>
        <w:trPr>
          <w:trHeight w:val="153"/>
        </w:trPr>
        <w:tc>
          <w:tcPr>
            <w:tcW w:w="7580" w:type="dxa"/>
            <w:vAlign w:val="bottom"/>
          </w:tcPr>
          <w:p>
            <w:pPr>
              <w:ind w:left="320"/>
              <w:spacing w:after="0"/>
              <w:rPr>
                <w:sz w:val="20"/>
                <w:szCs w:val="20"/>
                <w:color w:val="auto"/>
              </w:rPr>
            </w:pPr>
            <w:r>
              <w:rPr>
                <w:rFonts w:ascii="Arial" w:cs="Arial" w:eastAsia="Arial" w:hAnsi="Arial"/>
                <w:sz w:val="12"/>
                <w:szCs w:val="12"/>
                <w:color w:val="auto"/>
              </w:rPr>
              <w:t>Fair value of the noncontrolling interest</w:t>
            </w:r>
          </w:p>
        </w:tc>
        <w:tc>
          <w:tcPr>
            <w:tcW w:w="8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(19,131)</w:t>
            </w:r>
          </w:p>
        </w:tc>
      </w:tr>
      <w:tr>
        <w:trPr>
          <w:trHeight w:val="153"/>
        </w:trPr>
        <w:tc>
          <w:tcPr>
            <w:tcW w:w="7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Carrying value of existing investment in the joint venture</w:t>
            </w:r>
          </w:p>
        </w:tc>
        <w:tc>
          <w:tcPr>
            <w:tcW w:w="8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(182,429)</w:t>
            </w:r>
          </w:p>
        </w:tc>
      </w:tr>
      <w:tr>
        <w:trPr>
          <w:trHeight w:val="142"/>
        </w:trPr>
        <w:tc>
          <w:tcPr>
            <w:tcW w:w="7580" w:type="dxa"/>
            <w:vAlign w:val="bottom"/>
          </w:tcPr>
          <w:p>
            <w:pPr>
              <w:ind w:left="400"/>
              <w:spacing w:after="0"/>
              <w:rPr>
                <w:sz w:val="20"/>
                <w:szCs w:val="20"/>
                <w:color w:val="auto"/>
              </w:rPr>
            </w:pPr>
            <w:r>
              <w:rPr>
                <w:rFonts w:ascii="Arial" w:cs="Arial" w:eastAsia="Arial" w:hAnsi="Arial"/>
                <w:sz w:val="12"/>
                <w:szCs w:val="12"/>
                <w:color w:val="auto"/>
              </w:rPr>
              <w:t>Loss on remeasurement of asset</w:t>
            </w: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(163,298)</w:t>
            </w:r>
          </w:p>
        </w:tc>
      </w:tr>
      <w:tr>
        <w:trPr>
          <w:trHeight w:val="20"/>
        </w:trPr>
        <w:tc>
          <w:tcPr>
            <w:tcW w:w="7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Sears South Plains:</w:t>
      </w:r>
    </w:p>
    <w:p>
      <w:pPr>
        <w:spacing w:after="0" w:line="96"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On December 31, 2020, the Company and its joint venture partner in MS Portfolio LLC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the joint venture partner. The joint venture partners agreed that the distributed properties were of equal value. The Company now owns 100% of the former Sears parcel at South Plains Mall. Effective December 31, 2020, the Company consolidates its 100% interest in the Sears parcel at South Plains Mall in its consolidated financial statements.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ind w:left="280"/>
              <w:spacing w:after="0"/>
              <w:rPr>
                <w:sz w:val="20"/>
                <w:szCs w:val="20"/>
                <w:color w:val="auto"/>
              </w:rPr>
            </w:pPr>
            <w:r>
              <w:rPr>
                <w:rFonts w:ascii="Arial" w:cs="Arial" w:eastAsia="Arial" w:hAnsi="Arial"/>
                <w:sz w:val="12"/>
                <w:szCs w:val="12"/>
                <w:color w:val="auto"/>
              </w:rPr>
              <w:t>The following is a summary of the allocation of the fair value of Sears South Plains:</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75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Land</w:t>
            </w:r>
          </w:p>
        </w:tc>
        <w:tc>
          <w:tcPr>
            <w:tcW w:w="8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8,170</w:t>
            </w:r>
          </w:p>
        </w:tc>
      </w:tr>
      <w:tr>
        <w:trPr>
          <w:trHeight w:val="153"/>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Building and improvements</w:t>
            </w:r>
          </w:p>
        </w:tc>
        <w:tc>
          <w:tcPr>
            <w:tcW w:w="8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11,130</w:t>
            </w:r>
          </w:p>
        </w:tc>
      </w:tr>
      <w:tr>
        <w:trPr>
          <w:trHeight w:val="158"/>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Fair value of acquired net assets (at 100% ownership)</w:t>
            </w:r>
          </w:p>
        </w:tc>
        <w:tc>
          <w:tcPr>
            <w:tcW w:w="8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19,300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Dispositions:</w:t>
      </w:r>
    </w:p>
    <w:p>
      <w:pPr>
        <w:spacing w:after="0" w:line="109"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2"/>
          <w:szCs w:val="12"/>
          <w:color w:val="auto"/>
        </w:rPr>
        <w:t>On March 29, 2021, the Company sold Paradise Valley Mall in Phoenix, Arizona to a newly formed joint venture for $100,000 resulting in a gain on sale of assets and land of $5,563. Concurrent with the sale, the Company elected to reinvest into the new joint venture at a 5% ownership interest (see Note 4 – Investments in Unconsolidated Joint Ventures). The Company used the proceeds from the sale to pay down its line of credit and for other general corporate purposes.</w:t>
      </w:r>
    </w:p>
    <w:p>
      <w:pPr>
        <w:spacing w:after="0" w:line="68" w:lineRule="exact"/>
        <w:rPr>
          <w:sz w:val="20"/>
          <w:szCs w:val="20"/>
          <w:color w:val="auto"/>
        </w:rPr>
      </w:pPr>
    </w:p>
    <w:p>
      <w:pPr>
        <w:ind w:right="220" w:firstLine="297"/>
        <w:spacing w:after="0" w:line="276" w:lineRule="auto"/>
        <w:rPr>
          <w:sz w:val="20"/>
          <w:szCs w:val="20"/>
          <w:color w:val="auto"/>
        </w:rPr>
      </w:pPr>
      <w:r>
        <w:rPr>
          <w:rFonts w:ascii="Arial" w:cs="Arial" w:eastAsia="Arial" w:hAnsi="Arial"/>
          <w:sz w:val="12"/>
          <w:szCs w:val="12"/>
          <w:color w:val="auto"/>
        </w:rPr>
        <w:t>On September 17, 2021, the Company sold Tucson La Encantada in Tucson, Arizona for $165,250, resulting in a gain on sale of assets of approximately $117,242. The Company used the net cash proceeds of $100,142 to pay down debt.</w:t>
      </w:r>
    </w:p>
    <w:p>
      <w:pPr>
        <w:spacing w:after="0" w:line="70" w:lineRule="exact"/>
        <w:rPr>
          <w:sz w:val="20"/>
          <w:szCs w:val="20"/>
          <w:color w:val="auto"/>
        </w:rPr>
      </w:pPr>
    </w:p>
    <w:p>
      <w:pPr>
        <w:ind w:right="80" w:firstLine="297"/>
        <w:spacing w:after="0" w:line="276" w:lineRule="auto"/>
        <w:rPr>
          <w:sz w:val="20"/>
          <w:szCs w:val="20"/>
          <w:color w:val="auto"/>
        </w:rPr>
      </w:pPr>
      <w:r>
        <w:rPr>
          <w:rFonts w:ascii="Arial" w:cs="Arial" w:eastAsia="Arial" w:hAnsi="Arial"/>
          <w:sz w:val="12"/>
          <w:szCs w:val="12"/>
          <w:color w:val="auto"/>
        </w:rPr>
        <w:t>For the twelve months ended December 31, 2021, the Company sold various land parcels in separate transactions, resulting in gains on sale of land of $29,427. The Company used its share of the proceeds from these sales to pay down debt and for other general corporate purposes.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Commitments and Contingencies:</w:t>
      </w:r>
    </w:p>
    <w:p>
      <w:pPr>
        <w:spacing w:after="0" w:line="100"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As of December 31, 2021, the Company was contingently liable for $40,997 in letters of credit guaranteeing performance by the Company of certain obligations relating to the Centers. The Company does not believe that these letters of credit will result in a liability to the Company.</w:t>
      </w:r>
    </w:p>
    <w:p>
      <w:pPr>
        <w:spacing w:after="0" w:line="70" w:lineRule="exact"/>
        <w:rPr>
          <w:sz w:val="20"/>
          <w:szCs w:val="20"/>
          <w:color w:val="auto"/>
        </w:rPr>
      </w:pPr>
    </w:p>
    <w:p>
      <w:pPr>
        <w:ind w:right="280" w:firstLine="297"/>
        <w:spacing w:after="0" w:line="276" w:lineRule="auto"/>
        <w:rPr>
          <w:sz w:val="20"/>
          <w:szCs w:val="20"/>
          <w:color w:val="auto"/>
        </w:rPr>
      </w:pPr>
      <w:r>
        <w:rPr>
          <w:rFonts w:ascii="Arial" w:cs="Arial" w:eastAsia="Arial" w:hAnsi="Arial"/>
          <w:sz w:val="12"/>
          <w:szCs w:val="12"/>
          <w:color w:val="auto"/>
        </w:rPr>
        <w:t>The Company has entered into a number of construction agreements related to its redevelopment and development activities. Obligations under these agreements are contingent upon the completion of the services within the guidelines specified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98" w:name="page99"/>
    <w:bookmarkEnd w:id="9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Commitments and Contingencies: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in the relevant agreement. At December 31, 2021, the Company had $12,785 in outstanding obligations, which it believes will be settled in the next twelve months.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Related Party Transactions:</w:t>
      </w:r>
    </w:p>
    <w:p>
      <w:pPr>
        <w:spacing w:after="0" w:line="109" w:lineRule="exact"/>
        <w:rPr>
          <w:sz w:val="20"/>
          <w:szCs w:val="20"/>
          <w:color w:val="auto"/>
        </w:rPr>
      </w:pPr>
    </w:p>
    <w:p>
      <w:pPr>
        <w:ind w:right="100" w:firstLine="297"/>
        <w:spacing w:after="0" w:line="322" w:lineRule="auto"/>
        <w:rPr>
          <w:sz w:val="20"/>
          <w:szCs w:val="20"/>
          <w:color w:val="auto"/>
        </w:rPr>
      </w:pPr>
      <w:r>
        <w:rPr>
          <w:rFonts w:ascii="Arial" w:cs="Arial" w:eastAsia="Arial" w:hAnsi="Arial"/>
          <w:sz w:val="10"/>
          <w:szCs w:val="10"/>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2019</w:t>
            </w:r>
          </w:p>
        </w:tc>
      </w:tr>
      <w:tr>
        <w:trPr>
          <w:trHeight w:val="146"/>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Management fees</w:t>
            </w:r>
          </w:p>
        </w:tc>
        <w:tc>
          <w:tcPr>
            <w:tcW w:w="114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17,872</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15,297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18,748</w:t>
            </w:r>
          </w:p>
        </w:tc>
      </w:tr>
      <w:tr>
        <w:trPr>
          <w:trHeight w:val="153"/>
        </w:trPr>
        <w:tc>
          <w:tcPr>
            <w:tcW w:w="422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Development and leasing fees</w:t>
            </w: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5,958</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6,951</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16,056</w:t>
            </w:r>
          </w:p>
        </w:tc>
      </w:tr>
      <w:tr>
        <w:trPr>
          <w:trHeight w:val="158"/>
        </w:trPr>
        <w:tc>
          <w:tcPr>
            <w:tcW w:w="4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23,830</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22,248</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34,804</w:t>
            </w:r>
          </w:p>
        </w:tc>
      </w:tr>
    </w:tbl>
    <w:p>
      <w:pPr>
        <w:spacing w:after="0" w:line="200" w:lineRule="exact"/>
        <w:rPr>
          <w:sz w:val="20"/>
          <w:szCs w:val="20"/>
          <w:color w:val="auto"/>
        </w:rPr>
      </w:pPr>
    </w:p>
    <w:p>
      <w:pPr>
        <w:spacing w:after="0" w:line="205"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Interest (income) expense from related party transactions also includes $(3,718), $(135,281) and $(62,517) for the years ended December 31, 2021, 2020 and 2019, respectively, in connection with the Financing Arrangement (See Note 12—Financing Arrangement).</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1"/>
          <w:szCs w:val="11"/>
          <w:color w:val="auto"/>
        </w:rPr>
        <w:t>Due (to) from affiliates includes $(327) and $1,612 of (prepaid) unreimbursed costs and fees due (to) from unconsolidated joint ventures under management agreements at December 31, 2021 and 2020, respectively.</w:t>
      </w:r>
    </w:p>
    <w:p>
      <w:pPr>
        <w:spacing w:after="0" w:line="117" w:lineRule="exact"/>
        <w:rPr>
          <w:sz w:val="20"/>
          <w:szCs w:val="20"/>
          <w:color w:val="auto"/>
        </w:rPr>
      </w:pPr>
    </w:p>
    <w:p>
      <w:pPr>
        <w:ind w:right="40" w:firstLine="297"/>
        <w:spacing w:after="0" w:line="263" w:lineRule="auto"/>
        <w:rPr>
          <w:sz w:val="20"/>
          <w:szCs w:val="20"/>
          <w:color w:val="auto"/>
        </w:rPr>
      </w:pPr>
      <w:r>
        <w:rPr>
          <w:rFonts w:ascii="Arial" w:cs="Arial" w:eastAsia="Arial" w:hAnsi="Arial"/>
          <w:sz w:val="12"/>
          <w:szCs w:val="12"/>
          <w:color w:val="auto"/>
        </w:rPr>
        <w:t>In addition, due from affiliates included a note receivable from RED/303 LLC ("RED") that bore interest at 5.25% and was to mature on May 30, 2021. Interest income earned on this note was $0, $0 and $141 for the years ended December 31, 2021, 2020 and 2019, respectively. On October 7, 2019, the note was collected in full. RED was considered a related party because it was a partner in a joint venture development project. The note was collateralized by RED's membership interest in the development project.</w:t>
      </w:r>
    </w:p>
    <w:p>
      <w:pPr>
        <w:spacing w:after="0" w:line="77" w:lineRule="exact"/>
        <w:rPr>
          <w:sz w:val="20"/>
          <w:szCs w:val="20"/>
          <w:color w:val="auto"/>
        </w:rPr>
      </w:pPr>
    </w:p>
    <w:p>
      <w:pPr>
        <w:ind w:right="20" w:firstLine="297"/>
        <w:spacing w:after="0" w:line="298" w:lineRule="auto"/>
        <w:rPr>
          <w:sz w:val="20"/>
          <w:szCs w:val="20"/>
          <w:color w:val="auto"/>
        </w:rPr>
      </w:pPr>
      <w:r>
        <w:rPr>
          <w:rFonts w:ascii="Arial" w:cs="Arial" w:eastAsia="Arial" w:hAnsi="Arial"/>
          <w:sz w:val="11"/>
          <w:szCs w:val="11"/>
          <w:color w:val="auto"/>
        </w:rPr>
        <w:t>Also included in due from affiliates was a note receivable from Lennar Corporation that bore interest at LIBOR plus 2% and was to mature upon the completion of certain milestones in connection with the planned development of Fashion Outlets of San Francisco. As a result of those milestones not being completed, the Company elected to terminate the development agreement and the note was collected in full on February 13, 2019. Interest income earned on this note was $0, $0 and $1,112 for the years ended December 31, 2021, 2020 and 2019, respectively. Lennar Corporation was considered a related party because it was a joint venture partner in the project.</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Share and Unit-based Plans: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has established share and unit-based compensation plans for the purpose of attracting and retaining executive officers, directors and key employees.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2003 Equity Incentive Plan:</w:t>
      </w:r>
    </w:p>
    <w:p>
      <w:pPr>
        <w:spacing w:after="0" w:line="100" w:lineRule="exact"/>
        <w:rPr>
          <w:sz w:val="20"/>
          <w:szCs w:val="20"/>
          <w:color w:val="auto"/>
        </w:rPr>
      </w:pPr>
    </w:p>
    <w:p>
      <w:pPr>
        <w:ind w:right="20" w:firstLine="297"/>
        <w:spacing w:after="0" w:line="285" w:lineRule="auto"/>
        <w:rPr>
          <w:sz w:val="20"/>
          <w:szCs w:val="20"/>
          <w:color w:val="auto"/>
        </w:rPr>
      </w:pPr>
      <w:r>
        <w:rPr>
          <w:rFonts w:ascii="Arial" w:cs="Arial" w:eastAsia="Arial" w:hAnsi="Arial"/>
          <w:sz w:val="11"/>
          <w:szCs w:val="11"/>
          <w:color w:val="auto"/>
        </w:rPr>
        <w:t>The 2003 Equity Incentive Plan ("2003 Plan") authorizes the grant of stock awards, stock options, stock appreciation rights, stock units, stock bonuses, performance-based awards, dividend equivalent rights and OP Units or other convertible or exchangeable units. As of December 31, 2021,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the performance of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20,912,331 shares. As of December 31, 2021, there were 5,112,831 shares available for issuance under the 2003 Plan.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99" w:name="page100"/>
    <w:bookmarkEnd w:id="9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Share and Unit-based Plans: (Continued)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Stock Units:</w:t>
      </w:r>
    </w:p>
    <w:p>
      <w:pPr>
        <w:spacing w:after="0" w:line="105" w:lineRule="exact"/>
        <w:rPr>
          <w:sz w:val="20"/>
          <w:szCs w:val="20"/>
          <w:color w:val="auto"/>
        </w:rPr>
      </w:pPr>
    </w:p>
    <w:p>
      <w:pPr>
        <w:ind w:right="180" w:firstLine="297"/>
        <w:spacing w:after="0" w:line="276" w:lineRule="auto"/>
        <w:rPr>
          <w:sz w:val="20"/>
          <w:szCs w:val="20"/>
          <w:color w:val="auto"/>
        </w:rPr>
      </w:pPr>
      <w:r>
        <w:rPr>
          <w:rFonts w:ascii="Arial" w:cs="Arial" w:eastAsia="Arial" w:hAnsi="Arial"/>
          <w:sz w:val="12"/>
          <w:szCs w:val="12"/>
          <w:color w:val="auto"/>
        </w:rPr>
        <w:t>The stock units represent the right to receive upon vesting one share of the Company's common stock for one stock unit. The value of the stock units was determined by the market price of the Company's common stock on the date of the grant. The following table summarizes the activity of non-vested stock units during the years ended December 31, 2021, 2020 and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6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2019</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Weighted</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Weighted</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right"/>
              <w:ind w:right="346"/>
              <w:spacing w:after="0" w:line="83" w:lineRule="exact"/>
              <w:rPr>
                <w:sz w:val="20"/>
                <w:szCs w:val="20"/>
                <w:color w:val="auto"/>
              </w:rPr>
            </w:pPr>
            <w:r>
              <w:rPr>
                <w:rFonts w:ascii="Arial" w:cs="Arial" w:eastAsia="Arial" w:hAnsi="Arial"/>
                <w:sz w:val="8"/>
                <w:szCs w:val="8"/>
                <w:b w:val="1"/>
                <w:bCs w:val="1"/>
                <w:color w:val="auto"/>
              </w:rPr>
              <w:t>Weighted</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ind w:left="294"/>
              <w:spacing w:after="0" w:line="90" w:lineRule="exact"/>
              <w:rPr>
                <w:sz w:val="20"/>
                <w:szCs w:val="20"/>
                <w:color w:val="auto"/>
              </w:rPr>
            </w:pPr>
            <w:r>
              <w:rPr>
                <w:rFonts w:ascii="Arial" w:cs="Arial" w:eastAsia="Arial" w:hAnsi="Arial"/>
                <w:sz w:val="10"/>
                <w:szCs w:val="10"/>
                <w:b w:val="1"/>
                <w:bCs w:val="1"/>
                <w:color w:val="auto"/>
                <w:w w:val="86"/>
              </w:rPr>
              <w:t>Average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ind w:left="314"/>
              <w:spacing w:after="0" w:line="90" w:lineRule="exact"/>
              <w:rPr>
                <w:sz w:val="20"/>
                <w:szCs w:val="20"/>
                <w:color w:val="auto"/>
              </w:rPr>
            </w:pPr>
            <w:r>
              <w:rPr>
                <w:rFonts w:ascii="Arial" w:cs="Arial" w:eastAsia="Arial" w:hAnsi="Arial"/>
                <w:sz w:val="10"/>
                <w:szCs w:val="10"/>
                <w:b w:val="1"/>
                <w:bCs w:val="1"/>
                <w:color w:val="auto"/>
                <w:w w:val="80"/>
              </w:rPr>
              <w:t>Average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center"/>
              <w:ind w:right="406"/>
              <w:spacing w:after="0" w:line="90"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1220" w:type="dxa"/>
            <w:vAlign w:val="bottom"/>
            <w:vMerge w:val="restart"/>
          </w:tcPr>
          <w:p>
            <w:pPr>
              <w:jc w:val="right"/>
              <w:ind w:right="302"/>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7"/>
                <w:szCs w:val="7"/>
                <w:color w:val="auto"/>
              </w:rPr>
            </w:pPr>
          </w:p>
        </w:tc>
        <w:tc>
          <w:tcPr>
            <w:tcW w:w="1120" w:type="dxa"/>
            <w:vAlign w:val="bottom"/>
          </w:tcPr>
          <w:p>
            <w:pPr>
              <w:jc w:val="center"/>
              <w:ind w:left="294"/>
              <w:spacing w:after="0" w:line="90" w:lineRule="exact"/>
              <w:rPr>
                <w:sz w:val="20"/>
                <w:szCs w:val="20"/>
                <w:color w:val="auto"/>
              </w:rPr>
            </w:pPr>
            <w:r>
              <w:rPr>
                <w:rFonts w:ascii="Arial" w:cs="Arial" w:eastAsia="Arial" w:hAnsi="Arial"/>
                <w:sz w:val="10"/>
                <w:szCs w:val="10"/>
                <w:b w:val="1"/>
                <w:bCs w:val="1"/>
                <w:color w:val="auto"/>
                <w:w w:val="89"/>
              </w:rPr>
              <w:t>Grant Date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restart"/>
          </w:tcPr>
          <w:p>
            <w:pPr>
              <w:jc w:val="right"/>
              <w:ind w:right="302"/>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7"/>
                <w:szCs w:val="7"/>
                <w:color w:val="auto"/>
              </w:rPr>
            </w:pPr>
          </w:p>
        </w:tc>
        <w:tc>
          <w:tcPr>
            <w:tcW w:w="1120" w:type="dxa"/>
            <w:vAlign w:val="bottom"/>
          </w:tcPr>
          <w:p>
            <w:pPr>
              <w:jc w:val="center"/>
              <w:ind w:left="314"/>
              <w:spacing w:after="0" w:line="90" w:lineRule="exact"/>
              <w:rPr>
                <w:sz w:val="20"/>
                <w:szCs w:val="20"/>
                <w:color w:val="auto"/>
              </w:rPr>
            </w:pPr>
            <w:r>
              <w:rPr>
                <w:rFonts w:ascii="Arial" w:cs="Arial" w:eastAsia="Arial" w:hAnsi="Arial"/>
                <w:sz w:val="10"/>
                <w:szCs w:val="10"/>
                <w:b w:val="1"/>
                <w:bCs w:val="1"/>
                <w:color w:val="auto"/>
                <w:w w:val="93"/>
              </w:rPr>
              <w:t>Grant Date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restart"/>
          </w:tcPr>
          <w:p>
            <w:pPr>
              <w:jc w:val="right"/>
              <w:ind w:right="302"/>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center"/>
              <w:ind w:right="406"/>
              <w:spacing w:after="0" w:line="90" w:lineRule="exact"/>
              <w:rPr>
                <w:sz w:val="20"/>
                <w:szCs w:val="20"/>
                <w:color w:val="auto"/>
              </w:rPr>
            </w:pPr>
            <w:r>
              <w:rPr>
                <w:rFonts w:ascii="Arial" w:cs="Arial" w:eastAsia="Arial" w:hAnsi="Arial"/>
                <w:sz w:val="10"/>
                <w:szCs w:val="10"/>
                <w:b w:val="1"/>
                <w:bCs w:val="1"/>
                <w:color w:val="auto"/>
                <w:w w:val="89"/>
              </w:rPr>
              <w:t>Grant Date</w:t>
            </w:r>
          </w:p>
        </w:tc>
        <w:tc>
          <w:tcPr>
            <w:tcW w:w="0" w:type="dxa"/>
            <w:vAlign w:val="bottom"/>
          </w:tcPr>
          <w:p>
            <w:pPr>
              <w:spacing w:after="0"/>
              <w:rPr>
                <w:sz w:val="1"/>
                <w:szCs w:val="1"/>
                <w:color w:val="auto"/>
              </w:rPr>
            </w:pPr>
          </w:p>
        </w:tc>
      </w:tr>
      <w:tr>
        <w:trPr>
          <w:trHeight w:val="125"/>
        </w:trPr>
        <w:tc>
          <w:tcPr>
            <w:tcW w:w="268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314"/>
              <w:spacing w:after="0"/>
              <w:rPr>
                <w:sz w:val="20"/>
                <w:szCs w:val="20"/>
                <w:color w:val="auto"/>
              </w:rPr>
            </w:pPr>
            <w:r>
              <w:rPr>
                <w:rFonts w:ascii="Arial" w:cs="Arial" w:eastAsia="Arial" w:hAnsi="Arial"/>
                <w:sz w:val="10"/>
                <w:szCs w:val="10"/>
                <w:b w:val="1"/>
                <w:bCs w:val="1"/>
                <w:color w:val="auto"/>
                <w:w w:val="91"/>
              </w:rPr>
              <w:t>Fair Value</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314"/>
              <w:spacing w:after="0"/>
              <w:rPr>
                <w:sz w:val="20"/>
                <w:szCs w:val="20"/>
                <w:color w:val="auto"/>
              </w:rPr>
            </w:pPr>
            <w:r>
              <w:rPr>
                <w:rFonts w:ascii="Arial" w:cs="Arial" w:eastAsia="Arial" w:hAnsi="Arial"/>
                <w:sz w:val="10"/>
                <w:szCs w:val="10"/>
                <w:b w:val="1"/>
                <w:bCs w:val="1"/>
                <w:color w:val="auto"/>
                <w:w w:val="91"/>
              </w:rPr>
              <w:t>Fair Value</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386"/>
              <w:spacing w:after="0"/>
              <w:rPr>
                <w:sz w:val="20"/>
                <w:szCs w:val="20"/>
                <w:color w:val="auto"/>
              </w:rPr>
            </w:pPr>
            <w:r>
              <w:rPr>
                <w:rFonts w:ascii="Arial" w:cs="Arial" w:eastAsia="Arial" w:hAnsi="Arial"/>
                <w:sz w:val="10"/>
                <w:szCs w:val="10"/>
                <w:b w:val="1"/>
                <w:bCs w:val="1"/>
                <w:color w:val="auto"/>
                <w:w w:val="91"/>
              </w:rPr>
              <w:t>Fair Value</w:t>
            </w:r>
          </w:p>
        </w:tc>
        <w:tc>
          <w:tcPr>
            <w:tcW w:w="0" w:type="dxa"/>
            <w:vAlign w:val="bottom"/>
          </w:tcPr>
          <w:p>
            <w:pPr>
              <w:spacing w:after="0"/>
              <w:rPr>
                <w:sz w:val="1"/>
                <w:szCs w:val="1"/>
                <w:color w:val="auto"/>
              </w:rPr>
            </w:pPr>
          </w:p>
        </w:tc>
      </w:tr>
      <w:tr>
        <w:trPr>
          <w:trHeight w:val="143"/>
        </w:trPr>
        <w:tc>
          <w:tcPr>
            <w:tcW w:w="26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Balance at beginning of year</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309,845</w:t>
            </w:r>
          </w:p>
        </w:tc>
        <w:tc>
          <w:tcPr>
            <w:tcW w:w="1220" w:type="dxa"/>
            <w:vAlign w:val="bottom"/>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21.47</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199,987</w:t>
            </w:r>
          </w:p>
        </w:tc>
        <w:tc>
          <w:tcPr>
            <w:tcW w:w="1220" w:type="dxa"/>
            <w:vAlign w:val="bottom"/>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43.59</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129,457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64.21</w:t>
            </w:r>
          </w:p>
        </w:tc>
        <w:tc>
          <w:tcPr>
            <w:tcW w:w="0" w:type="dxa"/>
            <w:vAlign w:val="bottom"/>
          </w:tcPr>
          <w:p>
            <w:pPr>
              <w:spacing w:after="0"/>
              <w:rPr>
                <w:sz w:val="1"/>
                <w:szCs w:val="1"/>
                <w:color w:val="auto"/>
              </w:rPr>
            </w:pPr>
          </w:p>
        </w:tc>
      </w:tr>
      <w:tr>
        <w:trPr>
          <w:trHeight w:val="153"/>
        </w:trPr>
        <w:tc>
          <w:tcPr>
            <w:tcW w:w="2680" w:type="dxa"/>
            <w:vAlign w:val="bottom"/>
          </w:tcPr>
          <w:p>
            <w:pPr>
              <w:ind w:left="380"/>
              <w:spacing w:after="0"/>
              <w:rPr>
                <w:sz w:val="20"/>
                <w:szCs w:val="20"/>
                <w:color w:val="auto"/>
              </w:rPr>
            </w:pPr>
            <w:r>
              <w:rPr>
                <w:rFonts w:ascii="Arial" w:cs="Arial" w:eastAsia="Arial" w:hAnsi="Arial"/>
                <w:sz w:val="12"/>
                <w:szCs w:val="12"/>
                <w:color w:val="auto"/>
              </w:rPr>
              <w:t>Granted</w:t>
            </w:r>
          </w:p>
        </w:tc>
        <w:tc>
          <w:tcPr>
            <w:tcW w:w="1220" w:type="dxa"/>
            <w:vAlign w:val="bottom"/>
          </w:tcPr>
          <w:p>
            <w:pPr>
              <w:jc w:val="right"/>
              <w:spacing w:after="0"/>
              <w:rPr>
                <w:sz w:val="20"/>
                <w:szCs w:val="20"/>
                <w:color w:val="auto"/>
              </w:rPr>
            </w:pPr>
            <w:r>
              <w:rPr>
                <w:rFonts w:ascii="Arial" w:cs="Arial" w:eastAsia="Arial" w:hAnsi="Arial"/>
                <w:sz w:val="12"/>
                <w:szCs w:val="12"/>
                <w:color w:val="auto"/>
              </w:rPr>
              <w:t>169,112</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14.61</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253,184</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14.14</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160,932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37.44</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(211,465)</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19.03</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(140,224)</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39.53</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(85,157)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62.84</w:t>
            </w:r>
          </w:p>
        </w:tc>
        <w:tc>
          <w:tcPr>
            <w:tcW w:w="0" w:type="dxa"/>
            <w:vAlign w:val="bottom"/>
          </w:tcPr>
          <w:p>
            <w:pPr>
              <w:spacing w:after="0"/>
              <w:rPr>
                <w:sz w:val="1"/>
                <w:szCs w:val="1"/>
                <w:color w:val="auto"/>
              </w:rPr>
            </w:pPr>
          </w:p>
        </w:tc>
      </w:tr>
      <w:tr>
        <w:trPr>
          <w:trHeight w:val="153"/>
        </w:trPr>
        <w:tc>
          <w:tcPr>
            <w:tcW w:w="268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93"/>
              </w:rPr>
              <w:t>22.12</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(3,102)</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99"/>
              </w:rPr>
              <w:t>32.62</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(5,245)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51.48</w:t>
            </w:r>
          </w:p>
        </w:tc>
        <w:tc>
          <w:tcPr>
            <w:tcW w:w="0" w:type="dxa"/>
            <w:vAlign w:val="bottom"/>
          </w:tcPr>
          <w:p>
            <w:pPr>
              <w:spacing w:after="0"/>
              <w:rPr>
                <w:sz w:val="1"/>
                <w:szCs w:val="1"/>
                <w:color w:val="auto"/>
              </w:rPr>
            </w:pPr>
          </w:p>
        </w:tc>
      </w:tr>
      <w:tr>
        <w:trPr>
          <w:trHeight w:val="158"/>
        </w:trPr>
        <w:tc>
          <w:tcPr>
            <w:tcW w:w="2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Balance at end of year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266,505</w:t>
            </w:r>
          </w:p>
        </w:tc>
        <w:tc>
          <w:tcPr>
            <w:tcW w:w="12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19.05</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309,845</w:t>
            </w:r>
          </w:p>
        </w:tc>
        <w:tc>
          <w:tcPr>
            <w:tcW w:w="12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21.47</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199,987</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Long-Term Incentive Plan Units:</w:t>
      </w:r>
    </w:p>
    <w:p>
      <w:pPr>
        <w:spacing w:after="0" w:line="105" w:lineRule="exact"/>
        <w:rPr>
          <w:sz w:val="20"/>
          <w:szCs w:val="20"/>
          <w:color w:val="auto"/>
        </w:rPr>
      </w:pPr>
    </w:p>
    <w:p>
      <w:pPr>
        <w:ind w:right="220" w:firstLine="297"/>
        <w:spacing w:after="0" w:line="298" w:lineRule="auto"/>
        <w:rPr>
          <w:sz w:val="20"/>
          <w:szCs w:val="20"/>
          <w:color w:val="auto"/>
        </w:rPr>
      </w:pPr>
      <w:r>
        <w:rPr>
          <w:rFonts w:ascii="Arial" w:cs="Arial" w:eastAsia="Arial" w:hAnsi="Arial"/>
          <w:sz w:val="11"/>
          <w:szCs w:val="11"/>
          <w:color w:val="auto"/>
        </w:rPr>
        <w:t>Under the Long-Term Incentive Plan ("LTIP"), each award recipient is issued a form of operating partnership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market-indexed awards, performance-based awards and service-based awards.</w:t>
      </w:r>
    </w:p>
    <w:p>
      <w:pPr>
        <w:spacing w:after="0" w:line="51" w:lineRule="exact"/>
        <w:rPr>
          <w:sz w:val="20"/>
          <w:szCs w:val="20"/>
          <w:color w:val="auto"/>
        </w:rPr>
      </w:pPr>
    </w:p>
    <w:p>
      <w:pPr>
        <w:ind w:right="140" w:firstLine="297"/>
        <w:spacing w:after="0" w:line="323" w:lineRule="auto"/>
        <w:rPr>
          <w:sz w:val="20"/>
          <w:szCs w:val="20"/>
          <w:color w:val="auto"/>
        </w:rPr>
      </w:pPr>
      <w:r>
        <w:rPr>
          <w:rFonts w:ascii="Arial" w:cs="Arial" w:eastAsia="Arial" w:hAnsi="Arial"/>
          <w:sz w:val="11"/>
          <w:szCs w:val="11"/>
          <w:color w:val="auto"/>
        </w:rPr>
        <w:t>The market-indexed LTIP Units vest over the service period of the award based on the percentile ranking of the Company in terms of total return to stockholders (the "Total Return") per common stock share relative to the Total Return of a group of peer REITs, as measured at the end of the measurement period. The performance-based LTIP Units vest over a specified period based on the Company's operational performance over that period.</w:t>
      </w:r>
    </w:p>
    <w:p>
      <w:pPr>
        <w:spacing w:after="0" w:line="47" w:lineRule="exact"/>
        <w:rPr>
          <w:sz w:val="20"/>
          <w:szCs w:val="20"/>
          <w:color w:val="auto"/>
        </w:rPr>
      </w:pPr>
    </w:p>
    <w:p>
      <w:pPr>
        <w:ind w:firstLine="297"/>
        <w:spacing w:after="0" w:line="256" w:lineRule="auto"/>
        <w:rPr>
          <w:sz w:val="20"/>
          <w:szCs w:val="20"/>
          <w:color w:val="auto"/>
        </w:rPr>
      </w:pPr>
      <w:r>
        <w:rPr>
          <w:rFonts w:ascii="Arial" w:cs="Arial" w:eastAsia="Arial" w:hAnsi="Arial"/>
          <w:sz w:val="12"/>
          <w:szCs w:val="12"/>
          <w:color w:val="auto"/>
        </w:rPr>
        <w:t>The fair value of the service-based LTIP Units was determined by the market price of the Company's common stock on the date of the grant. The fair value of the market-indexed LTIP Units and performance-based LTIP Units are estimated on the date of 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 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100" w:name="page101"/>
    <w:bookmarkEnd w:id="10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Share and Unit-based Plans: (Continued)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has granted the following LTIP units during the years ended December 31, 2021, 2020 and 2019:</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Grant Date</w:t>
            </w: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1"/>
                <w:szCs w:val="11"/>
                <w:b w:val="1"/>
                <w:bCs w:val="1"/>
                <w:color w:val="auto"/>
              </w:rPr>
              <w:t>Units</w:t>
            </w:r>
          </w:p>
        </w:tc>
        <w:tc>
          <w:tcPr>
            <w:tcW w:w="14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Type</w:t>
            </w:r>
          </w:p>
        </w:tc>
        <w:tc>
          <w:tcPr>
            <w:tcW w:w="14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Fair Value per LTIP Unit</w:t>
            </w: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Vest Date</w:t>
            </w:r>
          </w:p>
        </w:tc>
      </w:tr>
      <w:tr>
        <w:trPr>
          <w:trHeight w:val="144"/>
        </w:trPr>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1/1/2019</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81,732</w:t>
            </w:r>
          </w:p>
        </w:tc>
        <w:tc>
          <w:tcPr>
            <w:tcW w:w="1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Service-based</w:t>
            </w:r>
          </w:p>
        </w:tc>
        <w:tc>
          <w:tcPr>
            <w:tcW w:w="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43.28</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12/31/2021</w:t>
            </w:r>
          </w:p>
        </w:tc>
      </w:tr>
      <w:tr>
        <w:trPr>
          <w:trHeight w:val="153"/>
        </w:trPr>
        <w:tc>
          <w:tcPr>
            <w:tcW w:w="1220" w:type="dxa"/>
            <w:vAlign w:val="bottom"/>
          </w:tcPr>
          <w:p>
            <w:pPr>
              <w:jc w:val="right"/>
              <w:spacing w:after="0"/>
              <w:rPr>
                <w:sz w:val="20"/>
                <w:szCs w:val="20"/>
                <w:color w:val="auto"/>
              </w:rPr>
            </w:pPr>
            <w:r>
              <w:rPr>
                <w:rFonts w:ascii="Arial" w:cs="Arial" w:eastAsia="Arial" w:hAnsi="Arial"/>
                <w:sz w:val="12"/>
                <w:szCs w:val="12"/>
                <w:color w:val="auto"/>
              </w:rPr>
              <w:t>1/1/2019</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250,852</w:t>
            </w:r>
          </w:p>
        </w:tc>
        <w:tc>
          <w:tcPr>
            <w:tcW w:w="140" w:type="dxa"/>
            <w:vAlign w:val="bottom"/>
          </w:tcPr>
          <w:p>
            <w:pPr>
              <w:spacing w:after="0"/>
              <w:rPr>
                <w:sz w:val="13"/>
                <w:szCs w:val="13"/>
                <w:color w:val="auto"/>
              </w:rPr>
            </w:pPr>
          </w:p>
        </w:tc>
        <w:tc>
          <w:tcPr>
            <w:tcW w:w="1960" w:type="dxa"/>
            <w:vAlign w:val="bottom"/>
            <w:gridSpan w:val="2"/>
          </w:tcPr>
          <w:p>
            <w:pPr>
              <w:ind w:left="320"/>
              <w:spacing w:after="0"/>
              <w:rPr>
                <w:sz w:val="20"/>
                <w:szCs w:val="20"/>
                <w:color w:val="auto"/>
              </w:rPr>
            </w:pPr>
            <w:r>
              <w:rPr>
                <w:rFonts w:ascii="Arial" w:cs="Arial" w:eastAsia="Arial" w:hAnsi="Arial"/>
                <w:sz w:val="12"/>
                <w:szCs w:val="12"/>
                <w:color w:val="auto"/>
              </w:rPr>
              <w:t>Market-indexed</w:t>
            </w:r>
          </w:p>
        </w:tc>
        <w:tc>
          <w:tcPr>
            <w:tcW w:w="800" w:type="dxa"/>
            <w:vAlign w:val="bottom"/>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29.25</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12/31/2021</w:t>
            </w:r>
          </w:p>
        </w:tc>
      </w:tr>
      <w:tr>
        <w:trPr>
          <w:trHeight w:val="153"/>
        </w:trPr>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9/1/2019</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4,393</w:t>
            </w:r>
          </w:p>
        </w:tc>
        <w:tc>
          <w:tcPr>
            <w:tcW w:w="1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Service-based</w:t>
            </w:r>
          </w:p>
        </w:tc>
        <w:tc>
          <w:tcPr>
            <w:tcW w:w="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8/31/2022</w:t>
            </w:r>
          </w:p>
        </w:tc>
      </w:tr>
      <w:tr>
        <w:trPr>
          <w:trHeight w:val="153"/>
        </w:trPr>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9/1/2019</w:t>
            </w:r>
          </w:p>
        </w:tc>
        <w:tc>
          <w:tcPr>
            <w:tcW w:w="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6,454</w:t>
            </w:r>
          </w:p>
        </w:tc>
        <w:tc>
          <w:tcPr>
            <w:tcW w:w="14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Market-indexed</w:t>
            </w:r>
          </w:p>
        </w:tc>
        <w:tc>
          <w:tcPr>
            <w:tcW w:w="800" w:type="dxa"/>
            <w:vAlign w:val="bottom"/>
            <w:tcBorders>
              <w:bottom w:val="single" w:sz="8" w:color="CCEEFF"/>
            </w:tcBorders>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19.42</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8/31/2022</w:t>
            </w:r>
          </w:p>
        </w:tc>
      </w:tr>
      <w:tr>
        <w:trPr>
          <w:trHeight w:val="158"/>
        </w:trPr>
        <w:tc>
          <w:tcPr>
            <w:tcW w:w="1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343,431</w:t>
            </w:r>
          </w:p>
        </w:tc>
        <w:tc>
          <w:tcPr>
            <w:tcW w:w="14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r>
        <w:trPr>
          <w:trHeight w:val="162"/>
        </w:trPr>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3"/>
        </w:trPr>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1/1/2020</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154,158</w:t>
            </w:r>
          </w:p>
        </w:tc>
        <w:tc>
          <w:tcPr>
            <w:tcW w:w="1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Service-based</w:t>
            </w:r>
          </w:p>
        </w:tc>
        <w:tc>
          <w:tcPr>
            <w:tcW w:w="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26.92</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12/31/2022</w:t>
            </w:r>
          </w:p>
        </w:tc>
      </w:tr>
      <w:tr>
        <w:trPr>
          <w:trHeight w:val="153"/>
        </w:trPr>
        <w:tc>
          <w:tcPr>
            <w:tcW w:w="1220" w:type="dxa"/>
            <w:vAlign w:val="bottom"/>
          </w:tcPr>
          <w:p>
            <w:pPr>
              <w:jc w:val="right"/>
              <w:spacing w:after="0"/>
              <w:rPr>
                <w:sz w:val="20"/>
                <w:szCs w:val="20"/>
                <w:color w:val="auto"/>
              </w:rPr>
            </w:pPr>
            <w:r>
              <w:rPr>
                <w:rFonts w:ascii="Arial" w:cs="Arial" w:eastAsia="Arial" w:hAnsi="Arial"/>
                <w:sz w:val="12"/>
                <w:szCs w:val="12"/>
                <w:color w:val="auto"/>
              </w:rPr>
              <w:t>1/1/2020</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321,940</w:t>
            </w:r>
          </w:p>
        </w:tc>
        <w:tc>
          <w:tcPr>
            <w:tcW w:w="140" w:type="dxa"/>
            <w:vAlign w:val="bottom"/>
          </w:tcPr>
          <w:p>
            <w:pPr>
              <w:spacing w:after="0"/>
              <w:rPr>
                <w:sz w:val="13"/>
                <w:szCs w:val="13"/>
                <w:color w:val="auto"/>
              </w:rPr>
            </w:pPr>
          </w:p>
        </w:tc>
        <w:tc>
          <w:tcPr>
            <w:tcW w:w="1960" w:type="dxa"/>
            <w:vAlign w:val="bottom"/>
            <w:gridSpan w:val="2"/>
          </w:tcPr>
          <w:p>
            <w:pPr>
              <w:ind w:left="320"/>
              <w:spacing w:after="0"/>
              <w:rPr>
                <w:sz w:val="20"/>
                <w:szCs w:val="20"/>
                <w:color w:val="auto"/>
              </w:rPr>
            </w:pPr>
            <w:r>
              <w:rPr>
                <w:rFonts w:ascii="Arial" w:cs="Arial" w:eastAsia="Arial" w:hAnsi="Arial"/>
                <w:sz w:val="12"/>
                <w:szCs w:val="12"/>
                <w:color w:val="auto"/>
              </w:rPr>
              <w:t>Market-indexed</w:t>
            </w:r>
          </w:p>
        </w:tc>
        <w:tc>
          <w:tcPr>
            <w:tcW w:w="800" w:type="dxa"/>
            <w:vAlign w:val="bottom"/>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27.80</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12/31/2022</w:t>
            </w:r>
          </w:p>
        </w:tc>
      </w:tr>
      <w:tr>
        <w:trPr>
          <w:trHeight w:val="153"/>
        </w:trPr>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3/1/2020</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39,176</w:t>
            </w:r>
          </w:p>
        </w:tc>
        <w:tc>
          <w:tcPr>
            <w:tcW w:w="1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Service-based</w:t>
            </w:r>
          </w:p>
        </w:tc>
        <w:tc>
          <w:tcPr>
            <w:tcW w:w="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20.42</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2/28/2023</w:t>
            </w:r>
          </w:p>
        </w:tc>
      </w:tr>
      <w:tr>
        <w:trPr>
          <w:trHeight w:val="153"/>
        </w:trPr>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3/1/2020</w:t>
            </w:r>
          </w:p>
        </w:tc>
        <w:tc>
          <w:tcPr>
            <w:tcW w:w="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37,592</w:t>
            </w:r>
          </w:p>
        </w:tc>
        <w:tc>
          <w:tcPr>
            <w:tcW w:w="14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Market-indexed</w:t>
            </w:r>
          </w:p>
        </w:tc>
        <w:tc>
          <w:tcPr>
            <w:tcW w:w="800" w:type="dxa"/>
            <w:vAlign w:val="bottom"/>
            <w:tcBorders>
              <w:bottom w:val="single" w:sz="8" w:color="CCEEFF"/>
            </w:tcBorders>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21.28</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2/28/2023</w:t>
            </w:r>
          </w:p>
        </w:tc>
      </w:tr>
      <w:tr>
        <w:trPr>
          <w:trHeight w:val="158"/>
        </w:trPr>
        <w:tc>
          <w:tcPr>
            <w:tcW w:w="1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552,866</w:t>
            </w:r>
          </w:p>
        </w:tc>
        <w:tc>
          <w:tcPr>
            <w:tcW w:w="14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r>
        <w:trPr>
          <w:trHeight w:val="162"/>
        </w:trPr>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3"/>
        </w:trPr>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1/1/2021</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576,378</w:t>
            </w:r>
          </w:p>
        </w:tc>
        <w:tc>
          <w:tcPr>
            <w:tcW w:w="1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Service-based</w:t>
            </w:r>
          </w:p>
        </w:tc>
        <w:tc>
          <w:tcPr>
            <w:tcW w:w="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12/31/2023</w:t>
            </w:r>
          </w:p>
        </w:tc>
      </w:tr>
      <w:tr>
        <w:trPr>
          <w:trHeight w:val="153"/>
        </w:trPr>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1/1/2021</w:t>
            </w:r>
          </w:p>
        </w:tc>
        <w:tc>
          <w:tcPr>
            <w:tcW w:w="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1,005,073</w:t>
            </w:r>
          </w:p>
        </w:tc>
        <w:tc>
          <w:tcPr>
            <w:tcW w:w="14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Performance-based</w:t>
            </w:r>
          </w:p>
        </w:tc>
        <w:tc>
          <w:tcPr>
            <w:tcW w:w="800" w:type="dxa"/>
            <w:vAlign w:val="bottom"/>
            <w:tcBorders>
              <w:bottom w:val="single" w:sz="8" w:color="CCEEFF"/>
            </w:tcBorders>
          </w:tcPr>
          <w:p>
            <w:pPr>
              <w:jc w:val="right"/>
              <w:ind w:right="381"/>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9.85</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12/31/2023</w:t>
            </w:r>
          </w:p>
        </w:tc>
      </w:tr>
      <w:tr>
        <w:trPr>
          <w:trHeight w:val="158"/>
        </w:trPr>
        <w:tc>
          <w:tcPr>
            <w:tcW w:w="1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1,581,451</w:t>
            </w:r>
          </w:p>
        </w:tc>
        <w:tc>
          <w:tcPr>
            <w:tcW w:w="14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fair value of the market-indexed LTIP Units and performance-based LTIP Units (Level 3) were estimated on the date of grant using a Monte Carlo Simulation model that based on the following assumptions:</w:t>
      </w:r>
    </w:p>
    <w:p>
      <w:pPr>
        <w:spacing w:after="0" w:line="200" w:lineRule="exact"/>
        <w:rPr>
          <w:sz w:val="20"/>
          <w:szCs w:val="20"/>
          <w:color w:val="auto"/>
        </w:rPr>
      </w:pP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360" w:type="dxa"/>
            <w:vAlign w:val="bottom"/>
            <w:gridSpan w:val="2"/>
          </w:tcPr>
          <w:p>
            <w:pPr>
              <w:ind w:left="480"/>
              <w:spacing w:after="0"/>
              <w:rPr>
                <w:sz w:val="20"/>
                <w:szCs w:val="20"/>
                <w:color w:val="auto"/>
              </w:rPr>
            </w:pPr>
            <w:r>
              <w:rPr>
                <w:rFonts w:ascii="Arial" w:cs="Arial" w:eastAsia="Arial" w:hAnsi="Arial"/>
                <w:sz w:val="12"/>
                <w:szCs w:val="12"/>
                <w:b w:val="1"/>
                <w:bCs w:val="1"/>
                <w:color w:val="auto"/>
              </w:rPr>
              <w:t>Grant Date</w:t>
            </w:r>
          </w:p>
        </w:tc>
        <w:tc>
          <w:tcPr>
            <w:tcW w:w="1680" w:type="dxa"/>
            <w:vAlign w:val="bottom"/>
            <w:gridSpan w:val="3"/>
          </w:tcPr>
          <w:p>
            <w:pPr>
              <w:ind w:left="340"/>
              <w:spacing w:after="0"/>
              <w:rPr>
                <w:sz w:val="20"/>
                <w:szCs w:val="20"/>
                <w:color w:val="auto"/>
              </w:rPr>
            </w:pPr>
            <w:r>
              <w:rPr>
                <w:rFonts w:ascii="Arial" w:cs="Arial" w:eastAsia="Arial" w:hAnsi="Arial"/>
                <w:sz w:val="12"/>
                <w:szCs w:val="12"/>
                <w:b w:val="1"/>
                <w:bCs w:val="1"/>
                <w:color w:val="auto"/>
              </w:rPr>
              <w:t>Risk Free Interest Rate</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auto"/>
              </w:rPr>
              <w:t>Expected Volatility</w:t>
            </w:r>
          </w:p>
        </w:tc>
        <w:tc>
          <w:tcPr>
            <w:tcW w:w="120" w:type="dxa"/>
            <w:vAlign w:val="bottom"/>
          </w:tcPr>
          <w:p>
            <w:pPr>
              <w:spacing w:after="0"/>
              <w:rPr>
                <w:sz w:val="13"/>
                <w:szCs w:val="13"/>
                <w:color w:val="auto"/>
              </w:rPr>
            </w:pPr>
          </w:p>
        </w:tc>
      </w:tr>
      <w:tr>
        <w:trPr>
          <w:trHeight w:val="142"/>
        </w:trPr>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1/1/2019</w:t>
            </w: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2.46</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23.52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53"/>
        </w:trPr>
        <w:tc>
          <w:tcPr>
            <w:tcW w:w="1240" w:type="dxa"/>
            <w:vAlign w:val="bottom"/>
          </w:tcPr>
          <w:p>
            <w:pPr>
              <w:jc w:val="right"/>
              <w:spacing w:after="0"/>
              <w:rPr>
                <w:sz w:val="20"/>
                <w:szCs w:val="20"/>
                <w:color w:val="auto"/>
              </w:rPr>
            </w:pPr>
            <w:r>
              <w:rPr>
                <w:rFonts w:ascii="Arial" w:cs="Arial" w:eastAsia="Arial" w:hAnsi="Arial"/>
                <w:sz w:val="12"/>
                <w:szCs w:val="12"/>
                <w:color w:val="auto"/>
              </w:rPr>
              <w:t>9/1/2019</w:t>
            </w:r>
          </w:p>
        </w:tc>
        <w:tc>
          <w:tcPr>
            <w:tcW w:w="120" w:type="dxa"/>
            <w:vAlign w:val="bottom"/>
          </w:tcPr>
          <w:p>
            <w:pPr>
              <w:spacing w:after="0"/>
              <w:rPr>
                <w:sz w:val="13"/>
                <w:szCs w:val="13"/>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1.42</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60" w:type="dxa"/>
            <w:vAlign w:val="bottom"/>
          </w:tcPr>
          <w:p>
            <w:pPr>
              <w:jc w:val="right"/>
              <w:ind w:right="260"/>
              <w:spacing w:after="0"/>
              <w:rPr>
                <w:sz w:val="20"/>
                <w:szCs w:val="20"/>
                <w:color w:val="auto"/>
              </w:rPr>
            </w:pPr>
            <w:r>
              <w:rPr>
                <w:rFonts w:ascii="Arial" w:cs="Arial" w:eastAsia="Arial" w:hAnsi="Arial"/>
                <w:sz w:val="12"/>
                <w:szCs w:val="12"/>
                <w:color w:val="auto"/>
              </w:rPr>
              <w:t>24.91</w:t>
            </w:r>
          </w:p>
        </w:tc>
        <w:tc>
          <w:tcPr>
            <w:tcW w:w="12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53"/>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1/1/2020</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1.62</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26.08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53"/>
        </w:trPr>
        <w:tc>
          <w:tcPr>
            <w:tcW w:w="1240" w:type="dxa"/>
            <w:vAlign w:val="bottom"/>
          </w:tcPr>
          <w:p>
            <w:pPr>
              <w:jc w:val="right"/>
              <w:spacing w:after="0"/>
              <w:rPr>
                <w:sz w:val="20"/>
                <w:szCs w:val="20"/>
                <w:color w:val="auto"/>
              </w:rPr>
            </w:pPr>
            <w:r>
              <w:rPr>
                <w:rFonts w:ascii="Arial" w:cs="Arial" w:eastAsia="Arial" w:hAnsi="Arial"/>
                <w:sz w:val="12"/>
                <w:szCs w:val="12"/>
                <w:color w:val="auto"/>
              </w:rPr>
              <w:t>3/1/2020</w:t>
            </w:r>
          </w:p>
        </w:tc>
        <w:tc>
          <w:tcPr>
            <w:tcW w:w="120" w:type="dxa"/>
            <w:vAlign w:val="bottom"/>
          </w:tcPr>
          <w:p>
            <w:pPr>
              <w:spacing w:after="0"/>
              <w:rPr>
                <w:sz w:val="13"/>
                <w:szCs w:val="13"/>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0.85</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60" w:type="dxa"/>
            <w:vAlign w:val="bottom"/>
          </w:tcPr>
          <w:p>
            <w:pPr>
              <w:jc w:val="right"/>
              <w:ind w:right="260"/>
              <w:spacing w:after="0"/>
              <w:rPr>
                <w:sz w:val="20"/>
                <w:szCs w:val="20"/>
                <w:color w:val="auto"/>
              </w:rPr>
            </w:pPr>
            <w:r>
              <w:rPr>
                <w:rFonts w:ascii="Arial" w:cs="Arial" w:eastAsia="Arial" w:hAnsi="Arial"/>
                <w:sz w:val="12"/>
                <w:szCs w:val="12"/>
                <w:color w:val="auto"/>
              </w:rPr>
              <w:t>28.34</w:t>
            </w:r>
          </w:p>
        </w:tc>
        <w:tc>
          <w:tcPr>
            <w:tcW w:w="12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53"/>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1/1/2021</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0.17</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62.82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400"/>
          </w:cols>
          <w:pgMar w:left="300" w:top="230" w:right="1199" w:bottom="1440" w:gutter="0" w:footer="0" w:header="0"/>
        </w:sectPr>
      </w:pPr>
    </w:p>
    <w:bookmarkStart w:id="101" w:name="page102"/>
    <w:bookmarkEnd w:id="10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Share and Unit-based Plans: (Continued)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activity of the non-vested LTIP Units during the years ended December 31, 2021, 2020 and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66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2019</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Weighted</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Weighted</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right"/>
              <w:ind w:right="346"/>
              <w:spacing w:after="0" w:line="83" w:lineRule="exact"/>
              <w:rPr>
                <w:sz w:val="20"/>
                <w:szCs w:val="20"/>
                <w:color w:val="auto"/>
              </w:rPr>
            </w:pPr>
            <w:r>
              <w:rPr>
                <w:rFonts w:ascii="Arial" w:cs="Arial" w:eastAsia="Arial" w:hAnsi="Arial"/>
                <w:sz w:val="8"/>
                <w:szCs w:val="8"/>
                <w:b w:val="1"/>
                <w:bCs w:val="1"/>
                <w:color w:val="auto"/>
              </w:rPr>
              <w:t>Weighted</w:t>
            </w: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ind w:left="294"/>
              <w:spacing w:after="0" w:line="90" w:lineRule="exact"/>
              <w:rPr>
                <w:sz w:val="20"/>
                <w:szCs w:val="20"/>
                <w:color w:val="auto"/>
              </w:rPr>
            </w:pPr>
            <w:r>
              <w:rPr>
                <w:rFonts w:ascii="Arial" w:cs="Arial" w:eastAsia="Arial" w:hAnsi="Arial"/>
                <w:sz w:val="10"/>
                <w:szCs w:val="10"/>
                <w:b w:val="1"/>
                <w:bCs w:val="1"/>
                <w:color w:val="auto"/>
                <w:w w:val="86"/>
              </w:rPr>
              <w:t>Average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jc w:val="center"/>
              <w:ind w:left="314"/>
              <w:spacing w:after="0" w:line="90" w:lineRule="exact"/>
              <w:rPr>
                <w:sz w:val="20"/>
                <w:szCs w:val="20"/>
                <w:color w:val="auto"/>
              </w:rPr>
            </w:pPr>
            <w:r>
              <w:rPr>
                <w:rFonts w:ascii="Arial" w:cs="Arial" w:eastAsia="Arial" w:hAnsi="Arial"/>
                <w:sz w:val="10"/>
                <w:szCs w:val="10"/>
                <w:b w:val="1"/>
                <w:bCs w:val="1"/>
                <w:color w:val="auto"/>
                <w:w w:val="86"/>
              </w:rPr>
              <w:t>Average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center"/>
              <w:ind w:right="406"/>
              <w:spacing w:after="0" w:line="90"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1240" w:type="dxa"/>
            <w:vAlign w:val="bottom"/>
            <w:vMerge w:val="restart"/>
          </w:tcPr>
          <w:p>
            <w:pPr>
              <w:jc w:val="right"/>
              <w:ind w:right="302"/>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7"/>
                <w:szCs w:val="7"/>
                <w:color w:val="auto"/>
              </w:rPr>
            </w:pPr>
          </w:p>
        </w:tc>
        <w:tc>
          <w:tcPr>
            <w:tcW w:w="1120" w:type="dxa"/>
            <w:vAlign w:val="bottom"/>
          </w:tcPr>
          <w:p>
            <w:pPr>
              <w:jc w:val="center"/>
              <w:ind w:left="294"/>
              <w:spacing w:after="0" w:line="90" w:lineRule="exact"/>
              <w:rPr>
                <w:sz w:val="20"/>
                <w:szCs w:val="20"/>
                <w:color w:val="auto"/>
              </w:rPr>
            </w:pPr>
            <w:r>
              <w:rPr>
                <w:rFonts w:ascii="Arial" w:cs="Arial" w:eastAsia="Arial" w:hAnsi="Arial"/>
                <w:sz w:val="10"/>
                <w:szCs w:val="10"/>
                <w:b w:val="1"/>
                <w:bCs w:val="1"/>
                <w:color w:val="auto"/>
                <w:w w:val="89"/>
              </w:rPr>
              <w:t>Grant Date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7"/>
                <w:szCs w:val="7"/>
                <w:color w:val="auto"/>
              </w:rPr>
            </w:pPr>
          </w:p>
        </w:tc>
        <w:tc>
          <w:tcPr>
            <w:tcW w:w="1140" w:type="dxa"/>
            <w:vAlign w:val="bottom"/>
          </w:tcPr>
          <w:p>
            <w:pPr>
              <w:jc w:val="center"/>
              <w:ind w:left="314"/>
              <w:spacing w:after="0" w:line="90" w:lineRule="exact"/>
              <w:rPr>
                <w:sz w:val="20"/>
                <w:szCs w:val="20"/>
                <w:color w:val="auto"/>
              </w:rPr>
            </w:pPr>
            <w:r>
              <w:rPr>
                <w:rFonts w:ascii="Arial" w:cs="Arial" w:eastAsia="Arial" w:hAnsi="Arial"/>
                <w:sz w:val="10"/>
                <w:szCs w:val="10"/>
                <w:b w:val="1"/>
                <w:bCs w:val="1"/>
                <w:color w:val="auto"/>
                <w:w w:val="89"/>
              </w:rPr>
              <w:t>Grant Date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restart"/>
          </w:tcPr>
          <w:p>
            <w:pPr>
              <w:jc w:val="right"/>
              <w:ind w:right="302"/>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center"/>
              <w:ind w:right="406"/>
              <w:spacing w:after="0" w:line="90" w:lineRule="exact"/>
              <w:rPr>
                <w:sz w:val="20"/>
                <w:szCs w:val="20"/>
                <w:color w:val="auto"/>
              </w:rPr>
            </w:pPr>
            <w:r>
              <w:rPr>
                <w:rFonts w:ascii="Arial" w:cs="Arial" w:eastAsia="Arial" w:hAnsi="Arial"/>
                <w:sz w:val="10"/>
                <w:szCs w:val="10"/>
                <w:b w:val="1"/>
                <w:bCs w:val="1"/>
                <w:color w:val="auto"/>
                <w:w w:val="89"/>
              </w:rPr>
              <w:t>Grant Date</w:t>
            </w:r>
          </w:p>
        </w:tc>
        <w:tc>
          <w:tcPr>
            <w:tcW w:w="0" w:type="dxa"/>
            <w:vAlign w:val="bottom"/>
          </w:tcPr>
          <w:p>
            <w:pPr>
              <w:spacing w:after="0"/>
              <w:rPr>
                <w:sz w:val="1"/>
                <w:szCs w:val="1"/>
                <w:color w:val="auto"/>
              </w:rPr>
            </w:pPr>
          </w:p>
        </w:tc>
      </w:tr>
      <w:tr>
        <w:trPr>
          <w:trHeight w:val="125"/>
        </w:trPr>
        <w:tc>
          <w:tcPr>
            <w:tcW w:w="266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314"/>
              <w:spacing w:after="0"/>
              <w:rPr>
                <w:sz w:val="20"/>
                <w:szCs w:val="20"/>
                <w:color w:val="auto"/>
              </w:rPr>
            </w:pPr>
            <w:r>
              <w:rPr>
                <w:rFonts w:ascii="Arial" w:cs="Arial" w:eastAsia="Arial" w:hAnsi="Arial"/>
                <w:sz w:val="10"/>
                <w:szCs w:val="10"/>
                <w:b w:val="1"/>
                <w:bCs w:val="1"/>
                <w:color w:val="auto"/>
                <w:w w:val="91"/>
              </w:rPr>
              <w:t>Fair Value</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center"/>
              <w:ind w:left="314"/>
              <w:spacing w:after="0"/>
              <w:rPr>
                <w:sz w:val="20"/>
                <w:szCs w:val="20"/>
                <w:color w:val="auto"/>
              </w:rPr>
            </w:pPr>
            <w:r>
              <w:rPr>
                <w:rFonts w:ascii="Arial" w:cs="Arial" w:eastAsia="Arial" w:hAnsi="Arial"/>
                <w:sz w:val="10"/>
                <w:szCs w:val="10"/>
                <w:b w:val="1"/>
                <w:bCs w:val="1"/>
                <w:color w:val="auto"/>
                <w:w w:val="87"/>
              </w:rPr>
              <w:t>Fair Value</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386"/>
              <w:spacing w:after="0"/>
              <w:rPr>
                <w:sz w:val="20"/>
                <w:szCs w:val="20"/>
                <w:color w:val="auto"/>
              </w:rPr>
            </w:pPr>
            <w:r>
              <w:rPr>
                <w:rFonts w:ascii="Arial" w:cs="Arial" w:eastAsia="Arial" w:hAnsi="Arial"/>
                <w:sz w:val="10"/>
                <w:szCs w:val="10"/>
                <w:b w:val="1"/>
                <w:bCs w:val="1"/>
                <w:color w:val="auto"/>
                <w:w w:val="91"/>
              </w:rPr>
              <w:t>Fair Value</w:t>
            </w:r>
          </w:p>
        </w:tc>
        <w:tc>
          <w:tcPr>
            <w:tcW w:w="0" w:type="dxa"/>
            <w:vAlign w:val="bottom"/>
          </w:tcPr>
          <w:p>
            <w:pPr>
              <w:spacing w:after="0"/>
              <w:rPr>
                <w:sz w:val="1"/>
                <w:szCs w:val="1"/>
                <w:color w:val="auto"/>
              </w:rPr>
            </w:pPr>
          </w:p>
        </w:tc>
      </w:tr>
      <w:tr>
        <w:trPr>
          <w:trHeight w:val="143"/>
        </w:trPr>
        <w:tc>
          <w:tcPr>
            <w:tcW w:w="26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Balance at beginning of year</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784,052</w:t>
            </w:r>
          </w:p>
        </w:tc>
        <w:tc>
          <w:tcPr>
            <w:tcW w:w="1220" w:type="dxa"/>
            <w:vAlign w:val="bottom"/>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28.11</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center"/>
              <w:ind w:left="682"/>
              <w:spacing w:after="0"/>
              <w:rPr>
                <w:sz w:val="20"/>
                <w:szCs w:val="20"/>
                <w:color w:val="auto"/>
              </w:rPr>
            </w:pPr>
            <w:r>
              <w:rPr>
                <w:rFonts w:ascii="Arial" w:cs="Arial" w:eastAsia="Arial" w:hAnsi="Arial"/>
                <w:sz w:val="12"/>
                <w:szCs w:val="12"/>
                <w:color w:val="auto"/>
                <w:w w:val="87"/>
              </w:rPr>
              <w:t>616,219</w:t>
            </w:r>
          </w:p>
        </w:tc>
        <w:tc>
          <w:tcPr>
            <w:tcW w:w="1220" w:type="dxa"/>
            <w:vAlign w:val="bottom"/>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39.04</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661,578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48.38</w:t>
            </w:r>
          </w:p>
        </w:tc>
        <w:tc>
          <w:tcPr>
            <w:tcW w:w="0" w:type="dxa"/>
            <w:vAlign w:val="bottom"/>
          </w:tcPr>
          <w:p>
            <w:pPr>
              <w:spacing w:after="0"/>
              <w:rPr>
                <w:sz w:val="1"/>
                <w:szCs w:val="1"/>
                <w:color w:val="auto"/>
              </w:rPr>
            </w:pPr>
          </w:p>
        </w:tc>
      </w:tr>
      <w:tr>
        <w:trPr>
          <w:trHeight w:val="153"/>
        </w:trPr>
        <w:tc>
          <w:tcPr>
            <w:tcW w:w="2660" w:type="dxa"/>
            <w:vAlign w:val="bottom"/>
          </w:tcPr>
          <w:p>
            <w:pPr>
              <w:ind w:left="380"/>
              <w:spacing w:after="0"/>
              <w:rPr>
                <w:sz w:val="20"/>
                <w:szCs w:val="20"/>
                <w:color w:val="auto"/>
              </w:rPr>
            </w:pPr>
            <w:r>
              <w:rPr>
                <w:rFonts w:ascii="Arial" w:cs="Arial" w:eastAsia="Arial" w:hAnsi="Arial"/>
                <w:sz w:val="12"/>
                <w:szCs w:val="12"/>
                <w:color w:val="auto"/>
              </w:rPr>
              <w:t>Granted</w:t>
            </w:r>
          </w:p>
        </w:tc>
        <w:tc>
          <w:tcPr>
            <w:tcW w:w="1240" w:type="dxa"/>
            <w:vAlign w:val="bottom"/>
          </w:tcPr>
          <w:p>
            <w:pPr>
              <w:jc w:val="right"/>
              <w:spacing w:after="0"/>
              <w:rPr>
                <w:sz w:val="20"/>
                <w:szCs w:val="20"/>
                <w:color w:val="auto"/>
              </w:rPr>
            </w:pPr>
            <w:r>
              <w:rPr>
                <w:rFonts w:ascii="Arial" w:cs="Arial" w:eastAsia="Arial" w:hAnsi="Arial"/>
                <w:sz w:val="12"/>
                <w:szCs w:val="12"/>
                <w:color w:val="auto"/>
              </w:rPr>
              <w:t>1,581,451</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10.15</w:t>
            </w:r>
          </w:p>
        </w:tc>
        <w:tc>
          <w:tcPr>
            <w:tcW w:w="80" w:type="dxa"/>
            <w:vAlign w:val="bottom"/>
          </w:tcPr>
          <w:p>
            <w:pPr>
              <w:spacing w:after="0"/>
              <w:rPr>
                <w:sz w:val="13"/>
                <w:szCs w:val="13"/>
                <w:color w:val="auto"/>
              </w:rPr>
            </w:pPr>
          </w:p>
        </w:tc>
        <w:tc>
          <w:tcPr>
            <w:tcW w:w="1240" w:type="dxa"/>
            <w:vAlign w:val="bottom"/>
          </w:tcPr>
          <w:p>
            <w:pPr>
              <w:jc w:val="center"/>
              <w:ind w:left="682"/>
              <w:spacing w:after="0"/>
              <w:rPr>
                <w:sz w:val="20"/>
                <w:szCs w:val="20"/>
                <w:color w:val="auto"/>
              </w:rPr>
            </w:pPr>
            <w:r>
              <w:rPr>
                <w:rFonts w:ascii="Arial" w:cs="Arial" w:eastAsia="Arial" w:hAnsi="Arial"/>
                <w:sz w:val="12"/>
                <w:szCs w:val="12"/>
                <w:color w:val="auto"/>
                <w:w w:val="87"/>
              </w:rPr>
              <w:t>552,866</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26.59</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343,431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32.40</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(286,373)</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17.62</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left="662"/>
              <w:spacing w:after="0"/>
              <w:rPr>
                <w:sz w:val="20"/>
                <w:szCs w:val="20"/>
                <w:color w:val="auto"/>
              </w:rPr>
            </w:pPr>
            <w:r>
              <w:rPr>
                <w:rFonts w:ascii="Arial" w:cs="Arial" w:eastAsia="Arial" w:hAnsi="Arial"/>
                <w:sz w:val="12"/>
                <w:szCs w:val="12"/>
                <w:color w:val="auto"/>
                <w:w w:val="93"/>
              </w:rPr>
              <w:t>(102,884)</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40.19</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(76,306)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59.27</w:t>
            </w:r>
          </w:p>
        </w:tc>
        <w:tc>
          <w:tcPr>
            <w:tcW w:w="0" w:type="dxa"/>
            <w:vAlign w:val="bottom"/>
          </w:tcPr>
          <w:p>
            <w:pPr>
              <w:spacing w:after="0"/>
              <w:rPr>
                <w:sz w:val="1"/>
                <w:szCs w:val="1"/>
                <w:color w:val="auto"/>
              </w:rPr>
            </w:pPr>
          </w:p>
        </w:tc>
      </w:tr>
      <w:tr>
        <w:trPr>
          <w:trHeight w:val="153"/>
        </w:trPr>
        <w:tc>
          <w:tcPr>
            <w:tcW w:w="26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(241,439)</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93"/>
              </w:rPr>
              <w:t>29.25</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center"/>
              <w:ind w:left="662"/>
              <w:spacing w:after="0"/>
              <w:rPr>
                <w:sz w:val="20"/>
                <w:szCs w:val="20"/>
                <w:color w:val="auto"/>
              </w:rPr>
            </w:pPr>
            <w:r>
              <w:rPr>
                <w:rFonts w:ascii="Arial" w:cs="Arial" w:eastAsia="Arial" w:hAnsi="Arial"/>
                <w:sz w:val="12"/>
                <w:szCs w:val="12"/>
                <w:color w:val="auto"/>
                <w:w w:val="93"/>
              </w:rPr>
              <w:t>(282,149)</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93"/>
              </w:rPr>
              <w:t>44.28</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(312,484)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46.55</w:t>
            </w:r>
          </w:p>
        </w:tc>
        <w:tc>
          <w:tcPr>
            <w:tcW w:w="0" w:type="dxa"/>
            <w:vAlign w:val="bottom"/>
          </w:tcPr>
          <w:p>
            <w:pPr>
              <w:spacing w:after="0"/>
              <w:rPr>
                <w:sz w:val="1"/>
                <w:szCs w:val="1"/>
                <w:color w:val="auto"/>
              </w:rPr>
            </w:pPr>
          </w:p>
        </w:tc>
      </w:tr>
      <w:tr>
        <w:trPr>
          <w:trHeight w:val="158"/>
        </w:trPr>
        <w:tc>
          <w:tcPr>
            <w:tcW w:w="2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Balance at end of year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1,837,691</w:t>
            </w:r>
          </w:p>
        </w:tc>
        <w:tc>
          <w:tcPr>
            <w:tcW w:w="12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14.14</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center"/>
              <w:ind w:left="682"/>
              <w:spacing w:after="0"/>
              <w:rPr>
                <w:sz w:val="20"/>
                <w:szCs w:val="20"/>
                <w:color w:val="auto"/>
              </w:rPr>
            </w:pPr>
            <w:r>
              <w:rPr>
                <w:rFonts w:ascii="Arial" w:cs="Arial" w:eastAsia="Arial" w:hAnsi="Arial"/>
                <w:sz w:val="12"/>
                <w:szCs w:val="12"/>
                <w:color w:val="auto"/>
                <w:w w:val="87"/>
              </w:rPr>
              <w:t>784,052</w:t>
            </w:r>
          </w:p>
        </w:tc>
        <w:tc>
          <w:tcPr>
            <w:tcW w:w="12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28.11</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616,219</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Stock Options:</w:t>
      </w:r>
    </w:p>
    <w:p>
      <w:pPr>
        <w:spacing w:after="0" w:line="105" w:lineRule="exact"/>
        <w:rPr>
          <w:sz w:val="20"/>
          <w:szCs w:val="20"/>
          <w:color w:val="auto"/>
        </w:rPr>
      </w:pPr>
    </w:p>
    <w:p>
      <w:pPr>
        <w:ind w:right="120" w:firstLine="297"/>
        <w:spacing w:after="0" w:line="323" w:lineRule="auto"/>
        <w:rPr>
          <w:sz w:val="20"/>
          <w:szCs w:val="20"/>
          <w:color w:val="auto"/>
        </w:rPr>
      </w:pPr>
      <w:r>
        <w:rPr>
          <w:rFonts w:ascii="Arial" w:cs="Arial" w:eastAsia="Arial" w:hAnsi="Arial"/>
          <w:sz w:val="11"/>
          <w:szCs w:val="11"/>
          <w:color w:val="auto"/>
        </w:rPr>
        <w:t>On May 30, 2017, the Company granted 25,000 non-qualified stock options with a grant date fair value of $10.02 that vested on May 30, 2019. The Company measured the value of each option awarded using the Black-Scholes Option Pricing Model based upon the following assumptions: volatility of 30.19%, dividend yield of 4.93%, risk free rate of 2.08%, current value of $57.55 and an expected term of 8 years.</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activity of stock options for the years ended December 31, 2021, 2020 and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6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2021</w:t>
            </w: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2020</w:t>
            </w: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2019</w:t>
            </w: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jc w:val="right"/>
              <w:ind w:right="348"/>
              <w:spacing w:after="0" w:line="83" w:lineRule="exact"/>
              <w:rPr>
                <w:sz w:val="20"/>
                <w:szCs w:val="20"/>
                <w:color w:val="auto"/>
              </w:rPr>
            </w:pPr>
            <w:r>
              <w:rPr>
                <w:rFonts w:ascii="Arial" w:cs="Arial" w:eastAsia="Arial" w:hAnsi="Arial"/>
                <w:sz w:val="8"/>
                <w:szCs w:val="8"/>
                <w:b w:val="1"/>
                <w:bCs w:val="1"/>
                <w:color w:val="auto"/>
              </w:rPr>
              <w:t>Weighted</w:t>
            </w: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jc w:val="right"/>
              <w:ind w:right="348"/>
              <w:spacing w:after="0" w:line="83" w:lineRule="exact"/>
              <w:rPr>
                <w:sz w:val="20"/>
                <w:szCs w:val="20"/>
                <w:color w:val="auto"/>
              </w:rPr>
            </w:pPr>
            <w:r>
              <w:rPr>
                <w:rFonts w:ascii="Arial" w:cs="Arial" w:eastAsia="Arial" w:hAnsi="Arial"/>
                <w:sz w:val="8"/>
                <w:szCs w:val="8"/>
                <w:b w:val="1"/>
                <w:bCs w:val="1"/>
                <w:color w:val="auto"/>
              </w:rPr>
              <w:t>Weighted</w:t>
            </w: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jc w:val="right"/>
              <w:ind w:right="348"/>
              <w:spacing w:after="0" w:line="83" w:lineRule="exact"/>
              <w:rPr>
                <w:sz w:val="20"/>
                <w:szCs w:val="20"/>
                <w:color w:val="auto"/>
              </w:rPr>
            </w:pPr>
            <w:r>
              <w:rPr>
                <w:rFonts w:ascii="Arial" w:cs="Arial" w:eastAsia="Arial" w:hAnsi="Arial"/>
                <w:sz w:val="8"/>
                <w:szCs w:val="8"/>
                <w:b w:val="1"/>
                <w:bCs w:val="1"/>
                <w:color w:val="auto"/>
              </w:rPr>
              <w:t>Weighted</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gridSpan w:val="2"/>
          </w:tcPr>
          <w:p>
            <w:pPr>
              <w:jc w:val="center"/>
              <w:ind w:right="560"/>
              <w:spacing w:after="0" w:line="90" w:lineRule="exact"/>
              <w:rPr>
                <w:sz w:val="20"/>
                <w:szCs w:val="20"/>
                <w:color w:val="auto"/>
              </w:rPr>
            </w:pPr>
            <w:r>
              <w:rPr>
                <w:rFonts w:ascii="Arial" w:cs="Arial" w:eastAsia="Arial" w:hAnsi="Arial"/>
                <w:sz w:val="10"/>
                <w:szCs w:val="10"/>
                <w:b w:val="1"/>
                <w:bCs w:val="1"/>
                <w:color w:val="auto"/>
                <w:w w:val="80"/>
              </w:rPr>
              <w:t>Average</w:t>
            </w: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gridSpan w:val="2"/>
          </w:tcPr>
          <w:p>
            <w:pPr>
              <w:jc w:val="center"/>
              <w:ind w:right="560"/>
              <w:spacing w:after="0" w:line="90" w:lineRule="exact"/>
              <w:rPr>
                <w:sz w:val="20"/>
                <w:szCs w:val="20"/>
                <w:color w:val="auto"/>
              </w:rPr>
            </w:pPr>
            <w:r>
              <w:rPr>
                <w:rFonts w:ascii="Arial" w:cs="Arial" w:eastAsia="Arial" w:hAnsi="Arial"/>
                <w:sz w:val="10"/>
                <w:szCs w:val="10"/>
                <w:b w:val="1"/>
                <w:bCs w:val="1"/>
                <w:color w:val="auto"/>
                <w:w w:val="86"/>
              </w:rPr>
              <w:t>Average</w:t>
            </w: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jc w:val="center"/>
              <w:ind w:right="428"/>
              <w:spacing w:after="0" w:line="90"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1220" w:type="dxa"/>
            <w:vAlign w:val="bottom"/>
            <w:vMerge w:val="restart"/>
          </w:tcPr>
          <w:p>
            <w:pPr>
              <w:jc w:val="right"/>
              <w:ind w:right="243"/>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gridSpan w:val="2"/>
          </w:tcPr>
          <w:p>
            <w:pPr>
              <w:jc w:val="center"/>
              <w:ind w:right="560"/>
              <w:spacing w:after="0" w:line="90" w:lineRule="exact"/>
              <w:rPr>
                <w:sz w:val="20"/>
                <w:szCs w:val="20"/>
                <w:color w:val="auto"/>
              </w:rPr>
            </w:pPr>
            <w:r>
              <w:rPr>
                <w:rFonts w:ascii="Arial" w:cs="Arial" w:eastAsia="Arial" w:hAnsi="Arial"/>
                <w:sz w:val="10"/>
                <w:szCs w:val="10"/>
                <w:b w:val="1"/>
                <w:bCs w:val="1"/>
                <w:color w:val="auto"/>
                <w:w w:val="87"/>
              </w:rPr>
              <w:t>Exercise</w:t>
            </w:r>
          </w:p>
        </w:tc>
        <w:tc>
          <w:tcPr>
            <w:tcW w:w="1220" w:type="dxa"/>
            <w:vAlign w:val="bottom"/>
            <w:vMerge w:val="restart"/>
          </w:tcPr>
          <w:p>
            <w:pPr>
              <w:jc w:val="right"/>
              <w:ind w:right="243"/>
              <w:spacing w:after="0"/>
              <w:rPr>
                <w:sz w:val="20"/>
                <w:szCs w:val="20"/>
                <w:color w:val="auto"/>
              </w:rPr>
            </w:pPr>
            <w:r>
              <w:rPr>
                <w:rFonts w:ascii="Arial" w:cs="Arial" w:eastAsia="Arial" w:hAnsi="Arial"/>
                <w:sz w:val="10"/>
                <w:szCs w:val="10"/>
                <w:b w:val="1"/>
                <w:bCs w:val="1"/>
                <w:color w:val="auto"/>
              </w:rPr>
              <w:t>Options</w:t>
            </w: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gridSpan w:val="2"/>
          </w:tcPr>
          <w:p>
            <w:pPr>
              <w:jc w:val="center"/>
              <w:ind w:right="560"/>
              <w:spacing w:after="0" w:line="90" w:lineRule="exact"/>
              <w:rPr>
                <w:sz w:val="20"/>
                <w:szCs w:val="20"/>
                <w:color w:val="auto"/>
              </w:rPr>
            </w:pPr>
            <w:r>
              <w:rPr>
                <w:rFonts w:ascii="Arial" w:cs="Arial" w:eastAsia="Arial" w:hAnsi="Arial"/>
                <w:sz w:val="10"/>
                <w:szCs w:val="10"/>
                <w:b w:val="1"/>
                <w:bCs w:val="1"/>
                <w:color w:val="auto"/>
                <w:w w:val="82"/>
              </w:rPr>
              <w:t>Exercise</w:t>
            </w:r>
          </w:p>
        </w:tc>
        <w:tc>
          <w:tcPr>
            <w:tcW w:w="1240" w:type="dxa"/>
            <w:vAlign w:val="bottom"/>
            <w:vMerge w:val="restart"/>
          </w:tcPr>
          <w:p>
            <w:pPr>
              <w:jc w:val="right"/>
              <w:ind w:right="263"/>
              <w:spacing w:after="0"/>
              <w:rPr>
                <w:sz w:val="20"/>
                <w:szCs w:val="20"/>
                <w:color w:val="auto"/>
              </w:rPr>
            </w:pPr>
            <w:r>
              <w:rPr>
                <w:rFonts w:ascii="Arial" w:cs="Arial" w:eastAsia="Arial" w:hAnsi="Arial"/>
                <w:sz w:val="10"/>
                <w:szCs w:val="10"/>
                <w:b w:val="1"/>
                <w:bCs w:val="1"/>
                <w:color w:val="auto"/>
              </w:rPr>
              <w:t>Options</w:t>
            </w: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jc w:val="center"/>
              <w:ind w:right="428"/>
              <w:spacing w:after="0" w:line="90" w:lineRule="exact"/>
              <w:rPr>
                <w:sz w:val="20"/>
                <w:szCs w:val="20"/>
                <w:color w:val="auto"/>
              </w:rPr>
            </w:pPr>
            <w:r>
              <w:rPr>
                <w:rFonts w:ascii="Arial" w:cs="Arial" w:eastAsia="Arial" w:hAnsi="Arial"/>
                <w:sz w:val="10"/>
                <w:szCs w:val="10"/>
                <w:b w:val="1"/>
                <w:bCs w:val="1"/>
                <w:color w:val="auto"/>
                <w:w w:val="82"/>
              </w:rPr>
              <w:t>Exercise</w:t>
            </w:r>
          </w:p>
        </w:tc>
        <w:tc>
          <w:tcPr>
            <w:tcW w:w="0" w:type="dxa"/>
            <w:vAlign w:val="bottom"/>
          </w:tcPr>
          <w:p>
            <w:pPr>
              <w:spacing w:after="0"/>
              <w:rPr>
                <w:sz w:val="1"/>
                <w:szCs w:val="1"/>
                <w:color w:val="auto"/>
              </w:rPr>
            </w:pPr>
          </w:p>
        </w:tc>
      </w:tr>
      <w:tr>
        <w:trPr>
          <w:trHeight w:val="125"/>
        </w:trPr>
        <w:tc>
          <w:tcPr>
            <w:tcW w:w="268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408"/>
              <w:spacing w:after="0"/>
              <w:rPr>
                <w:sz w:val="20"/>
                <w:szCs w:val="20"/>
                <w:color w:val="auto"/>
              </w:rPr>
            </w:pPr>
            <w:r>
              <w:rPr>
                <w:rFonts w:ascii="Arial" w:cs="Arial" w:eastAsia="Arial" w:hAnsi="Arial"/>
                <w:sz w:val="10"/>
                <w:szCs w:val="10"/>
                <w:b w:val="1"/>
                <w:bCs w:val="1"/>
                <w:color w:val="auto"/>
                <w:w w:val="81"/>
              </w:rPr>
              <w:t>Price</w:t>
            </w:r>
          </w:p>
        </w:tc>
        <w:tc>
          <w:tcPr>
            <w:tcW w:w="10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428"/>
              <w:spacing w:after="0"/>
              <w:rPr>
                <w:sz w:val="20"/>
                <w:szCs w:val="20"/>
                <w:color w:val="auto"/>
              </w:rPr>
            </w:pPr>
            <w:r>
              <w:rPr>
                <w:rFonts w:ascii="Arial" w:cs="Arial" w:eastAsia="Arial" w:hAnsi="Arial"/>
                <w:sz w:val="10"/>
                <w:szCs w:val="10"/>
                <w:b w:val="1"/>
                <w:bCs w:val="1"/>
                <w:color w:val="auto"/>
                <w:w w:val="89"/>
              </w:rPr>
              <w:t>Price</w:t>
            </w: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428"/>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143"/>
        </w:trPr>
        <w:tc>
          <w:tcPr>
            <w:tcW w:w="26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Balance at beginning of year</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37,515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54.34</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35,565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57.32</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35,565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57.32</w:t>
            </w:r>
          </w:p>
        </w:tc>
        <w:tc>
          <w:tcPr>
            <w:tcW w:w="0" w:type="dxa"/>
            <w:vAlign w:val="bottom"/>
          </w:tcPr>
          <w:p>
            <w:pPr>
              <w:spacing w:after="0"/>
              <w:rPr>
                <w:sz w:val="1"/>
                <w:szCs w:val="1"/>
                <w:color w:val="auto"/>
              </w:rPr>
            </w:pPr>
          </w:p>
        </w:tc>
      </w:tr>
      <w:tr>
        <w:trPr>
          <w:trHeight w:val="153"/>
        </w:trPr>
        <w:tc>
          <w:tcPr>
            <w:tcW w:w="268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Granted(1)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1,950</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Balance at end of year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37,515</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54.34</w:t>
            </w:r>
          </w:p>
        </w:tc>
        <w:tc>
          <w:tcPr>
            <w:tcW w:w="1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37,515</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2"/>
                <w:szCs w:val="12"/>
                <w:color w:val="auto"/>
              </w:rPr>
              <w:t>54.34</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35,565</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520" w:hanging="258"/>
        <w:spacing w:after="0"/>
        <w:tabs>
          <w:tab w:leader="none" w:pos="520" w:val="left"/>
        </w:tabs>
        <w:numPr>
          <w:ilvl w:val="0"/>
          <w:numId w:val="45"/>
        </w:numPr>
        <w:rPr>
          <w:rFonts w:ascii="Arial" w:cs="Arial" w:eastAsia="Arial" w:hAnsi="Arial"/>
          <w:sz w:val="8"/>
          <w:szCs w:val="8"/>
          <w:b w:val="1"/>
          <w:bCs w:val="1"/>
          <w:color w:val="auto"/>
        </w:rPr>
      </w:pPr>
      <w:r>
        <w:rPr>
          <w:rFonts w:ascii="Arial" w:cs="Arial" w:eastAsia="Arial" w:hAnsi="Arial"/>
          <w:sz w:val="8"/>
          <w:szCs w:val="8"/>
          <w:color w:val="auto"/>
        </w:rPr>
        <w:t>Pursuant to the terms of the Company's equity plan, the exercise price and number of options were adjusted so that the stock dividend paid on June 3, 2020 had no negative impact on the outstanding stock options (See Note 14–Stockholders' Equity).</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Directors' Phantom Stock Plan:</w:t>
      </w:r>
    </w:p>
    <w:p>
      <w:pPr>
        <w:spacing w:after="0" w:line="109" w:lineRule="exact"/>
        <w:rPr>
          <w:sz w:val="20"/>
          <w:szCs w:val="20"/>
          <w:color w:val="auto"/>
        </w:rPr>
      </w:pPr>
    </w:p>
    <w:p>
      <w:pPr>
        <w:ind w:firstLine="297"/>
        <w:spacing w:after="0" w:line="254" w:lineRule="auto"/>
        <w:rPr>
          <w:sz w:val="20"/>
          <w:szCs w:val="20"/>
          <w:color w:val="auto"/>
        </w:rPr>
      </w:pPr>
      <w:r>
        <w:rPr>
          <w:rFonts w:ascii="Arial" w:cs="Arial" w:eastAsia="Arial" w:hAnsi="Arial"/>
          <w:sz w:val="12"/>
          <w:szCs w:val="12"/>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awards was determined by the amortization of the value of the stock units on a straight-line basis over the applicable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500,000. As of December 31, 2021, there were 92,508 stock units available for grant under the Directors' Phantom Stock Plan.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0" w:right="299" w:bottom="1440" w:gutter="0" w:footer="0" w:header="0"/>
        </w:sectPr>
      </w:pPr>
    </w:p>
    <w:bookmarkStart w:id="102" w:name="page103"/>
    <w:bookmarkEnd w:id="10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Share and Unit-based Plans: (Continued)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activity of the non-vested phantom stock units for the years ended December 31, 2021, 2020 and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6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2019</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Weighted</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Weighted</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right"/>
              <w:ind w:right="346"/>
              <w:spacing w:after="0" w:line="83" w:lineRule="exact"/>
              <w:rPr>
                <w:sz w:val="20"/>
                <w:szCs w:val="20"/>
                <w:color w:val="auto"/>
              </w:rPr>
            </w:pPr>
            <w:r>
              <w:rPr>
                <w:rFonts w:ascii="Arial" w:cs="Arial" w:eastAsia="Arial" w:hAnsi="Arial"/>
                <w:sz w:val="8"/>
                <w:szCs w:val="8"/>
                <w:b w:val="1"/>
                <w:bCs w:val="1"/>
                <w:color w:val="auto"/>
              </w:rPr>
              <w:t>Weighted</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ind w:left="314"/>
              <w:spacing w:after="0" w:line="90" w:lineRule="exact"/>
              <w:rPr>
                <w:sz w:val="20"/>
                <w:szCs w:val="20"/>
                <w:color w:val="auto"/>
              </w:rPr>
            </w:pPr>
            <w:r>
              <w:rPr>
                <w:rFonts w:ascii="Arial" w:cs="Arial" w:eastAsia="Arial" w:hAnsi="Arial"/>
                <w:sz w:val="10"/>
                <w:szCs w:val="10"/>
                <w:b w:val="1"/>
                <w:bCs w:val="1"/>
                <w:color w:val="auto"/>
                <w:w w:val="80"/>
              </w:rPr>
              <w:t>Average</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ind w:left="314"/>
              <w:spacing w:after="0" w:line="90" w:lineRule="exact"/>
              <w:rPr>
                <w:sz w:val="20"/>
                <w:szCs w:val="20"/>
                <w:color w:val="auto"/>
              </w:rPr>
            </w:pPr>
            <w:r>
              <w:rPr>
                <w:rFonts w:ascii="Arial" w:cs="Arial" w:eastAsia="Arial" w:hAnsi="Arial"/>
                <w:sz w:val="10"/>
                <w:szCs w:val="10"/>
                <w:b w:val="1"/>
                <w:bCs w:val="1"/>
                <w:color w:val="auto"/>
                <w:w w:val="80"/>
              </w:rPr>
              <w:t>Average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center"/>
              <w:ind w:right="406"/>
              <w:spacing w:after="0" w:line="90"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1220" w:type="dxa"/>
            <w:vAlign w:val="bottom"/>
            <w:vMerge w:val="restart"/>
          </w:tcPr>
          <w:p>
            <w:pPr>
              <w:jc w:val="right"/>
              <w:ind w:right="162"/>
              <w:spacing w:after="0"/>
              <w:rPr>
                <w:sz w:val="20"/>
                <w:szCs w:val="20"/>
                <w:color w:val="auto"/>
              </w:rPr>
            </w:pPr>
            <w:r>
              <w:rPr>
                <w:rFonts w:ascii="Arial" w:cs="Arial" w:eastAsia="Arial" w:hAnsi="Arial"/>
                <w:sz w:val="10"/>
                <w:szCs w:val="10"/>
                <w:b w:val="1"/>
                <w:bCs w:val="1"/>
                <w:color w:val="auto"/>
              </w:rPr>
              <w:t>Stock Units</w:t>
            </w:r>
          </w:p>
        </w:tc>
        <w:tc>
          <w:tcPr>
            <w:tcW w:w="100" w:type="dxa"/>
            <w:vAlign w:val="bottom"/>
          </w:tcPr>
          <w:p>
            <w:pPr>
              <w:spacing w:after="0"/>
              <w:rPr>
                <w:sz w:val="7"/>
                <w:szCs w:val="7"/>
                <w:color w:val="auto"/>
              </w:rPr>
            </w:pPr>
          </w:p>
        </w:tc>
        <w:tc>
          <w:tcPr>
            <w:tcW w:w="1120" w:type="dxa"/>
            <w:vAlign w:val="bottom"/>
          </w:tcPr>
          <w:p>
            <w:pPr>
              <w:jc w:val="center"/>
              <w:ind w:left="314"/>
              <w:spacing w:after="0" w:line="90" w:lineRule="exact"/>
              <w:rPr>
                <w:sz w:val="20"/>
                <w:szCs w:val="20"/>
                <w:color w:val="auto"/>
              </w:rPr>
            </w:pPr>
            <w:r>
              <w:rPr>
                <w:rFonts w:ascii="Arial" w:cs="Arial" w:eastAsia="Arial" w:hAnsi="Arial"/>
                <w:sz w:val="10"/>
                <w:szCs w:val="10"/>
                <w:b w:val="1"/>
                <w:bCs w:val="1"/>
                <w:color w:val="auto"/>
                <w:w w:val="93"/>
              </w:rPr>
              <w:t>Grant Date</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restart"/>
          </w:tcPr>
          <w:p>
            <w:pPr>
              <w:jc w:val="right"/>
              <w:ind w:right="162"/>
              <w:spacing w:after="0"/>
              <w:rPr>
                <w:sz w:val="20"/>
                <w:szCs w:val="20"/>
                <w:color w:val="auto"/>
              </w:rPr>
            </w:pPr>
            <w:r>
              <w:rPr>
                <w:rFonts w:ascii="Arial" w:cs="Arial" w:eastAsia="Arial" w:hAnsi="Arial"/>
                <w:sz w:val="10"/>
                <w:szCs w:val="10"/>
                <w:b w:val="1"/>
                <w:bCs w:val="1"/>
                <w:color w:val="auto"/>
              </w:rPr>
              <w:t>Stock Units</w:t>
            </w:r>
          </w:p>
        </w:tc>
        <w:tc>
          <w:tcPr>
            <w:tcW w:w="100" w:type="dxa"/>
            <w:vAlign w:val="bottom"/>
          </w:tcPr>
          <w:p>
            <w:pPr>
              <w:spacing w:after="0"/>
              <w:rPr>
                <w:sz w:val="7"/>
                <w:szCs w:val="7"/>
                <w:color w:val="auto"/>
              </w:rPr>
            </w:pPr>
          </w:p>
        </w:tc>
        <w:tc>
          <w:tcPr>
            <w:tcW w:w="1120" w:type="dxa"/>
            <w:vAlign w:val="bottom"/>
          </w:tcPr>
          <w:p>
            <w:pPr>
              <w:jc w:val="center"/>
              <w:ind w:left="314"/>
              <w:spacing w:after="0" w:line="90" w:lineRule="exact"/>
              <w:rPr>
                <w:sz w:val="20"/>
                <w:szCs w:val="20"/>
                <w:color w:val="auto"/>
              </w:rPr>
            </w:pPr>
            <w:r>
              <w:rPr>
                <w:rFonts w:ascii="Arial" w:cs="Arial" w:eastAsia="Arial" w:hAnsi="Arial"/>
                <w:sz w:val="10"/>
                <w:szCs w:val="10"/>
                <w:b w:val="1"/>
                <w:bCs w:val="1"/>
                <w:color w:val="auto"/>
                <w:w w:val="93"/>
              </w:rPr>
              <w:t>Grant Date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restart"/>
          </w:tcPr>
          <w:p>
            <w:pPr>
              <w:jc w:val="right"/>
              <w:ind w:right="162"/>
              <w:spacing w:after="0"/>
              <w:rPr>
                <w:sz w:val="20"/>
                <w:szCs w:val="20"/>
                <w:color w:val="auto"/>
              </w:rPr>
            </w:pPr>
            <w:r>
              <w:rPr>
                <w:rFonts w:ascii="Arial" w:cs="Arial" w:eastAsia="Arial" w:hAnsi="Arial"/>
                <w:sz w:val="10"/>
                <w:szCs w:val="10"/>
                <w:b w:val="1"/>
                <w:bCs w:val="1"/>
                <w:color w:val="auto"/>
              </w:rPr>
              <w:t>Stock Units</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center"/>
              <w:ind w:right="406"/>
              <w:spacing w:after="0" w:line="90" w:lineRule="exact"/>
              <w:rPr>
                <w:sz w:val="20"/>
                <w:szCs w:val="20"/>
                <w:color w:val="auto"/>
              </w:rPr>
            </w:pPr>
            <w:r>
              <w:rPr>
                <w:rFonts w:ascii="Arial" w:cs="Arial" w:eastAsia="Arial" w:hAnsi="Arial"/>
                <w:sz w:val="10"/>
                <w:szCs w:val="10"/>
                <w:b w:val="1"/>
                <w:bCs w:val="1"/>
                <w:color w:val="auto"/>
                <w:w w:val="89"/>
              </w:rPr>
              <w:t>Grant Date</w:t>
            </w:r>
          </w:p>
        </w:tc>
        <w:tc>
          <w:tcPr>
            <w:tcW w:w="0" w:type="dxa"/>
            <w:vAlign w:val="bottom"/>
          </w:tcPr>
          <w:p>
            <w:pPr>
              <w:spacing w:after="0"/>
              <w:rPr>
                <w:sz w:val="1"/>
                <w:szCs w:val="1"/>
                <w:color w:val="auto"/>
              </w:rPr>
            </w:pPr>
          </w:p>
        </w:tc>
      </w:tr>
      <w:tr>
        <w:trPr>
          <w:trHeight w:val="125"/>
        </w:trPr>
        <w:tc>
          <w:tcPr>
            <w:tcW w:w="268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314"/>
              <w:spacing w:after="0"/>
              <w:rPr>
                <w:sz w:val="20"/>
                <w:szCs w:val="20"/>
                <w:color w:val="auto"/>
              </w:rPr>
            </w:pPr>
            <w:r>
              <w:rPr>
                <w:rFonts w:ascii="Arial" w:cs="Arial" w:eastAsia="Arial" w:hAnsi="Arial"/>
                <w:sz w:val="10"/>
                <w:szCs w:val="10"/>
                <w:b w:val="1"/>
                <w:bCs w:val="1"/>
                <w:color w:val="auto"/>
                <w:w w:val="91"/>
              </w:rPr>
              <w:t>Fair Value</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314"/>
              <w:spacing w:after="0"/>
              <w:rPr>
                <w:sz w:val="20"/>
                <w:szCs w:val="20"/>
                <w:color w:val="auto"/>
              </w:rPr>
            </w:pPr>
            <w:r>
              <w:rPr>
                <w:rFonts w:ascii="Arial" w:cs="Arial" w:eastAsia="Arial" w:hAnsi="Arial"/>
                <w:sz w:val="10"/>
                <w:szCs w:val="10"/>
                <w:b w:val="1"/>
                <w:bCs w:val="1"/>
                <w:color w:val="auto"/>
                <w:w w:val="91"/>
              </w:rPr>
              <w:t>Fair Value</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386"/>
              <w:spacing w:after="0"/>
              <w:rPr>
                <w:sz w:val="20"/>
                <w:szCs w:val="20"/>
                <w:color w:val="auto"/>
              </w:rPr>
            </w:pPr>
            <w:r>
              <w:rPr>
                <w:rFonts w:ascii="Arial" w:cs="Arial" w:eastAsia="Arial" w:hAnsi="Arial"/>
                <w:sz w:val="10"/>
                <w:szCs w:val="10"/>
                <w:b w:val="1"/>
                <w:bCs w:val="1"/>
                <w:color w:val="auto"/>
                <w:w w:val="91"/>
              </w:rPr>
              <w:t>Fair Value</w:t>
            </w:r>
          </w:p>
        </w:tc>
        <w:tc>
          <w:tcPr>
            <w:tcW w:w="0" w:type="dxa"/>
            <w:vAlign w:val="bottom"/>
          </w:tcPr>
          <w:p>
            <w:pPr>
              <w:spacing w:after="0"/>
              <w:rPr>
                <w:sz w:val="1"/>
                <w:szCs w:val="1"/>
                <w:color w:val="auto"/>
              </w:rPr>
            </w:pPr>
          </w:p>
        </w:tc>
      </w:tr>
      <w:tr>
        <w:trPr>
          <w:trHeight w:val="143"/>
        </w:trPr>
        <w:tc>
          <w:tcPr>
            <w:tcW w:w="26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Balance at beginning of year</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4,662</w:t>
            </w:r>
          </w:p>
        </w:tc>
        <w:tc>
          <w:tcPr>
            <w:tcW w:w="1220" w:type="dxa"/>
            <w:vAlign w:val="bottom"/>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35.35</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7,216</w:t>
            </w:r>
          </w:p>
        </w:tc>
        <w:tc>
          <w:tcPr>
            <w:tcW w:w="1220" w:type="dxa"/>
            <w:vAlign w:val="bottom"/>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43.29</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680" w:type="dxa"/>
            <w:vAlign w:val="bottom"/>
          </w:tcPr>
          <w:p>
            <w:pPr>
              <w:ind w:left="380"/>
              <w:spacing w:after="0"/>
              <w:rPr>
                <w:sz w:val="20"/>
                <w:szCs w:val="20"/>
                <w:color w:val="auto"/>
              </w:rPr>
            </w:pPr>
            <w:r>
              <w:rPr>
                <w:rFonts w:ascii="Arial" w:cs="Arial" w:eastAsia="Arial" w:hAnsi="Arial"/>
                <w:sz w:val="12"/>
                <w:szCs w:val="12"/>
                <w:color w:val="auto"/>
              </w:rPr>
              <w:t>Granted</w:t>
            </w:r>
          </w:p>
        </w:tc>
        <w:tc>
          <w:tcPr>
            <w:tcW w:w="1220" w:type="dxa"/>
            <w:vAlign w:val="bottom"/>
          </w:tcPr>
          <w:p>
            <w:pPr>
              <w:jc w:val="right"/>
              <w:spacing w:after="0"/>
              <w:rPr>
                <w:sz w:val="20"/>
                <w:szCs w:val="20"/>
                <w:color w:val="auto"/>
              </w:rPr>
            </w:pPr>
            <w:r>
              <w:rPr>
                <w:rFonts w:ascii="Arial" w:cs="Arial" w:eastAsia="Arial" w:hAnsi="Arial"/>
                <w:sz w:val="12"/>
                <w:szCs w:val="12"/>
                <w:color w:val="auto"/>
              </w:rPr>
              <w:t>17,554</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12.09</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24,576</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17.11</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23,690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40.26</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(22,216)</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16.97</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(27,130)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20.94</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(16,474)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38.94</w:t>
            </w:r>
          </w:p>
        </w:tc>
        <w:tc>
          <w:tcPr>
            <w:tcW w:w="0" w:type="dxa"/>
            <w:vAlign w:val="bottom"/>
          </w:tcPr>
          <w:p>
            <w:pPr>
              <w:spacing w:after="0"/>
              <w:rPr>
                <w:sz w:val="1"/>
                <w:szCs w:val="1"/>
                <w:color w:val="auto"/>
              </w:rPr>
            </w:pPr>
          </w:p>
        </w:tc>
      </w:tr>
      <w:tr>
        <w:trPr>
          <w:trHeight w:val="153"/>
        </w:trPr>
        <w:tc>
          <w:tcPr>
            <w:tcW w:w="268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Balance at end of year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4,662</w:t>
            </w:r>
          </w:p>
        </w:tc>
        <w:tc>
          <w:tcPr>
            <w:tcW w:w="12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35.35</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7,216</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Employee Stock Purchase Plan ("ESPP"):</w:t>
      </w:r>
    </w:p>
    <w:p>
      <w:pPr>
        <w:spacing w:after="0" w:line="109" w:lineRule="exact"/>
        <w:rPr>
          <w:sz w:val="20"/>
          <w:szCs w:val="20"/>
          <w:color w:val="auto"/>
        </w:rPr>
      </w:pPr>
    </w:p>
    <w:p>
      <w:pPr>
        <w:ind w:right="140" w:firstLine="297"/>
        <w:spacing w:after="0" w:line="263" w:lineRule="auto"/>
        <w:rPr>
          <w:sz w:val="20"/>
          <w:szCs w:val="20"/>
          <w:color w:val="auto"/>
        </w:rPr>
      </w:pPr>
      <w:r>
        <w:rPr>
          <w:rFonts w:ascii="Arial" w:cs="Arial" w:eastAsia="Arial" w:hAnsi="Arial"/>
          <w:sz w:val="12"/>
          <w:szCs w:val="12"/>
          <w:color w:val="auto"/>
        </w:rPr>
        <w:t>The ESPP authorizes eligible employees to purchase the Company's common stock through voluntary payroll deductions made during periodic offering periods. Under the ESPP, common stock is purchased at a 15% discount from the lesser of the fair value of common stock at the beginning and end of the offering period. A maximum of 1,291,117 shares of common stock is available for purchase under the ESPP. The number of shares available for future purchase under the plan at December 31, 2021 was 489,362.</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Compensation: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summarizes the compensation cost under the share and unit-based plans for the years ended December 31, 2021, 2020 and 2019:</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127"/>
        </w:trPr>
        <w:tc>
          <w:tcPr>
            <w:tcW w:w="47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2019</w:t>
            </w:r>
          </w:p>
        </w:tc>
      </w:tr>
      <w:tr>
        <w:trPr>
          <w:trHeight w:val="146"/>
        </w:trPr>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Stock units</w:t>
            </w: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4,159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4,598</w:t>
            </w:r>
          </w:p>
        </w:tc>
      </w:tr>
      <w:tr>
        <w:trPr>
          <w:trHeight w:val="153"/>
        </w:trPr>
        <w:tc>
          <w:tcPr>
            <w:tcW w:w="4760" w:type="dxa"/>
            <w:vAlign w:val="bottom"/>
          </w:tcPr>
          <w:p>
            <w:pPr>
              <w:spacing w:after="0"/>
              <w:rPr>
                <w:sz w:val="20"/>
                <w:szCs w:val="20"/>
                <w:color w:val="auto"/>
              </w:rPr>
            </w:pPr>
            <w:r>
              <w:rPr>
                <w:rFonts w:ascii="Arial" w:cs="Arial" w:eastAsia="Arial" w:hAnsi="Arial"/>
                <w:sz w:val="12"/>
                <w:szCs w:val="12"/>
                <w:color w:val="auto"/>
              </w:rPr>
              <w:t>LTIP units</w:t>
            </w: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14,448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13,339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11,372</w:t>
            </w:r>
          </w:p>
        </w:tc>
      </w:tr>
      <w:tr>
        <w:trPr>
          <w:trHeight w:val="153"/>
        </w:trPr>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Stock options</w:t>
            </w: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w:t>
            </w:r>
          </w:p>
        </w:tc>
      </w:tr>
      <w:tr>
        <w:trPr>
          <w:trHeight w:val="153"/>
        </w:trPr>
        <w:tc>
          <w:tcPr>
            <w:tcW w:w="47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Phantom stock units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568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702</w:t>
            </w:r>
          </w:p>
        </w:tc>
      </w:tr>
      <w:tr>
        <w:trPr>
          <w:trHeight w:val="158"/>
        </w:trPr>
        <w:tc>
          <w:tcPr>
            <w:tcW w:w="47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17,998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18,066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16,723</w:t>
            </w:r>
          </w:p>
        </w:tc>
      </w:tr>
    </w:tbl>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capitalized share and unit-based compensation costs of $3,725, $4,223 and $4,691 for the years ended December 31, 2021, 2020 and 2019, respectively.</w:t>
      </w:r>
    </w:p>
    <w:p>
      <w:pPr>
        <w:spacing w:after="0" w:line="96" w:lineRule="exact"/>
        <w:rPr>
          <w:sz w:val="20"/>
          <w:szCs w:val="20"/>
          <w:color w:val="auto"/>
        </w:rPr>
      </w:pPr>
    </w:p>
    <w:p>
      <w:pPr>
        <w:ind w:right="200" w:firstLine="297"/>
        <w:spacing w:after="0" w:line="276" w:lineRule="auto"/>
        <w:rPr>
          <w:sz w:val="20"/>
          <w:szCs w:val="20"/>
          <w:color w:val="auto"/>
        </w:rPr>
      </w:pPr>
      <w:r>
        <w:rPr>
          <w:rFonts w:ascii="Arial" w:cs="Arial" w:eastAsia="Arial" w:hAnsi="Arial"/>
          <w:sz w:val="12"/>
          <w:szCs w:val="12"/>
          <w:color w:val="auto"/>
        </w:rPr>
        <w:t>The fair value of the stock awards and stock units that vested during the years ended December 31, 2021, 2020 and 2019 was $3,408, $1,376 and $3,577, respectively. Unrecognized compensation costs of share and unit-based plans at December 31, 2021 consisted of $4,610 from LTIP Units and $1,533 from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0" w:right="319" w:bottom="1440" w:gutter="0" w:footer="0" w:header="0"/>
        </w:sectPr>
      </w:pPr>
    </w:p>
    <w:bookmarkStart w:id="103" w:name="page104"/>
    <w:bookmarkEnd w:id="103"/>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 Employee Benefit Plans:</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401(k) Plan:</w:t>
      </w:r>
    </w:p>
    <w:p>
      <w:pPr>
        <w:spacing w:after="0" w:line="105" w:lineRule="exact"/>
        <w:rPr>
          <w:sz w:val="20"/>
          <w:szCs w:val="20"/>
          <w:color w:val="auto"/>
        </w:rPr>
      </w:pPr>
    </w:p>
    <w:p>
      <w:pPr>
        <w:ind w:left="8" w:right="40" w:firstLine="297"/>
        <w:spacing w:after="0" w:line="256" w:lineRule="auto"/>
        <w:rPr>
          <w:sz w:val="20"/>
          <w:szCs w:val="20"/>
          <w:color w:val="auto"/>
        </w:rPr>
      </w:pPr>
      <w:r>
        <w:rPr>
          <w:rFonts w:ascii="Arial" w:cs="Arial" w:eastAsia="Arial" w:hAnsi="Arial"/>
          <w:sz w:val="12"/>
          <w:szCs w:val="12"/>
          <w:color w:val="auto"/>
        </w:rPr>
        <w:t>The Company has a defined contribution retirement plan that covers its eligible employees (the "Plan"). The Plan is a defined contribution retirement plan covering eligible employees of the Macerich Property Management Company, LLC and participating affiliates. This Plan includes The Macerich Company Common Stock Fund as a new investment alternative under the Plan with 650,000 shares of common stock reserved for issuance under the Plan. In accordance with the Plan, the Company makes matching contributions equal to 100 percent of the first three percent of compensation deferred by a participant and 50 percent of the next two percent of compensation deferred by a participant. During the years ended December 31, 2021, 2020 and 2019, these matching contributions made by the Company were $3,144, $3,455 and $3,346, respectively. Contributions and matching contributions to the Plan by the plan sponsor and/or participating affiliates are recognized as an expense of the Company in the period that they are made.</w:t>
      </w:r>
    </w:p>
    <w:p>
      <w:pPr>
        <w:spacing w:after="0" w:line="74"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Deferred Compensation Plans:</w:t>
      </w:r>
    </w:p>
    <w:p>
      <w:pPr>
        <w:spacing w:after="0" w:line="105" w:lineRule="exact"/>
        <w:rPr>
          <w:sz w:val="20"/>
          <w:szCs w:val="20"/>
          <w:color w:val="auto"/>
        </w:rPr>
      </w:pPr>
    </w:p>
    <w:p>
      <w:pPr>
        <w:jc w:val="both"/>
        <w:ind w:left="8" w:right="140" w:firstLine="297"/>
        <w:spacing w:after="0" w:line="340" w:lineRule="auto"/>
        <w:rPr>
          <w:sz w:val="20"/>
          <w:szCs w:val="20"/>
          <w:color w:val="auto"/>
        </w:rPr>
      </w:pPr>
      <w:r>
        <w:rPr>
          <w:rFonts w:ascii="Arial" w:cs="Arial" w:eastAsia="Arial" w:hAnsi="Arial"/>
          <w:sz w:val="10"/>
          <w:szCs w:val="10"/>
          <w:color w:val="auto"/>
        </w:rPr>
        <w:t>The Company has established deferred compensation plans under which executives and key employees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$325, $695 and $814 to the plans during the years ended December 31, 2021, 2020 and 2019, respectively. Contributions are recognized as compensation in the periods they are made.</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21. Income Taxes:</w:t>
      </w:r>
    </w:p>
    <w:p>
      <w:pPr>
        <w:spacing w:after="0" w:line="109" w:lineRule="exact"/>
        <w:rPr>
          <w:sz w:val="20"/>
          <w:szCs w:val="20"/>
          <w:color w:val="auto"/>
        </w:rPr>
      </w:pPr>
    </w:p>
    <w:p>
      <w:pPr>
        <w:ind w:left="8" w:right="420" w:firstLine="297"/>
        <w:spacing w:after="0" w:line="276" w:lineRule="auto"/>
        <w:rPr>
          <w:sz w:val="20"/>
          <w:szCs w:val="20"/>
          <w:color w:val="auto"/>
        </w:rPr>
      </w:pPr>
      <w:r>
        <w:rPr>
          <w:rFonts w:ascii="Arial" w:cs="Arial" w:eastAsia="Arial" w:hAnsi="Arial"/>
          <w:sz w:val="12"/>
          <w:szCs w:val="12"/>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 2021, 2020 and 2019:</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23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w w:val="86"/>
              </w:rPr>
              <w:t>2021(1)</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2020(1)</w:t>
            </w:r>
          </w:p>
        </w:tc>
        <w:tc>
          <w:tcPr>
            <w:tcW w:w="5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w w:val="86"/>
              </w:rPr>
              <w:t>2019(1)</w:t>
            </w:r>
          </w:p>
        </w:tc>
        <w:tc>
          <w:tcPr>
            <w:tcW w:w="280" w:type="dxa"/>
            <w:vAlign w:val="bottom"/>
            <w:tcBorders>
              <w:bottom w:val="single" w:sz="8" w:color="auto"/>
            </w:tcBorders>
          </w:tcPr>
          <w:p>
            <w:pPr>
              <w:spacing w:after="0"/>
              <w:rPr>
                <w:sz w:val="11"/>
                <w:szCs w:val="11"/>
                <w:color w:val="auto"/>
              </w:rPr>
            </w:pPr>
          </w:p>
        </w:tc>
      </w:tr>
      <w:tr>
        <w:trPr>
          <w:trHeight w:val="146"/>
        </w:trPr>
        <w:tc>
          <w:tcPr>
            <w:tcW w:w="23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Ordinary income</w:t>
            </w:r>
          </w:p>
        </w:tc>
        <w:tc>
          <w:tcPr>
            <w:tcW w:w="6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0.08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5.2</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44.2</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320" w:type="dxa"/>
            <w:vAlign w:val="bottom"/>
          </w:tcPr>
          <w:p>
            <w:pPr>
              <w:ind w:left="300"/>
              <w:spacing w:after="0"/>
              <w:rPr>
                <w:sz w:val="20"/>
                <w:szCs w:val="20"/>
                <w:color w:val="auto"/>
              </w:rPr>
            </w:pPr>
            <w:r>
              <w:rPr>
                <w:rFonts w:ascii="Arial" w:cs="Arial" w:eastAsia="Arial" w:hAnsi="Arial"/>
                <w:sz w:val="12"/>
                <w:szCs w:val="12"/>
                <w:color w:val="auto"/>
              </w:rPr>
              <w:t>Capital gains</w:t>
            </w:r>
          </w:p>
        </w:tc>
        <w:tc>
          <w:tcPr>
            <w:tcW w:w="6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0.15</w:t>
            </w:r>
          </w:p>
        </w:tc>
        <w:tc>
          <w:tcPr>
            <w:tcW w:w="80" w:type="dxa"/>
            <w:vAlign w:val="bottom"/>
          </w:tcPr>
          <w:p>
            <w:pPr>
              <w:spacing w:after="0"/>
              <w:rPr>
                <w:sz w:val="13"/>
                <w:szCs w:val="13"/>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24.9</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0.02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1.3</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0.64</w:t>
            </w:r>
          </w:p>
        </w:tc>
        <w:tc>
          <w:tcPr>
            <w:tcW w:w="80" w:type="dxa"/>
            <w:vAlign w:val="bottom"/>
          </w:tcPr>
          <w:p>
            <w:pPr>
              <w:spacing w:after="0"/>
              <w:rPr>
                <w:sz w:val="13"/>
                <w:szCs w:val="13"/>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21.2</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3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Return of capital</w:t>
            </w:r>
          </w:p>
        </w:tc>
        <w:tc>
          <w:tcPr>
            <w:tcW w:w="6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0.41</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rPr>
              <w:t>69.1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1.45</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93.5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8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34.6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320" w:type="dxa"/>
            <w:vAlign w:val="bottom"/>
          </w:tcPr>
          <w:p>
            <w:pPr>
              <w:ind w:left="300"/>
              <w:spacing w:after="0"/>
              <w:rPr>
                <w:sz w:val="20"/>
                <w:szCs w:val="20"/>
                <w:color w:val="auto"/>
              </w:rPr>
            </w:pPr>
            <w:r>
              <w:rPr>
                <w:rFonts w:ascii="Arial" w:cs="Arial" w:eastAsia="Arial" w:hAnsi="Arial"/>
                <w:sz w:val="12"/>
                <w:szCs w:val="12"/>
                <w:color w:val="auto"/>
              </w:rPr>
              <w:t>Dividends paid</w:t>
            </w: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0.60</w:t>
            </w: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rPr>
              <w:t>100.0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1.55</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w:t>
            </w: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0"/>
        </w:trPr>
        <w:tc>
          <w:tcPr>
            <w:tcW w:w="2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162" w:lineRule="exact"/>
        <w:rPr>
          <w:sz w:val="20"/>
          <w:szCs w:val="20"/>
          <w:color w:val="auto"/>
        </w:rPr>
      </w:pPr>
    </w:p>
    <w:p>
      <w:pPr>
        <w:ind w:left="368" w:hanging="368"/>
        <w:spacing w:after="0"/>
        <w:tabs>
          <w:tab w:leader="none" w:pos="368"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2021, 2020 and 2019 taxable ordinary dividends are treated as "qualified REIT dividends" for purposes of Internal Revenue Code Section 199A.</w:t>
      </w:r>
    </w:p>
    <w:p>
      <w:pPr>
        <w:spacing w:after="0" w:line="257" w:lineRule="exact"/>
        <w:rPr>
          <w:sz w:val="20"/>
          <w:szCs w:val="20"/>
          <w:color w:val="auto"/>
        </w:rPr>
      </w:pPr>
    </w:p>
    <w:p>
      <w:pPr>
        <w:ind w:left="8" w:right="260" w:firstLine="297"/>
        <w:spacing w:after="0" w:line="276" w:lineRule="auto"/>
        <w:rPr>
          <w:sz w:val="20"/>
          <w:szCs w:val="20"/>
          <w:color w:val="auto"/>
        </w:rPr>
      </w:pPr>
      <w:r>
        <w:rPr>
          <w:rFonts w:ascii="Arial" w:cs="Arial" w:eastAsia="Arial" w:hAnsi="Arial"/>
          <w:sz w:val="12"/>
          <w:szCs w:val="12"/>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w:t>
      </w:r>
    </w:p>
    <w:p>
      <w:pPr>
        <w:spacing w:after="0" w:line="7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income tax provision of the TRSs for the years ended December 31, 2021, 2020 and 2019 are as follows: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2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2019</w:t>
            </w:r>
          </w:p>
        </w:tc>
        <w:tc>
          <w:tcPr>
            <w:tcW w:w="2020" w:type="dxa"/>
            <w:vAlign w:val="bottom"/>
          </w:tcPr>
          <w:p>
            <w:pPr>
              <w:spacing w:after="0"/>
              <w:rPr>
                <w:sz w:val="11"/>
                <w:szCs w:val="11"/>
                <w:color w:val="auto"/>
              </w:rPr>
            </w:pPr>
          </w:p>
        </w:tc>
      </w:tr>
      <w:tr>
        <w:trPr>
          <w:trHeight w:val="146"/>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Current</w:t>
            </w:r>
          </w:p>
        </w:tc>
        <w:tc>
          <w:tcPr>
            <w:tcW w:w="114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2020" w:type="dxa"/>
            <w:vAlign w:val="bottom"/>
          </w:tcPr>
          <w:p>
            <w:pPr>
              <w:spacing w:after="0"/>
              <w:rPr>
                <w:sz w:val="12"/>
                <w:szCs w:val="12"/>
                <w:color w:val="auto"/>
              </w:rPr>
            </w:pPr>
          </w:p>
        </w:tc>
      </w:tr>
      <w:tr>
        <w:trPr>
          <w:trHeight w:val="153"/>
        </w:trPr>
        <w:tc>
          <w:tcPr>
            <w:tcW w:w="422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Deferred</w:t>
            </w: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color w:val="auto"/>
                <w:w w:val="94"/>
              </w:rPr>
              <w:t>(6,948)</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(1,439)</w:t>
            </w:r>
          </w:p>
        </w:tc>
        <w:tc>
          <w:tcPr>
            <w:tcW w:w="2020" w:type="dxa"/>
            <w:vAlign w:val="bottom"/>
          </w:tcPr>
          <w:p>
            <w:pPr>
              <w:spacing w:after="0"/>
              <w:rPr>
                <w:sz w:val="13"/>
                <w:szCs w:val="13"/>
                <w:color w:val="auto"/>
              </w:rPr>
            </w:pPr>
          </w:p>
        </w:tc>
      </w:tr>
      <w:tr>
        <w:trPr>
          <w:trHeight w:val="158"/>
        </w:trPr>
        <w:tc>
          <w:tcPr>
            <w:tcW w:w="4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Income tax (expense) benefit</w:t>
            </w:r>
          </w:p>
        </w:tc>
        <w:tc>
          <w:tcPr>
            <w:tcW w:w="114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center"/>
              <w:ind w:left="20"/>
              <w:spacing w:after="0"/>
              <w:rPr>
                <w:sz w:val="20"/>
                <w:szCs w:val="20"/>
                <w:color w:val="auto"/>
              </w:rPr>
            </w:pPr>
            <w:r>
              <w:rPr>
                <w:rFonts w:ascii="Arial" w:cs="Arial" w:eastAsia="Arial" w:hAnsi="Arial"/>
                <w:sz w:val="12"/>
                <w:szCs w:val="12"/>
                <w:color w:val="auto"/>
                <w:w w:val="94"/>
              </w:rPr>
              <w:t>(6,948)</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(1,589)</w:t>
            </w:r>
          </w:p>
        </w:tc>
        <w:tc>
          <w:tcPr>
            <w:tcW w:w="2020" w:type="dxa"/>
            <w:vAlign w:val="bottom"/>
          </w:tcPr>
          <w:p>
            <w:pPr>
              <w:spacing w:after="0"/>
              <w:rPr>
                <w:sz w:val="13"/>
                <w:szCs w:val="13"/>
                <w:color w:val="auto"/>
              </w:rPr>
            </w:pPr>
          </w:p>
        </w:tc>
      </w:tr>
      <w:tr>
        <w:trPr>
          <w:trHeight w:val="693"/>
        </w:trPr>
        <w:tc>
          <w:tcPr>
            <w:tcW w:w="4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jc w:val="center"/>
              <w:ind w:left="40"/>
              <w:spacing w:after="0"/>
              <w:rPr>
                <w:sz w:val="20"/>
                <w:szCs w:val="20"/>
                <w:color w:val="auto"/>
              </w:rPr>
            </w:pPr>
            <w:r>
              <w:rPr>
                <w:rFonts w:ascii="Arial" w:cs="Arial" w:eastAsia="Arial" w:hAnsi="Arial"/>
                <w:sz w:val="12"/>
                <w:szCs w:val="12"/>
                <w:color w:val="auto"/>
                <w:w w:val="89"/>
              </w:rPr>
              <w:t>104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2"/>
        </w:trPr>
        <w:tc>
          <w:tcPr>
            <w:tcW w:w="42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30" w:right="299" w:bottom="1440" w:gutter="0" w:footer="0" w:header="0"/>
        </w:sectPr>
      </w:pPr>
    </w:p>
    <w:bookmarkStart w:id="104" w:name="page105"/>
    <w:bookmarkEnd w:id="10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Income Taxes: (Continued)</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income tax provision of the TRSs for the years ended December 31, 2021, 2020 and 2019 are reconciled to the amount computed by applying the Federal Corporate tax rate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2019</w:t>
            </w:r>
          </w:p>
        </w:tc>
      </w:tr>
      <w:tr>
        <w:trPr>
          <w:trHeight w:val="166"/>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Book loss (income) for TRSs</w:t>
            </w:r>
          </w:p>
        </w:tc>
        <w:tc>
          <w:tcPr>
            <w:tcW w:w="112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(23,205)</w:t>
            </w: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6,058</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(2,062)</w:t>
            </w:r>
          </w:p>
        </w:tc>
      </w:tr>
      <w:tr>
        <w:trPr>
          <w:trHeight w:val="149"/>
        </w:trPr>
        <w:tc>
          <w:tcPr>
            <w:tcW w:w="4200" w:type="dxa"/>
            <w:vAlign w:val="bottom"/>
          </w:tcPr>
          <w:p>
            <w:pPr>
              <w:spacing w:after="0"/>
              <w:rPr>
                <w:sz w:val="20"/>
                <w:szCs w:val="20"/>
                <w:color w:val="auto"/>
              </w:rPr>
            </w:pPr>
            <w:r>
              <w:rPr>
                <w:rFonts w:ascii="Arial" w:cs="Arial" w:eastAsia="Arial" w:hAnsi="Arial"/>
                <w:sz w:val="12"/>
                <w:szCs w:val="12"/>
                <w:color w:val="auto"/>
                <w:w w:val="97"/>
              </w:rPr>
              <w:t>Tax at statutory rate on earnings from continuing operations before income taxes</w:t>
            </w:r>
          </w:p>
        </w:tc>
        <w:tc>
          <w:tcPr>
            <w:tcW w:w="1120" w:type="dxa"/>
            <w:vAlign w:val="bottom"/>
          </w:tcPr>
          <w:p>
            <w:pPr>
              <w:jc w:val="right"/>
              <w:ind w:right="703"/>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(4,873)</w:t>
            </w:r>
          </w:p>
        </w:tc>
        <w:tc>
          <w:tcPr>
            <w:tcW w:w="100" w:type="dxa"/>
            <w:vAlign w:val="bottom"/>
          </w:tcPr>
          <w:p>
            <w:pPr>
              <w:spacing w:after="0"/>
              <w:rPr>
                <w:sz w:val="12"/>
                <w:szCs w:val="12"/>
                <w:color w:val="auto"/>
              </w:rPr>
            </w:pPr>
          </w:p>
        </w:tc>
        <w:tc>
          <w:tcPr>
            <w:tcW w:w="1180" w:type="dxa"/>
            <w:vAlign w:val="bottom"/>
          </w:tcPr>
          <w:p>
            <w:pPr>
              <w:jc w:val="right"/>
              <w:ind w:right="743"/>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1,272</w:t>
            </w:r>
          </w:p>
        </w:tc>
        <w:tc>
          <w:tcPr>
            <w:tcW w:w="100" w:type="dxa"/>
            <w:vAlign w:val="bottom"/>
          </w:tcPr>
          <w:p>
            <w:pPr>
              <w:spacing w:after="0"/>
              <w:rPr>
                <w:sz w:val="12"/>
                <w:szCs w:val="12"/>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(433)</w:t>
            </w:r>
          </w:p>
        </w:tc>
      </w:tr>
      <w:tr>
        <w:trPr>
          <w:trHeight w:val="153"/>
        </w:trPr>
        <w:tc>
          <w:tcPr>
            <w:tcW w:w="42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State taxes</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(1,261)</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r>
      <w:tr>
        <w:trPr>
          <w:trHeight w:val="153"/>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Other</w:t>
            </w:r>
          </w:p>
        </w:tc>
        <w:tc>
          <w:tcPr>
            <w:tcW w:w="1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(814)</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(794)</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(876)</w:t>
            </w:r>
          </w:p>
        </w:tc>
      </w:tr>
      <w:tr>
        <w:trPr>
          <w:trHeight w:val="158"/>
        </w:trPr>
        <w:tc>
          <w:tcPr>
            <w:tcW w:w="4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Income tax (expense) benefit</w:t>
            </w:r>
          </w:p>
        </w:tc>
        <w:tc>
          <w:tcPr>
            <w:tcW w:w="112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(6,948)</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(1,589)</w:t>
            </w:r>
          </w:p>
        </w:tc>
      </w:tr>
    </w:tbl>
    <w:p>
      <w:pPr>
        <w:spacing w:after="0" w:line="31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tax effects of temporary differences and carryforwards of the TRSs included in the net deferred tax assets at December 31, 2021 and 2020 are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84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46"/>
        </w:trPr>
        <w:tc>
          <w:tcPr>
            <w:tcW w:w="5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Net operating loss carryforwards</w:t>
            </w:r>
          </w:p>
        </w:tc>
        <w:tc>
          <w:tcPr>
            <w:tcW w:w="1180" w:type="dxa"/>
            <w:vAlign w:val="bottom"/>
            <w:shd w:val="clear" w:color="auto" w:fill="CCEEFF"/>
          </w:tcPr>
          <w:p>
            <w:pPr>
              <w:jc w:val="right"/>
              <w:ind w:right="74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23,944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27,196</w:t>
            </w:r>
          </w:p>
        </w:tc>
        <w:tc>
          <w:tcPr>
            <w:tcW w:w="0" w:type="dxa"/>
            <w:vAlign w:val="bottom"/>
          </w:tcPr>
          <w:p>
            <w:pPr>
              <w:spacing w:after="0"/>
              <w:rPr>
                <w:sz w:val="1"/>
                <w:szCs w:val="1"/>
                <w:color w:val="auto"/>
              </w:rPr>
            </w:pPr>
          </w:p>
        </w:tc>
      </w:tr>
      <w:tr>
        <w:trPr>
          <w:trHeight w:val="117"/>
        </w:trPr>
        <w:tc>
          <w:tcPr>
            <w:tcW w:w="5840" w:type="dxa"/>
            <w:vAlign w:val="bottom"/>
          </w:tcPr>
          <w:p>
            <w:pPr>
              <w:spacing w:after="0" w:line="117" w:lineRule="exact"/>
              <w:rPr>
                <w:sz w:val="20"/>
                <w:szCs w:val="20"/>
                <w:color w:val="auto"/>
              </w:rPr>
            </w:pPr>
            <w:r>
              <w:rPr>
                <w:rFonts w:ascii="Arial" w:cs="Arial" w:eastAsia="Arial" w:hAnsi="Arial"/>
                <w:sz w:val="12"/>
                <w:szCs w:val="12"/>
                <w:color w:val="auto"/>
                <w:w w:val="94"/>
              </w:rPr>
              <w:t>Property, primarily differences in depreciation and amortization, the tax basis of land assets and treatment of certain</w:t>
            </w:r>
          </w:p>
        </w:tc>
        <w:tc>
          <w:tcPr>
            <w:tcW w:w="11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(1,013)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2,927</w:t>
            </w:r>
          </w:p>
        </w:tc>
        <w:tc>
          <w:tcPr>
            <w:tcW w:w="0" w:type="dxa"/>
            <w:vAlign w:val="bottom"/>
          </w:tcPr>
          <w:p>
            <w:pPr>
              <w:spacing w:after="0"/>
              <w:rPr>
                <w:sz w:val="1"/>
                <w:szCs w:val="1"/>
                <w:color w:val="auto"/>
              </w:rPr>
            </w:pPr>
          </w:p>
        </w:tc>
      </w:tr>
      <w:tr>
        <w:trPr>
          <w:trHeight w:val="153"/>
        </w:trPr>
        <w:tc>
          <w:tcPr>
            <w:tcW w:w="5840" w:type="dxa"/>
            <w:vAlign w:val="bottom"/>
          </w:tcPr>
          <w:p>
            <w:pPr>
              <w:ind w:left="60"/>
              <w:spacing w:after="0"/>
              <w:rPr>
                <w:sz w:val="20"/>
                <w:szCs w:val="20"/>
                <w:color w:val="auto"/>
              </w:rPr>
            </w:pPr>
            <w:r>
              <w:rPr>
                <w:rFonts w:ascii="Arial" w:cs="Arial" w:eastAsia="Arial" w:hAnsi="Arial"/>
                <w:sz w:val="12"/>
                <w:szCs w:val="12"/>
                <w:color w:val="auto"/>
              </w:rPr>
              <w:t>other costs</w:t>
            </w:r>
          </w:p>
        </w:tc>
        <w:tc>
          <w:tcPr>
            <w:tcW w:w="11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Other</w:t>
            </w:r>
          </w:p>
        </w:tc>
        <w:tc>
          <w:tcPr>
            <w:tcW w:w="11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475</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644</w:t>
            </w:r>
          </w:p>
        </w:tc>
        <w:tc>
          <w:tcPr>
            <w:tcW w:w="0" w:type="dxa"/>
            <w:vAlign w:val="bottom"/>
          </w:tcPr>
          <w:p>
            <w:pPr>
              <w:spacing w:after="0"/>
              <w:rPr>
                <w:sz w:val="1"/>
                <w:szCs w:val="1"/>
                <w:color w:val="auto"/>
              </w:rPr>
            </w:pPr>
          </w:p>
        </w:tc>
      </w:tr>
      <w:tr>
        <w:trPr>
          <w:trHeight w:val="142"/>
        </w:trPr>
        <w:tc>
          <w:tcPr>
            <w:tcW w:w="5840" w:type="dxa"/>
            <w:vAlign w:val="bottom"/>
          </w:tcPr>
          <w:p>
            <w:pPr>
              <w:ind w:left="300"/>
              <w:spacing w:after="0"/>
              <w:rPr>
                <w:sz w:val="20"/>
                <w:szCs w:val="20"/>
                <w:color w:val="auto"/>
              </w:rPr>
            </w:pPr>
            <w:r>
              <w:rPr>
                <w:rFonts w:ascii="Arial" w:cs="Arial" w:eastAsia="Arial" w:hAnsi="Arial"/>
                <w:sz w:val="12"/>
                <w:szCs w:val="12"/>
                <w:color w:val="auto"/>
              </w:rPr>
              <w:t>Net deferred tax assets</w:t>
            </w:r>
          </w:p>
        </w:tc>
        <w:tc>
          <w:tcPr>
            <w:tcW w:w="1180" w:type="dxa"/>
            <w:vAlign w:val="bottom"/>
            <w:tcBorders>
              <w:bottom w:val="single" w:sz="8" w:color="auto"/>
            </w:tcBorders>
          </w:tcPr>
          <w:p>
            <w:pPr>
              <w:jc w:val="right"/>
              <w:ind w:right="744"/>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23,406</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30,767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The net operating loss ("NOL") carryforwards for NOLs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the years ended December 31, 2021, 2020 and 2019 there were no unrecognized tax benefits.</w:t>
      </w:r>
    </w:p>
    <w:p>
      <w:pPr>
        <w:spacing w:after="0" w:line="105"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December 31, 2021, the Company had no valuation allowance recorded.</w:t>
      </w:r>
    </w:p>
    <w:p>
      <w:pPr>
        <w:spacing w:after="0" w:line="77" w:lineRule="exact"/>
        <w:rPr>
          <w:sz w:val="20"/>
          <w:szCs w:val="20"/>
          <w:color w:val="auto"/>
        </w:rPr>
      </w:pPr>
    </w:p>
    <w:p>
      <w:pPr>
        <w:ind w:right="120" w:firstLine="297"/>
        <w:spacing w:after="0" w:line="276" w:lineRule="auto"/>
        <w:rPr>
          <w:sz w:val="20"/>
          <w:szCs w:val="20"/>
          <w:color w:val="auto"/>
        </w:rPr>
      </w:pPr>
      <w:r>
        <w:rPr>
          <w:rFonts w:ascii="Arial" w:cs="Arial" w:eastAsia="Arial" w:hAnsi="Arial"/>
          <w:sz w:val="12"/>
          <w:szCs w:val="12"/>
          <w:color w:val="auto"/>
        </w:rPr>
        <w:t>The tax years 2018 through 2020 remain open to examination by the taxing jurisdictions to which the Company is subject. The Company does not expect that the total amount of unrecognized tax benefit will materially change within the next 12 months.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 Subsequent Events:</w:t>
      </w:r>
    </w:p>
    <w:p>
      <w:pPr>
        <w:spacing w:after="0" w:line="109" w:lineRule="exact"/>
        <w:rPr>
          <w:sz w:val="20"/>
          <w:szCs w:val="20"/>
          <w:color w:val="auto"/>
        </w:rPr>
      </w:pPr>
    </w:p>
    <w:p>
      <w:pPr>
        <w:ind w:right="120" w:firstLine="297"/>
        <w:spacing w:after="0" w:line="276" w:lineRule="auto"/>
        <w:rPr>
          <w:sz w:val="20"/>
          <w:szCs w:val="20"/>
          <w:color w:val="auto"/>
        </w:rPr>
      </w:pPr>
      <w:r>
        <w:rPr>
          <w:rFonts w:ascii="Arial" w:cs="Arial" w:eastAsia="Arial" w:hAnsi="Arial"/>
          <w:sz w:val="12"/>
          <w:szCs w:val="12"/>
          <w:color w:val="auto"/>
        </w:rPr>
        <w:t>On January 27, 2022, the Company announced a dividend/distribution of $0.15 per share for common stockholders and OP Unit holders of record on February 18, 2022. All dividends/distributions will be paid 100% in cash on March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30" w:right="359" w:bottom="1440" w:gutter="0" w:footer="0" w:header="0"/>
        </w:sectPr>
      </w:pPr>
    </w:p>
    <w:bookmarkStart w:id="105" w:name="page106"/>
    <w:bookmarkEnd w:id="10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Schedule III—Real Estate and Accumulated Depreciation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December 31, 2021</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(Dollars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8"/>
                <w:szCs w:val="8"/>
                <w:b w:val="1"/>
                <w:bCs w:val="1"/>
                <w:color w:val="auto"/>
                <w:w w:val="93"/>
              </w:rPr>
              <w:t>Initial Cost to Company</w:t>
            </w: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8"/>
          </w:tcPr>
          <w:p>
            <w:pPr>
              <w:ind w:left="300"/>
              <w:spacing w:after="0"/>
              <w:rPr>
                <w:sz w:val="20"/>
                <w:szCs w:val="20"/>
                <w:color w:val="auto"/>
              </w:rPr>
            </w:pPr>
            <w:r>
              <w:rPr>
                <w:rFonts w:ascii="Arial" w:cs="Arial" w:eastAsia="Arial" w:hAnsi="Arial"/>
                <w:sz w:val="8"/>
                <w:szCs w:val="8"/>
                <w:b w:val="1"/>
                <w:bCs w:val="1"/>
                <w:color w:val="auto"/>
              </w:rPr>
              <w:t>Gross Amount at Which Carried at Close of Period</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restart"/>
          </w:tcPr>
          <w:p>
            <w:pPr>
              <w:jc w:val="center"/>
              <w:ind w:right="300"/>
              <w:spacing w:after="0"/>
              <w:rPr>
                <w:sz w:val="20"/>
                <w:szCs w:val="20"/>
                <w:color w:val="auto"/>
              </w:rPr>
            </w:pPr>
            <w:r>
              <w:rPr>
                <w:rFonts w:ascii="Arial" w:cs="Arial" w:eastAsia="Arial" w:hAnsi="Arial"/>
                <w:sz w:val="8"/>
                <w:szCs w:val="8"/>
                <w:b w:val="1"/>
                <w:bCs w:val="1"/>
                <w:color w:val="auto"/>
                <w:w w:val="96"/>
              </w:rPr>
              <w:t>Equipment</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6"/>
              </w:rPr>
              <w:t>Cost Capitalized</w:t>
            </w: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w w:val="96"/>
              </w:rPr>
              <w:t>Equipment</w:t>
            </w: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jc w:val="center"/>
              <w:ind w:right="98"/>
              <w:spacing w:after="0" w:line="72" w:lineRule="exact"/>
              <w:rPr>
                <w:sz w:val="20"/>
                <w:szCs w:val="20"/>
                <w:color w:val="auto"/>
              </w:rPr>
            </w:pPr>
            <w:r>
              <w:rPr>
                <w:rFonts w:ascii="Arial" w:cs="Arial" w:eastAsia="Arial" w:hAnsi="Arial"/>
                <w:sz w:val="8"/>
                <w:szCs w:val="8"/>
                <w:b w:val="1"/>
                <w:bCs w:val="1"/>
                <w:color w:val="auto"/>
                <w:w w:val="97"/>
              </w:rPr>
              <w:t>Total Cost</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8"/>
                <w:szCs w:val="8"/>
                <w:b w:val="1"/>
                <w:bCs w:val="1"/>
                <w:color w:val="auto"/>
              </w:rPr>
              <w:t>Building and</w:t>
            </w:r>
          </w:p>
        </w:tc>
        <w:tc>
          <w:tcPr>
            <w:tcW w:w="1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Building and</w:t>
            </w: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Construction</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Accumulated</w:t>
            </w:r>
          </w:p>
        </w:tc>
        <w:tc>
          <w:tcPr>
            <w:tcW w:w="140" w:type="dxa"/>
            <w:vAlign w:val="bottom"/>
          </w:tcPr>
          <w:p>
            <w:pPr>
              <w:spacing w:after="0"/>
              <w:rPr>
                <w:sz w:val="7"/>
                <w:szCs w:val="7"/>
                <w:color w:val="auto"/>
              </w:rPr>
            </w:pPr>
          </w:p>
        </w:tc>
        <w:tc>
          <w:tcPr>
            <w:tcW w:w="760" w:type="dxa"/>
            <w:vAlign w:val="bottom"/>
          </w:tcPr>
          <w:p>
            <w:pPr>
              <w:jc w:val="center"/>
              <w:ind w:right="98"/>
              <w:spacing w:after="0" w:line="81" w:lineRule="exact"/>
              <w:rPr>
                <w:sz w:val="20"/>
                <w:szCs w:val="20"/>
                <w:color w:val="auto"/>
              </w:rPr>
            </w:pPr>
            <w:r>
              <w:rPr>
                <w:rFonts w:ascii="Arial" w:cs="Arial" w:eastAsia="Arial" w:hAnsi="Arial"/>
                <w:sz w:val="8"/>
                <w:szCs w:val="8"/>
                <w:b w:val="1"/>
                <w:bCs w:val="1"/>
                <w:color w:val="auto"/>
                <w:w w:val="96"/>
              </w:rPr>
              <w:t>Net of</w:t>
            </w:r>
          </w:p>
        </w:tc>
        <w:tc>
          <w:tcPr>
            <w:tcW w:w="0" w:type="dxa"/>
            <w:vAlign w:val="bottom"/>
          </w:tcPr>
          <w:p>
            <w:pPr>
              <w:spacing w:after="0"/>
              <w:rPr>
                <w:sz w:val="1"/>
                <w:szCs w:val="1"/>
                <w:color w:val="auto"/>
              </w:rPr>
            </w:pPr>
          </w:p>
        </w:tc>
      </w:tr>
      <w:tr>
        <w:trPr>
          <w:trHeight w:val="81"/>
        </w:trPr>
        <w:tc>
          <w:tcPr>
            <w:tcW w:w="1680" w:type="dxa"/>
            <w:vAlign w:val="bottom"/>
            <w:vMerge w:val="restart"/>
          </w:tcPr>
          <w:p>
            <w:pPr>
              <w:spacing w:after="0"/>
              <w:rPr>
                <w:sz w:val="20"/>
                <w:szCs w:val="20"/>
                <w:color w:val="auto"/>
              </w:rPr>
            </w:pPr>
            <w:r>
              <w:rPr>
                <w:rFonts w:ascii="Arial" w:cs="Arial" w:eastAsia="Arial" w:hAnsi="Arial"/>
                <w:sz w:val="8"/>
                <w:szCs w:val="8"/>
                <w:b w:val="1"/>
                <w:bCs w:val="1"/>
                <w:color w:val="auto"/>
              </w:rPr>
              <w:t>Shopping Centers/Entities</w:t>
            </w:r>
          </w:p>
        </w:tc>
        <w:tc>
          <w:tcPr>
            <w:tcW w:w="140" w:type="dxa"/>
            <w:vAlign w:val="bottom"/>
          </w:tcPr>
          <w:p>
            <w:pPr>
              <w:spacing w:after="0"/>
              <w:rPr>
                <w:sz w:val="7"/>
                <w:szCs w:val="7"/>
                <w:color w:val="auto"/>
              </w:rPr>
            </w:pPr>
          </w:p>
        </w:tc>
        <w:tc>
          <w:tcPr>
            <w:tcW w:w="520" w:type="dxa"/>
            <w:vAlign w:val="bottom"/>
            <w:vMerge w:val="restart"/>
          </w:tcPr>
          <w:p>
            <w:pPr>
              <w:jc w:val="right"/>
              <w:ind w:right="198"/>
              <w:spacing w:after="0"/>
              <w:rPr>
                <w:sz w:val="20"/>
                <w:szCs w:val="20"/>
                <w:color w:val="auto"/>
              </w:rPr>
            </w:pPr>
            <w:r>
              <w:rPr>
                <w:rFonts w:ascii="Arial" w:cs="Arial" w:eastAsia="Arial" w:hAnsi="Arial"/>
                <w:sz w:val="8"/>
                <w:szCs w:val="8"/>
                <w:b w:val="1"/>
                <w:bCs w:val="1"/>
                <w:color w:val="auto"/>
              </w:rPr>
              <w:t>Land</w:t>
            </w:r>
          </w:p>
        </w:tc>
        <w:tc>
          <w:tcPr>
            <w:tcW w:w="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3"/>
          </w:tcPr>
          <w:p>
            <w:pPr>
              <w:jc w:val="center"/>
              <w:ind w:right="280"/>
              <w:spacing w:after="0" w:line="81" w:lineRule="exact"/>
              <w:rPr>
                <w:sz w:val="20"/>
                <w:szCs w:val="20"/>
                <w:color w:val="auto"/>
              </w:rPr>
            </w:pPr>
            <w:r>
              <w:rPr>
                <w:rFonts w:ascii="Arial" w:cs="Arial" w:eastAsia="Arial" w:hAnsi="Arial"/>
                <w:sz w:val="8"/>
                <w:szCs w:val="8"/>
                <w:b w:val="1"/>
                <w:bCs w:val="1"/>
                <w:color w:val="auto"/>
                <w:w w:val="98"/>
              </w:rPr>
              <w:t>and</w:t>
            </w:r>
          </w:p>
        </w:tc>
        <w:tc>
          <w:tcPr>
            <w:tcW w:w="900" w:type="dxa"/>
            <w:vAlign w:val="bottom"/>
            <w:gridSpan w:val="2"/>
          </w:tcPr>
          <w:p>
            <w:pPr>
              <w:jc w:val="center"/>
              <w:ind w:right="180"/>
              <w:spacing w:after="0" w:line="81" w:lineRule="exact"/>
              <w:rPr>
                <w:sz w:val="20"/>
                <w:szCs w:val="20"/>
                <w:color w:val="auto"/>
              </w:rPr>
            </w:pPr>
            <w:r>
              <w:rPr>
                <w:rFonts w:ascii="Arial" w:cs="Arial" w:eastAsia="Arial" w:hAnsi="Arial"/>
                <w:sz w:val="8"/>
                <w:szCs w:val="8"/>
                <w:b w:val="1"/>
                <w:bCs w:val="1"/>
                <w:color w:val="auto"/>
                <w:w w:val="93"/>
              </w:rPr>
              <w:t>Subsequent to</w:t>
            </w:r>
          </w:p>
        </w:tc>
        <w:tc>
          <w:tcPr>
            <w:tcW w:w="140" w:type="dxa"/>
            <w:vAlign w:val="bottom"/>
          </w:tcPr>
          <w:p>
            <w:pPr>
              <w:spacing w:after="0"/>
              <w:rPr>
                <w:sz w:val="7"/>
                <w:szCs w:val="7"/>
                <w:color w:val="auto"/>
              </w:rPr>
            </w:pPr>
          </w:p>
        </w:tc>
        <w:tc>
          <w:tcPr>
            <w:tcW w:w="520" w:type="dxa"/>
            <w:vAlign w:val="bottom"/>
            <w:vMerge w:val="restart"/>
          </w:tcPr>
          <w:p>
            <w:pPr>
              <w:jc w:val="right"/>
              <w:ind w:right="198"/>
              <w:spacing w:after="0"/>
              <w:rPr>
                <w:sz w:val="20"/>
                <w:szCs w:val="20"/>
                <w:color w:val="auto"/>
              </w:rPr>
            </w:pPr>
            <w:r>
              <w:rPr>
                <w:rFonts w:ascii="Arial" w:cs="Arial" w:eastAsia="Arial" w:hAnsi="Arial"/>
                <w:sz w:val="8"/>
                <w:szCs w:val="8"/>
                <w:b w:val="1"/>
                <w:bCs w:val="1"/>
                <w:color w:val="auto"/>
              </w:rPr>
              <w:t>Land</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180"/>
              <w:spacing w:after="0" w:line="81" w:lineRule="exact"/>
              <w:rPr>
                <w:sz w:val="20"/>
                <w:szCs w:val="20"/>
                <w:color w:val="auto"/>
              </w:rPr>
            </w:pPr>
            <w:r>
              <w:rPr>
                <w:rFonts w:ascii="Arial" w:cs="Arial" w:eastAsia="Arial" w:hAnsi="Arial"/>
                <w:sz w:val="8"/>
                <w:szCs w:val="8"/>
                <w:b w:val="1"/>
                <w:bCs w:val="1"/>
                <w:color w:val="auto"/>
                <w:w w:val="98"/>
              </w:rPr>
              <w:t>and</w:t>
            </w: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jc w:val="right"/>
              <w:ind w:right="198"/>
              <w:spacing w:after="0"/>
              <w:rPr>
                <w:sz w:val="20"/>
                <w:szCs w:val="20"/>
                <w:color w:val="auto"/>
              </w:rPr>
            </w:pPr>
            <w:r>
              <w:rPr>
                <w:rFonts w:ascii="Arial" w:cs="Arial" w:eastAsia="Arial" w:hAnsi="Arial"/>
                <w:sz w:val="8"/>
                <w:szCs w:val="8"/>
                <w:b w:val="1"/>
                <w:bCs w:val="1"/>
                <w:color w:val="auto"/>
              </w:rPr>
              <w:t>Total</w:t>
            </w:r>
          </w:p>
        </w:tc>
        <w:tc>
          <w:tcPr>
            <w:tcW w:w="6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ind w:right="98"/>
              <w:spacing w:after="0" w:line="81" w:lineRule="exact"/>
              <w:rPr>
                <w:sz w:val="20"/>
                <w:szCs w:val="20"/>
                <w:color w:val="auto"/>
              </w:rPr>
            </w:pPr>
            <w:r>
              <w:rPr>
                <w:rFonts w:ascii="Arial" w:cs="Arial" w:eastAsia="Arial" w:hAnsi="Arial"/>
                <w:sz w:val="8"/>
                <w:szCs w:val="8"/>
                <w:b w:val="1"/>
                <w:bCs w:val="1"/>
                <w:color w:val="auto"/>
                <w:w w:val="91"/>
              </w:rPr>
              <w:t>Accumulated</w:t>
            </w:r>
          </w:p>
        </w:tc>
        <w:tc>
          <w:tcPr>
            <w:tcW w:w="0" w:type="dxa"/>
            <w:vAlign w:val="bottom"/>
          </w:tcPr>
          <w:p>
            <w:pPr>
              <w:spacing w:after="0"/>
              <w:rPr>
                <w:sz w:val="1"/>
                <w:szCs w:val="1"/>
                <w:color w:val="auto"/>
              </w:rPr>
            </w:pPr>
          </w:p>
        </w:tc>
      </w:tr>
      <w:tr>
        <w:trPr>
          <w:trHeight w:val="112"/>
        </w:trPr>
        <w:tc>
          <w:tcPr>
            <w:tcW w:w="168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Improvements</w:t>
            </w: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8"/>
                <w:szCs w:val="8"/>
                <w:b w:val="1"/>
                <w:bCs w:val="1"/>
                <w:color w:val="auto"/>
                <w:w w:val="95"/>
              </w:rPr>
              <w:t>Furnishings</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8"/>
                <w:szCs w:val="8"/>
                <w:b w:val="1"/>
                <w:bCs w:val="1"/>
                <w:color w:val="auto"/>
                <w:w w:val="91"/>
              </w:rPr>
              <w:t>Acquisition</w:t>
            </w: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Improvements</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8"/>
                <w:szCs w:val="8"/>
                <w:b w:val="1"/>
                <w:bCs w:val="1"/>
                <w:color w:val="auto"/>
                <w:w w:val="95"/>
              </w:rPr>
              <w:t>Furnishings</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in Progress</w:t>
            </w:r>
          </w:p>
        </w:tc>
        <w:tc>
          <w:tcPr>
            <w:tcW w:w="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CCEEFF"/>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Depreciation</w:t>
            </w:r>
          </w:p>
        </w:tc>
        <w:tc>
          <w:tcPr>
            <w:tcW w:w="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98"/>
              <w:spacing w:after="0"/>
              <w:rPr>
                <w:sz w:val="20"/>
                <w:szCs w:val="20"/>
                <w:color w:val="auto"/>
              </w:rPr>
            </w:pPr>
            <w:r>
              <w:rPr>
                <w:rFonts w:ascii="Arial" w:cs="Arial" w:eastAsia="Arial" w:hAnsi="Arial"/>
                <w:sz w:val="8"/>
                <w:szCs w:val="8"/>
                <w:b w:val="1"/>
                <w:bCs w:val="1"/>
                <w:color w:val="auto"/>
                <w:w w:val="94"/>
              </w:rPr>
              <w:t>Depreciation</w:t>
            </w:r>
          </w:p>
        </w:tc>
        <w:tc>
          <w:tcPr>
            <w:tcW w:w="0" w:type="dxa"/>
            <w:vAlign w:val="bottom"/>
          </w:tcPr>
          <w:p>
            <w:pPr>
              <w:spacing w:after="0"/>
              <w:rPr>
                <w:sz w:val="1"/>
                <w:szCs w:val="1"/>
                <w:color w:val="auto"/>
              </w:rPr>
            </w:pPr>
          </w:p>
        </w:tc>
      </w:tr>
      <w:tr>
        <w:trPr>
          <w:trHeight w:val="111"/>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Chandler Fashion Center</w:t>
            </w:r>
          </w:p>
        </w:tc>
        <w:tc>
          <w:tcPr>
            <w:tcW w:w="1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24,188</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223,143</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8"/>
                <w:szCs w:val="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32,631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24,188</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246,967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w w:val="8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5,205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3,602</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279,962</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132,622</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147,340</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Danbury Fair Mall</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130,367</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316,951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113,156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141,479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390,915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10,124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17,956</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560,474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171,291</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389,183</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Desert Sky Mall</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9,447</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37,245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6,543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9,082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41,232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2,933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53,247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16,496</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36,751</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Eastland Mall</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22,050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151,605</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11,990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20,810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162,693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2,130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12</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185,645</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49,685</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135,960</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Fashion District Philadelphia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38,402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293,112</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6,262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39,962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296,775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235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804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337,776</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9,505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328,271</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Fashion Outlets of Chicago</w:t>
            </w:r>
          </w:p>
        </w:tc>
        <w:tc>
          <w:tcPr>
            <w:tcW w:w="14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275,149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40,575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228,900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4,550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1,124</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275,149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80,811</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194,338</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Fashion Outlets of Niagara Falls USA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18,581</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210,139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105,795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23,762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308,480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2,183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90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334,515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108,446</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226,069</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The Marketplace at Flagstaff</w:t>
            </w:r>
          </w:p>
        </w:tc>
        <w:tc>
          <w:tcPr>
            <w:tcW w:w="14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45,855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45,855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45,855</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28,944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16,911</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Freehold Raceway Mall</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164,986</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362,841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126,120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168,098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476,181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9,258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410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653,947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236,094</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417,853</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Fresno Fashion Fair</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17,966</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72,194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56,980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17,966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125,844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3,091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239</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147,140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69,798</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77,342</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Green Acres Mall</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156,640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321,034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190,705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177,378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458,349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10,886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21,766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668,379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155,232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513,147</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Inland Center</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8,321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83,550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36,548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10,291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117,704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380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44</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128,419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34,449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93,970</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Kings Plaza Shopping Center</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209,041</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485,548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277,854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205,012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676,363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60,084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50,984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992,443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178,069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814,374</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La Cumbre Plaza</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18,122</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21,492</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19,436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13,856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45,004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190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59,050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26,776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32,274</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Macerich Management Co.</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1,150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10,475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26,562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27,857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3,878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17,942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43,270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954</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66,044</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29,453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36,591</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MACWH, LP</w:t>
            </w:r>
          </w:p>
        </w:tc>
        <w:tc>
          <w:tcPr>
            <w:tcW w:w="140" w:type="dxa"/>
            <w:vAlign w:val="bottom"/>
          </w:tcPr>
          <w:p>
            <w:pPr>
              <w:spacing w:after="0"/>
              <w:rPr>
                <w:sz w:val="9"/>
                <w:szCs w:val="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25,771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12,461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10,777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27,455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38,232</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11,964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26,268</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NorthPark Mall</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7,746</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74,661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11,350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7,076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85,985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696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93,757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31,363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62,394</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Oaks, The</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32,300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117,156</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268,973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56,387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357,987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3,558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497</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418,429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194,018</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224,411</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Pacific View</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8,697</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8,696</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137,922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7,854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145,911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1,550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155,315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84,979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70,336</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Prasada</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6,615</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23,373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3,114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26,445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429</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29,988</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2,337</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27,651</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Queens Center</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251,474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1,039,922</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54,263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256,786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1,082,404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5,892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577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1,345,659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212,717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1,132,942</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Santa Monica Place</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26,400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105,600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317,936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42,513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316,488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6,624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84,311</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449,936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124,540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325,396</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SanTan Adjacent Land</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29,414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10,276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26,902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12,788</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39,690</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39,690</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SanTan Village Regional Center</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7,827</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219,174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5,921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219,354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1,713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13</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227,001</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115,796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111,205</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Sears South Plains</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8,170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11,130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1,057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20,357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20,357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20,357</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SouthPark Mall</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7,035</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38,215</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(7,985)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2,899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33,932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434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37,265</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17,796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19,469</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Southridge Center</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6,764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6,973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1,963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11,659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13,737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7,788</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5,949</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Stonewood Center</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4,948</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302,527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13,158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4,935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315,115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583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320,633</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69,719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250,914</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Superstition Springs Center</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10,928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112,718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11,687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10,928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123,344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1,061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135,333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32,155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103,178</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20"/>
                <w:szCs w:val="20"/>
                <w:color w:val="auto"/>
              </w:rPr>
            </w:pPr>
            <w:r>
              <w:rPr>
                <w:rFonts w:ascii="Arial" w:cs="Arial" w:eastAsia="Arial" w:hAnsi="Arial"/>
                <w:sz w:val="8"/>
                <w:szCs w:val="8"/>
                <w:color w:val="auto"/>
              </w:rPr>
              <w:t>Superstition Springs Power Center</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1,618</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4,420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(98)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1,194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4,709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37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5,940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2,415</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3,525</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rPr>
                <w:sz w:val="20"/>
                <w:szCs w:val="20"/>
                <w:color w:val="auto"/>
              </w:rPr>
            </w:pPr>
            <w:r>
              <w:rPr>
                <w:rFonts w:ascii="Arial" w:cs="Arial" w:eastAsia="Arial" w:hAnsi="Arial"/>
                <w:sz w:val="8"/>
                <w:szCs w:val="8"/>
                <w:color w:val="auto"/>
              </w:rPr>
              <w:t>The Macerich Partnership, L.P.</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8"/>
                <w:szCs w:val="8"/>
                <w:color w:val="auto"/>
              </w:rPr>
              <w:t>2,534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5,969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1,138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7,365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8,503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1,827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6,676</w:t>
            </w:r>
          </w:p>
        </w:tc>
        <w:tc>
          <w:tcPr>
            <w:tcW w:w="0" w:type="dxa"/>
            <w:vAlign w:val="bottom"/>
          </w:tcPr>
          <w:p>
            <w:pPr>
              <w:spacing w:after="0"/>
              <w:rPr>
                <w:sz w:val="1"/>
                <w:szCs w:val="1"/>
                <w:color w:val="auto"/>
              </w:rPr>
            </w:pPr>
          </w:p>
        </w:tc>
      </w:tr>
      <w:tr>
        <w:trPr>
          <w:trHeight w:val="105"/>
        </w:trPr>
        <w:tc>
          <w:tcPr>
            <w:tcW w:w="1680" w:type="dxa"/>
            <w:vAlign w:val="bottom"/>
          </w:tcPr>
          <w:p>
            <w:pPr>
              <w:spacing w:after="0"/>
              <w:rPr>
                <w:sz w:val="20"/>
                <w:szCs w:val="20"/>
                <w:color w:val="auto"/>
              </w:rPr>
            </w:pPr>
            <w:r>
              <w:rPr>
                <w:rFonts w:ascii="Arial" w:cs="Arial" w:eastAsia="Arial" w:hAnsi="Arial"/>
                <w:sz w:val="8"/>
                <w:szCs w:val="8"/>
                <w:color w:val="auto"/>
              </w:rPr>
              <w:t>Towne Mall</w:t>
            </w: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6,652</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31,184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5,110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6,877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35,620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350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99</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42,946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18,746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24,200</w:t>
            </w:r>
          </w:p>
        </w:tc>
        <w:tc>
          <w:tcPr>
            <w:tcW w:w="0" w:type="dxa"/>
            <w:vAlign w:val="bottom"/>
          </w:tcPr>
          <w:p>
            <w:pPr>
              <w:spacing w:after="0"/>
              <w:rPr>
                <w:sz w:val="1"/>
                <w:szCs w:val="1"/>
                <w:color w:val="auto"/>
              </w:rPr>
            </w:pPr>
          </w:p>
        </w:tc>
      </w:tr>
    </w:tbl>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419735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30" w:right="339" w:bottom="1440" w:gutter="0" w:footer="0" w:header="0"/>
        </w:sectPr>
      </w:pPr>
    </w:p>
    <w:bookmarkStart w:id="106" w:name="page107"/>
    <w:bookmarkEnd w:id="10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Schedule III—Real Estate and Accumulated Depreciation (Continued)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December 31, 2021</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(Dollars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4"/>
          </w:tcPr>
          <w:p>
            <w:pPr>
              <w:ind w:left="60"/>
              <w:spacing w:after="0"/>
              <w:rPr>
                <w:sz w:val="20"/>
                <w:szCs w:val="20"/>
                <w:color w:val="auto"/>
              </w:rPr>
            </w:pPr>
            <w:r>
              <w:rPr>
                <w:rFonts w:ascii="Arial" w:cs="Arial" w:eastAsia="Arial" w:hAnsi="Arial"/>
                <w:sz w:val="8"/>
                <w:szCs w:val="8"/>
                <w:b w:val="1"/>
                <w:bCs w:val="1"/>
                <w:color w:val="auto"/>
                <w:w w:val="93"/>
              </w:rPr>
              <w:t>Initial Cost to Company</w:t>
            </w: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gridSpan w:val="8"/>
          </w:tcPr>
          <w:p>
            <w:pPr>
              <w:ind w:left="300"/>
              <w:spacing w:after="0"/>
              <w:rPr>
                <w:sz w:val="20"/>
                <w:szCs w:val="20"/>
                <w:color w:val="auto"/>
              </w:rPr>
            </w:pPr>
            <w:r>
              <w:rPr>
                <w:rFonts w:ascii="Arial" w:cs="Arial" w:eastAsia="Arial" w:hAnsi="Arial"/>
                <w:sz w:val="8"/>
                <w:szCs w:val="8"/>
                <w:b w:val="1"/>
                <w:bCs w:val="1"/>
                <w:color w:val="auto"/>
              </w:rPr>
              <w:t>Gross Amount at Which Carried at Close of Period</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w w:val="96"/>
              </w:rPr>
              <w:t>Equipment</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6"/>
              </w:rPr>
              <w:t>Cost Capitalized</w:t>
            </w: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w w:val="96"/>
              </w:rPr>
              <w:t>Equipment</w:t>
            </w: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jc w:val="center"/>
              <w:ind w:right="98"/>
              <w:spacing w:after="0" w:line="72" w:lineRule="exact"/>
              <w:rPr>
                <w:sz w:val="20"/>
                <w:szCs w:val="20"/>
                <w:color w:val="auto"/>
              </w:rPr>
            </w:pPr>
            <w:r>
              <w:rPr>
                <w:rFonts w:ascii="Arial" w:cs="Arial" w:eastAsia="Arial" w:hAnsi="Arial"/>
                <w:sz w:val="8"/>
                <w:szCs w:val="8"/>
                <w:b w:val="1"/>
                <w:bCs w:val="1"/>
                <w:color w:val="auto"/>
                <w:w w:val="97"/>
              </w:rPr>
              <w:t>Total Cost</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8"/>
                <w:szCs w:val="8"/>
                <w:b w:val="1"/>
                <w:bCs w:val="1"/>
                <w:color w:val="auto"/>
              </w:rPr>
              <w:t>Building and</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Building and</w:t>
            </w: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Construction</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Accumulated</w:t>
            </w:r>
          </w:p>
        </w:tc>
        <w:tc>
          <w:tcPr>
            <w:tcW w:w="140" w:type="dxa"/>
            <w:vAlign w:val="bottom"/>
          </w:tcPr>
          <w:p>
            <w:pPr>
              <w:spacing w:after="0"/>
              <w:rPr>
                <w:sz w:val="7"/>
                <w:szCs w:val="7"/>
                <w:color w:val="auto"/>
              </w:rPr>
            </w:pPr>
          </w:p>
        </w:tc>
        <w:tc>
          <w:tcPr>
            <w:tcW w:w="760" w:type="dxa"/>
            <w:vAlign w:val="bottom"/>
          </w:tcPr>
          <w:p>
            <w:pPr>
              <w:jc w:val="center"/>
              <w:ind w:right="98"/>
              <w:spacing w:after="0" w:line="81" w:lineRule="exact"/>
              <w:rPr>
                <w:sz w:val="20"/>
                <w:szCs w:val="20"/>
                <w:color w:val="auto"/>
              </w:rPr>
            </w:pPr>
            <w:r>
              <w:rPr>
                <w:rFonts w:ascii="Arial" w:cs="Arial" w:eastAsia="Arial" w:hAnsi="Arial"/>
                <w:sz w:val="8"/>
                <w:szCs w:val="8"/>
                <w:b w:val="1"/>
                <w:bCs w:val="1"/>
                <w:color w:val="auto"/>
                <w:w w:val="96"/>
              </w:rPr>
              <w:t>Net of</w:t>
            </w:r>
          </w:p>
        </w:tc>
        <w:tc>
          <w:tcPr>
            <w:tcW w:w="0" w:type="dxa"/>
            <w:vAlign w:val="bottom"/>
          </w:tcPr>
          <w:p>
            <w:pPr>
              <w:spacing w:after="0"/>
              <w:rPr>
                <w:sz w:val="1"/>
                <w:szCs w:val="1"/>
                <w:color w:val="auto"/>
              </w:rPr>
            </w:pPr>
          </w:p>
        </w:tc>
      </w:tr>
      <w:tr>
        <w:trPr>
          <w:trHeight w:val="81"/>
        </w:trPr>
        <w:tc>
          <w:tcPr>
            <w:tcW w:w="182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Shopping Centers/Entities</w:t>
            </w:r>
          </w:p>
        </w:tc>
        <w:tc>
          <w:tcPr>
            <w:tcW w:w="520" w:type="dxa"/>
            <w:vAlign w:val="bottom"/>
            <w:vMerge w:val="restart"/>
          </w:tcPr>
          <w:p>
            <w:pPr>
              <w:jc w:val="right"/>
              <w:ind w:right="178"/>
              <w:spacing w:after="0"/>
              <w:rPr>
                <w:sz w:val="20"/>
                <w:szCs w:val="20"/>
                <w:color w:val="auto"/>
              </w:rPr>
            </w:pPr>
            <w:r>
              <w:rPr>
                <w:rFonts w:ascii="Arial" w:cs="Arial" w:eastAsia="Arial" w:hAnsi="Arial"/>
                <w:sz w:val="8"/>
                <w:szCs w:val="8"/>
                <w:b w:val="1"/>
                <w:bCs w:val="1"/>
                <w:color w:val="auto"/>
              </w:rPr>
              <w:t>Land</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180"/>
              <w:spacing w:after="0" w:line="81" w:lineRule="exact"/>
              <w:rPr>
                <w:sz w:val="20"/>
                <w:szCs w:val="20"/>
                <w:color w:val="auto"/>
              </w:rPr>
            </w:pPr>
            <w:r>
              <w:rPr>
                <w:rFonts w:ascii="Arial" w:cs="Arial" w:eastAsia="Arial" w:hAnsi="Arial"/>
                <w:sz w:val="8"/>
                <w:szCs w:val="8"/>
                <w:b w:val="1"/>
                <w:bCs w:val="1"/>
                <w:color w:val="auto"/>
                <w:w w:val="98"/>
              </w:rPr>
              <w:t>and</w:t>
            </w:r>
          </w:p>
        </w:tc>
        <w:tc>
          <w:tcPr>
            <w:tcW w:w="100" w:type="dxa"/>
            <w:vAlign w:val="bottom"/>
          </w:tcPr>
          <w:p>
            <w:pPr>
              <w:spacing w:after="0"/>
              <w:rPr>
                <w:sz w:val="7"/>
                <w:szCs w:val="7"/>
                <w:color w:val="auto"/>
              </w:rPr>
            </w:pPr>
          </w:p>
        </w:tc>
        <w:tc>
          <w:tcPr>
            <w:tcW w:w="900" w:type="dxa"/>
            <w:vAlign w:val="bottom"/>
            <w:gridSpan w:val="2"/>
          </w:tcPr>
          <w:p>
            <w:pPr>
              <w:jc w:val="center"/>
              <w:ind w:right="180"/>
              <w:spacing w:after="0" w:line="81" w:lineRule="exact"/>
              <w:rPr>
                <w:sz w:val="20"/>
                <w:szCs w:val="20"/>
                <w:color w:val="auto"/>
              </w:rPr>
            </w:pPr>
            <w:r>
              <w:rPr>
                <w:rFonts w:ascii="Arial" w:cs="Arial" w:eastAsia="Arial" w:hAnsi="Arial"/>
                <w:sz w:val="8"/>
                <w:szCs w:val="8"/>
                <w:b w:val="1"/>
                <w:bCs w:val="1"/>
                <w:color w:val="auto"/>
                <w:w w:val="93"/>
              </w:rPr>
              <w:t>Subsequent to</w:t>
            </w:r>
          </w:p>
        </w:tc>
        <w:tc>
          <w:tcPr>
            <w:tcW w:w="140" w:type="dxa"/>
            <w:vAlign w:val="bottom"/>
          </w:tcPr>
          <w:p>
            <w:pPr>
              <w:spacing w:after="0"/>
              <w:rPr>
                <w:sz w:val="7"/>
                <w:szCs w:val="7"/>
                <w:color w:val="auto"/>
              </w:rPr>
            </w:pPr>
          </w:p>
        </w:tc>
        <w:tc>
          <w:tcPr>
            <w:tcW w:w="520" w:type="dxa"/>
            <w:vAlign w:val="bottom"/>
            <w:vMerge w:val="restart"/>
          </w:tcPr>
          <w:p>
            <w:pPr>
              <w:jc w:val="right"/>
              <w:ind w:right="198"/>
              <w:spacing w:after="0"/>
              <w:rPr>
                <w:sz w:val="20"/>
                <w:szCs w:val="20"/>
                <w:color w:val="auto"/>
              </w:rPr>
            </w:pPr>
            <w:r>
              <w:rPr>
                <w:rFonts w:ascii="Arial" w:cs="Arial" w:eastAsia="Arial" w:hAnsi="Arial"/>
                <w:sz w:val="8"/>
                <w:szCs w:val="8"/>
                <w:b w:val="1"/>
                <w:bCs w:val="1"/>
                <w:color w:val="auto"/>
              </w:rPr>
              <w:t>Land</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180"/>
              <w:spacing w:after="0" w:line="81" w:lineRule="exact"/>
              <w:rPr>
                <w:sz w:val="20"/>
                <w:szCs w:val="20"/>
                <w:color w:val="auto"/>
              </w:rPr>
            </w:pPr>
            <w:r>
              <w:rPr>
                <w:rFonts w:ascii="Arial" w:cs="Arial" w:eastAsia="Arial" w:hAnsi="Arial"/>
                <w:sz w:val="8"/>
                <w:szCs w:val="8"/>
                <w:b w:val="1"/>
                <w:bCs w:val="1"/>
                <w:color w:val="auto"/>
                <w:w w:val="98"/>
              </w:rPr>
              <w:t>and</w:t>
            </w: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jc w:val="right"/>
              <w:ind w:right="198"/>
              <w:spacing w:after="0"/>
              <w:rPr>
                <w:sz w:val="20"/>
                <w:szCs w:val="20"/>
                <w:color w:val="auto"/>
              </w:rPr>
            </w:pPr>
            <w:r>
              <w:rPr>
                <w:rFonts w:ascii="Arial" w:cs="Arial" w:eastAsia="Arial" w:hAnsi="Arial"/>
                <w:sz w:val="8"/>
                <w:szCs w:val="8"/>
                <w:b w:val="1"/>
                <w:bCs w:val="1"/>
                <w:color w:val="auto"/>
              </w:rPr>
              <w:t>Total</w:t>
            </w:r>
          </w:p>
        </w:tc>
        <w:tc>
          <w:tcPr>
            <w:tcW w:w="6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ind w:right="98"/>
              <w:spacing w:after="0" w:line="81" w:lineRule="exact"/>
              <w:rPr>
                <w:sz w:val="20"/>
                <w:szCs w:val="20"/>
                <w:color w:val="auto"/>
              </w:rPr>
            </w:pPr>
            <w:r>
              <w:rPr>
                <w:rFonts w:ascii="Arial" w:cs="Arial" w:eastAsia="Arial" w:hAnsi="Arial"/>
                <w:sz w:val="8"/>
                <w:szCs w:val="8"/>
                <w:b w:val="1"/>
                <w:bCs w:val="1"/>
                <w:color w:val="auto"/>
                <w:w w:val="91"/>
              </w:rPr>
              <w:t>Accumulated</w:t>
            </w:r>
          </w:p>
        </w:tc>
        <w:tc>
          <w:tcPr>
            <w:tcW w:w="0" w:type="dxa"/>
            <w:vAlign w:val="bottom"/>
          </w:tcPr>
          <w:p>
            <w:pPr>
              <w:spacing w:after="0"/>
              <w:rPr>
                <w:sz w:val="1"/>
                <w:szCs w:val="1"/>
                <w:color w:val="auto"/>
              </w:rPr>
            </w:pPr>
          </w:p>
        </w:tc>
      </w:tr>
      <w:tr>
        <w:trPr>
          <w:trHeight w:val="112"/>
        </w:trPr>
        <w:tc>
          <w:tcPr>
            <w:tcW w:w="1820" w:type="dxa"/>
            <w:vAlign w:val="bottom"/>
            <w:tcBorders>
              <w:bottom w:val="single" w:sz="8" w:color="auto"/>
            </w:tcBorders>
            <w:gridSpan w:val="2"/>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Improvements</w:t>
            </w: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8"/>
                <w:szCs w:val="8"/>
                <w:b w:val="1"/>
                <w:bCs w:val="1"/>
                <w:color w:val="auto"/>
                <w:w w:val="95"/>
              </w:rPr>
              <w:t>Furnishings</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8"/>
                <w:szCs w:val="8"/>
                <w:b w:val="1"/>
                <w:bCs w:val="1"/>
                <w:color w:val="auto"/>
                <w:w w:val="91"/>
              </w:rPr>
              <w:t>Acquisition</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Improvements</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78"/>
              <w:spacing w:after="0"/>
              <w:rPr>
                <w:sz w:val="20"/>
                <w:szCs w:val="20"/>
                <w:color w:val="auto"/>
              </w:rPr>
            </w:pPr>
            <w:r>
              <w:rPr>
                <w:rFonts w:ascii="Arial" w:cs="Arial" w:eastAsia="Arial" w:hAnsi="Arial"/>
                <w:sz w:val="8"/>
                <w:szCs w:val="8"/>
                <w:b w:val="1"/>
                <w:bCs w:val="1"/>
                <w:color w:val="auto"/>
                <w:w w:val="95"/>
              </w:rPr>
              <w:t>Furnishings</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in Progress</w:t>
            </w: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Depreciation</w:t>
            </w: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98"/>
              <w:spacing w:after="0"/>
              <w:rPr>
                <w:sz w:val="20"/>
                <w:szCs w:val="20"/>
                <w:color w:val="auto"/>
              </w:rPr>
            </w:pPr>
            <w:r>
              <w:rPr>
                <w:rFonts w:ascii="Arial" w:cs="Arial" w:eastAsia="Arial" w:hAnsi="Arial"/>
                <w:sz w:val="8"/>
                <w:szCs w:val="8"/>
                <w:b w:val="1"/>
                <w:bCs w:val="1"/>
                <w:color w:val="auto"/>
                <w:w w:val="94"/>
              </w:rPr>
              <w:t>Depreciation</w:t>
            </w:r>
          </w:p>
        </w:tc>
        <w:tc>
          <w:tcPr>
            <w:tcW w:w="0" w:type="dxa"/>
            <w:vAlign w:val="bottom"/>
          </w:tcPr>
          <w:p>
            <w:pPr>
              <w:spacing w:after="0"/>
              <w:rPr>
                <w:sz w:val="1"/>
                <w:szCs w:val="1"/>
                <w:color w:val="auto"/>
              </w:rPr>
            </w:pPr>
          </w:p>
        </w:tc>
      </w:tr>
      <w:tr>
        <w:trPr>
          <w:trHeight w:val="105"/>
        </w:trPr>
        <w:tc>
          <w:tcPr>
            <w:tcW w:w="1820" w:type="dxa"/>
            <w:vAlign w:val="bottom"/>
            <w:gridSpan w:val="2"/>
          </w:tcPr>
          <w:p>
            <w:pPr>
              <w:spacing w:after="0"/>
              <w:rPr>
                <w:sz w:val="20"/>
                <w:szCs w:val="20"/>
                <w:color w:val="auto"/>
              </w:rPr>
            </w:pPr>
            <w:r>
              <w:rPr>
                <w:rFonts w:ascii="Arial" w:cs="Arial" w:eastAsia="Arial" w:hAnsi="Arial"/>
                <w:sz w:val="8"/>
                <w:szCs w:val="8"/>
                <w:color w:val="auto"/>
              </w:rPr>
              <w:t>Valley Mall</w:t>
            </w:r>
          </w:p>
        </w:tc>
        <w:tc>
          <w:tcPr>
            <w:tcW w:w="520" w:type="dxa"/>
            <w:vAlign w:val="bottom"/>
          </w:tcPr>
          <w:p>
            <w:pPr>
              <w:jc w:val="right"/>
              <w:spacing w:after="0"/>
              <w:rPr>
                <w:sz w:val="20"/>
                <w:szCs w:val="20"/>
                <w:color w:val="auto"/>
              </w:rPr>
            </w:pPr>
            <w:r>
              <w:rPr>
                <w:rFonts w:ascii="Arial" w:cs="Arial" w:eastAsia="Arial" w:hAnsi="Arial"/>
                <w:sz w:val="8"/>
                <w:szCs w:val="8"/>
                <w:color w:val="auto"/>
              </w:rPr>
              <w:t>16,045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26,098</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12,675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14,506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40,064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248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54,818</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16,513</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38,305</w:t>
            </w:r>
          </w:p>
        </w:tc>
        <w:tc>
          <w:tcPr>
            <w:tcW w:w="0" w:type="dxa"/>
            <w:vAlign w:val="bottom"/>
          </w:tcPr>
          <w:p>
            <w:pPr>
              <w:spacing w:after="0"/>
              <w:rPr>
                <w:sz w:val="1"/>
                <w:szCs w:val="1"/>
                <w:color w:val="auto"/>
              </w:rPr>
            </w:pPr>
          </w:p>
        </w:tc>
      </w:tr>
      <w:tr>
        <w:trPr>
          <w:trHeight w:val="123"/>
        </w:trPr>
        <w:tc>
          <w:tcPr>
            <w:tcW w:w="18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Valley River Center</w:t>
            </w: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24,854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147,715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35,224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24,854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180,766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1,896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277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207,793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79,922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127,871</w:t>
            </w:r>
          </w:p>
        </w:tc>
        <w:tc>
          <w:tcPr>
            <w:tcW w:w="0" w:type="dxa"/>
            <w:vAlign w:val="bottom"/>
          </w:tcPr>
          <w:p>
            <w:pPr>
              <w:spacing w:after="0"/>
              <w:rPr>
                <w:sz w:val="1"/>
                <w:szCs w:val="1"/>
                <w:color w:val="auto"/>
              </w:rPr>
            </w:pPr>
          </w:p>
        </w:tc>
      </w:tr>
      <w:tr>
        <w:trPr>
          <w:trHeight w:val="111"/>
        </w:trPr>
        <w:tc>
          <w:tcPr>
            <w:tcW w:w="1820" w:type="dxa"/>
            <w:vAlign w:val="bottom"/>
            <w:gridSpan w:val="2"/>
          </w:tcPr>
          <w:p>
            <w:pPr>
              <w:spacing w:after="0"/>
              <w:rPr>
                <w:sz w:val="20"/>
                <w:szCs w:val="20"/>
                <w:color w:val="auto"/>
              </w:rPr>
            </w:pPr>
            <w:r>
              <w:rPr>
                <w:rFonts w:ascii="Arial" w:cs="Arial" w:eastAsia="Arial" w:hAnsi="Arial"/>
                <w:sz w:val="8"/>
                <w:szCs w:val="8"/>
                <w:color w:val="auto"/>
              </w:rPr>
              <w:t>Victor Valley, Mall of</w:t>
            </w:r>
          </w:p>
        </w:tc>
        <w:tc>
          <w:tcPr>
            <w:tcW w:w="520" w:type="dxa"/>
            <w:vAlign w:val="bottom"/>
          </w:tcPr>
          <w:p>
            <w:pPr>
              <w:jc w:val="right"/>
              <w:spacing w:after="0"/>
              <w:rPr>
                <w:sz w:val="20"/>
                <w:szCs w:val="20"/>
                <w:color w:val="auto"/>
              </w:rPr>
            </w:pPr>
            <w:r>
              <w:rPr>
                <w:rFonts w:ascii="Arial" w:cs="Arial" w:eastAsia="Arial" w:hAnsi="Arial"/>
                <w:sz w:val="8"/>
                <w:szCs w:val="8"/>
                <w:color w:val="auto"/>
              </w:rPr>
              <w:t>15,700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75,230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54,907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20,080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124,161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1,596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145,837</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66,260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79,577</w:t>
            </w:r>
          </w:p>
        </w:tc>
        <w:tc>
          <w:tcPr>
            <w:tcW w:w="0" w:type="dxa"/>
            <w:vAlign w:val="bottom"/>
          </w:tcPr>
          <w:p>
            <w:pPr>
              <w:spacing w:after="0"/>
              <w:rPr>
                <w:sz w:val="1"/>
                <w:szCs w:val="1"/>
                <w:color w:val="auto"/>
              </w:rPr>
            </w:pPr>
          </w:p>
        </w:tc>
      </w:tr>
      <w:tr>
        <w:trPr>
          <w:trHeight w:val="123"/>
        </w:trPr>
        <w:tc>
          <w:tcPr>
            <w:tcW w:w="18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Vintage Faire Mall</w:t>
            </w: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14,902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60,532</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59,758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17,417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114,524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1,580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1,671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135,192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80,686</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54,506</w:t>
            </w:r>
          </w:p>
        </w:tc>
        <w:tc>
          <w:tcPr>
            <w:tcW w:w="0" w:type="dxa"/>
            <w:vAlign w:val="bottom"/>
          </w:tcPr>
          <w:p>
            <w:pPr>
              <w:spacing w:after="0"/>
              <w:rPr>
                <w:sz w:val="1"/>
                <w:szCs w:val="1"/>
                <w:color w:val="auto"/>
              </w:rPr>
            </w:pPr>
          </w:p>
        </w:tc>
      </w:tr>
      <w:tr>
        <w:trPr>
          <w:trHeight w:val="111"/>
        </w:trPr>
        <w:tc>
          <w:tcPr>
            <w:tcW w:w="1820" w:type="dxa"/>
            <w:vAlign w:val="bottom"/>
            <w:gridSpan w:val="2"/>
          </w:tcPr>
          <w:p>
            <w:pPr>
              <w:spacing w:after="0"/>
              <w:rPr>
                <w:sz w:val="20"/>
                <w:szCs w:val="20"/>
                <w:color w:val="auto"/>
              </w:rPr>
            </w:pPr>
            <w:r>
              <w:rPr>
                <w:rFonts w:ascii="Arial" w:cs="Arial" w:eastAsia="Arial" w:hAnsi="Arial"/>
                <w:sz w:val="8"/>
                <w:szCs w:val="8"/>
                <w:color w:val="auto"/>
              </w:rPr>
              <w:t>Wilton Mall</w:t>
            </w:r>
          </w:p>
        </w:tc>
        <w:tc>
          <w:tcPr>
            <w:tcW w:w="520" w:type="dxa"/>
            <w:vAlign w:val="bottom"/>
          </w:tcPr>
          <w:p>
            <w:pPr>
              <w:jc w:val="right"/>
              <w:spacing w:after="0"/>
              <w:rPr>
                <w:sz w:val="20"/>
                <w:szCs w:val="20"/>
                <w:color w:val="auto"/>
              </w:rPr>
            </w:pPr>
            <w:r>
              <w:rPr>
                <w:rFonts w:ascii="Arial" w:cs="Arial" w:eastAsia="Arial" w:hAnsi="Arial"/>
                <w:sz w:val="8"/>
                <w:szCs w:val="8"/>
                <w:color w:val="auto"/>
              </w:rPr>
              <w:t>19,743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67,855</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(3,052)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11,310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72,044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1,155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37</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84,546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48,449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36,097</w:t>
            </w:r>
          </w:p>
        </w:tc>
        <w:tc>
          <w:tcPr>
            <w:tcW w:w="0" w:type="dxa"/>
            <w:vAlign w:val="bottom"/>
          </w:tcPr>
          <w:p>
            <w:pPr>
              <w:spacing w:after="0"/>
              <w:rPr>
                <w:sz w:val="1"/>
                <w:szCs w:val="1"/>
                <w:color w:val="auto"/>
              </w:rPr>
            </w:pPr>
          </w:p>
        </w:tc>
      </w:tr>
      <w:tr>
        <w:trPr>
          <w:trHeight w:val="123"/>
        </w:trPr>
        <w:tc>
          <w:tcPr>
            <w:tcW w:w="18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Other freestanding stores</w:t>
            </w: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5,926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31,785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(5,369)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4,906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27,142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294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32,342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14,584</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17,758</w:t>
            </w:r>
          </w:p>
        </w:tc>
        <w:tc>
          <w:tcPr>
            <w:tcW w:w="0" w:type="dxa"/>
            <w:vAlign w:val="bottom"/>
          </w:tcPr>
          <w:p>
            <w:pPr>
              <w:spacing w:after="0"/>
              <w:rPr>
                <w:sz w:val="1"/>
                <w:szCs w:val="1"/>
                <w:color w:val="auto"/>
              </w:rPr>
            </w:pPr>
          </w:p>
        </w:tc>
      </w:tr>
      <w:tr>
        <w:trPr>
          <w:trHeight w:val="111"/>
        </w:trPr>
        <w:tc>
          <w:tcPr>
            <w:tcW w:w="168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Other land and development properties</w:t>
            </w: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37,850</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(21,594)</w:t>
            </w: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6,322</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6,555</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3,379</w:t>
            </w:r>
          </w:p>
        </w:tc>
        <w:tc>
          <w:tcPr>
            <w:tcW w:w="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16,256</w:t>
            </w:r>
          </w:p>
        </w:tc>
        <w:tc>
          <w:tcPr>
            <w:tcW w:w="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1,099</w:t>
            </w:r>
          </w:p>
        </w:tc>
        <w:tc>
          <w:tcPr>
            <w:tcW w:w="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15,157</w:t>
            </w:r>
          </w:p>
        </w:tc>
        <w:tc>
          <w:tcPr>
            <w:tcW w:w="0" w:type="dxa"/>
            <w:vAlign w:val="bottom"/>
          </w:tcPr>
          <w:p>
            <w:pPr>
              <w:spacing w:after="0"/>
              <w:rPr>
                <w:sz w:val="1"/>
                <w:szCs w:val="1"/>
                <w:color w:val="auto"/>
              </w:rPr>
            </w:pPr>
          </w:p>
        </w:tc>
      </w:tr>
      <w:tr>
        <w:trPr>
          <w:trHeight w:val="128"/>
        </w:trPr>
        <w:tc>
          <w:tcPr>
            <w:tcW w:w="16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1,370,869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4,873,078</w:t>
            </w: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46,574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2,557,029</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1,441,858</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6,992,006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191,266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222,420</w:t>
            </w: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8,847,550</w:t>
            </w: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2,563,344</w:t>
            </w: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6,284,206</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448310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30" w:right="33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u w:val="single" w:color="auto"/>
          <w:color w:val="0000FF"/>
        </w:rPr>
        <w:t>Table of Contents</w:t>
      </w:r>
    </w:p>
    <w:p>
      <w:pPr>
        <w:spacing w:after="0" w:line="92" w:lineRule="exact"/>
        <w:rPr>
          <w:sz w:val="20"/>
          <w:szCs w:val="20"/>
          <w:color w:val="auto"/>
        </w:rPr>
      </w:pPr>
    </w:p>
    <w:p>
      <w:pPr>
        <w:jc w:val="center"/>
        <w:ind w:right="-103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039"/>
        <w:spacing w:after="0"/>
        <w:rPr>
          <w:sz w:val="20"/>
          <w:szCs w:val="20"/>
          <w:color w:val="auto"/>
        </w:rPr>
      </w:pPr>
      <w:r>
        <w:rPr>
          <w:rFonts w:ascii="Arial" w:cs="Arial" w:eastAsia="Arial" w:hAnsi="Arial"/>
          <w:sz w:val="12"/>
          <w:szCs w:val="12"/>
          <w:b w:val="1"/>
          <w:bCs w:val="1"/>
          <w:color w:val="auto"/>
        </w:rPr>
        <w:t>Schedule III—Real Estate and Accumulated Depreciation (Continued)</w:t>
      </w:r>
    </w:p>
    <w:p>
      <w:pPr>
        <w:spacing w:after="0" w:line="105" w:lineRule="exact"/>
        <w:rPr>
          <w:sz w:val="20"/>
          <w:szCs w:val="20"/>
          <w:color w:val="auto"/>
        </w:rPr>
      </w:pPr>
    </w:p>
    <w:p>
      <w:pPr>
        <w:jc w:val="center"/>
        <w:ind w:right="-1039"/>
        <w:spacing w:after="0"/>
        <w:rPr>
          <w:sz w:val="20"/>
          <w:szCs w:val="20"/>
          <w:color w:val="auto"/>
        </w:rPr>
      </w:pPr>
      <w:r>
        <w:rPr>
          <w:rFonts w:ascii="Arial" w:cs="Arial" w:eastAsia="Arial" w:hAnsi="Arial"/>
          <w:sz w:val="12"/>
          <w:szCs w:val="12"/>
          <w:b w:val="1"/>
          <w:bCs w:val="1"/>
          <w:color w:val="auto"/>
        </w:rPr>
        <w:t>December 31, 2021</w:t>
      </w:r>
    </w:p>
    <w:p>
      <w:pPr>
        <w:spacing w:after="0" w:line="96" w:lineRule="exact"/>
        <w:rPr>
          <w:sz w:val="20"/>
          <w:szCs w:val="20"/>
          <w:color w:val="auto"/>
        </w:rPr>
      </w:pPr>
    </w:p>
    <w:p>
      <w:pPr>
        <w:jc w:val="center"/>
        <w:ind w:right="-1039"/>
        <w:spacing w:after="0"/>
        <w:rPr>
          <w:sz w:val="20"/>
          <w:szCs w:val="20"/>
          <w:color w:val="auto"/>
        </w:rPr>
      </w:pPr>
      <w:r>
        <w:rPr>
          <w:rFonts w:ascii="Arial" w:cs="Arial" w:eastAsia="Arial" w:hAnsi="Arial"/>
          <w:sz w:val="12"/>
          <w:szCs w:val="12"/>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Arial" w:cs="Arial" w:eastAsia="Arial" w:hAnsi="Arial"/>
          <w:sz w:val="11"/>
          <w:szCs w:val="11"/>
          <w:color w:val="auto"/>
        </w:rPr>
        <w:t>Depreciation of the Company's investment in buildings and improvements reflected in the consolidated statements of operations are calculated over the estimated useful lives of the asset as follows:</w:t>
      </w:r>
    </w:p>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760" w:type="dxa"/>
            <w:vAlign w:val="bottom"/>
          </w:tcPr>
          <w:p>
            <w:pPr>
              <w:spacing w:after="0"/>
              <w:rPr>
                <w:sz w:val="13"/>
                <w:szCs w:val="13"/>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Buildings and improvements</w:t>
            </w: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5</w:t>
            </w:r>
          </w:p>
        </w:tc>
        <w:tc>
          <w:tcPr>
            <w:tcW w:w="1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- 40 years</w:t>
            </w:r>
          </w:p>
        </w:tc>
      </w:tr>
      <w:tr>
        <w:trPr>
          <w:trHeight w:val="153"/>
        </w:trPr>
        <w:tc>
          <w:tcPr>
            <w:tcW w:w="760" w:type="dxa"/>
            <w:vAlign w:val="bottom"/>
          </w:tcPr>
          <w:p>
            <w:pPr>
              <w:spacing w:after="0"/>
              <w:rPr>
                <w:sz w:val="13"/>
                <w:szCs w:val="13"/>
                <w:color w:val="auto"/>
              </w:rPr>
            </w:pPr>
          </w:p>
        </w:tc>
        <w:tc>
          <w:tcPr>
            <w:tcW w:w="4740" w:type="dxa"/>
            <w:vAlign w:val="bottom"/>
          </w:tcPr>
          <w:p>
            <w:pPr>
              <w:ind w:left="20"/>
              <w:spacing w:after="0"/>
              <w:rPr>
                <w:sz w:val="20"/>
                <w:szCs w:val="20"/>
                <w:color w:val="auto"/>
              </w:rPr>
            </w:pPr>
            <w:r>
              <w:rPr>
                <w:rFonts w:ascii="Arial" w:cs="Arial" w:eastAsia="Arial" w:hAnsi="Arial"/>
                <w:sz w:val="12"/>
                <w:szCs w:val="12"/>
                <w:color w:val="auto"/>
              </w:rPr>
              <w:t>Tenant improvements</w:t>
            </w: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5</w:t>
            </w:r>
          </w:p>
        </w:tc>
        <w:tc>
          <w:tcPr>
            <w:tcW w:w="1340" w:type="dxa"/>
            <w:vAlign w:val="bottom"/>
          </w:tcPr>
          <w:p>
            <w:pPr>
              <w:ind w:left="20"/>
              <w:spacing w:after="0"/>
              <w:rPr>
                <w:sz w:val="20"/>
                <w:szCs w:val="20"/>
                <w:color w:val="auto"/>
              </w:rPr>
            </w:pPr>
            <w:r>
              <w:rPr>
                <w:rFonts w:ascii="Arial" w:cs="Arial" w:eastAsia="Arial" w:hAnsi="Arial"/>
                <w:sz w:val="12"/>
                <w:szCs w:val="12"/>
                <w:color w:val="auto"/>
              </w:rPr>
              <w:t>- 7 years</w:t>
            </w:r>
          </w:p>
        </w:tc>
      </w:tr>
      <w:tr>
        <w:trPr>
          <w:trHeight w:val="153"/>
        </w:trPr>
        <w:tc>
          <w:tcPr>
            <w:tcW w:w="760" w:type="dxa"/>
            <w:vAlign w:val="bottom"/>
          </w:tcPr>
          <w:p>
            <w:pPr>
              <w:spacing w:after="0"/>
              <w:rPr>
                <w:sz w:val="13"/>
                <w:szCs w:val="13"/>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Equipment and furnishings</w:t>
            </w: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5</w:t>
            </w:r>
          </w:p>
        </w:tc>
        <w:tc>
          <w:tcPr>
            <w:tcW w:w="1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- 7 years</w:t>
            </w:r>
          </w:p>
        </w:tc>
      </w:tr>
      <w:tr>
        <w:trPr>
          <w:trHeight w:val="459"/>
        </w:trPr>
        <w:tc>
          <w:tcPr>
            <w:tcW w:w="5500" w:type="dxa"/>
            <w:vAlign w:val="bottom"/>
            <w:gridSpan w:val="2"/>
          </w:tcPr>
          <w:p>
            <w:pPr>
              <w:spacing w:after="0"/>
              <w:rPr>
                <w:sz w:val="20"/>
                <w:szCs w:val="20"/>
                <w:color w:val="auto"/>
              </w:rPr>
            </w:pPr>
            <w:r>
              <w:rPr>
                <w:rFonts w:ascii="Arial" w:cs="Arial" w:eastAsia="Arial" w:hAnsi="Arial"/>
                <w:sz w:val="12"/>
                <w:szCs w:val="12"/>
                <w:color w:val="auto"/>
              </w:rPr>
              <w:t>The changes in total real estate assets for the three years ended December 31, 2021 are as follows:</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9"/>
        </w:trPr>
        <w:tc>
          <w:tcPr>
            <w:tcW w:w="760" w:type="dxa"/>
            <w:vAlign w:val="bottom"/>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2019</w:t>
            </w:r>
          </w:p>
        </w:tc>
      </w:tr>
      <w:tr>
        <w:trPr>
          <w:trHeight w:val="146"/>
        </w:trPr>
        <w:tc>
          <w:tcPr>
            <w:tcW w:w="760" w:type="dxa"/>
            <w:vAlign w:val="bottom"/>
          </w:tcPr>
          <w:p>
            <w:pPr>
              <w:spacing w:after="0"/>
              <w:rPr>
                <w:sz w:val="12"/>
                <w:szCs w:val="12"/>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Balances, beginning of year</w:t>
            </w:r>
          </w:p>
        </w:tc>
        <w:tc>
          <w:tcPr>
            <w:tcW w:w="84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9,256,712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8,993,049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8,878,820</w:t>
            </w:r>
          </w:p>
        </w:tc>
      </w:tr>
      <w:tr>
        <w:trPr>
          <w:trHeight w:val="153"/>
        </w:trPr>
        <w:tc>
          <w:tcPr>
            <w:tcW w:w="760" w:type="dxa"/>
            <w:vAlign w:val="bottom"/>
          </w:tcPr>
          <w:p>
            <w:pPr>
              <w:spacing w:after="0"/>
              <w:rPr>
                <w:sz w:val="13"/>
                <w:szCs w:val="13"/>
                <w:color w:val="auto"/>
              </w:rPr>
            </w:pPr>
          </w:p>
        </w:tc>
        <w:tc>
          <w:tcPr>
            <w:tcW w:w="4740" w:type="dxa"/>
            <w:vAlign w:val="bottom"/>
          </w:tcPr>
          <w:p>
            <w:pPr>
              <w:ind w:left="20"/>
              <w:spacing w:after="0"/>
              <w:rPr>
                <w:sz w:val="20"/>
                <w:szCs w:val="20"/>
                <w:color w:val="auto"/>
              </w:rPr>
            </w:pPr>
            <w:r>
              <w:rPr>
                <w:rFonts w:ascii="Arial" w:cs="Arial" w:eastAsia="Arial" w:hAnsi="Arial"/>
                <w:sz w:val="12"/>
                <w:szCs w:val="12"/>
                <w:color w:val="auto"/>
              </w:rPr>
              <w:t>Additions</w:t>
            </w: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100,616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419,369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176,690</w:t>
            </w:r>
          </w:p>
        </w:tc>
      </w:tr>
      <w:tr>
        <w:trPr>
          <w:trHeight w:val="153"/>
        </w:trPr>
        <w:tc>
          <w:tcPr>
            <w:tcW w:w="760" w:type="dxa"/>
            <w:vAlign w:val="bottom"/>
          </w:tcPr>
          <w:p>
            <w:pPr>
              <w:spacing w:after="0"/>
              <w:rPr>
                <w:sz w:val="13"/>
                <w:szCs w:val="13"/>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Dispositions and retirements</w:t>
            </w:r>
          </w:p>
        </w:tc>
        <w:tc>
          <w:tcPr>
            <w:tcW w:w="8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(509,778)</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(155,706)</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(62,461)</w:t>
            </w:r>
          </w:p>
        </w:tc>
      </w:tr>
      <w:tr>
        <w:trPr>
          <w:trHeight w:val="142"/>
        </w:trPr>
        <w:tc>
          <w:tcPr>
            <w:tcW w:w="760" w:type="dxa"/>
            <w:vAlign w:val="bottom"/>
          </w:tcPr>
          <w:p>
            <w:pPr>
              <w:spacing w:after="0"/>
              <w:rPr>
                <w:sz w:val="12"/>
                <w:szCs w:val="12"/>
                <w:color w:val="auto"/>
              </w:rPr>
            </w:pPr>
          </w:p>
        </w:tc>
        <w:tc>
          <w:tcPr>
            <w:tcW w:w="4740" w:type="dxa"/>
            <w:vAlign w:val="bottom"/>
          </w:tcPr>
          <w:p>
            <w:pPr>
              <w:ind w:left="20"/>
              <w:spacing w:after="0"/>
              <w:rPr>
                <w:sz w:val="20"/>
                <w:szCs w:val="20"/>
                <w:color w:val="auto"/>
              </w:rPr>
            </w:pPr>
            <w:r>
              <w:rPr>
                <w:rFonts w:ascii="Arial" w:cs="Arial" w:eastAsia="Arial" w:hAnsi="Arial"/>
                <w:sz w:val="12"/>
                <w:szCs w:val="12"/>
                <w:color w:val="auto"/>
              </w:rPr>
              <w:t>Balances, end of year</w:t>
            </w:r>
          </w:p>
        </w:tc>
        <w:tc>
          <w:tcPr>
            <w:tcW w:w="84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8,847,550</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9,256,712</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8,993,049</w:t>
            </w:r>
          </w:p>
        </w:tc>
      </w:tr>
      <w:tr>
        <w:trPr>
          <w:trHeight w:val="20"/>
        </w:trPr>
        <w:tc>
          <w:tcPr>
            <w:tcW w:w="7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aggregate cost of the property included in the table above for federal income tax purposes was $8,877,859 (unaudited) at December 31, 2021.</w:t>
      </w:r>
    </w:p>
    <w:p>
      <w:pPr>
        <w:spacing w:after="0" w:line="36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changes in accumulated depreciation for the three years ended December 31, 2021 are as follows:</w:t>
      </w:r>
    </w:p>
    <w:p>
      <w:pPr>
        <w:spacing w:after="0" w:line="117" w:lineRule="exact"/>
        <w:rPr>
          <w:sz w:val="20"/>
          <w:szCs w:val="20"/>
          <w:color w:val="auto"/>
        </w:rPr>
      </w:pPr>
    </w:p>
    <w:tbl>
      <w:tblPr>
        <w:tblLayout w:type="fixed"/>
        <w:tblInd w:w="1040" w:type="dxa"/>
        <w:tblCellMar>
          <w:top w:w="0" w:type="dxa"/>
          <w:left w:w="0" w:type="dxa"/>
          <w:bottom w:w="0" w:type="dxa"/>
          <w:right w:w="0" w:type="dxa"/>
        </w:tblCellMar>
      </w:tblPr>
      <w:tr>
        <w:trPr>
          <w:trHeight w:val="127"/>
        </w:trPr>
        <w:tc>
          <w:tcPr>
            <w:tcW w:w="474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2019</w:t>
            </w:r>
          </w:p>
        </w:tc>
      </w:tr>
      <w:tr>
        <w:trPr>
          <w:trHeight w:val="146"/>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Balances, beginning of year</w:t>
            </w:r>
          </w:p>
        </w:tc>
        <w:tc>
          <w:tcPr>
            <w:tcW w:w="84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2,562,133</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2,349,536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2,093,044</w:t>
            </w:r>
          </w:p>
        </w:tc>
      </w:tr>
      <w:tr>
        <w:trPr>
          <w:trHeight w:val="153"/>
        </w:trPr>
        <w:tc>
          <w:tcPr>
            <w:tcW w:w="4740" w:type="dxa"/>
            <w:vAlign w:val="bottom"/>
          </w:tcPr>
          <w:p>
            <w:pPr>
              <w:ind w:left="20"/>
              <w:spacing w:after="0"/>
              <w:rPr>
                <w:sz w:val="20"/>
                <w:szCs w:val="20"/>
                <w:color w:val="auto"/>
              </w:rPr>
            </w:pPr>
            <w:r>
              <w:rPr>
                <w:rFonts w:ascii="Arial" w:cs="Arial" w:eastAsia="Arial" w:hAnsi="Arial"/>
                <w:sz w:val="12"/>
                <w:szCs w:val="12"/>
                <w:color w:val="auto"/>
              </w:rPr>
              <w:t>Additions</w:t>
            </w:r>
          </w:p>
        </w:tc>
        <w:tc>
          <w:tcPr>
            <w:tcW w:w="8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282,158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287,925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287,846</w:t>
            </w:r>
          </w:p>
        </w:tc>
      </w:tr>
      <w:tr>
        <w:trPr>
          <w:trHeight w:val="153"/>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Dispositions and retirements</w:t>
            </w:r>
          </w:p>
        </w:tc>
        <w:tc>
          <w:tcPr>
            <w:tcW w:w="8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(280,947)</w:t>
            </w: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(75,328)</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(31,354)</w:t>
            </w:r>
          </w:p>
        </w:tc>
      </w:tr>
      <w:tr>
        <w:trPr>
          <w:trHeight w:val="142"/>
        </w:trPr>
        <w:tc>
          <w:tcPr>
            <w:tcW w:w="4740" w:type="dxa"/>
            <w:vAlign w:val="bottom"/>
          </w:tcPr>
          <w:p>
            <w:pPr>
              <w:ind w:left="20"/>
              <w:spacing w:after="0"/>
              <w:rPr>
                <w:sz w:val="20"/>
                <w:szCs w:val="20"/>
                <w:color w:val="auto"/>
              </w:rPr>
            </w:pPr>
            <w:r>
              <w:rPr>
                <w:rFonts w:ascii="Arial" w:cs="Arial" w:eastAsia="Arial" w:hAnsi="Arial"/>
                <w:sz w:val="12"/>
                <w:szCs w:val="12"/>
                <w:color w:val="auto"/>
              </w:rPr>
              <w:t>Balances, end of year</w:t>
            </w:r>
          </w:p>
        </w:tc>
        <w:tc>
          <w:tcPr>
            <w:tcW w:w="84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2,563,344</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2,562,133</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2,349,536</w:t>
            </w:r>
          </w:p>
        </w:tc>
      </w:tr>
      <w:tr>
        <w:trPr>
          <w:trHeight w:val="20"/>
        </w:trPr>
        <w:tc>
          <w:tcPr>
            <w:tcW w:w="4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40"/>
        <w:spacing w:after="0"/>
        <w:rPr>
          <w:sz w:val="20"/>
          <w:szCs w:val="20"/>
          <w:color w:val="auto"/>
        </w:rPr>
      </w:pPr>
      <w:r>
        <w:rPr>
          <w:rFonts w:ascii="Arial" w:cs="Arial" w:eastAsia="Arial" w:hAnsi="Arial"/>
          <w:sz w:val="12"/>
          <w:szCs w:val="12"/>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240"/>
          </w:cols>
          <w:pgMar w:left="300" w:top="230" w:right="1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57"/>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20" w:type="dxa"/>
            <w:vAlign w:val="bottom"/>
            <w:gridSpan w:val="15"/>
          </w:tcPr>
          <w:p>
            <w:pPr>
              <w:jc w:val="center"/>
              <w:ind w:right="4700"/>
              <w:spacing w:after="0"/>
              <w:rPr>
                <w:sz w:val="20"/>
                <w:szCs w:val="20"/>
                <w:color w:val="auto"/>
              </w:rPr>
            </w:pPr>
            <w:r>
              <w:rPr>
                <w:rFonts w:ascii="Arial" w:cs="Arial" w:eastAsia="Arial" w:hAnsi="Arial"/>
                <w:sz w:val="12"/>
                <w:szCs w:val="12"/>
                <w:b w:val="1"/>
                <w:bCs w:val="1"/>
                <w:color w:val="auto"/>
              </w:rPr>
              <w:t>EXHIBIT INDEX</w:t>
            </w:r>
          </w:p>
        </w:tc>
      </w:tr>
      <w:tr>
        <w:trPr>
          <w:trHeight w:val="140"/>
        </w:trPr>
        <w:tc>
          <w:tcPr>
            <w:tcW w:w="10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Exhibit Number</w:t>
            </w:r>
          </w:p>
        </w:tc>
        <w:tc>
          <w:tcPr>
            <w:tcW w:w="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0" w:type="dxa"/>
            <w:vAlign w:val="bottom"/>
            <w:tcBorders>
              <w:bottom w:val="single" w:sz="8" w:color="auto"/>
            </w:tcBorders>
            <w:gridSpan w:val="14"/>
          </w:tcPr>
          <w:p>
            <w:pPr>
              <w:ind w:left="1420"/>
              <w:spacing w:after="0"/>
              <w:rPr>
                <w:sz w:val="20"/>
                <w:szCs w:val="20"/>
                <w:color w:val="auto"/>
              </w:rPr>
            </w:pPr>
            <w:r>
              <w:rPr>
                <w:rFonts w:ascii="Arial" w:cs="Arial" w:eastAsia="Arial" w:hAnsi="Arial"/>
                <w:sz w:val="10"/>
                <w:szCs w:val="10"/>
                <w:b w:val="1"/>
                <w:bCs w:val="1"/>
                <w:color w:val="auto"/>
              </w:rPr>
              <w:t>Description</w:t>
            </w:r>
          </w:p>
        </w:tc>
        <w:tc>
          <w:tcPr>
            <w:tcW w:w="20" w:type="dxa"/>
            <w:vAlign w:val="bottom"/>
          </w:tcPr>
          <w:p>
            <w:pPr>
              <w:spacing w:after="0"/>
              <w:rPr>
                <w:sz w:val="12"/>
                <w:szCs w:val="12"/>
                <w:color w:val="auto"/>
              </w:rPr>
            </w:pPr>
          </w:p>
        </w:tc>
      </w:tr>
      <w:tr>
        <w:trPr>
          <w:trHeight w:val="139"/>
        </w:trPr>
        <w:tc>
          <w:tcPr>
            <w:tcW w:w="1000" w:type="dxa"/>
            <w:vAlign w:val="bottom"/>
            <w:gridSpan w:val="4"/>
          </w:tcPr>
          <w:p>
            <w:pPr>
              <w:jc w:val="right"/>
              <w:spacing w:after="0" w:line="119" w:lineRule="exact"/>
              <w:rPr>
                <w:rFonts w:ascii="Arial" w:cs="Arial" w:eastAsia="Arial" w:hAnsi="Arial"/>
                <w:sz w:val="12"/>
                <w:szCs w:val="12"/>
                <w:color w:val="0000FF"/>
              </w:rPr>
            </w:pPr>
            <w:hyperlink r:id="rId128">
              <w:r>
                <w:rPr>
                  <w:rFonts w:ascii="Arial" w:cs="Arial" w:eastAsia="Arial" w:hAnsi="Arial"/>
                  <w:sz w:val="12"/>
                  <w:szCs w:val="12"/>
                  <w:color w:val="0000FF"/>
                </w:rPr>
                <w:t>2.</w:t>
              </w:r>
              <w:r>
                <w:rPr>
                  <w:rFonts w:ascii="Arial" w:cs="Arial" w:eastAsia="Arial" w:hAnsi="Arial"/>
                  <w:sz w:val="12"/>
                  <w:szCs w:val="12"/>
                  <w:u w:val="single" w:color="auto"/>
                  <w:color w:val="0000FF"/>
                </w:rPr>
                <w:t>1</w:t>
              </w:r>
            </w:hyperlink>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19"/>
          </w:tcPr>
          <w:p>
            <w:pPr>
              <w:spacing w:after="0" w:line="119" w:lineRule="exact"/>
              <w:rPr>
                <w:rFonts w:ascii="Arial" w:cs="Arial" w:eastAsia="Arial" w:hAnsi="Arial"/>
                <w:sz w:val="12"/>
                <w:szCs w:val="12"/>
                <w:color w:val="0000FF"/>
                <w:w w:val="93"/>
              </w:rPr>
            </w:pPr>
            <w:hyperlink r:id="rId128">
              <w:r>
                <w:rPr>
                  <w:rFonts w:ascii="Arial" w:cs="Arial" w:eastAsia="Arial" w:hAnsi="Arial"/>
                  <w:sz w:val="12"/>
                  <w:szCs w:val="12"/>
                  <w:color w:val="0000FF"/>
                  <w:w w:val="93"/>
                </w:rPr>
                <w:t>Master Agreement, dated November 14, 2014, by and among Pacific Premier Retail LLC, MACPT LLC, Macerich PPR GP LLC, Queens JV LP, Macerich Queens JV LP, Queens JV GP LLC, 1700480</w:t>
              </w:r>
            </w:hyperlink>
          </w:p>
        </w:tc>
      </w:tr>
      <w:tr>
        <w:trPr>
          <w:trHeight w:val="77"/>
        </w:trPr>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9680" w:type="dxa"/>
            <w:vAlign w:val="bottom"/>
            <w:tcBorders>
              <w:top w:val="single" w:sz="8" w:color="0000FF"/>
            </w:tcBorders>
            <w:gridSpan w:val="14"/>
          </w:tcPr>
          <w:p>
            <w:pPr>
              <w:spacing w:after="0" w:line="77" w:lineRule="exact"/>
              <w:rPr>
                <w:rFonts w:ascii="Arial" w:cs="Arial" w:eastAsia="Arial" w:hAnsi="Arial"/>
                <w:sz w:val="8"/>
                <w:szCs w:val="8"/>
                <w:color w:val="0000FF"/>
              </w:rPr>
            </w:pPr>
            <w:hyperlink r:id="rId128">
              <w:r>
                <w:rPr>
                  <w:rFonts w:ascii="Arial" w:cs="Arial" w:eastAsia="Arial" w:hAnsi="Arial"/>
                  <w:sz w:val="8"/>
                  <w:szCs w:val="8"/>
                  <w:color w:val="0000FF"/>
                </w:rPr>
                <w:t>Ontario Inc. and the Company (incorporated by reference as an exhibit to the Company’s Current Report on Form 8-K, event date November 14, 2014).</w:t>
              </w:r>
            </w:hyperlink>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gridSpan w:val="2"/>
          </w:tcPr>
          <w:p>
            <w:pPr>
              <w:spacing w:after="0"/>
              <w:rPr>
                <w:sz w:val="6"/>
                <w:szCs w:val="6"/>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8"/>
        </w:trPr>
        <w:tc>
          <w:tcPr>
            <w:tcW w:w="1000" w:type="dxa"/>
            <w:vAlign w:val="bottom"/>
            <w:gridSpan w:val="4"/>
          </w:tcPr>
          <w:p>
            <w:pPr>
              <w:jc w:val="right"/>
              <w:ind w:right="40"/>
              <w:spacing w:after="0"/>
              <w:rPr>
                <w:sz w:val="20"/>
                <w:szCs w:val="20"/>
                <w:color w:val="auto"/>
              </w:rPr>
            </w:pPr>
            <w:r>
              <w:rPr>
                <w:rFonts w:ascii="Arial" w:cs="Arial" w:eastAsia="Arial" w:hAnsi="Arial"/>
                <w:sz w:val="12"/>
                <w:szCs w:val="12"/>
                <w:color w:val="auto"/>
              </w:rPr>
              <w:t>3.1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19"/>
          </w:tcPr>
          <w:p>
            <w:pPr>
              <w:spacing w:after="0"/>
              <w:rPr>
                <w:sz w:val="20"/>
                <w:szCs w:val="20"/>
                <w:color w:val="auto"/>
              </w:rPr>
            </w:pPr>
            <w:r>
              <w:rPr>
                <w:rFonts w:ascii="Arial" w:cs="Arial" w:eastAsia="Arial" w:hAnsi="Arial"/>
                <w:sz w:val="12"/>
                <w:szCs w:val="12"/>
                <w:color w:val="auto"/>
                <w:w w:val="92"/>
              </w:rPr>
              <w:t>Articles of Amendment and Restatement of the Company (incorporated by reference as an exhibit to the Company's Registration Statement on Form S-11, as amended (No. 33-68964)) (Filed in paper -</w:t>
            </w:r>
          </w:p>
        </w:tc>
      </w:tr>
      <w:tr>
        <w:trPr>
          <w:trHeight w:val="153"/>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19"/>
          </w:tcPr>
          <w:p>
            <w:pPr>
              <w:spacing w:after="0"/>
              <w:rPr>
                <w:sz w:val="20"/>
                <w:szCs w:val="20"/>
                <w:color w:val="auto"/>
              </w:rPr>
            </w:pPr>
            <w:r>
              <w:rPr>
                <w:rFonts w:ascii="Arial" w:cs="Arial" w:eastAsia="Arial" w:hAnsi="Arial"/>
                <w:sz w:val="12"/>
                <w:szCs w:val="12"/>
                <w:color w:val="auto"/>
              </w:rPr>
              <w:t>hyperlink is not required pursuant to Rule 105 of Regulation S-T).</w:t>
            </w:r>
          </w:p>
        </w:tc>
      </w:tr>
      <w:tr>
        <w:trPr>
          <w:trHeight w:val="288"/>
        </w:trPr>
        <w:tc>
          <w:tcPr>
            <w:tcW w:w="1000" w:type="dxa"/>
            <w:vAlign w:val="bottom"/>
            <w:gridSpan w:val="4"/>
          </w:tcPr>
          <w:p>
            <w:pPr>
              <w:jc w:val="right"/>
              <w:spacing w:after="0"/>
              <w:rPr>
                <w:sz w:val="20"/>
                <w:szCs w:val="20"/>
                <w:color w:val="auto"/>
              </w:rPr>
            </w:pPr>
            <w:r>
              <w:rPr>
                <w:rFonts w:ascii="Arial" w:cs="Arial" w:eastAsia="Arial" w:hAnsi="Arial"/>
                <w:sz w:val="12"/>
                <w:szCs w:val="12"/>
                <w:color w:val="auto"/>
              </w:rPr>
              <w:t>3.1.1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Arial" w:cs="Arial" w:eastAsia="Arial" w:hAnsi="Arial"/>
                <w:sz w:val="12"/>
                <w:szCs w:val="12"/>
                <w:color w:val="auto"/>
                <w:w w:val="95"/>
              </w:rPr>
              <w:t>Articles Supplementary of the Company (incorporated by reference as an exhibit to the Company's Current Report on Form 8-K, event date May 30, 1995) (Filed in paper - hyperlink is not required</w:t>
            </w:r>
          </w:p>
        </w:tc>
      </w:tr>
      <w:tr>
        <w:trPr>
          <w:trHeight w:val="153"/>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19"/>
          </w:tcPr>
          <w:p>
            <w:pPr>
              <w:spacing w:after="0"/>
              <w:rPr>
                <w:sz w:val="20"/>
                <w:szCs w:val="20"/>
                <w:color w:val="auto"/>
              </w:rPr>
            </w:pPr>
            <w:r>
              <w:rPr>
                <w:rFonts w:ascii="Arial" w:cs="Arial" w:eastAsia="Arial" w:hAnsi="Arial"/>
                <w:sz w:val="12"/>
                <w:szCs w:val="12"/>
                <w:color w:val="auto"/>
              </w:rPr>
              <w:t>pursuant to Rule 105 of Regulation S-T).</w:t>
            </w:r>
          </w:p>
        </w:tc>
      </w:tr>
      <w:tr>
        <w:trPr>
          <w:trHeight w:val="297"/>
        </w:trPr>
        <w:tc>
          <w:tcPr>
            <w:tcW w:w="1000" w:type="dxa"/>
            <w:vAlign w:val="bottom"/>
            <w:gridSpan w:val="4"/>
          </w:tcPr>
          <w:p>
            <w:pPr>
              <w:jc w:val="right"/>
              <w:spacing w:after="0"/>
              <w:rPr>
                <w:rFonts w:ascii="Arial" w:cs="Arial" w:eastAsia="Arial" w:hAnsi="Arial"/>
                <w:sz w:val="12"/>
                <w:szCs w:val="12"/>
                <w:color w:val="0000FF"/>
              </w:rPr>
            </w:pPr>
            <w:hyperlink r:id="rId129">
              <w:r>
                <w:rPr>
                  <w:rFonts w:ascii="Arial" w:cs="Arial" w:eastAsia="Arial" w:hAnsi="Arial"/>
                  <w:sz w:val="12"/>
                  <w:szCs w:val="12"/>
                  <w:color w:val="0000FF"/>
                </w:rPr>
                <w:t>3.</w:t>
              </w:r>
              <w:r>
                <w:rPr>
                  <w:rFonts w:ascii="Arial" w:cs="Arial" w:eastAsia="Arial" w:hAnsi="Arial"/>
                  <w:sz w:val="12"/>
                  <w:szCs w:val="12"/>
                  <w:u w:val="single" w:color="auto"/>
                  <w:color w:val="0000FF"/>
                </w:rPr>
                <w:t>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rPr>
            </w:pPr>
            <w:hyperlink r:id="rId129">
              <w:r>
                <w:rPr>
                  <w:rFonts w:ascii="Arial" w:cs="Arial" w:eastAsia="Arial" w:hAnsi="Arial"/>
                  <w:sz w:val="12"/>
                  <w:szCs w:val="12"/>
                  <w:color w:val="0000FF"/>
                </w:rPr>
                <w:t>Articles Supplementary of the Company (with respect to the first paragraph) (incorporated by reference as an exhibit to the Company's 1998 Form 10-K).</w:t>
              </w:r>
            </w:hyperlink>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30">
              <w:r>
                <w:rPr>
                  <w:rFonts w:ascii="Arial" w:cs="Arial" w:eastAsia="Arial" w:hAnsi="Arial"/>
                  <w:sz w:val="12"/>
                  <w:szCs w:val="12"/>
                  <w:color w:val="0000FF"/>
                </w:rPr>
                <w:t>3.</w:t>
              </w:r>
              <w:r>
                <w:rPr>
                  <w:rFonts w:ascii="Arial" w:cs="Arial" w:eastAsia="Arial" w:hAnsi="Arial"/>
                  <w:sz w:val="12"/>
                  <w:szCs w:val="12"/>
                  <w:u w:val="single" w:color="auto"/>
                  <w:color w:val="0000FF"/>
                </w:rPr>
                <w:t>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rPr>
            </w:pPr>
            <w:hyperlink r:id="rId130">
              <w:r>
                <w:rPr>
                  <w:rFonts w:ascii="Arial" w:cs="Arial" w:eastAsia="Arial" w:hAnsi="Arial"/>
                  <w:sz w:val="12"/>
                  <w:szCs w:val="12"/>
                  <w:color w:val="0000FF"/>
                </w:rPr>
                <w:t>Articles Supplementary of the Company (Series D Preferred Stock) (incorporated by reference as an exhibit to the Company's Current Report on Form 8-K, event date July 26, 2002).</w:t>
              </w:r>
            </w:hyperlink>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31">
              <w:r>
                <w:rPr>
                  <w:rFonts w:ascii="Arial" w:cs="Arial" w:eastAsia="Arial" w:hAnsi="Arial"/>
                  <w:sz w:val="12"/>
                  <w:szCs w:val="12"/>
                  <w:color w:val="0000FF"/>
                </w:rPr>
                <w:t>3.</w:t>
              </w:r>
              <w:r>
                <w:rPr>
                  <w:rFonts w:ascii="Arial" w:cs="Arial" w:eastAsia="Arial" w:hAnsi="Arial"/>
                  <w:sz w:val="12"/>
                  <w:szCs w:val="12"/>
                  <w:u w:val="single" w:color="auto"/>
                  <w:color w:val="0000FF"/>
                </w:rPr>
                <w:t>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rPr>
            </w:pPr>
            <w:hyperlink r:id="rId131">
              <w:r>
                <w:rPr>
                  <w:rFonts w:ascii="Arial" w:cs="Arial" w:eastAsia="Arial" w:hAnsi="Arial"/>
                  <w:sz w:val="12"/>
                  <w:szCs w:val="12"/>
                  <w:color w:val="0000FF"/>
                </w:rPr>
                <w:t>Articles Supplementary of the Company (incorporated by reference as an exhibit to the Company's Registration Statement on Form S-3, as amended (No. 333-88718)).</w:t>
              </w:r>
            </w:hyperlink>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32">
              <w:r>
                <w:rPr>
                  <w:rFonts w:ascii="Arial" w:cs="Arial" w:eastAsia="Arial" w:hAnsi="Arial"/>
                  <w:sz w:val="12"/>
                  <w:szCs w:val="12"/>
                  <w:color w:val="0000FF"/>
                </w:rPr>
                <w:t>3.</w:t>
              </w:r>
              <w:r>
                <w:rPr>
                  <w:rFonts w:ascii="Arial" w:cs="Arial" w:eastAsia="Arial" w:hAnsi="Arial"/>
                  <w:sz w:val="12"/>
                  <w:szCs w:val="12"/>
                  <w:u w:val="single" w:color="auto"/>
                  <w:color w:val="0000FF"/>
                </w:rPr>
                <w:t>1.5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rPr>
            </w:pPr>
            <w:hyperlink r:id="rId132">
              <w:r>
                <w:rPr>
                  <w:rFonts w:ascii="Arial" w:cs="Arial" w:eastAsia="Arial" w:hAnsi="Arial"/>
                  <w:sz w:val="12"/>
                  <w:szCs w:val="12"/>
                  <w:color w:val="0000FF"/>
                </w:rPr>
                <w:t>Articles of Amendment of the Company (declassification of Board) (incorporated by reference as an exhibit to the Company's 2008 Form 10-K).</w:t>
              </w:r>
            </w:hyperlink>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33">
              <w:r>
                <w:rPr>
                  <w:rFonts w:ascii="Arial" w:cs="Arial" w:eastAsia="Arial" w:hAnsi="Arial"/>
                  <w:sz w:val="12"/>
                  <w:szCs w:val="12"/>
                  <w:color w:val="0000FF"/>
                </w:rPr>
                <w:t>3.</w:t>
              </w:r>
              <w:r>
                <w:rPr>
                  <w:rFonts w:ascii="Arial" w:cs="Arial" w:eastAsia="Arial" w:hAnsi="Arial"/>
                  <w:sz w:val="12"/>
                  <w:szCs w:val="12"/>
                  <w:u w:val="single" w:color="auto"/>
                  <w:color w:val="0000FF"/>
                </w:rPr>
                <w:t>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rPr>
            </w:pPr>
            <w:hyperlink r:id="rId133">
              <w:r>
                <w:rPr>
                  <w:rFonts w:ascii="Arial" w:cs="Arial" w:eastAsia="Arial" w:hAnsi="Arial"/>
                  <w:sz w:val="12"/>
                  <w:szCs w:val="12"/>
                  <w:color w:val="0000FF"/>
                </w:rPr>
                <w:t>Articles Supplementary of the Company (incorporated by reference as an exhibit to the Company's Current Report on Form 8-K, event date February 5, 2009).</w:t>
              </w:r>
            </w:hyperlink>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34">
              <w:r>
                <w:rPr>
                  <w:rFonts w:ascii="Arial" w:cs="Arial" w:eastAsia="Arial" w:hAnsi="Arial"/>
                  <w:sz w:val="12"/>
                  <w:szCs w:val="12"/>
                  <w:color w:val="0000FF"/>
                </w:rPr>
                <w:t>3.</w:t>
              </w:r>
              <w:r>
                <w:rPr>
                  <w:rFonts w:ascii="Arial" w:cs="Arial" w:eastAsia="Arial" w:hAnsi="Arial"/>
                  <w:sz w:val="12"/>
                  <w:szCs w:val="12"/>
                  <w:u w:val="single" w:color="auto"/>
                  <w:color w:val="0000FF"/>
                </w:rPr>
                <w:t>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w w:val="93"/>
              </w:rPr>
            </w:pPr>
            <w:hyperlink r:id="rId134">
              <w:r>
                <w:rPr>
                  <w:rFonts w:ascii="Arial" w:cs="Arial" w:eastAsia="Arial" w:hAnsi="Arial"/>
                  <w:sz w:val="12"/>
                  <w:szCs w:val="12"/>
                  <w:color w:val="0000FF"/>
                  <w:w w:val="93"/>
                </w:rPr>
                <w:t>Articles of Amendment of the Company (increased authorized shares) (incorporated by reference as an exhibit to the Company's Quarterly Report on Form 10-Q for the quarter ended June 30, 2009).</w:t>
              </w:r>
            </w:hyperlink>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000" w:type="dxa"/>
            <w:vAlign w:val="bottom"/>
            <w:gridSpan w:val="4"/>
          </w:tcPr>
          <w:p>
            <w:pPr>
              <w:jc w:val="right"/>
              <w:spacing w:after="0"/>
              <w:rPr>
                <w:rFonts w:ascii="Arial" w:cs="Arial" w:eastAsia="Arial" w:hAnsi="Arial"/>
                <w:sz w:val="12"/>
                <w:szCs w:val="12"/>
                <w:color w:val="0000FF"/>
              </w:rPr>
            </w:pPr>
            <w:hyperlink r:id="rId135">
              <w:r>
                <w:rPr>
                  <w:rFonts w:ascii="Arial" w:cs="Arial" w:eastAsia="Arial" w:hAnsi="Arial"/>
                  <w:sz w:val="12"/>
                  <w:szCs w:val="12"/>
                  <w:color w:val="0000FF"/>
                </w:rPr>
                <w:t>3.</w:t>
              </w:r>
              <w:r>
                <w:rPr>
                  <w:rFonts w:ascii="Arial" w:cs="Arial" w:eastAsia="Arial" w:hAnsi="Arial"/>
                  <w:sz w:val="12"/>
                  <w:szCs w:val="12"/>
                  <w:u w:val="single" w:color="auto"/>
                  <w:color w:val="0000FF"/>
                </w:rPr>
                <w:t>1.8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w w:val="93"/>
              </w:rPr>
            </w:pPr>
            <w:hyperlink r:id="rId135">
              <w:r>
                <w:rPr>
                  <w:rFonts w:ascii="Arial" w:cs="Arial" w:eastAsia="Arial" w:hAnsi="Arial"/>
                  <w:sz w:val="12"/>
                  <w:szCs w:val="12"/>
                  <w:color w:val="0000FF"/>
                  <w:w w:val="93"/>
                </w:rPr>
                <w:t>Articles of Amendment of the Company (to eliminate the supermajority vote requirement to amend the charter and to clarify a reference in Article NINTH) (incorporated by reference as an exhibit to the</w:t>
              </w:r>
            </w:hyperlink>
          </w:p>
        </w:tc>
      </w:tr>
      <w:tr>
        <w:trPr>
          <w:trHeight w:val="77"/>
        </w:trPr>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80" w:type="dxa"/>
            <w:vAlign w:val="bottom"/>
            <w:tcBorders>
              <w:top w:val="single" w:sz="8" w:color="0000FF"/>
              <w:bottom w:val="single" w:sz="8" w:color="0000FF"/>
            </w:tcBorders>
            <w:gridSpan w:val="4"/>
          </w:tcPr>
          <w:p>
            <w:pPr>
              <w:spacing w:after="0" w:line="77" w:lineRule="exact"/>
              <w:rPr>
                <w:rFonts w:ascii="Arial" w:cs="Arial" w:eastAsia="Arial" w:hAnsi="Arial"/>
                <w:sz w:val="8"/>
                <w:szCs w:val="8"/>
                <w:color w:val="0000FF"/>
              </w:rPr>
            </w:pPr>
            <w:hyperlink r:id="rId135">
              <w:r>
                <w:rPr>
                  <w:rFonts w:ascii="Arial" w:cs="Arial" w:eastAsia="Arial" w:hAnsi="Arial"/>
                  <w:sz w:val="8"/>
                  <w:szCs w:val="8"/>
                  <w:color w:val="0000FF"/>
                </w:rPr>
                <w:t>Company’s Current Report on Form 8-K, event date May 30, 2014).</w:t>
              </w:r>
            </w:hyperlink>
          </w:p>
        </w:tc>
        <w:tc>
          <w:tcPr>
            <w:tcW w:w="6440" w:type="dxa"/>
            <w:vAlign w:val="bottom"/>
            <w:tcBorders>
              <w:top w:val="single" w:sz="8" w:color="0000FF"/>
            </w:tcBorders>
            <w:gridSpan w:val="12"/>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gridSpan w:val="2"/>
          </w:tcPr>
          <w:p>
            <w:pPr>
              <w:spacing w:after="0"/>
              <w:rPr>
                <w:sz w:val="6"/>
                <w:szCs w:val="6"/>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36">
              <w:r>
                <w:rPr>
                  <w:rFonts w:ascii="Arial" w:cs="Arial" w:eastAsia="Arial" w:hAnsi="Arial"/>
                  <w:sz w:val="12"/>
                  <w:szCs w:val="12"/>
                  <w:color w:val="0000FF"/>
                </w:rPr>
                <w:t>3.</w:t>
              </w:r>
              <w:r>
                <w:rPr>
                  <w:rFonts w:ascii="Arial" w:cs="Arial" w:eastAsia="Arial" w:hAnsi="Arial"/>
                  <w:sz w:val="12"/>
                  <w:szCs w:val="12"/>
                  <w:u w:val="single" w:color="auto"/>
                  <w:color w:val="0000FF"/>
                </w:rPr>
                <w:t>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w w:val="93"/>
              </w:rPr>
            </w:pPr>
            <w:hyperlink r:id="rId136">
              <w:r>
                <w:rPr>
                  <w:rFonts w:ascii="Arial" w:cs="Arial" w:eastAsia="Arial" w:hAnsi="Arial"/>
                  <w:sz w:val="12"/>
                  <w:szCs w:val="12"/>
                  <w:color w:val="0000FF"/>
                  <w:w w:val="93"/>
                </w:rPr>
                <w:t>Articles Supplementary (election to be subject to Section 3-803 of the Maryland General Corporation Law) (incorporated by reference as an exhibit to the Company's Current Report on Form 8-K, event</w:t>
              </w:r>
            </w:hyperlink>
          </w:p>
        </w:tc>
      </w:tr>
      <w:tr>
        <w:trPr>
          <w:trHeight w:val="97"/>
        </w:trPr>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700" w:type="dxa"/>
            <w:vAlign w:val="bottom"/>
            <w:tcBorders>
              <w:top w:val="single" w:sz="8" w:color="0000FF"/>
            </w:tcBorders>
            <w:gridSpan w:val="15"/>
          </w:tcPr>
          <w:p>
            <w:pPr>
              <w:spacing w:after="0" w:line="97" w:lineRule="exact"/>
              <w:rPr>
                <w:rFonts w:ascii="Arial" w:cs="Arial" w:eastAsia="Arial" w:hAnsi="Arial"/>
                <w:sz w:val="11"/>
                <w:szCs w:val="11"/>
                <w:color w:val="0000FF"/>
              </w:rPr>
            </w:pPr>
            <w:hyperlink r:id="rId136">
              <w:r>
                <w:rPr>
                  <w:rFonts w:ascii="Arial" w:cs="Arial" w:eastAsia="Arial" w:hAnsi="Arial"/>
                  <w:sz w:val="11"/>
                  <w:szCs w:val="11"/>
                  <w:color w:val="0000FF"/>
                </w:rPr>
                <w:t>date March 17, 2015).</w:t>
              </w:r>
            </w:hyperlink>
          </w:p>
        </w:tc>
        <w:tc>
          <w:tcPr>
            <w:tcW w:w="100" w:type="dxa"/>
            <w:vAlign w:val="bottom"/>
            <w:gridSpan w:val="2"/>
          </w:tcPr>
          <w:p>
            <w:pPr>
              <w:spacing w:after="0"/>
              <w:rPr>
                <w:sz w:val="8"/>
                <w:szCs w:val="8"/>
                <w:color w:val="auto"/>
              </w:rPr>
            </w:pPr>
          </w:p>
        </w:tc>
        <w:tc>
          <w:tcPr>
            <w:tcW w:w="100" w:type="dxa"/>
            <w:vAlign w:val="bottom"/>
            <w:gridSpan w:val="2"/>
          </w:tcPr>
          <w:p>
            <w:pPr>
              <w:spacing w:after="0"/>
              <w:rPr>
                <w:sz w:val="8"/>
                <w:szCs w:val="8"/>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20" w:type="dxa"/>
            <w:vAlign w:val="bottom"/>
            <w:gridSpan w:val="8"/>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37">
              <w:r>
                <w:rPr>
                  <w:rFonts w:ascii="Arial" w:cs="Arial" w:eastAsia="Arial" w:hAnsi="Arial"/>
                  <w:sz w:val="12"/>
                  <w:szCs w:val="12"/>
                  <w:color w:val="0000FF"/>
                </w:rPr>
                <w:t>3.</w:t>
              </w:r>
              <w:r>
                <w:rPr>
                  <w:rFonts w:ascii="Arial" w:cs="Arial" w:eastAsia="Arial" w:hAnsi="Arial"/>
                  <w:sz w:val="12"/>
                  <w:szCs w:val="12"/>
                  <w:u w:val="single" w:color="auto"/>
                  <w:color w:val="0000FF"/>
                </w:rPr>
                <w:t>1.10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rPr>
            </w:pPr>
            <w:hyperlink r:id="rId137">
              <w:r>
                <w:rPr>
                  <w:rFonts w:ascii="Arial" w:cs="Arial" w:eastAsia="Arial" w:hAnsi="Arial"/>
                  <w:sz w:val="12"/>
                  <w:szCs w:val="12"/>
                  <w:color w:val="0000FF"/>
                </w:rPr>
                <w:t>Articles Supplementary (designation of Series E Preferred Stock) (incorporated by reference as an exhibit to the Company's Current Report on Form 8-K, event date March 18, 2015).</w:t>
              </w:r>
            </w:hyperlink>
          </w:p>
        </w:tc>
      </w:tr>
      <w:tr>
        <w:trPr>
          <w:trHeight w:val="20"/>
        </w:trPr>
        <w:tc>
          <w:tcPr>
            <w:tcW w:w="70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420" w:type="dxa"/>
            <w:vAlign w:val="bottom"/>
            <w:gridSpan w:val="8"/>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700" w:type="dxa"/>
            <w:vAlign w:val="bottom"/>
          </w:tcPr>
          <w:p>
            <w:pPr>
              <w:spacing w:after="0"/>
              <w:rPr>
                <w:sz w:val="24"/>
                <w:szCs w:val="24"/>
                <w:color w:val="auto"/>
              </w:rPr>
            </w:pPr>
          </w:p>
        </w:tc>
        <w:tc>
          <w:tcPr>
            <w:tcW w:w="300" w:type="dxa"/>
            <w:vAlign w:val="bottom"/>
            <w:tcBorders>
              <w:bottom w:val="single" w:sz="8" w:color="0000FF"/>
            </w:tcBorders>
            <w:gridSpan w:val="3"/>
          </w:tcPr>
          <w:p>
            <w:pPr>
              <w:jc w:val="right"/>
              <w:spacing w:after="0"/>
              <w:rPr>
                <w:rFonts w:ascii="Arial" w:cs="Arial" w:eastAsia="Arial" w:hAnsi="Arial"/>
                <w:sz w:val="12"/>
                <w:szCs w:val="12"/>
                <w:color w:val="0000FF"/>
                <w:w w:val="83"/>
              </w:rPr>
            </w:pPr>
            <w:hyperlink r:id="rId138">
              <w:r>
                <w:rPr>
                  <w:rFonts w:ascii="Arial" w:cs="Arial" w:eastAsia="Arial" w:hAnsi="Arial"/>
                  <w:sz w:val="12"/>
                  <w:szCs w:val="12"/>
                  <w:color w:val="0000FF"/>
                  <w:w w:val="83"/>
                </w:rPr>
                <w:t>3.</w:t>
              </w:r>
              <w:r>
                <w:rPr>
                  <w:rFonts w:ascii="Arial" w:cs="Arial" w:eastAsia="Arial" w:hAnsi="Arial"/>
                  <w:sz w:val="12"/>
                  <w:szCs w:val="12"/>
                  <w:u w:val="single" w:color="auto"/>
                  <w:color w:val="0000FF"/>
                  <w:w w:val="83"/>
                </w:rPr>
                <w:t>1.11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13"/>
          </w:tcPr>
          <w:p>
            <w:pPr>
              <w:spacing w:after="0"/>
              <w:rPr>
                <w:rFonts w:ascii="Arial" w:cs="Arial" w:eastAsia="Arial" w:hAnsi="Arial"/>
                <w:sz w:val="12"/>
                <w:szCs w:val="12"/>
                <w:color w:val="0000FF"/>
                <w:w w:val="90"/>
              </w:rPr>
            </w:pPr>
            <w:hyperlink r:id="rId138">
              <w:r>
                <w:rPr>
                  <w:rFonts w:ascii="Arial" w:cs="Arial" w:eastAsia="Arial" w:hAnsi="Arial"/>
                  <w:sz w:val="12"/>
                  <w:szCs w:val="12"/>
                  <w:color w:val="0000FF"/>
                  <w:w w:val="90"/>
                </w:rPr>
                <w:t>Articles Supplementary (reclassification of Series E Preferred Stock to preferred stock) (incorporated by reference as an exhibit to the Company's Current Report on Form 8-K, event date May 7, 2015).</w:t>
              </w:r>
            </w:hyperlink>
          </w:p>
        </w:tc>
        <w:tc>
          <w:tcPr>
            <w:tcW w:w="240" w:type="dxa"/>
            <w:vAlign w:val="bottom"/>
            <w:gridSpan w:val="6"/>
          </w:tcPr>
          <w:p>
            <w:pPr>
              <w:spacing w:after="0"/>
              <w:rPr>
                <w:sz w:val="24"/>
                <w:szCs w:val="24"/>
                <w:color w:val="auto"/>
              </w:rPr>
            </w:pPr>
          </w:p>
        </w:tc>
      </w:tr>
      <w:tr>
        <w:trPr>
          <w:trHeight w:val="324"/>
        </w:trPr>
        <w:tc>
          <w:tcPr>
            <w:tcW w:w="1000" w:type="dxa"/>
            <w:vAlign w:val="bottom"/>
            <w:gridSpan w:val="4"/>
          </w:tcPr>
          <w:p>
            <w:pPr>
              <w:jc w:val="right"/>
              <w:spacing w:after="0"/>
              <w:rPr>
                <w:rFonts w:ascii="Arial" w:cs="Arial" w:eastAsia="Arial" w:hAnsi="Arial"/>
                <w:sz w:val="12"/>
                <w:szCs w:val="12"/>
                <w:color w:val="0000FF"/>
              </w:rPr>
            </w:pPr>
            <w:hyperlink r:id="rId139">
              <w:r>
                <w:rPr>
                  <w:rFonts w:ascii="Arial" w:cs="Arial" w:eastAsia="Arial" w:hAnsi="Arial"/>
                  <w:sz w:val="12"/>
                  <w:szCs w:val="12"/>
                  <w:color w:val="0000FF"/>
                </w:rPr>
                <w:t>3.</w:t>
              </w:r>
              <w:r>
                <w:rPr>
                  <w:rFonts w:ascii="Arial" w:cs="Arial" w:eastAsia="Arial" w:hAnsi="Arial"/>
                  <w:sz w:val="12"/>
                  <w:szCs w:val="12"/>
                  <w:u w:val="single" w:color="auto"/>
                  <w:color w:val="0000FF"/>
                </w:rPr>
                <w:t>1.12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w w:val="91"/>
              </w:rPr>
            </w:pPr>
            <w:hyperlink r:id="rId139">
              <w:r>
                <w:rPr>
                  <w:rFonts w:ascii="Arial" w:cs="Arial" w:eastAsia="Arial" w:hAnsi="Arial"/>
                  <w:sz w:val="12"/>
                  <w:szCs w:val="12"/>
                  <w:color w:val="0000FF"/>
                  <w:w w:val="91"/>
                </w:rPr>
                <w:t>Articles Supplementary (repeal of election to be subject to Section 3-803 of the Maryland General Corporation Law (incorporated by reference as an exhibit to the Company's Current Report on Form 8-K,</w:t>
              </w:r>
            </w:hyperlink>
          </w:p>
        </w:tc>
      </w:tr>
      <w:tr>
        <w:trPr>
          <w:trHeight w:val="77"/>
        </w:trPr>
        <w:tc>
          <w:tcPr>
            <w:tcW w:w="700" w:type="dxa"/>
            <w:vAlign w:val="bottom"/>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tcBorders>
              <w:top w:val="single" w:sz="8" w:color="0000FF"/>
              <w:bottom w:val="single" w:sz="8" w:color="0000FF"/>
            </w:tcBorders>
            <w:gridSpan w:val="2"/>
          </w:tcPr>
          <w:p>
            <w:pPr>
              <w:spacing w:after="0" w:line="77" w:lineRule="exact"/>
              <w:rPr>
                <w:rFonts w:ascii="Arial" w:cs="Arial" w:eastAsia="Arial" w:hAnsi="Arial"/>
                <w:sz w:val="8"/>
                <w:szCs w:val="8"/>
                <w:color w:val="0000FF"/>
              </w:rPr>
            </w:pPr>
            <w:hyperlink r:id="rId139">
              <w:r>
                <w:rPr>
                  <w:rFonts w:ascii="Arial" w:cs="Arial" w:eastAsia="Arial" w:hAnsi="Arial"/>
                  <w:sz w:val="8"/>
                  <w:szCs w:val="8"/>
                  <w:color w:val="0000FF"/>
                </w:rPr>
                <w:t>event date May 28, 2015).</w:t>
              </w:r>
            </w:hyperlink>
          </w:p>
        </w:tc>
        <w:tc>
          <w:tcPr>
            <w:tcW w:w="8540" w:type="dxa"/>
            <w:vAlign w:val="bottom"/>
            <w:tcBorders>
              <w:top w:val="single" w:sz="8" w:color="0000FF"/>
            </w:tcBorders>
            <w:gridSpan w:val="15"/>
          </w:tcPr>
          <w:p>
            <w:pPr>
              <w:spacing w:after="0"/>
              <w:rPr>
                <w:sz w:val="6"/>
                <w:szCs w:val="6"/>
                <w:color w:val="auto"/>
              </w:rPr>
            </w:pPr>
          </w:p>
        </w:tc>
        <w:tc>
          <w:tcPr>
            <w:tcW w:w="100" w:type="dxa"/>
            <w:vAlign w:val="bottom"/>
            <w:gridSpan w:val="2"/>
          </w:tcPr>
          <w:p>
            <w:pPr>
              <w:spacing w:after="0"/>
              <w:rPr>
                <w:sz w:val="6"/>
                <w:szCs w:val="6"/>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40">
              <w:r>
                <w:rPr>
                  <w:rFonts w:ascii="Arial" w:cs="Arial" w:eastAsia="Arial" w:hAnsi="Arial"/>
                  <w:sz w:val="12"/>
                  <w:szCs w:val="12"/>
                  <w:color w:val="0000FF"/>
                </w:rPr>
                <w:t>3.</w:t>
              </w:r>
              <w:r>
                <w:rPr>
                  <w:rFonts w:ascii="Arial" w:cs="Arial" w:eastAsia="Arial" w:hAnsi="Arial"/>
                  <w:sz w:val="12"/>
                  <w:szCs w:val="12"/>
                  <w:u w:val="single" w:color="auto"/>
                  <w:color w:val="0000FF"/>
                </w:rPr>
                <w:t>1.13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2"/>
                <w:szCs w:val="12"/>
                <w:color w:val="0000FF"/>
                <w:w w:val="94"/>
              </w:rPr>
            </w:pPr>
            <w:hyperlink r:id="rId140">
              <w:r>
                <w:rPr>
                  <w:rFonts w:ascii="Arial" w:cs="Arial" w:eastAsia="Arial" w:hAnsi="Arial"/>
                  <w:sz w:val="12"/>
                  <w:szCs w:val="12"/>
                  <w:color w:val="0000FF"/>
                  <w:w w:val="94"/>
                </w:rPr>
                <w:t>Articles Supplementary (opting out of provisions of Subtitle 8 of Title 3 of the Maryland General Corporate Law (MUTA Provisions)) (incorporated by reference as an exhibit to the Company’s Current</w:t>
              </w:r>
            </w:hyperlink>
          </w:p>
        </w:tc>
      </w:tr>
      <w:tr>
        <w:trPr>
          <w:trHeight w:val="97"/>
        </w:trPr>
        <w:tc>
          <w:tcPr>
            <w:tcW w:w="70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40" w:type="dxa"/>
            <w:vAlign w:val="bottom"/>
            <w:tcBorders>
              <w:top w:val="single" w:sz="8" w:color="0000FF"/>
              <w:bottom w:val="single" w:sz="8" w:color="0000FF"/>
            </w:tcBorders>
            <w:gridSpan w:val="3"/>
          </w:tcPr>
          <w:p>
            <w:pPr>
              <w:spacing w:after="0" w:line="97" w:lineRule="exact"/>
              <w:rPr>
                <w:rFonts w:ascii="Arial" w:cs="Arial" w:eastAsia="Arial" w:hAnsi="Arial"/>
                <w:sz w:val="11"/>
                <w:szCs w:val="11"/>
                <w:color w:val="0000FF"/>
                <w:w w:val="99"/>
              </w:rPr>
            </w:pPr>
            <w:hyperlink r:id="rId140">
              <w:r>
                <w:rPr>
                  <w:rFonts w:ascii="Arial" w:cs="Arial" w:eastAsia="Arial" w:hAnsi="Arial"/>
                  <w:sz w:val="11"/>
                  <w:szCs w:val="11"/>
                  <w:color w:val="0000FF"/>
                  <w:w w:val="99"/>
                </w:rPr>
                <w:t>Report on Form 8-K, event date April 24, 2019).</w:t>
              </w:r>
            </w:hyperlink>
          </w:p>
        </w:tc>
        <w:tc>
          <w:tcPr>
            <w:tcW w:w="7320" w:type="dxa"/>
            <w:vAlign w:val="bottom"/>
            <w:tcBorders>
              <w:top w:val="single" w:sz="8" w:color="0000FF"/>
            </w:tcBorders>
            <w:gridSpan w:val="10"/>
          </w:tcPr>
          <w:p>
            <w:pPr>
              <w:spacing w:after="0"/>
              <w:rPr>
                <w:sz w:val="8"/>
                <w:szCs w:val="8"/>
                <w:color w:val="auto"/>
              </w:rPr>
            </w:pPr>
          </w:p>
        </w:tc>
        <w:tc>
          <w:tcPr>
            <w:tcW w:w="240" w:type="dxa"/>
            <w:vAlign w:val="bottom"/>
            <w:gridSpan w:val="6"/>
          </w:tcPr>
          <w:p>
            <w:pPr>
              <w:spacing w:after="0"/>
              <w:rPr>
                <w:sz w:val="8"/>
                <w:szCs w:val="8"/>
                <w:color w:val="auto"/>
              </w:rPr>
            </w:pPr>
          </w:p>
        </w:tc>
      </w:tr>
      <w:tr>
        <w:trPr>
          <w:trHeight w:val="844"/>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80" w:type="dxa"/>
            <w:vAlign w:val="bottom"/>
            <w:gridSpan w:val="6"/>
          </w:tcPr>
          <w:p>
            <w:pPr>
              <w:jc w:val="right"/>
              <w:ind w:right="2566"/>
              <w:spacing w:after="0"/>
              <w:rPr>
                <w:sz w:val="20"/>
                <w:szCs w:val="20"/>
                <w:color w:val="auto"/>
              </w:rPr>
            </w:pPr>
            <w:r>
              <w:rPr>
                <w:rFonts w:ascii="Arial" w:cs="Arial" w:eastAsia="Arial" w:hAnsi="Arial"/>
                <w:sz w:val="12"/>
                <w:szCs w:val="12"/>
                <w:color w:val="auto"/>
              </w:rPr>
              <w:t>109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7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36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27"/>
        </w:trPr>
        <w:tc>
          <w:tcPr>
            <w:tcW w:w="1380" w:type="dxa"/>
            <w:vAlign w:val="bottom"/>
            <w:gridSpan w:val="5"/>
          </w:tcPr>
          <w:p>
            <w:pPr>
              <w:ind w:left="180"/>
              <w:spacing w:after="0"/>
              <w:rPr>
                <w:sz w:val="20"/>
                <w:szCs w:val="20"/>
                <w:color w:val="auto"/>
              </w:rPr>
            </w:pPr>
            <w:r>
              <w:rPr>
                <w:rFonts w:ascii="Arial" w:cs="Arial" w:eastAsia="Arial" w:hAnsi="Arial"/>
                <w:sz w:val="10"/>
                <w:szCs w:val="10"/>
                <w:b w:val="1"/>
                <w:bCs w:val="1"/>
                <w:color w:val="auto"/>
              </w:rPr>
              <w:t>Exhibit 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500" w:type="dxa"/>
            <w:vAlign w:val="bottom"/>
            <w:gridSpan w:val="13"/>
          </w:tcPr>
          <w:p>
            <w:pPr>
              <w:ind w:left="2300"/>
              <w:spacing w:after="0"/>
              <w:rPr>
                <w:sz w:val="20"/>
                <w:szCs w:val="20"/>
                <w:color w:val="auto"/>
              </w:rPr>
            </w:pPr>
            <w:r>
              <w:rPr>
                <w:rFonts w:ascii="Arial" w:cs="Arial" w:eastAsia="Arial" w:hAnsi="Arial"/>
                <w:sz w:val="10"/>
                <w:szCs w:val="10"/>
                <w:b w:val="1"/>
                <w:bCs w:val="1"/>
                <w:color w:val="auto"/>
              </w:rPr>
              <w:t>Description</w:t>
            </w:r>
          </w:p>
        </w:tc>
      </w:tr>
      <w:tr>
        <w:trPr>
          <w:trHeight w:val="119"/>
        </w:trPr>
        <w:tc>
          <w:tcPr>
            <w:tcW w:w="1000" w:type="dxa"/>
            <w:vAlign w:val="bottom"/>
            <w:tcBorders>
              <w:top w:val="single" w:sz="8" w:color="auto"/>
            </w:tcBorders>
            <w:gridSpan w:val="4"/>
          </w:tcPr>
          <w:p>
            <w:pPr>
              <w:jc w:val="right"/>
              <w:spacing w:after="0" w:line="119" w:lineRule="exact"/>
              <w:rPr>
                <w:rFonts w:ascii="Arial" w:cs="Arial" w:eastAsia="Arial" w:hAnsi="Arial"/>
                <w:sz w:val="12"/>
                <w:szCs w:val="12"/>
                <w:color w:val="0000FF"/>
              </w:rPr>
            </w:pPr>
            <w:hyperlink r:id="rId143">
              <w:r>
                <w:rPr>
                  <w:rFonts w:ascii="Arial" w:cs="Arial" w:eastAsia="Arial" w:hAnsi="Arial"/>
                  <w:sz w:val="12"/>
                  <w:szCs w:val="12"/>
                  <w:color w:val="0000FF"/>
                </w:rPr>
                <w:t>3.</w:t>
              </w:r>
              <w:r>
                <w:rPr>
                  <w:rFonts w:ascii="Arial" w:cs="Arial" w:eastAsia="Arial" w:hAnsi="Arial"/>
                  <w:sz w:val="12"/>
                  <w:szCs w:val="12"/>
                  <w:u w:val="single" w:color="auto"/>
                  <w:color w:val="0000FF"/>
                </w:rPr>
                <w:t>1.14</w:t>
              </w:r>
            </w:hyperlink>
          </w:p>
        </w:tc>
        <w:tc>
          <w:tcPr>
            <w:tcW w:w="3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900" w:type="dxa"/>
            <w:vAlign w:val="bottom"/>
            <w:tcBorders>
              <w:top w:val="single" w:sz="8" w:color="auto"/>
            </w:tcBorders>
            <w:gridSpan w:val="21"/>
          </w:tcPr>
          <w:p>
            <w:pPr>
              <w:spacing w:after="0" w:line="119" w:lineRule="exact"/>
              <w:rPr>
                <w:rFonts w:ascii="Arial" w:cs="Arial" w:eastAsia="Arial" w:hAnsi="Arial"/>
                <w:sz w:val="12"/>
                <w:szCs w:val="12"/>
                <w:color w:val="0000FF"/>
              </w:rPr>
            </w:pPr>
            <w:hyperlink r:id="rId143">
              <w:r>
                <w:rPr>
                  <w:rFonts w:ascii="Arial" w:cs="Arial" w:eastAsia="Arial" w:hAnsi="Arial"/>
                  <w:sz w:val="12"/>
                  <w:szCs w:val="12"/>
                  <w:color w:val="0000FF"/>
                </w:rPr>
                <w:t>Articles of Amendment of the Company (increased authorized shares) (incorporated by reference as an exhibit to the Company’s Current Report on Form 8-K, event date May 28, 2021).</w:t>
              </w:r>
            </w:hyperlink>
          </w:p>
        </w:tc>
      </w:tr>
      <w:tr>
        <w:trPr>
          <w:trHeight w:val="304"/>
        </w:trPr>
        <w:tc>
          <w:tcPr>
            <w:tcW w:w="700" w:type="dxa"/>
            <w:vAlign w:val="bottom"/>
            <w:gridSpan w:val="2"/>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jc w:val="right"/>
              <w:spacing w:after="0"/>
              <w:rPr>
                <w:rFonts w:ascii="Arial" w:cs="Arial" w:eastAsia="Arial" w:hAnsi="Arial"/>
                <w:sz w:val="12"/>
                <w:szCs w:val="12"/>
                <w:color w:val="0000FF"/>
                <w:w w:val="83"/>
              </w:rPr>
            </w:pPr>
            <w:hyperlink r:id="rId144">
              <w:r>
                <w:rPr>
                  <w:rFonts w:ascii="Arial" w:cs="Arial" w:eastAsia="Arial" w:hAnsi="Arial"/>
                  <w:sz w:val="12"/>
                  <w:szCs w:val="12"/>
                  <w:color w:val="0000FF"/>
                  <w:w w:val="83"/>
                </w:rPr>
                <w:t>3.</w:t>
              </w:r>
              <w:r>
                <w:rPr>
                  <w:rFonts w:ascii="Arial" w:cs="Arial" w:eastAsia="Arial" w:hAnsi="Arial"/>
                  <w:sz w:val="12"/>
                  <w:szCs w:val="12"/>
                  <w:u w:val="single" w:color="auto"/>
                  <w:color w:val="0000FF"/>
                  <w:w w:val="83"/>
                </w:rPr>
                <w:t>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top w:val="single" w:sz="8" w:color="0000FF"/>
            </w:tcBorders>
            <w:gridSpan w:val="12"/>
          </w:tcPr>
          <w:p>
            <w:pPr>
              <w:spacing w:after="0"/>
              <w:rPr>
                <w:rFonts w:ascii="Arial" w:cs="Arial" w:eastAsia="Arial" w:hAnsi="Arial"/>
                <w:sz w:val="12"/>
                <w:szCs w:val="12"/>
                <w:color w:val="0000FF"/>
              </w:rPr>
            </w:pPr>
            <w:hyperlink r:id="rId144">
              <w:r>
                <w:rPr>
                  <w:rFonts w:ascii="Arial" w:cs="Arial" w:eastAsia="Arial" w:hAnsi="Arial"/>
                  <w:sz w:val="12"/>
                  <w:szCs w:val="12"/>
                  <w:color w:val="0000FF"/>
                </w:rPr>
                <w:t>Amended and Restated Bylaws of the Company (incorporated by reference as an exhibit to the Company's Current Report on Form 8-K, event date April 24, 2019).</w:t>
              </w:r>
            </w:hyperlink>
          </w:p>
        </w:tc>
        <w:tc>
          <w:tcPr>
            <w:tcW w:w="1000" w:type="dxa"/>
            <w:vAlign w:val="bottom"/>
            <w:gridSpan w:val="9"/>
          </w:tcPr>
          <w:p>
            <w:pPr>
              <w:spacing w:after="0"/>
              <w:rPr>
                <w:sz w:val="24"/>
                <w:szCs w:val="24"/>
                <w:color w:val="auto"/>
              </w:rPr>
            </w:pPr>
          </w:p>
        </w:tc>
      </w:tr>
      <w:tr>
        <w:trPr>
          <w:trHeight w:val="304"/>
        </w:trPr>
        <w:tc>
          <w:tcPr>
            <w:tcW w:w="840" w:type="dxa"/>
            <w:vAlign w:val="bottom"/>
            <w:gridSpan w:val="3"/>
          </w:tcPr>
          <w:p>
            <w:pPr>
              <w:spacing w:after="0"/>
              <w:rPr>
                <w:sz w:val="24"/>
                <w:szCs w:val="24"/>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2"/>
                <w:szCs w:val="12"/>
                <w:color w:val="0000FF"/>
                <w:w w:val="83"/>
              </w:rPr>
            </w:pPr>
            <w:hyperlink w:anchor="page117">
              <w:r>
                <w:rPr>
                  <w:rFonts w:ascii="Arial" w:cs="Arial" w:eastAsia="Arial" w:hAnsi="Arial"/>
                  <w:sz w:val="12"/>
                  <w:szCs w:val="12"/>
                  <w:color w:val="0000FF"/>
                  <w:w w:val="83"/>
                </w:rPr>
                <w:t>4.</w:t>
              </w:r>
              <w:r>
                <w:rPr>
                  <w:rFonts w:ascii="Arial" w:cs="Arial" w:eastAsia="Arial" w:hAnsi="Arial"/>
                  <w:sz w:val="12"/>
                  <w:szCs w:val="12"/>
                  <w:u w:val="single" w:color="auto"/>
                  <w:color w:val="0000FF"/>
                  <w:w w:val="83"/>
                </w:rPr>
                <w:t>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7"/>
          </w:tcPr>
          <w:p>
            <w:pPr>
              <w:spacing w:after="0"/>
              <w:rPr>
                <w:rFonts w:ascii="Arial" w:cs="Arial" w:eastAsia="Arial" w:hAnsi="Arial"/>
                <w:sz w:val="12"/>
                <w:szCs w:val="12"/>
                <w:color w:val="0000FF"/>
                <w:w w:val="90"/>
              </w:rPr>
            </w:pPr>
            <w:hyperlink w:anchor="page117">
              <w:r>
                <w:rPr>
                  <w:rFonts w:ascii="Arial" w:cs="Arial" w:eastAsia="Arial" w:hAnsi="Arial"/>
                  <w:sz w:val="12"/>
                  <w:szCs w:val="12"/>
                  <w:color w:val="0000FF"/>
                  <w:w w:val="90"/>
                </w:rPr>
                <w:t>Description of the Company's Securities</w:t>
              </w:r>
            </w:hyperlink>
          </w:p>
        </w:tc>
        <w:tc>
          <w:tcPr>
            <w:tcW w:w="5920" w:type="dxa"/>
            <w:vAlign w:val="bottom"/>
            <w:tcBorders>
              <w:top w:val="single" w:sz="8" w:color="0000FF"/>
            </w:tcBorders>
            <w:gridSpan w:val="2"/>
          </w:tcPr>
          <w:p>
            <w:pPr>
              <w:spacing w:after="0"/>
              <w:rPr>
                <w:sz w:val="24"/>
                <w:szCs w:val="24"/>
                <w:color w:val="auto"/>
              </w:rPr>
            </w:pPr>
          </w:p>
        </w:tc>
        <w:tc>
          <w:tcPr>
            <w:tcW w:w="2040" w:type="dxa"/>
            <w:vAlign w:val="bottom"/>
            <w:gridSpan w:val="12"/>
          </w:tcPr>
          <w:p>
            <w:pPr>
              <w:spacing w:after="0"/>
              <w:rPr>
                <w:sz w:val="24"/>
                <w:szCs w:val="24"/>
                <w:color w:val="auto"/>
              </w:rPr>
            </w:pPr>
          </w:p>
        </w:tc>
      </w:tr>
      <w:tr>
        <w:trPr>
          <w:trHeight w:val="304"/>
        </w:trPr>
        <w:tc>
          <w:tcPr>
            <w:tcW w:w="840" w:type="dxa"/>
            <w:vAlign w:val="bottom"/>
            <w:gridSpan w:val="3"/>
          </w:tcPr>
          <w:p>
            <w:pPr>
              <w:spacing w:after="0"/>
              <w:rPr>
                <w:sz w:val="24"/>
                <w:szCs w:val="24"/>
                <w:color w:val="auto"/>
              </w:rPr>
            </w:pPr>
          </w:p>
        </w:tc>
        <w:tc>
          <w:tcPr>
            <w:tcW w:w="160" w:type="dxa"/>
            <w:vAlign w:val="bottom"/>
          </w:tcPr>
          <w:p>
            <w:pPr>
              <w:jc w:val="right"/>
              <w:spacing w:after="0"/>
              <w:rPr>
                <w:rFonts w:ascii="Arial" w:cs="Arial" w:eastAsia="Arial" w:hAnsi="Arial"/>
                <w:sz w:val="12"/>
                <w:szCs w:val="12"/>
                <w:color w:val="0000FF"/>
                <w:w w:val="83"/>
              </w:rPr>
            </w:pPr>
            <w:hyperlink r:id="rId145">
              <w:r>
                <w:rPr>
                  <w:rFonts w:ascii="Arial" w:cs="Arial" w:eastAsia="Arial" w:hAnsi="Arial"/>
                  <w:sz w:val="12"/>
                  <w:szCs w:val="12"/>
                  <w:color w:val="0000FF"/>
                  <w:w w:val="83"/>
                </w:rPr>
                <w:t>4.</w:t>
              </w:r>
            </w:hyperlink>
            <w:r>
              <w:rPr>
                <w:rFonts w:ascii="Arial" w:cs="Arial" w:eastAsia="Arial" w:hAnsi="Arial"/>
                <w:sz w:val="12"/>
                <w:szCs w:val="12"/>
                <w:u w:val="single" w:color="auto"/>
                <w:color w:val="0000FF"/>
                <w:w w:val="83"/>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rPr>
            </w:pPr>
            <w:hyperlink r:id="rId145">
              <w:r>
                <w:rPr>
                  <w:rFonts w:ascii="Arial" w:cs="Arial" w:eastAsia="Arial" w:hAnsi="Arial"/>
                  <w:sz w:val="12"/>
                  <w:szCs w:val="12"/>
                  <w:color w:val="0000FF"/>
                </w:rPr>
                <w:t>Form of Common Stock Certificate (incorporated by reference as an exhibit to the Company's Current Report on Form 8-K, as amended, event date November 10, 1998).</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gridSpan w:val="3"/>
          </w:tcPr>
          <w:p>
            <w:pPr>
              <w:spacing w:after="0"/>
              <w:rPr>
                <w:sz w:val="24"/>
                <w:szCs w:val="24"/>
                <w:color w:val="auto"/>
              </w:rPr>
            </w:pPr>
          </w:p>
        </w:tc>
        <w:tc>
          <w:tcPr>
            <w:tcW w:w="160" w:type="dxa"/>
            <w:vAlign w:val="bottom"/>
            <w:tcBorders>
              <w:bottom w:val="single" w:sz="8" w:color="0000FF"/>
            </w:tcBorders>
          </w:tcPr>
          <w:p>
            <w:pPr>
              <w:jc w:val="right"/>
              <w:spacing w:after="0"/>
              <w:rPr>
                <w:rFonts w:ascii="Arial" w:cs="Arial" w:eastAsia="Arial" w:hAnsi="Arial"/>
                <w:sz w:val="12"/>
                <w:szCs w:val="12"/>
                <w:color w:val="0000FF"/>
                <w:w w:val="83"/>
              </w:rPr>
            </w:pPr>
            <w:hyperlink r:id="rId146">
              <w:r>
                <w:rPr>
                  <w:rFonts w:ascii="Arial" w:cs="Arial" w:eastAsia="Arial" w:hAnsi="Arial"/>
                  <w:sz w:val="12"/>
                  <w:szCs w:val="12"/>
                  <w:color w:val="0000FF"/>
                  <w:w w:val="83"/>
                </w:rPr>
                <w:t>4.</w:t>
              </w:r>
            </w:hyperlink>
            <w:r>
              <w:rPr>
                <w:rFonts w:ascii="Arial" w:cs="Arial" w:eastAsia="Arial" w:hAnsi="Arial"/>
                <w:sz w:val="12"/>
                <w:szCs w:val="12"/>
                <w:u w:val="single" w:color="auto"/>
                <w:color w:val="0000FF"/>
                <w:w w:val="83"/>
              </w:rPr>
              <w:t>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11"/>
          </w:tcPr>
          <w:p>
            <w:pPr>
              <w:spacing w:after="0"/>
              <w:rPr>
                <w:rFonts w:ascii="Arial" w:cs="Arial" w:eastAsia="Arial" w:hAnsi="Arial"/>
                <w:sz w:val="12"/>
                <w:szCs w:val="12"/>
                <w:color w:val="0000FF"/>
                <w:w w:val="90"/>
              </w:rPr>
            </w:pPr>
            <w:hyperlink r:id="rId146">
              <w:r>
                <w:rPr>
                  <w:rFonts w:ascii="Arial" w:cs="Arial" w:eastAsia="Arial" w:hAnsi="Arial"/>
                  <w:sz w:val="12"/>
                  <w:szCs w:val="12"/>
                  <w:color w:val="0000FF"/>
                  <w:w w:val="90"/>
                </w:rPr>
                <w:t>Form of Preferred Stock Certificate (Series D Preferred Stock) (incorporated by reference as an exhibit to the Company's Registration Statement on Form S-3 (No. 333-107063)).</w:t>
              </w:r>
            </w:hyperlink>
          </w:p>
        </w:tc>
        <w:tc>
          <w:tcPr>
            <w:tcW w:w="1360" w:type="dxa"/>
            <w:vAlign w:val="bottom"/>
            <w:gridSpan w:val="10"/>
          </w:tcPr>
          <w:p>
            <w:pPr>
              <w:spacing w:after="0"/>
              <w:rPr>
                <w:sz w:val="24"/>
                <w:szCs w:val="24"/>
                <w:color w:val="auto"/>
              </w:rPr>
            </w:pPr>
          </w:p>
        </w:tc>
      </w:tr>
      <w:tr>
        <w:trPr>
          <w:trHeight w:val="304"/>
        </w:trPr>
        <w:tc>
          <w:tcPr>
            <w:tcW w:w="840" w:type="dxa"/>
            <w:vAlign w:val="bottom"/>
            <w:gridSpan w:val="3"/>
          </w:tcPr>
          <w:p>
            <w:pPr>
              <w:spacing w:after="0"/>
              <w:rPr>
                <w:sz w:val="24"/>
                <w:szCs w:val="24"/>
                <w:color w:val="auto"/>
              </w:rPr>
            </w:pPr>
          </w:p>
        </w:tc>
        <w:tc>
          <w:tcPr>
            <w:tcW w:w="160" w:type="dxa"/>
            <w:vAlign w:val="bottom"/>
          </w:tcPr>
          <w:p>
            <w:pPr>
              <w:jc w:val="right"/>
              <w:spacing w:after="0"/>
              <w:rPr>
                <w:rFonts w:ascii="Arial" w:cs="Arial" w:eastAsia="Arial" w:hAnsi="Arial"/>
                <w:sz w:val="10"/>
                <w:szCs w:val="10"/>
                <w:color w:val="0000FF"/>
                <w:w w:val="71"/>
              </w:rPr>
            </w:pPr>
            <w:hyperlink r:id="rId147">
              <w:r>
                <w:rPr>
                  <w:rFonts w:ascii="Arial" w:cs="Arial" w:eastAsia="Arial" w:hAnsi="Arial"/>
                  <w:sz w:val="10"/>
                  <w:szCs w:val="10"/>
                  <w:color w:val="0000FF"/>
                  <w:w w:val="71"/>
                </w:rPr>
                <w:t>10.</w:t>
              </w:r>
              <w:r>
                <w:rPr>
                  <w:rFonts w:ascii="Arial" w:cs="Arial" w:eastAsia="Arial" w:hAnsi="Arial"/>
                  <w:sz w:val="10"/>
                  <w:szCs w:val="10"/>
                  <w:u w:val="single" w:color="auto"/>
                  <w:color w:val="0000FF"/>
                  <w:w w:val="71"/>
                </w:rPr>
                <w:t>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7"/>
              </w:rPr>
            </w:pPr>
            <w:hyperlink r:id="rId147">
              <w:r>
                <w:rPr>
                  <w:rFonts w:ascii="Arial" w:cs="Arial" w:eastAsia="Arial" w:hAnsi="Arial"/>
                  <w:sz w:val="12"/>
                  <w:szCs w:val="12"/>
                  <w:color w:val="0000FF"/>
                  <w:w w:val="97"/>
                </w:rPr>
                <w:t>Amended and Restated Limited Partnership Agreement for the Operating Partnership dated as of March 16, 1994 (incorporated by reference as an exhibit to the Company's 1996 Form 10-K).</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48">
              <w:r>
                <w:rPr>
                  <w:rFonts w:ascii="Arial" w:cs="Arial" w:eastAsia="Arial" w:hAnsi="Arial"/>
                  <w:sz w:val="12"/>
                  <w:szCs w:val="12"/>
                  <w:color w:val="0000FF"/>
                </w:rPr>
                <w:t>10.</w:t>
              </w:r>
              <w:r>
                <w:rPr>
                  <w:rFonts w:ascii="Arial" w:cs="Arial" w:eastAsia="Arial" w:hAnsi="Arial"/>
                  <w:sz w:val="12"/>
                  <w:szCs w:val="12"/>
                  <w:u w:val="single" w:color="auto"/>
                  <w:color w:val="0000FF"/>
                </w:rPr>
                <w:t>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3"/>
              </w:rPr>
            </w:pPr>
            <w:hyperlink r:id="rId148">
              <w:r>
                <w:rPr>
                  <w:rFonts w:ascii="Arial" w:cs="Arial" w:eastAsia="Arial" w:hAnsi="Arial"/>
                  <w:sz w:val="12"/>
                  <w:szCs w:val="12"/>
                  <w:color w:val="0000FF"/>
                  <w:w w:val="93"/>
                </w:rPr>
                <w:t>Amendment to Amended and Restated Limited Partnership Agreement for the Operating Partnership dated June 27, 1997 (incorporated by reference as an exhibit to the Company's Current Report on</w:t>
              </w:r>
            </w:hyperlink>
          </w:p>
        </w:tc>
      </w:tr>
      <w:tr>
        <w:trPr>
          <w:trHeight w:val="97"/>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tcBorders>
              <w:top w:val="single" w:sz="8" w:color="0000FF"/>
              <w:bottom w:val="single" w:sz="8" w:color="0000FF"/>
            </w:tcBorders>
            <w:gridSpan w:val="6"/>
          </w:tcPr>
          <w:p>
            <w:pPr>
              <w:spacing w:after="0" w:line="97" w:lineRule="exact"/>
              <w:rPr>
                <w:rFonts w:ascii="Arial" w:cs="Arial" w:eastAsia="Arial" w:hAnsi="Arial"/>
                <w:sz w:val="11"/>
                <w:szCs w:val="11"/>
                <w:color w:val="0000FF"/>
                <w:w w:val="97"/>
              </w:rPr>
            </w:pPr>
            <w:hyperlink r:id="rId148">
              <w:r>
                <w:rPr>
                  <w:rFonts w:ascii="Arial" w:cs="Arial" w:eastAsia="Arial" w:hAnsi="Arial"/>
                  <w:sz w:val="11"/>
                  <w:szCs w:val="11"/>
                  <w:color w:val="0000FF"/>
                  <w:w w:val="97"/>
                </w:rPr>
                <w:t>Form 8-K, event date June 20, 1997).</w:t>
              </w:r>
            </w:hyperlink>
          </w:p>
        </w:tc>
        <w:tc>
          <w:tcPr>
            <w:tcW w:w="7740" w:type="dxa"/>
            <w:vAlign w:val="bottom"/>
            <w:tcBorders>
              <w:top w:val="single" w:sz="8" w:color="0000FF"/>
            </w:tcBorders>
            <w:gridSpan w:val="10"/>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49">
              <w:r>
                <w:rPr>
                  <w:rFonts w:ascii="Arial" w:cs="Arial" w:eastAsia="Arial" w:hAnsi="Arial"/>
                  <w:sz w:val="12"/>
                  <w:szCs w:val="12"/>
                  <w:color w:val="0000FF"/>
                </w:rPr>
                <w:t>10.</w:t>
              </w:r>
              <w:r>
                <w:rPr>
                  <w:rFonts w:ascii="Arial" w:cs="Arial" w:eastAsia="Arial" w:hAnsi="Arial"/>
                  <w:sz w:val="12"/>
                  <w:szCs w:val="12"/>
                  <w:u w:val="single" w:color="auto"/>
                  <w:color w:val="0000FF"/>
                </w:rPr>
                <w:t>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1"/>
              </w:rPr>
            </w:pPr>
            <w:hyperlink r:id="rId149">
              <w:r>
                <w:rPr>
                  <w:rFonts w:ascii="Arial" w:cs="Arial" w:eastAsia="Arial" w:hAnsi="Arial"/>
                  <w:sz w:val="12"/>
                  <w:szCs w:val="12"/>
                  <w:color w:val="0000FF"/>
                  <w:w w:val="91"/>
                </w:rPr>
                <w:t>Amendment to Amended and Restated Limited Partnership Agreement for the Operating Partnership dated November 16, 1997 (incorporated by reference as an exhibit to the Company's 1997 Form 10-K).</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49">
              <w:r>
                <w:rPr>
                  <w:rFonts w:ascii="Arial" w:cs="Arial" w:eastAsia="Arial" w:hAnsi="Arial"/>
                  <w:sz w:val="12"/>
                  <w:szCs w:val="12"/>
                  <w:color w:val="0000FF"/>
                </w:rPr>
                <w:t>10.</w:t>
              </w:r>
              <w:r>
                <w:rPr>
                  <w:rFonts w:ascii="Arial" w:cs="Arial" w:eastAsia="Arial" w:hAnsi="Arial"/>
                  <w:sz w:val="12"/>
                  <w:szCs w:val="12"/>
                  <w:u w:val="single" w:color="auto"/>
                  <w:color w:val="0000FF"/>
                </w:rPr>
                <w:t>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4"/>
              </w:rPr>
            </w:pPr>
            <w:hyperlink r:id="rId149">
              <w:r>
                <w:rPr>
                  <w:rFonts w:ascii="Arial" w:cs="Arial" w:eastAsia="Arial" w:hAnsi="Arial"/>
                  <w:sz w:val="12"/>
                  <w:szCs w:val="12"/>
                  <w:color w:val="0000FF"/>
                  <w:w w:val="94"/>
                </w:rPr>
                <w:t>Fourth Amendment to Amended and Restated Limited Partnership Agreement for the Operating Partnership dated February 25, 1998 (incorporated by reference as an exhibit to the Company's 1997</w:t>
              </w:r>
            </w:hyperlink>
          </w:p>
        </w:tc>
      </w:tr>
      <w:tr>
        <w:trPr>
          <w:trHeight w:val="97"/>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FF"/>
              <w:bottom w:val="single" w:sz="8" w:color="0000FF"/>
            </w:tcBorders>
            <w:gridSpan w:val="4"/>
          </w:tcPr>
          <w:p>
            <w:pPr>
              <w:spacing w:after="0" w:line="97" w:lineRule="exact"/>
              <w:rPr>
                <w:rFonts w:ascii="Arial" w:cs="Arial" w:eastAsia="Arial" w:hAnsi="Arial"/>
                <w:sz w:val="11"/>
                <w:szCs w:val="11"/>
                <w:color w:val="0000FF"/>
              </w:rPr>
            </w:pPr>
            <w:hyperlink r:id="rId149">
              <w:r>
                <w:rPr>
                  <w:rFonts w:ascii="Arial" w:cs="Arial" w:eastAsia="Arial" w:hAnsi="Arial"/>
                  <w:sz w:val="11"/>
                  <w:szCs w:val="11"/>
                  <w:color w:val="0000FF"/>
                </w:rPr>
                <w:t>Form 10-K).</w:t>
              </w:r>
            </w:hyperlink>
          </w:p>
        </w:tc>
        <w:tc>
          <w:tcPr>
            <w:tcW w:w="8840" w:type="dxa"/>
            <w:vAlign w:val="bottom"/>
            <w:tcBorders>
              <w:top w:val="single" w:sz="8" w:color="0000FF"/>
            </w:tcBorders>
            <w:gridSpan w:val="10"/>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49">
              <w:r>
                <w:rPr>
                  <w:rFonts w:ascii="Arial" w:cs="Arial" w:eastAsia="Arial" w:hAnsi="Arial"/>
                  <w:sz w:val="12"/>
                  <w:szCs w:val="12"/>
                  <w:color w:val="0000FF"/>
                </w:rPr>
                <w:t>10.</w:t>
              </w:r>
              <w:r>
                <w:rPr>
                  <w:rFonts w:ascii="Arial" w:cs="Arial" w:eastAsia="Arial" w:hAnsi="Arial"/>
                  <w:sz w:val="12"/>
                  <w:szCs w:val="12"/>
                  <w:u w:val="single" w:color="auto"/>
                  <w:color w:val="0000FF"/>
                </w:rPr>
                <w:t>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0"/>
              </w:rPr>
            </w:pPr>
            <w:hyperlink r:id="rId149">
              <w:r>
                <w:rPr>
                  <w:rFonts w:ascii="Arial" w:cs="Arial" w:eastAsia="Arial" w:hAnsi="Arial"/>
                  <w:sz w:val="12"/>
                  <w:szCs w:val="12"/>
                  <w:color w:val="0000FF"/>
                  <w:w w:val="90"/>
                </w:rPr>
                <w:t>Fifth Amendment to Amended and Restated Limited Partnership Agreement for the Operating Partnership dated February 26, 1998 (incorporated by reference as an exhibit to the Company's 1997 Form 10-</w:t>
              </w:r>
            </w:hyperlink>
          </w:p>
        </w:tc>
      </w:tr>
      <w:tr>
        <w:trPr>
          <w:trHeight w:val="97"/>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0000FF"/>
              <w:bottom w:val="single" w:sz="8" w:color="0000FF"/>
            </w:tcBorders>
            <w:gridSpan w:val="2"/>
          </w:tcPr>
          <w:p>
            <w:pPr>
              <w:spacing w:after="0" w:line="97" w:lineRule="exact"/>
              <w:rPr>
                <w:rFonts w:ascii="Arial" w:cs="Arial" w:eastAsia="Arial" w:hAnsi="Arial"/>
                <w:sz w:val="11"/>
                <w:szCs w:val="11"/>
                <w:color w:val="0000FF"/>
              </w:rPr>
            </w:pPr>
            <w:hyperlink r:id="rId149">
              <w:r>
                <w:rPr>
                  <w:rFonts w:ascii="Arial" w:cs="Arial" w:eastAsia="Arial" w:hAnsi="Arial"/>
                  <w:sz w:val="11"/>
                  <w:szCs w:val="11"/>
                  <w:color w:val="0000FF"/>
                </w:rPr>
                <w:t>K).</w:t>
              </w:r>
            </w:hyperlink>
          </w:p>
        </w:tc>
        <w:tc>
          <w:tcPr>
            <w:tcW w:w="9700" w:type="dxa"/>
            <w:vAlign w:val="bottom"/>
            <w:tcBorders>
              <w:top w:val="single" w:sz="8" w:color="0000FF"/>
            </w:tcBorders>
            <w:gridSpan w:val="18"/>
          </w:tcPr>
          <w:p>
            <w:pPr>
              <w:spacing w:after="0"/>
              <w:rPr>
                <w:sz w:val="8"/>
                <w:szCs w:val="8"/>
                <w:color w:val="auto"/>
              </w:rPr>
            </w:pPr>
          </w:p>
        </w:tc>
        <w:tc>
          <w:tcPr>
            <w:tcW w:w="20" w:type="dxa"/>
            <w:vAlign w:val="bottom"/>
          </w:tcPr>
          <w:p>
            <w:pPr>
              <w:spacing w:after="0"/>
              <w:rPr>
                <w:sz w:val="8"/>
                <w:szCs w:val="8"/>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29">
              <w:r>
                <w:rPr>
                  <w:rFonts w:ascii="Arial" w:cs="Arial" w:eastAsia="Arial" w:hAnsi="Arial"/>
                  <w:sz w:val="12"/>
                  <w:szCs w:val="12"/>
                  <w:color w:val="0000FF"/>
                </w:rPr>
                <w:t>10.</w:t>
              </w:r>
              <w:r>
                <w:rPr>
                  <w:rFonts w:ascii="Arial" w:cs="Arial" w:eastAsia="Arial" w:hAnsi="Arial"/>
                  <w:sz w:val="12"/>
                  <w:szCs w:val="12"/>
                  <w:u w:val="single" w:color="auto"/>
                  <w:color w:val="0000FF"/>
                </w:rPr>
                <w:t>1.5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1"/>
              </w:rPr>
            </w:pPr>
            <w:hyperlink r:id="rId129">
              <w:r>
                <w:rPr>
                  <w:rFonts w:ascii="Arial" w:cs="Arial" w:eastAsia="Arial" w:hAnsi="Arial"/>
                  <w:sz w:val="12"/>
                  <w:szCs w:val="12"/>
                  <w:color w:val="0000FF"/>
                  <w:w w:val="91"/>
                </w:rPr>
                <w:t>Sixth Amendment to Amended and Restated Limited Partnership Agreement for the Operating Partnership dated June 17, 1998 (incorporated by reference as an exhibit to the Company's 1998 Form 10-K).</w:t>
              </w:r>
            </w:hyperlink>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29">
              <w:r>
                <w:rPr>
                  <w:rFonts w:ascii="Arial" w:cs="Arial" w:eastAsia="Arial" w:hAnsi="Arial"/>
                  <w:sz w:val="12"/>
                  <w:szCs w:val="12"/>
                  <w:color w:val="0000FF"/>
                </w:rPr>
                <w:t>10.</w:t>
              </w:r>
              <w:r>
                <w:rPr>
                  <w:rFonts w:ascii="Arial" w:cs="Arial" w:eastAsia="Arial" w:hAnsi="Arial"/>
                  <w:sz w:val="12"/>
                  <w:szCs w:val="12"/>
                  <w:u w:val="single" w:color="auto"/>
                  <w:color w:val="0000FF"/>
                </w:rPr>
                <w:t>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2"/>
              </w:rPr>
            </w:pPr>
            <w:hyperlink r:id="rId129">
              <w:r>
                <w:rPr>
                  <w:rFonts w:ascii="Arial" w:cs="Arial" w:eastAsia="Arial" w:hAnsi="Arial"/>
                  <w:sz w:val="12"/>
                  <w:szCs w:val="12"/>
                  <w:color w:val="0000FF"/>
                  <w:w w:val="92"/>
                </w:rPr>
                <w:t>Seventh Amendment to Amended and Restated Limited Partnership Agreement for the Operating Partnership dated December 23, 1998 (incorporated by reference as an exhibit to the Company's 1998</w:t>
              </w:r>
            </w:hyperlink>
          </w:p>
        </w:tc>
      </w:tr>
      <w:tr>
        <w:trPr>
          <w:trHeight w:val="97"/>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FF"/>
              <w:bottom w:val="single" w:sz="8" w:color="0000FF"/>
            </w:tcBorders>
            <w:gridSpan w:val="4"/>
          </w:tcPr>
          <w:p>
            <w:pPr>
              <w:spacing w:after="0" w:line="97" w:lineRule="exact"/>
              <w:rPr>
                <w:rFonts w:ascii="Arial" w:cs="Arial" w:eastAsia="Arial" w:hAnsi="Arial"/>
                <w:sz w:val="11"/>
                <w:szCs w:val="11"/>
                <w:color w:val="0000FF"/>
              </w:rPr>
            </w:pPr>
            <w:hyperlink r:id="rId129">
              <w:r>
                <w:rPr>
                  <w:rFonts w:ascii="Arial" w:cs="Arial" w:eastAsia="Arial" w:hAnsi="Arial"/>
                  <w:sz w:val="11"/>
                  <w:szCs w:val="11"/>
                  <w:color w:val="0000FF"/>
                </w:rPr>
                <w:t>Form 10-K).</w:t>
              </w:r>
            </w:hyperlink>
          </w:p>
        </w:tc>
        <w:tc>
          <w:tcPr>
            <w:tcW w:w="8980" w:type="dxa"/>
            <w:vAlign w:val="bottom"/>
            <w:tcBorders>
              <w:top w:val="single" w:sz="8" w:color="0000FF"/>
            </w:tcBorders>
            <w:gridSpan w:val="13"/>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r>
      <w:tr>
        <w:trPr>
          <w:trHeight w:val="324"/>
        </w:trPr>
        <w:tc>
          <w:tcPr>
            <w:tcW w:w="1000" w:type="dxa"/>
            <w:vAlign w:val="bottom"/>
            <w:gridSpan w:val="4"/>
          </w:tcPr>
          <w:p>
            <w:pPr>
              <w:jc w:val="right"/>
              <w:spacing w:after="0"/>
              <w:rPr>
                <w:rFonts w:ascii="Arial" w:cs="Arial" w:eastAsia="Arial" w:hAnsi="Arial"/>
                <w:sz w:val="12"/>
                <w:szCs w:val="12"/>
                <w:color w:val="0000FF"/>
              </w:rPr>
            </w:pPr>
            <w:hyperlink r:id="rId150">
              <w:r>
                <w:rPr>
                  <w:rFonts w:ascii="Arial" w:cs="Arial" w:eastAsia="Arial" w:hAnsi="Arial"/>
                  <w:sz w:val="12"/>
                  <w:szCs w:val="12"/>
                  <w:color w:val="0000FF"/>
                </w:rPr>
                <w:t>10.</w:t>
              </w:r>
              <w:r>
                <w:rPr>
                  <w:rFonts w:ascii="Arial" w:cs="Arial" w:eastAsia="Arial" w:hAnsi="Arial"/>
                  <w:sz w:val="12"/>
                  <w:szCs w:val="12"/>
                  <w:u w:val="single" w:color="auto"/>
                  <w:color w:val="0000FF"/>
                </w:rPr>
                <w:t>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4"/>
              </w:rPr>
            </w:pPr>
            <w:hyperlink r:id="rId150">
              <w:r>
                <w:rPr>
                  <w:rFonts w:ascii="Arial" w:cs="Arial" w:eastAsia="Arial" w:hAnsi="Arial"/>
                  <w:sz w:val="12"/>
                  <w:szCs w:val="12"/>
                  <w:color w:val="0000FF"/>
                  <w:w w:val="94"/>
                </w:rPr>
                <w:t>Eighth Amendment to Amended and Restated Limited Partnership Agreement for the Operating Partnership dated November 9, 2000 (incorporated by reference as an exhibit to the Company's 2000</w:t>
              </w:r>
            </w:hyperlink>
          </w:p>
        </w:tc>
      </w:tr>
      <w:tr>
        <w:trPr>
          <w:trHeight w:val="77"/>
        </w:trPr>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80" w:type="dxa"/>
            <w:vAlign w:val="bottom"/>
            <w:tcBorders>
              <w:top w:val="single" w:sz="8" w:color="0000FF"/>
            </w:tcBorders>
            <w:gridSpan w:val="15"/>
          </w:tcPr>
          <w:p>
            <w:pPr>
              <w:spacing w:after="0" w:line="77" w:lineRule="exact"/>
              <w:rPr>
                <w:rFonts w:ascii="Arial" w:cs="Arial" w:eastAsia="Arial" w:hAnsi="Arial"/>
                <w:sz w:val="8"/>
                <w:szCs w:val="8"/>
                <w:color w:val="0000FF"/>
              </w:rPr>
            </w:pPr>
            <w:hyperlink r:id="rId150">
              <w:r>
                <w:rPr>
                  <w:rFonts w:ascii="Arial" w:cs="Arial" w:eastAsia="Arial" w:hAnsi="Arial"/>
                  <w:sz w:val="8"/>
                  <w:szCs w:val="8"/>
                  <w:color w:val="0000FF"/>
                </w:rPr>
                <w:t>Form 10-K).</w:t>
              </w:r>
            </w:hyperlink>
          </w:p>
        </w:tc>
        <w:tc>
          <w:tcPr>
            <w:tcW w:w="3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r>
      <w:tr>
        <w:trPr>
          <w:trHeight w:val="20"/>
        </w:trPr>
        <w:tc>
          <w:tcPr>
            <w:tcW w:w="6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51">
              <w:r>
                <w:rPr>
                  <w:rFonts w:ascii="Arial" w:cs="Arial" w:eastAsia="Arial" w:hAnsi="Arial"/>
                  <w:sz w:val="12"/>
                  <w:szCs w:val="12"/>
                  <w:color w:val="0000FF"/>
                </w:rPr>
                <w:t>10.</w:t>
              </w:r>
              <w:r>
                <w:rPr>
                  <w:rFonts w:ascii="Arial" w:cs="Arial" w:eastAsia="Arial" w:hAnsi="Arial"/>
                  <w:sz w:val="12"/>
                  <w:szCs w:val="12"/>
                  <w:u w:val="single" w:color="auto"/>
                  <w:color w:val="0000FF"/>
                </w:rPr>
                <w:t>1.8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1"/>
              </w:rPr>
            </w:pPr>
            <w:hyperlink r:id="rId151">
              <w:r>
                <w:rPr>
                  <w:rFonts w:ascii="Arial" w:cs="Arial" w:eastAsia="Arial" w:hAnsi="Arial"/>
                  <w:sz w:val="12"/>
                  <w:szCs w:val="12"/>
                  <w:color w:val="0000FF"/>
                  <w:w w:val="91"/>
                </w:rPr>
                <w:t>Ninth Amendment to Amended and Restated Limited Partnership Agreement for the Operating Partnership dated July 26, 2002 (incorporated by reference as an exhibit to the Company's Current Report on</w:t>
              </w:r>
            </w:hyperlink>
          </w:p>
        </w:tc>
      </w:tr>
      <w:tr>
        <w:trPr>
          <w:trHeight w:val="97"/>
        </w:trPr>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tcBorders>
              <w:top w:val="single" w:sz="8" w:color="0000FF"/>
              <w:bottom w:val="single" w:sz="8" w:color="0000FF"/>
            </w:tcBorders>
            <w:gridSpan w:val="5"/>
          </w:tcPr>
          <w:p>
            <w:pPr>
              <w:spacing w:after="0" w:line="97" w:lineRule="exact"/>
              <w:rPr>
                <w:rFonts w:ascii="Arial" w:cs="Arial" w:eastAsia="Arial" w:hAnsi="Arial"/>
                <w:sz w:val="11"/>
                <w:szCs w:val="11"/>
                <w:color w:val="0000FF"/>
                <w:w w:val="98"/>
              </w:rPr>
            </w:pPr>
            <w:hyperlink r:id="rId151">
              <w:r>
                <w:rPr>
                  <w:rFonts w:ascii="Arial" w:cs="Arial" w:eastAsia="Arial" w:hAnsi="Arial"/>
                  <w:sz w:val="11"/>
                  <w:szCs w:val="11"/>
                  <w:color w:val="0000FF"/>
                  <w:w w:val="98"/>
                </w:rPr>
                <w:t>Form 8-K, event date July 26, 2002).</w:t>
              </w:r>
            </w:hyperlink>
          </w:p>
        </w:tc>
        <w:tc>
          <w:tcPr>
            <w:tcW w:w="8060" w:type="dxa"/>
            <w:vAlign w:val="bottom"/>
            <w:tcBorders>
              <w:top w:val="single" w:sz="8" w:color="0000FF"/>
            </w:tcBorders>
            <w:gridSpan w:val="13"/>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r>
      <w:tr>
        <w:trPr>
          <w:trHeight w:val="324"/>
        </w:trPr>
        <w:tc>
          <w:tcPr>
            <w:tcW w:w="1000" w:type="dxa"/>
            <w:vAlign w:val="bottom"/>
            <w:gridSpan w:val="4"/>
          </w:tcPr>
          <w:p>
            <w:pPr>
              <w:jc w:val="right"/>
              <w:spacing w:after="0"/>
              <w:rPr>
                <w:rFonts w:ascii="Arial" w:cs="Arial" w:eastAsia="Arial" w:hAnsi="Arial"/>
                <w:sz w:val="12"/>
                <w:szCs w:val="12"/>
                <w:color w:val="0000FF"/>
              </w:rPr>
            </w:pPr>
            <w:hyperlink r:id="rId152">
              <w:r>
                <w:rPr>
                  <w:rFonts w:ascii="Arial" w:cs="Arial" w:eastAsia="Arial" w:hAnsi="Arial"/>
                  <w:sz w:val="12"/>
                  <w:szCs w:val="12"/>
                  <w:color w:val="0000FF"/>
                </w:rPr>
                <w:t>10.</w:t>
              </w:r>
              <w:r>
                <w:rPr>
                  <w:rFonts w:ascii="Arial" w:cs="Arial" w:eastAsia="Arial" w:hAnsi="Arial"/>
                  <w:sz w:val="12"/>
                  <w:szCs w:val="12"/>
                  <w:u w:val="single" w:color="auto"/>
                  <w:color w:val="0000FF"/>
                </w:rPr>
                <w:t>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0"/>
              </w:rPr>
            </w:pPr>
            <w:hyperlink r:id="rId152">
              <w:r>
                <w:rPr>
                  <w:rFonts w:ascii="Arial" w:cs="Arial" w:eastAsia="Arial" w:hAnsi="Arial"/>
                  <w:sz w:val="12"/>
                  <w:szCs w:val="12"/>
                  <w:color w:val="0000FF"/>
                  <w:w w:val="90"/>
                </w:rPr>
                <w:t>Tenth Amendment to Amended and Restated Limited Partnership Agreement for the Operating Partnership dated October 26, 2006 (incorporated by reference as an exhibit to the Company's 2006 Form 10-</w:t>
              </w:r>
            </w:hyperlink>
          </w:p>
        </w:tc>
      </w:tr>
      <w:tr>
        <w:trPr>
          <w:trHeight w:val="77"/>
        </w:trPr>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0000FF"/>
              <w:bottom w:val="single" w:sz="8" w:color="0000FF"/>
            </w:tcBorders>
          </w:tcPr>
          <w:p>
            <w:pPr>
              <w:spacing w:after="0" w:line="77" w:lineRule="exact"/>
              <w:rPr>
                <w:rFonts w:ascii="Arial" w:cs="Arial" w:eastAsia="Arial" w:hAnsi="Arial"/>
                <w:sz w:val="8"/>
                <w:szCs w:val="8"/>
                <w:color w:val="0000FF"/>
              </w:rPr>
            </w:pPr>
            <w:hyperlink r:id="rId152">
              <w:r>
                <w:rPr>
                  <w:rFonts w:ascii="Arial" w:cs="Arial" w:eastAsia="Arial" w:hAnsi="Arial"/>
                  <w:sz w:val="8"/>
                  <w:szCs w:val="8"/>
                  <w:color w:val="0000FF"/>
                </w:rPr>
                <w:t>K).</w:t>
              </w:r>
            </w:hyperlink>
          </w:p>
        </w:tc>
        <w:tc>
          <w:tcPr>
            <w:tcW w:w="9700" w:type="dxa"/>
            <w:vAlign w:val="bottom"/>
            <w:tcBorders>
              <w:top w:val="single" w:sz="8" w:color="0000FF"/>
            </w:tcBorders>
            <w:gridSpan w:val="18"/>
          </w:tcPr>
          <w:p>
            <w:pPr>
              <w:spacing w:after="0"/>
              <w:rPr>
                <w:sz w:val="6"/>
                <w:szCs w:val="6"/>
                <w:color w:val="auto"/>
              </w:rPr>
            </w:pPr>
          </w:p>
        </w:tc>
        <w:tc>
          <w:tcPr>
            <w:tcW w:w="40" w:type="dxa"/>
            <w:vAlign w:val="bottom"/>
            <w:gridSpan w:val="2"/>
          </w:tcPr>
          <w:p>
            <w:pPr>
              <w:spacing w:after="0"/>
              <w:rPr>
                <w:sz w:val="6"/>
                <w:szCs w:val="6"/>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53">
              <w:r>
                <w:rPr>
                  <w:rFonts w:ascii="Arial" w:cs="Arial" w:eastAsia="Arial" w:hAnsi="Arial"/>
                  <w:sz w:val="12"/>
                  <w:szCs w:val="12"/>
                  <w:color w:val="0000FF"/>
                </w:rPr>
                <w:t>10.</w:t>
              </w:r>
              <w:r>
                <w:rPr>
                  <w:rFonts w:ascii="Arial" w:cs="Arial" w:eastAsia="Arial" w:hAnsi="Arial"/>
                  <w:sz w:val="12"/>
                  <w:szCs w:val="12"/>
                  <w:u w:val="single" w:color="auto"/>
                  <w:color w:val="0000FF"/>
                </w:rPr>
                <w:t>1.10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2"/>
                <w:szCs w:val="12"/>
                <w:color w:val="0000FF"/>
                <w:w w:val="90"/>
              </w:rPr>
            </w:pPr>
            <w:hyperlink r:id="rId153">
              <w:r>
                <w:rPr>
                  <w:rFonts w:ascii="Arial" w:cs="Arial" w:eastAsia="Arial" w:hAnsi="Arial"/>
                  <w:sz w:val="12"/>
                  <w:szCs w:val="12"/>
                  <w:color w:val="0000FF"/>
                  <w:w w:val="90"/>
                </w:rPr>
                <w:t>Eleventh Amendment to Amended and Restated Limited Partnership Agreement for the Operating Partnership dated as of March 16, 2007 (incorporated by reference as an exhibit to the Company's Current</w:t>
              </w:r>
            </w:hyperlink>
          </w:p>
        </w:tc>
      </w:tr>
      <w:tr>
        <w:trPr>
          <w:trHeight w:val="97"/>
        </w:trPr>
        <w:tc>
          <w:tcPr>
            <w:tcW w:w="64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tcBorders>
              <w:top w:val="single" w:sz="8" w:color="0000FF"/>
              <w:bottom w:val="single" w:sz="8" w:color="0000FF"/>
            </w:tcBorders>
            <w:gridSpan w:val="8"/>
          </w:tcPr>
          <w:p>
            <w:pPr>
              <w:spacing w:after="0" w:line="97" w:lineRule="exact"/>
              <w:rPr>
                <w:rFonts w:ascii="Arial" w:cs="Arial" w:eastAsia="Arial" w:hAnsi="Arial"/>
                <w:sz w:val="11"/>
                <w:szCs w:val="11"/>
                <w:color w:val="0000FF"/>
                <w:w w:val="98"/>
              </w:rPr>
            </w:pPr>
            <w:hyperlink r:id="rId153">
              <w:r>
                <w:rPr>
                  <w:rFonts w:ascii="Arial" w:cs="Arial" w:eastAsia="Arial" w:hAnsi="Arial"/>
                  <w:sz w:val="11"/>
                  <w:szCs w:val="11"/>
                  <w:color w:val="0000FF"/>
                  <w:w w:val="98"/>
                </w:rPr>
                <w:t>Report on Form 8-K, event date March 16, 2007).</w:t>
              </w:r>
            </w:hyperlink>
          </w:p>
        </w:tc>
        <w:tc>
          <w:tcPr>
            <w:tcW w:w="7440" w:type="dxa"/>
            <w:vAlign w:val="bottom"/>
            <w:tcBorders>
              <w:top w:val="single" w:sz="8" w:color="0000FF"/>
            </w:tcBorders>
            <w:gridSpan w:val="10"/>
          </w:tcPr>
          <w:p>
            <w:pPr>
              <w:spacing w:after="0"/>
              <w:rPr>
                <w:sz w:val="8"/>
                <w:szCs w:val="8"/>
                <w:color w:val="auto"/>
              </w:rPr>
            </w:pPr>
          </w:p>
        </w:tc>
        <w:tc>
          <w:tcPr>
            <w:tcW w:w="60" w:type="dxa"/>
            <w:vAlign w:val="bottom"/>
            <w:gridSpan w:val="3"/>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27"/>
        </w:trPr>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Exhibit Number</w:t>
            </w: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560" w:type="dxa"/>
            <w:vAlign w:val="bottom"/>
            <w:tcBorders>
              <w:bottom w:val="single" w:sz="8" w:color="auto"/>
            </w:tcBorders>
            <w:gridSpan w:val="15"/>
          </w:tcPr>
          <w:p>
            <w:pPr>
              <w:ind w:left="1360"/>
              <w:spacing w:after="0"/>
              <w:rPr>
                <w:sz w:val="20"/>
                <w:szCs w:val="20"/>
                <w:color w:val="auto"/>
              </w:rPr>
            </w:pPr>
            <w:r>
              <w:rPr>
                <w:rFonts w:ascii="Arial" w:cs="Arial" w:eastAsia="Arial" w:hAnsi="Arial"/>
                <w:sz w:val="10"/>
                <w:szCs w:val="10"/>
                <w:b w:val="1"/>
                <w:bCs w:val="1"/>
                <w:color w:val="auto"/>
              </w:rPr>
              <w:t>Description</w:t>
            </w:r>
          </w:p>
        </w:tc>
      </w:tr>
      <w:tr>
        <w:trPr>
          <w:trHeight w:val="139"/>
        </w:trPr>
        <w:tc>
          <w:tcPr>
            <w:tcW w:w="1000" w:type="dxa"/>
            <w:vAlign w:val="bottom"/>
            <w:gridSpan w:val="3"/>
          </w:tcPr>
          <w:p>
            <w:pPr>
              <w:jc w:val="right"/>
              <w:spacing w:after="0" w:line="119" w:lineRule="exact"/>
              <w:rPr>
                <w:rFonts w:ascii="Arial" w:cs="Arial" w:eastAsia="Arial" w:hAnsi="Arial"/>
                <w:sz w:val="12"/>
                <w:szCs w:val="12"/>
                <w:color w:val="0000FF"/>
              </w:rPr>
            </w:pPr>
            <w:hyperlink r:id="rId155">
              <w:r>
                <w:rPr>
                  <w:rFonts w:ascii="Arial" w:cs="Arial" w:eastAsia="Arial" w:hAnsi="Arial"/>
                  <w:sz w:val="12"/>
                  <w:szCs w:val="12"/>
                  <w:color w:val="0000FF"/>
                </w:rPr>
                <w:t>10.</w:t>
              </w:r>
              <w:r>
                <w:rPr>
                  <w:rFonts w:ascii="Arial" w:cs="Arial" w:eastAsia="Arial" w:hAnsi="Arial"/>
                  <w:sz w:val="12"/>
                  <w:szCs w:val="12"/>
                  <w:u w:val="single" w:color="auto"/>
                  <w:color w:val="0000FF"/>
                </w:rPr>
                <w:t>1.11</w:t>
              </w:r>
            </w:hyperlink>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23"/>
          </w:tcPr>
          <w:p>
            <w:pPr>
              <w:spacing w:after="0" w:line="119" w:lineRule="exact"/>
              <w:rPr>
                <w:rFonts w:ascii="Arial" w:cs="Arial" w:eastAsia="Arial" w:hAnsi="Arial"/>
                <w:sz w:val="12"/>
                <w:szCs w:val="12"/>
                <w:color w:val="0000FF"/>
                <w:w w:val="94"/>
              </w:rPr>
            </w:pPr>
            <w:hyperlink r:id="rId155">
              <w:r>
                <w:rPr>
                  <w:rFonts w:ascii="Arial" w:cs="Arial" w:eastAsia="Arial" w:hAnsi="Arial"/>
                  <w:sz w:val="12"/>
                  <w:szCs w:val="12"/>
                  <w:color w:val="0000FF"/>
                  <w:w w:val="94"/>
                </w:rPr>
                <w:t>Twelfth Amendment to the Amended and Restated Limited Partnership Agreement of the Operating Partnership dated as of April 30, 2009 (incorporated by reference as an exhibit to the Company's</w:t>
              </w:r>
            </w:hyperlink>
          </w:p>
        </w:tc>
      </w:tr>
      <w:tr>
        <w:trPr>
          <w:trHeight w:val="77"/>
        </w:trPr>
        <w:tc>
          <w:tcPr>
            <w:tcW w:w="70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3340" w:type="dxa"/>
            <w:vAlign w:val="bottom"/>
            <w:tcBorders>
              <w:top w:val="single" w:sz="8" w:color="0000FF"/>
              <w:bottom w:val="single" w:sz="8" w:color="0000FF"/>
            </w:tcBorders>
            <w:gridSpan w:val="8"/>
          </w:tcPr>
          <w:p>
            <w:pPr>
              <w:spacing w:after="0" w:line="77" w:lineRule="exact"/>
              <w:rPr>
                <w:rFonts w:ascii="Arial" w:cs="Arial" w:eastAsia="Arial" w:hAnsi="Arial"/>
                <w:sz w:val="8"/>
                <w:szCs w:val="8"/>
                <w:color w:val="0000FF"/>
              </w:rPr>
            </w:pPr>
            <w:hyperlink r:id="rId155">
              <w:r>
                <w:rPr>
                  <w:rFonts w:ascii="Arial" w:cs="Arial" w:eastAsia="Arial" w:hAnsi="Arial"/>
                  <w:sz w:val="8"/>
                  <w:szCs w:val="8"/>
                  <w:color w:val="0000FF"/>
                </w:rPr>
                <w:t>Quarterly Report on Form 10-Q for the quarter ended June 30, 2009).</w:t>
              </w:r>
            </w:hyperlink>
          </w:p>
        </w:tc>
        <w:tc>
          <w:tcPr>
            <w:tcW w:w="6120" w:type="dxa"/>
            <w:vAlign w:val="bottom"/>
            <w:tcBorders>
              <w:top w:val="single" w:sz="8" w:color="0000FF"/>
            </w:tcBorders>
            <w:gridSpan w:val="6"/>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441"/>
        </w:trPr>
        <w:tc>
          <w:tcPr>
            <w:tcW w:w="1000" w:type="dxa"/>
            <w:vAlign w:val="bottom"/>
            <w:gridSpan w:val="3"/>
          </w:tcPr>
          <w:p>
            <w:pPr>
              <w:jc w:val="right"/>
              <w:spacing w:after="0"/>
              <w:rPr>
                <w:rFonts w:ascii="Arial" w:cs="Arial" w:eastAsia="Arial" w:hAnsi="Arial"/>
                <w:sz w:val="12"/>
                <w:szCs w:val="12"/>
                <w:color w:val="0000FF"/>
              </w:rPr>
            </w:pPr>
            <w:hyperlink r:id="rId156">
              <w:r>
                <w:rPr>
                  <w:rFonts w:ascii="Arial" w:cs="Arial" w:eastAsia="Arial" w:hAnsi="Arial"/>
                  <w:sz w:val="12"/>
                  <w:szCs w:val="12"/>
                  <w:color w:val="0000FF"/>
                </w:rPr>
                <w:t>10.</w:t>
              </w:r>
              <w:r>
                <w:rPr>
                  <w:rFonts w:ascii="Arial" w:cs="Arial" w:eastAsia="Arial" w:hAnsi="Arial"/>
                  <w:sz w:val="12"/>
                  <w:szCs w:val="12"/>
                  <w:u w:val="single" w:color="auto"/>
                  <w:color w:val="0000FF"/>
                </w:rPr>
                <w:t>1.12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1"/>
              </w:rPr>
            </w:pPr>
            <w:hyperlink r:id="rId156">
              <w:r>
                <w:rPr>
                  <w:rFonts w:ascii="Arial" w:cs="Arial" w:eastAsia="Arial" w:hAnsi="Arial"/>
                  <w:sz w:val="12"/>
                  <w:szCs w:val="12"/>
                  <w:color w:val="0000FF"/>
                  <w:w w:val="91"/>
                </w:rPr>
                <w:t>Thirteenth Amendment to the Amended and Restated Limited Partnership Agreement of the Operating Partnership dated as of October 29, 2009 (incorporated by reference as an exhibit to the Company's</w:t>
              </w:r>
            </w:hyperlink>
          </w:p>
        </w:tc>
      </w:tr>
      <w:tr>
        <w:trPr>
          <w:trHeight w:val="77"/>
        </w:trPr>
        <w:tc>
          <w:tcPr>
            <w:tcW w:w="70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top w:val="single" w:sz="8" w:color="0000FF"/>
              <w:bottom w:val="single" w:sz="8" w:color="0000FF"/>
            </w:tcBorders>
          </w:tcPr>
          <w:p>
            <w:pPr>
              <w:spacing w:after="0" w:line="77" w:lineRule="exact"/>
              <w:rPr>
                <w:rFonts w:ascii="Arial" w:cs="Arial" w:eastAsia="Arial" w:hAnsi="Arial"/>
                <w:sz w:val="8"/>
                <w:szCs w:val="8"/>
                <w:color w:val="0000FF"/>
              </w:rPr>
            </w:pPr>
            <w:hyperlink r:id="rId156">
              <w:r>
                <w:rPr>
                  <w:rFonts w:ascii="Arial" w:cs="Arial" w:eastAsia="Arial" w:hAnsi="Arial"/>
                  <w:sz w:val="8"/>
                  <w:szCs w:val="8"/>
                  <w:color w:val="0000FF"/>
                </w:rPr>
                <w:t>2009 Form 10-K).</w:t>
              </w:r>
            </w:hyperlink>
          </w:p>
        </w:tc>
        <w:tc>
          <w:tcPr>
            <w:tcW w:w="8840" w:type="dxa"/>
            <w:vAlign w:val="bottom"/>
            <w:tcBorders>
              <w:top w:val="single" w:sz="8" w:color="0000FF"/>
            </w:tcBorders>
            <w:gridSpan w:val="15"/>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w:anchor="page124">
              <w:r>
                <w:rPr>
                  <w:rFonts w:ascii="Arial" w:cs="Arial" w:eastAsia="Arial" w:hAnsi="Arial"/>
                  <w:sz w:val="12"/>
                  <w:szCs w:val="12"/>
                  <w:color w:val="0000FF"/>
                </w:rPr>
                <w:t>10.</w:t>
              </w:r>
              <w:r>
                <w:rPr>
                  <w:rFonts w:ascii="Arial" w:cs="Arial" w:eastAsia="Arial" w:hAnsi="Arial"/>
                  <w:sz w:val="12"/>
                  <w:szCs w:val="12"/>
                  <w:u w:val="single" w:color="auto"/>
                  <w:color w:val="0000FF"/>
                </w:rPr>
                <w:t>1.13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rPr>
            </w:pPr>
            <w:hyperlink w:anchor="page124">
              <w:r>
                <w:rPr>
                  <w:rFonts w:ascii="Arial" w:cs="Arial" w:eastAsia="Arial" w:hAnsi="Arial"/>
                  <w:sz w:val="12"/>
                  <w:szCs w:val="12"/>
                  <w:color w:val="0000FF"/>
                </w:rPr>
                <w:t>Fourteenth Amendment to Amended and Restated Limited Partnership Agreement of the Operating Partnership dated as of April 14, 2021.</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000" w:type="dxa"/>
            <w:vAlign w:val="bottom"/>
            <w:gridSpan w:val="3"/>
          </w:tcPr>
          <w:p>
            <w:pPr>
              <w:jc w:val="right"/>
              <w:spacing w:after="0"/>
              <w:rPr>
                <w:rFonts w:ascii="Arial" w:cs="Arial" w:eastAsia="Arial" w:hAnsi="Arial"/>
                <w:sz w:val="12"/>
                <w:szCs w:val="12"/>
                <w:color w:val="0000FF"/>
              </w:rPr>
            </w:pPr>
            <w:hyperlink r:id="rId157">
              <w:r>
                <w:rPr>
                  <w:rFonts w:ascii="Arial" w:cs="Arial" w:eastAsia="Arial" w:hAnsi="Arial"/>
                  <w:sz w:val="12"/>
                  <w:szCs w:val="12"/>
                  <w:color w:val="0000FF"/>
                </w:rPr>
                <w:t>10.</w:t>
              </w:r>
              <w:r>
                <w:rPr>
                  <w:rFonts w:ascii="Arial" w:cs="Arial" w:eastAsia="Arial" w:hAnsi="Arial"/>
                  <w:sz w:val="12"/>
                  <w:szCs w:val="12"/>
                  <w:u w:val="single" w:color="auto"/>
                  <w:color w:val="0000FF"/>
                </w:rPr>
                <w:t>1.14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1"/>
              </w:rPr>
            </w:pPr>
            <w:hyperlink r:id="rId157">
              <w:r>
                <w:rPr>
                  <w:rFonts w:ascii="Arial" w:cs="Arial" w:eastAsia="Arial" w:hAnsi="Arial"/>
                  <w:sz w:val="12"/>
                  <w:szCs w:val="12"/>
                  <w:color w:val="0000FF"/>
                  <w:w w:val="91"/>
                </w:rPr>
                <w:t>Form of Fifteenth Amendment to Amended and Restated Limited Partnership Agreement for the Operating Partnership (incorporated by reference as an exhibit to the Company's Current Report on Form 8-</w:t>
              </w:r>
            </w:hyperlink>
          </w:p>
        </w:tc>
      </w:tr>
      <w:tr>
        <w:trPr>
          <w:trHeight w:val="77"/>
        </w:trPr>
        <w:tc>
          <w:tcPr>
            <w:tcW w:w="70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tcBorders>
              <w:top w:val="single" w:sz="8" w:color="0000FF"/>
              <w:bottom w:val="single" w:sz="8" w:color="0000FF"/>
            </w:tcBorders>
            <w:gridSpan w:val="2"/>
          </w:tcPr>
          <w:p>
            <w:pPr>
              <w:spacing w:after="0" w:line="77" w:lineRule="exact"/>
              <w:rPr>
                <w:rFonts w:ascii="Arial" w:cs="Arial" w:eastAsia="Arial" w:hAnsi="Arial"/>
                <w:sz w:val="8"/>
                <w:szCs w:val="8"/>
                <w:color w:val="0000FF"/>
              </w:rPr>
            </w:pPr>
            <w:hyperlink r:id="rId157">
              <w:r>
                <w:rPr>
                  <w:rFonts w:ascii="Arial" w:cs="Arial" w:eastAsia="Arial" w:hAnsi="Arial"/>
                  <w:sz w:val="8"/>
                  <w:szCs w:val="8"/>
                  <w:color w:val="0000FF"/>
                </w:rPr>
                <w:t>K, event date April 25, 2005).</w:t>
              </w:r>
            </w:hyperlink>
          </w:p>
        </w:tc>
        <w:tc>
          <w:tcPr>
            <w:tcW w:w="8400" w:type="dxa"/>
            <w:vAlign w:val="bottom"/>
            <w:tcBorders>
              <w:top w:val="single" w:sz="8" w:color="0000FF"/>
            </w:tcBorders>
            <w:gridSpan w:val="18"/>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2"/>
                <w:szCs w:val="12"/>
                <w:color w:val="0000FF"/>
                <w:w w:val="85"/>
              </w:rPr>
            </w:pPr>
            <w:hyperlink r:id="rId158">
              <w:r>
                <w:rPr>
                  <w:rFonts w:ascii="Arial" w:cs="Arial" w:eastAsia="Arial" w:hAnsi="Arial"/>
                  <w:sz w:val="12"/>
                  <w:szCs w:val="12"/>
                  <w:color w:val="0000FF"/>
                  <w:w w:val="85"/>
                </w:rPr>
                <w:t>10.</w:t>
              </w:r>
              <w:r>
                <w:rPr>
                  <w:rFonts w:ascii="Arial" w:cs="Arial" w:eastAsia="Arial" w:hAnsi="Arial"/>
                  <w:sz w:val="12"/>
                  <w:szCs w:val="12"/>
                  <w:u w:val="single" w:color="auto"/>
                  <w:color w:val="0000FF"/>
                  <w:w w:val="85"/>
                </w:rPr>
                <w:t>2</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7320" w:type="dxa"/>
            <w:vAlign w:val="bottom"/>
            <w:tcBorders>
              <w:bottom w:val="single" w:sz="8" w:color="0000FF"/>
            </w:tcBorders>
            <w:gridSpan w:val="10"/>
          </w:tcPr>
          <w:p>
            <w:pPr>
              <w:spacing w:after="0"/>
              <w:rPr>
                <w:rFonts w:ascii="Arial" w:cs="Arial" w:eastAsia="Arial" w:hAnsi="Arial"/>
                <w:sz w:val="12"/>
                <w:szCs w:val="12"/>
                <w:color w:val="0000FF"/>
                <w:w w:val="90"/>
              </w:rPr>
            </w:pPr>
            <w:hyperlink r:id="rId158">
              <w:r>
                <w:rPr>
                  <w:rFonts w:ascii="Arial" w:cs="Arial" w:eastAsia="Arial" w:hAnsi="Arial"/>
                  <w:sz w:val="12"/>
                  <w:szCs w:val="12"/>
                  <w:color w:val="0000FF"/>
                  <w:w w:val="90"/>
                </w:rPr>
                <w:t>Amended and Restated Deferred Compensation Plan for Executives (2003) (incorporated by reference as an exhibit to the Company's 2003 Form 10-K).</w:t>
              </w:r>
            </w:hyperlink>
          </w:p>
        </w:tc>
        <w:tc>
          <w:tcPr>
            <w:tcW w:w="2580" w:type="dxa"/>
            <w:vAlign w:val="bottom"/>
            <w:gridSpan w:val="13"/>
          </w:tcPr>
          <w:p>
            <w:pPr>
              <w:spacing w:after="0"/>
              <w:rPr>
                <w:sz w:val="24"/>
                <w:szCs w:val="24"/>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59">
              <w:r>
                <w:rPr>
                  <w:rFonts w:ascii="Arial" w:cs="Arial" w:eastAsia="Arial" w:hAnsi="Arial"/>
                  <w:sz w:val="12"/>
                  <w:szCs w:val="12"/>
                  <w:color w:val="0000FF"/>
                </w:rPr>
                <w:t>10.</w:t>
              </w:r>
              <w:r>
                <w:rPr>
                  <w:rFonts w:ascii="Arial" w:cs="Arial" w:eastAsia="Arial" w:hAnsi="Arial"/>
                  <w:sz w:val="12"/>
                  <w:szCs w:val="12"/>
                  <w:u w:val="single" w:color="auto"/>
                  <w:color w:val="0000FF"/>
                </w:rPr>
                <w:t>2.1</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7"/>
              </w:rPr>
            </w:pPr>
            <w:hyperlink r:id="rId159">
              <w:r>
                <w:rPr>
                  <w:rFonts w:ascii="Arial" w:cs="Arial" w:eastAsia="Arial" w:hAnsi="Arial"/>
                  <w:sz w:val="12"/>
                  <w:szCs w:val="12"/>
                  <w:color w:val="0000FF"/>
                  <w:w w:val="97"/>
                </w:rPr>
                <w:t>Amendment Number 1 to Amended and Restated Deferred Compensation Plan for Executives (October 30, 2008) (incorporated by reference as an exhibit to the Company's 2008 Form 10-K).</w:t>
              </w:r>
            </w:hyperlink>
          </w:p>
        </w:tc>
      </w:tr>
      <w:tr>
        <w:trPr>
          <w:trHeight w:val="20"/>
        </w:trPr>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2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000" w:type="dxa"/>
            <w:vAlign w:val="bottom"/>
            <w:gridSpan w:val="3"/>
          </w:tcPr>
          <w:p>
            <w:pPr>
              <w:jc w:val="right"/>
              <w:spacing w:after="0"/>
              <w:rPr>
                <w:rFonts w:ascii="Arial" w:cs="Arial" w:eastAsia="Arial" w:hAnsi="Arial"/>
                <w:sz w:val="12"/>
                <w:szCs w:val="12"/>
                <w:color w:val="0000FF"/>
              </w:rPr>
            </w:pPr>
            <w:hyperlink r:id="rId160">
              <w:r>
                <w:rPr>
                  <w:rFonts w:ascii="Arial" w:cs="Arial" w:eastAsia="Arial" w:hAnsi="Arial"/>
                  <w:sz w:val="12"/>
                  <w:szCs w:val="12"/>
                  <w:color w:val="0000FF"/>
                </w:rPr>
                <w:t>10.</w:t>
              </w:r>
              <w:r>
                <w:rPr>
                  <w:rFonts w:ascii="Arial" w:cs="Arial" w:eastAsia="Arial" w:hAnsi="Arial"/>
                  <w:sz w:val="12"/>
                  <w:szCs w:val="12"/>
                  <w:u w:val="single" w:color="auto"/>
                  <w:color w:val="0000FF"/>
                </w:rPr>
                <w:t>2.2</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1"/>
              </w:rPr>
            </w:pPr>
            <w:hyperlink r:id="rId160">
              <w:r>
                <w:rPr>
                  <w:rFonts w:ascii="Arial" w:cs="Arial" w:eastAsia="Arial" w:hAnsi="Arial"/>
                  <w:sz w:val="12"/>
                  <w:szCs w:val="12"/>
                  <w:color w:val="0000FF"/>
                  <w:w w:val="91"/>
                </w:rPr>
                <w:t>Amendment Number 2 to Amended and Restated Deferred Compensation Plan for Executives (May 1, 2011) (incorporated by reference as an exhibit to the Company's Quarterly Report on Form 10-Q for</w:t>
              </w:r>
            </w:hyperlink>
          </w:p>
        </w:tc>
      </w:tr>
      <w:tr>
        <w:trPr>
          <w:trHeight w:val="77"/>
        </w:trPr>
        <w:tc>
          <w:tcPr>
            <w:tcW w:w="70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0" w:type="dxa"/>
            <w:vAlign w:val="bottom"/>
            <w:tcBorders>
              <w:top w:val="single" w:sz="8" w:color="0000FF"/>
              <w:bottom w:val="single" w:sz="8" w:color="0000FF"/>
            </w:tcBorders>
            <w:gridSpan w:val="3"/>
          </w:tcPr>
          <w:p>
            <w:pPr>
              <w:spacing w:after="0" w:line="77" w:lineRule="exact"/>
              <w:rPr>
                <w:rFonts w:ascii="Arial" w:cs="Arial" w:eastAsia="Arial" w:hAnsi="Arial"/>
                <w:sz w:val="8"/>
                <w:szCs w:val="8"/>
                <w:color w:val="0000FF"/>
              </w:rPr>
            </w:pPr>
            <w:hyperlink r:id="rId160">
              <w:r>
                <w:rPr>
                  <w:rFonts w:ascii="Arial" w:cs="Arial" w:eastAsia="Arial" w:hAnsi="Arial"/>
                  <w:sz w:val="8"/>
                  <w:szCs w:val="8"/>
                  <w:color w:val="0000FF"/>
                </w:rPr>
                <w:t>the quarter ended June 30, 2011).</w:t>
              </w:r>
            </w:hyperlink>
          </w:p>
        </w:tc>
        <w:tc>
          <w:tcPr>
            <w:tcW w:w="8180" w:type="dxa"/>
            <w:vAlign w:val="bottom"/>
            <w:tcBorders>
              <w:top w:val="single" w:sz="8" w:color="0000FF"/>
            </w:tcBorders>
            <w:gridSpan w:val="16"/>
          </w:tcPr>
          <w:p>
            <w:pPr>
              <w:spacing w:after="0"/>
              <w:rPr>
                <w:sz w:val="6"/>
                <w:szCs w:val="6"/>
                <w:color w:val="auto"/>
              </w:rPr>
            </w:pPr>
          </w:p>
        </w:tc>
        <w:tc>
          <w:tcPr>
            <w:tcW w:w="8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61">
              <w:r>
                <w:rPr>
                  <w:rFonts w:ascii="Arial" w:cs="Arial" w:eastAsia="Arial" w:hAnsi="Arial"/>
                  <w:sz w:val="12"/>
                  <w:szCs w:val="12"/>
                  <w:color w:val="0000FF"/>
                </w:rPr>
                <w:t>10.</w:t>
              </w:r>
              <w:r>
                <w:rPr>
                  <w:rFonts w:ascii="Arial" w:cs="Arial" w:eastAsia="Arial" w:hAnsi="Arial"/>
                  <w:sz w:val="12"/>
                  <w:szCs w:val="12"/>
                  <w:u w:val="single" w:color="auto"/>
                  <w:color w:val="0000FF"/>
                </w:rPr>
                <w:t>2.3</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0"/>
              </w:rPr>
            </w:pPr>
            <w:hyperlink r:id="rId161">
              <w:r>
                <w:rPr>
                  <w:rFonts w:ascii="Arial" w:cs="Arial" w:eastAsia="Arial" w:hAnsi="Arial"/>
                  <w:sz w:val="12"/>
                  <w:szCs w:val="12"/>
                  <w:color w:val="0000FF"/>
                  <w:w w:val="90"/>
                </w:rPr>
                <w:t>Amendment Number 3 to Amended and Restated Deferred Compensation Plan for Executives (September 27, 2012) (incorporated by reference as an exhibit to the Company's Quarterly Report on Form 10-</w:t>
              </w:r>
            </w:hyperlink>
          </w:p>
        </w:tc>
      </w:tr>
      <w:tr>
        <w:trPr>
          <w:trHeight w:val="97"/>
        </w:trPr>
        <w:tc>
          <w:tcPr>
            <w:tcW w:w="70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80" w:type="dxa"/>
            <w:vAlign w:val="bottom"/>
            <w:tcBorders>
              <w:top w:val="single" w:sz="8" w:color="0000FF"/>
            </w:tcBorders>
            <w:gridSpan w:val="22"/>
          </w:tcPr>
          <w:p>
            <w:pPr>
              <w:spacing w:after="0" w:line="97" w:lineRule="exact"/>
              <w:rPr>
                <w:rFonts w:ascii="Arial" w:cs="Arial" w:eastAsia="Arial" w:hAnsi="Arial"/>
                <w:sz w:val="11"/>
                <w:szCs w:val="11"/>
                <w:color w:val="0000FF"/>
              </w:rPr>
            </w:pPr>
            <w:hyperlink r:id="rId161">
              <w:r>
                <w:rPr>
                  <w:rFonts w:ascii="Arial" w:cs="Arial" w:eastAsia="Arial" w:hAnsi="Arial"/>
                  <w:sz w:val="11"/>
                  <w:szCs w:val="11"/>
                  <w:color w:val="0000FF"/>
                </w:rPr>
                <w:t>Q for the quarter ended September 30, 2012).</w:t>
              </w:r>
            </w:hyperlink>
          </w:p>
        </w:tc>
        <w:tc>
          <w:tcPr>
            <w:tcW w:w="20" w:type="dxa"/>
            <w:vAlign w:val="bottom"/>
          </w:tcPr>
          <w:p>
            <w:pPr>
              <w:spacing w:after="0"/>
              <w:rPr>
                <w:sz w:val="8"/>
                <w:szCs w:val="8"/>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Pr>
          <w:p>
            <w:pPr>
              <w:jc w:val="right"/>
              <w:spacing w:after="0"/>
              <w:rPr>
                <w:rFonts w:ascii="Arial" w:cs="Arial" w:eastAsia="Arial" w:hAnsi="Arial"/>
                <w:sz w:val="12"/>
                <w:szCs w:val="12"/>
                <w:color w:val="0000FF"/>
                <w:w w:val="85"/>
              </w:rPr>
            </w:pPr>
            <w:hyperlink r:id="rId162">
              <w:r>
                <w:rPr>
                  <w:rFonts w:ascii="Arial" w:cs="Arial" w:eastAsia="Arial" w:hAnsi="Arial"/>
                  <w:sz w:val="12"/>
                  <w:szCs w:val="12"/>
                  <w:color w:val="0000FF"/>
                  <w:w w:val="85"/>
                </w:rPr>
                <w:t>10.</w:t>
              </w:r>
              <w:r>
                <w:rPr>
                  <w:rFonts w:ascii="Arial" w:cs="Arial" w:eastAsia="Arial" w:hAnsi="Arial"/>
                  <w:sz w:val="12"/>
                  <w:szCs w:val="12"/>
                  <w:u w:val="single" w:color="auto"/>
                  <w:color w:val="0000FF"/>
                  <w:w w:val="85"/>
                </w:rPr>
                <w:t>3</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rPr>
            </w:pPr>
            <w:hyperlink r:id="rId162">
              <w:r>
                <w:rPr>
                  <w:rFonts w:ascii="Arial" w:cs="Arial" w:eastAsia="Arial" w:hAnsi="Arial"/>
                  <w:sz w:val="12"/>
                  <w:szCs w:val="12"/>
                  <w:color w:val="0000FF"/>
                </w:rPr>
                <w:t>Amended and Restated Deferred Compensation Plan for Senior Executives (2003) (incorporated by reference as an exhibit to the Company's 2003 Form 10-K).</w:t>
              </w:r>
            </w:hyperlink>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63">
              <w:r>
                <w:rPr>
                  <w:rFonts w:ascii="Arial" w:cs="Arial" w:eastAsia="Arial" w:hAnsi="Arial"/>
                  <w:sz w:val="12"/>
                  <w:szCs w:val="12"/>
                  <w:color w:val="0000FF"/>
                </w:rPr>
                <w:t>10.</w:t>
              </w:r>
              <w:r>
                <w:rPr>
                  <w:rFonts w:ascii="Arial" w:cs="Arial" w:eastAsia="Arial" w:hAnsi="Arial"/>
                  <w:sz w:val="12"/>
                  <w:szCs w:val="12"/>
                  <w:u w:val="single" w:color="auto"/>
                  <w:color w:val="0000FF"/>
                </w:rPr>
                <w:t>3.1</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4"/>
              </w:rPr>
            </w:pPr>
            <w:hyperlink r:id="rId163">
              <w:r>
                <w:rPr>
                  <w:rFonts w:ascii="Arial" w:cs="Arial" w:eastAsia="Arial" w:hAnsi="Arial"/>
                  <w:sz w:val="12"/>
                  <w:szCs w:val="12"/>
                  <w:color w:val="0000FF"/>
                  <w:w w:val="94"/>
                </w:rPr>
                <w:t>Amendment Number 1 to Amended and Restated Deferred Compensation Plan for Senior Executives (October 30, 2008) (incorporated by reference as an exhibit to the Company's 2008 Form 10-K).</w:t>
              </w:r>
            </w:hyperlink>
          </w:p>
        </w:tc>
      </w:tr>
      <w:tr>
        <w:trPr>
          <w:trHeight w:val="20"/>
        </w:trPr>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920" w:type="dxa"/>
            <w:vAlign w:val="bottom"/>
            <w:gridSpan w:val="5"/>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64">
              <w:r>
                <w:rPr>
                  <w:rFonts w:ascii="Arial" w:cs="Arial" w:eastAsia="Arial" w:hAnsi="Arial"/>
                  <w:sz w:val="12"/>
                  <w:szCs w:val="12"/>
                  <w:color w:val="0000FF"/>
                </w:rPr>
                <w:t>10.</w:t>
              </w:r>
              <w:r>
                <w:rPr>
                  <w:rFonts w:ascii="Arial" w:cs="Arial" w:eastAsia="Arial" w:hAnsi="Arial"/>
                  <w:sz w:val="12"/>
                  <w:szCs w:val="12"/>
                  <w:u w:val="single" w:color="auto"/>
                  <w:color w:val="0000FF"/>
                </w:rPr>
                <w:t>3.2</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0"/>
              </w:rPr>
            </w:pPr>
            <w:hyperlink r:id="rId164">
              <w:r>
                <w:rPr>
                  <w:rFonts w:ascii="Arial" w:cs="Arial" w:eastAsia="Arial" w:hAnsi="Arial"/>
                  <w:sz w:val="12"/>
                  <w:szCs w:val="12"/>
                  <w:color w:val="0000FF"/>
                  <w:w w:val="90"/>
                </w:rPr>
                <w:t>Amendment Number 2 to Amended and Restated Deferred Compensation Plan for Senior Executives (May 1, 2011) (incorporated by reference as an exhibit to the Company's Quarterly Report on Form 10-</w:t>
              </w:r>
            </w:hyperlink>
          </w:p>
        </w:tc>
      </w:tr>
      <w:tr>
        <w:trPr>
          <w:trHeight w:val="97"/>
        </w:trPr>
        <w:tc>
          <w:tcPr>
            <w:tcW w:w="70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60" w:type="dxa"/>
            <w:vAlign w:val="bottom"/>
            <w:tcBorders>
              <w:top w:val="single" w:sz="8" w:color="0000FF"/>
            </w:tcBorders>
            <w:gridSpan w:val="21"/>
          </w:tcPr>
          <w:p>
            <w:pPr>
              <w:spacing w:after="0" w:line="97" w:lineRule="exact"/>
              <w:rPr>
                <w:rFonts w:ascii="Arial" w:cs="Arial" w:eastAsia="Arial" w:hAnsi="Arial"/>
                <w:sz w:val="11"/>
                <w:szCs w:val="11"/>
                <w:color w:val="0000FF"/>
              </w:rPr>
            </w:pPr>
            <w:hyperlink r:id="rId164">
              <w:r>
                <w:rPr>
                  <w:rFonts w:ascii="Arial" w:cs="Arial" w:eastAsia="Arial" w:hAnsi="Arial"/>
                  <w:sz w:val="11"/>
                  <w:szCs w:val="11"/>
                  <w:color w:val="0000FF"/>
                </w:rPr>
                <w:t>Q for the quarter ended June 30, 2011).</w:t>
              </w:r>
            </w:hyperlink>
          </w:p>
        </w:tc>
        <w:tc>
          <w:tcPr>
            <w:tcW w:w="40" w:type="dxa"/>
            <w:vAlign w:val="bottom"/>
            <w:gridSpan w:val="2"/>
          </w:tcPr>
          <w:p>
            <w:pPr>
              <w:spacing w:after="0"/>
              <w:rPr>
                <w:sz w:val="8"/>
                <w:szCs w:val="8"/>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65">
              <w:r>
                <w:rPr>
                  <w:rFonts w:ascii="Arial" w:cs="Arial" w:eastAsia="Arial" w:hAnsi="Arial"/>
                  <w:sz w:val="12"/>
                  <w:szCs w:val="12"/>
                  <w:color w:val="0000FF"/>
                </w:rPr>
                <w:t>10.</w:t>
              </w:r>
              <w:r>
                <w:rPr>
                  <w:rFonts w:ascii="Arial" w:cs="Arial" w:eastAsia="Arial" w:hAnsi="Arial"/>
                  <w:sz w:val="12"/>
                  <w:szCs w:val="12"/>
                  <w:u w:val="single" w:color="auto"/>
                  <w:color w:val="0000FF"/>
                </w:rPr>
                <w:t>3.3</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1"/>
              </w:rPr>
            </w:pPr>
            <w:hyperlink r:id="rId165">
              <w:r>
                <w:rPr>
                  <w:rFonts w:ascii="Arial" w:cs="Arial" w:eastAsia="Arial" w:hAnsi="Arial"/>
                  <w:sz w:val="12"/>
                  <w:szCs w:val="12"/>
                  <w:color w:val="0000FF"/>
                  <w:w w:val="91"/>
                </w:rPr>
                <w:t>Amendment Number 3 to Amended and Restated Deferred Compensation Plan for Senior Executives (September 27, 2012) (incorporated by reference as an exhibit to the Company's Quarterly Report on</w:t>
              </w:r>
            </w:hyperlink>
          </w:p>
        </w:tc>
      </w:tr>
      <w:tr>
        <w:trPr>
          <w:trHeight w:val="97"/>
        </w:trPr>
        <w:tc>
          <w:tcPr>
            <w:tcW w:w="70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tcBorders>
              <w:top w:val="single" w:sz="8" w:color="0000FF"/>
              <w:bottom w:val="single" w:sz="8" w:color="0000FF"/>
            </w:tcBorders>
            <w:gridSpan w:val="7"/>
          </w:tcPr>
          <w:p>
            <w:pPr>
              <w:spacing w:after="0" w:line="97" w:lineRule="exact"/>
              <w:rPr>
                <w:rFonts w:ascii="Arial" w:cs="Arial" w:eastAsia="Arial" w:hAnsi="Arial"/>
                <w:sz w:val="11"/>
                <w:szCs w:val="11"/>
                <w:color w:val="0000FF"/>
                <w:w w:val="97"/>
              </w:rPr>
            </w:pPr>
            <w:hyperlink r:id="rId165">
              <w:r>
                <w:rPr>
                  <w:rFonts w:ascii="Arial" w:cs="Arial" w:eastAsia="Arial" w:hAnsi="Arial"/>
                  <w:sz w:val="11"/>
                  <w:szCs w:val="11"/>
                  <w:color w:val="0000FF"/>
                  <w:w w:val="97"/>
                </w:rPr>
                <w:t>Form 10-Q for the quarter ended September 30, 2012).</w:t>
              </w:r>
            </w:hyperlink>
          </w:p>
        </w:tc>
        <w:tc>
          <w:tcPr>
            <w:tcW w:w="7100" w:type="dxa"/>
            <w:vAlign w:val="bottom"/>
            <w:tcBorders>
              <w:top w:val="single" w:sz="8" w:color="0000FF"/>
            </w:tcBorders>
            <w:gridSpan w:val="10"/>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5"/>
          </w:tcPr>
          <w:p>
            <w:pPr>
              <w:spacing w:after="0"/>
              <w:rPr>
                <w:sz w:val="8"/>
                <w:szCs w:val="8"/>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66">
              <w:r>
                <w:rPr>
                  <w:rFonts w:ascii="Arial" w:cs="Arial" w:eastAsia="Arial" w:hAnsi="Arial"/>
                  <w:sz w:val="12"/>
                  <w:szCs w:val="12"/>
                  <w:color w:val="0000FF"/>
                </w:rPr>
                <w:t>10.</w:t>
              </w:r>
              <w:r>
                <w:rPr>
                  <w:rFonts w:ascii="Arial" w:cs="Arial" w:eastAsia="Arial" w:hAnsi="Arial"/>
                  <w:sz w:val="12"/>
                  <w:szCs w:val="12"/>
                  <w:u w:val="single" w:color="auto"/>
                  <w:color w:val="0000FF"/>
                </w:rPr>
                <w:t>4</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2"/>
                <w:szCs w:val="12"/>
                <w:color w:val="0000FF"/>
                <w:w w:val="91"/>
              </w:rPr>
            </w:pPr>
            <w:hyperlink r:id="rId166">
              <w:r>
                <w:rPr>
                  <w:rFonts w:ascii="Arial" w:cs="Arial" w:eastAsia="Arial" w:hAnsi="Arial"/>
                  <w:sz w:val="12"/>
                  <w:szCs w:val="12"/>
                  <w:color w:val="0000FF"/>
                  <w:w w:val="91"/>
                </w:rPr>
                <w:t>Eligible Directors' Deferred Compensation/Phantom Stock Plan (as amended and restated as of January 1, 2013) (incorporated by reference as an exhibit to the Company's Quarterly Report on Form 10-Q</w:t>
              </w:r>
            </w:hyperlink>
          </w:p>
        </w:tc>
      </w:tr>
      <w:tr>
        <w:trPr>
          <w:trHeight w:val="97"/>
        </w:trPr>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tcBorders>
              <w:top w:val="single" w:sz="8" w:color="0000FF"/>
              <w:bottom w:val="single" w:sz="8" w:color="0000FF"/>
            </w:tcBorders>
            <w:gridSpan w:val="4"/>
          </w:tcPr>
          <w:p>
            <w:pPr>
              <w:spacing w:after="0" w:line="97" w:lineRule="exact"/>
              <w:rPr>
                <w:rFonts w:ascii="Arial" w:cs="Arial" w:eastAsia="Arial" w:hAnsi="Arial"/>
                <w:sz w:val="11"/>
                <w:szCs w:val="11"/>
                <w:color w:val="0000FF"/>
                <w:w w:val="96"/>
              </w:rPr>
            </w:pPr>
            <w:hyperlink r:id="rId166">
              <w:r>
                <w:rPr>
                  <w:rFonts w:ascii="Arial" w:cs="Arial" w:eastAsia="Arial" w:hAnsi="Arial"/>
                  <w:sz w:val="11"/>
                  <w:szCs w:val="11"/>
                  <w:color w:val="0000FF"/>
                  <w:w w:val="96"/>
                </w:rPr>
                <w:t>for the quarter ended June 30, 2013).</w:t>
              </w:r>
            </w:hyperlink>
          </w:p>
        </w:tc>
        <w:tc>
          <w:tcPr>
            <w:tcW w:w="7980" w:type="dxa"/>
            <w:vAlign w:val="bottom"/>
            <w:tcBorders>
              <w:top w:val="single" w:sz="8" w:color="0000FF"/>
            </w:tcBorders>
            <w:gridSpan w:val="14"/>
          </w:tcPr>
          <w:p>
            <w:pPr>
              <w:spacing w:after="0"/>
              <w:rPr>
                <w:sz w:val="8"/>
                <w:szCs w:val="8"/>
                <w:color w:val="auto"/>
              </w:rPr>
            </w:pPr>
          </w:p>
        </w:tc>
        <w:tc>
          <w:tcPr>
            <w:tcW w:w="140" w:type="dxa"/>
            <w:vAlign w:val="bottom"/>
            <w:gridSpan w:val="5"/>
          </w:tcPr>
          <w:p>
            <w:pPr>
              <w:spacing w:after="0"/>
              <w:rPr>
                <w:sz w:val="8"/>
                <w:szCs w:val="8"/>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2"/>
                <w:szCs w:val="12"/>
                <w:color w:val="0000FF"/>
                <w:w w:val="85"/>
              </w:rPr>
            </w:pPr>
            <w:hyperlink r:id="rId167">
              <w:r>
                <w:rPr>
                  <w:rFonts w:ascii="Arial" w:cs="Arial" w:eastAsia="Arial" w:hAnsi="Arial"/>
                  <w:sz w:val="12"/>
                  <w:szCs w:val="12"/>
                  <w:color w:val="0000FF"/>
                  <w:w w:val="85"/>
                </w:rPr>
                <w:t>10.</w:t>
              </w:r>
              <w:r>
                <w:rPr>
                  <w:rFonts w:ascii="Arial" w:cs="Arial" w:eastAsia="Arial" w:hAnsi="Arial"/>
                  <w:sz w:val="12"/>
                  <w:szCs w:val="12"/>
                  <w:u w:val="single" w:color="auto"/>
                  <w:color w:val="0000FF"/>
                  <w:w w:val="85"/>
                </w:rPr>
                <w:t>5</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8560" w:type="dxa"/>
            <w:vAlign w:val="bottom"/>
            <w:tcBorders>
              <w:bottom w:val="single" w:sz="8" w:color="0000FF"/>
            </w:tcBorders>
            <w:gridSpan w:val="12"/>
          </w:tcPr>
          <w:p>
            <w:pPr>
              <w:spacing w:after="0"/>
              <w:rPr>
                <w:rFonts w:ascii="Arial" w:cs="Arial" w:eastAsia="Arial" w:hAnsi="Arial"/>
                <w:sz w:val="12"/>
                <w:szCs w:val="12"/>
                <w:color w:val="0000FF"/>
                <w:w w:val="90"/>
              </w:rPr>
            </w:pPr>
            <w:hyperlink r:id="rId167">
              <w:r>
                <w:rPr>
                  <w:rFonts w:ascii="Arial" w:cs="Arial" w:eastAsia="Arial" w:hAnsi="Arial"/>
                  <w:sz w:val="12"/>
                  <w:szCs w:val="12"/>
                  <w:color w:val="0000FF"/>
                  <w:w w:val="90"/>
                </w:rPr>
                <w:t>Amended and Restated 2013 Deferred Compensation Plan for Executives effective (January 1, 2016) (incorporated by reference as an exhibit to the Company's 2015 Form 10-K).</w:t>
              </w:r>
            </w:hyperlink>
          </w:p>
        </w:tc>
        <w:tc>
          <w:tcPr>
            <w:tcW w:w="1340" w:type="dxa"/>
            <w:vAlign w:val="bottom"/>
            <w:gridSpan w:val="11"/>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27"/>
        </w:trPr>
        <w:tc>
          <w:tcPr>
            <w:tcW w:w="1380" w:type="dxa"/>
            <w:vAlign w:val="bottom"/>
            <w:gridSpan w:val="4"/>
          </w:tcPr>
          <w:p>
            <w:pPr>
              <w:ind w:left="180"/>
              <w:spacing w:after="0"/>
              <w:rPr>
                <w:sz w:val="20"/>
                <w:szCs w:val="20"/>
                <w:color w:val="auto"/>
              </w:rPr>
            </w:pPr>
            <w:r>
              <w:rPr>
                <w:rFonts w:ascii="Arial" w:cs="Arial" w:eastAsia="Arial" w:hAnsi="Arial"/>
                <w:sz w:val="10"/>
                <w:szCs w:val="10"/>
                <w:b w:val="1"/>
                <w:bCs w:val="1"/>
                <w:color w:val="auto"/>
              </w:rPr>
              <w:t>Exhibit Number</w:t>
            </w: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12"/>
          </w:tcPr>
          <w:p>
            <w:pPr>
              <w:ind w:left="120"/>
              <w:spacing w:after="0"/>
              <w:rPr>
                <w:sz w:val="20"/>
                <w:szCs w:val="20"/>
                <w:color w:val="auto"/>
              </w:rPr>
            </w:pPr>
            <w:r>
              <w:rPr>
                <w:rFonts w:ascii="Arial" w:cs="Arial" w:eastAsia="Arial" w:hAnsi="Arial"/>
                <w:sz w:val="10"/>
                <w:szCs w:val="10"/>
                <w:b w:val="1"/>
                <w:bCs w:val="1"/>
                <w:color w:val="auto"/>
              </w:rPr>
              <w:t>Description</w:t>
            </w:r>
          </w:p>
        </w:tc>
      </w:tr>
      <w:tr>
        <w:trPr>
          <w:trHeight w:val="119"/>
        </w:trPr>
        <w:tc>
          <w:tcPr>
            <w:tcW w:w="1000" w:type="dxa"/>
            <w:vAlign w:val="bottom"/>
            <w:tcBorders>
              <w:top w:val="single" w:sz="8" w:color="auto"/>
            </w:tcBorders>
            <w:gridSpan w:val="3"/>
          </w:tcPr>
          <w:p>
            <w:pPr>
              <w:jc w:val="right"/>
              <w:spacing w:after="0" w:line="119" w:lineRule="exact"/>
              <w:rPr>
                <w:rFonts w:ascii="Arial" w:cs="Arial" w:eastAsia="Arial" w:hAnsi="Arial"/>
                <w:sz w:val="12"/>
                <w:szCs w:val="12"/>
                <w:color w:val="0000FF"/>
              </w:rPr>
            </w:pPr>
            <w:hyperlink r:id="rId169">
              <w:r>
                <w:rPr>
                  <w:rFonts w:ascii="Arial" w:cs="Arial" w:eastAsia="Arial" w:hAnsi="Arial"/>
                  <w:sz w:val="12"/>
                  <w:szCs w:val="12"/>
                  <w:color w:val="0000FF"/>
                </w:rPr>
                <w:t>10.</w:t>
              </w:r>
              <w:r>
                <w:rPr>
                  <w:rFonts w:ascii="Arial" w:cs="Arial" w:eastAsia="Arial" w:hAnsi="Arial"/>
                  <w:sz w:val="12"/>
                  <w:szCs w:val="12"/>
                  <w:u w:val="single" w:color="auto"/>
                  <w:color w:val="0000FF"/>
                </w:rPr>
                <w:t>6</w:t>
              </w:r>
            </w:hyperlink>
          </w:p>
        </w:tc>
        <w:tc>
          <w:tcPr>
            <w:tcW w:w="3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880" w:type="dxa"/>
            <w:vAlign w:val="bottom"/>
            <w:tcBorders>
              <w:top w:val="single" w:sz="8" w:color="auto"/>
            </w:tcBorders>
            <w:gridSpan w:val="15"/>
          </w:tcPr>
          <w:p>
            <w:pPr>
              <w:spacing w:after="0" w:line="119" w:lineRule="exact"/>
              <w:rPr>
                <w:rFonts w:ascii="Arial" w:cs="Arial" w:eastAsia="Arial" w:hAnsi="Arial"/>
                <w:sz w:val="12"/>
                <w:szCs w:val="12"/>
                <w:color w:val="0000FF"/>
                <w:w w:val="91"/>
              </w:rPr>
            </w:pPr>
            <w:hyperlink r:id="rId169">
              <w:r>
                <w:rPr>
                  <w:rFonts w:ascii="Arial" w:cs="Arial" w:eastAsia="Arial" w:hAnsi="Arial"/>
                  <w:sz w:val="12"/>
                  <w:szCs w:val="12"/>
                  <w:color w:val="0000FF"/>
                  <w:w w:val="91"/>
                </w:rPr>
                <w:t>Deferred Compensation Plan Amended and Restated Trust Agreement between the Company and Wells Fargo Bank, National Association, effective as of June 17, 2019 (incorporated by reference as an</w:t>
              </w:r>
            </w:hyperlink>
          </w:p>
        </w:tc>
      </w:tr>
      <w:tr>
        <w:trPr>
          <w:trHeight w:val="97"/>
        </w:trPr>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580" w:type="dxa"/>
            <w:vAlign w:val="bottom"/>
            <w:tcBorders>
              <w:top w:val="single" w:sz="8" w:color="0000FF"/>
              <w:bottom w:val="single" w:sz="8" w:color="0000FF"/>
            </w:tcBorders>
            <w:gridSpan w:val="3"/>
          </w:tcPr>
          <w:p>
            <w:pPr>
              <w:spacing w:after="0" w:line="97" w:lineRule="exact"/>
              <w:rPr>
                <w:rFonts w:ascii="Arial" w:cs="Arial" w:eastAsia="Arial" w:hAnsi="Arial"/>
                <w:sz w:val="11"/>
                <w:szCs w:val="11"/>
                <w:color w:val="0000FF"/>
                <w:w w:val="98"/>
              </w:rPr>
            </w:pPr>
            <w:hyperlink r:id="rId169">
              <w:r>
                <w:rPr>
                  <w:rFonts w:ascii="Arial" w:cs="Arial" w:eastAsia="Arial" w:hAnsi="Arial"/>
                  <w:sz w:val="11"/>
                  <w:szCs w:val="11"/>
                  <w:color w:val="0000FF"/>
                  <w:w w:val="98"/>
                </w:rPr>
                <w:t>exhibit to the Company’s Quarterly Report on Form 10-Q for the quarter ended June 30, 2019).</w:t>
              </w:r>
            </w:hyperlink>
          </w:p>
        </w:tc>
        <w:tc>
          <w:tcPr>
            <w:tcW w:w="5080" w:type="dxa"/>
            <w:vAlign w:val="bottom"/>
            <w:tcBorders>
              <w:top w:val="single" w:sz="8" w:color="0000FF"/>
            </w:tcBorders>
            <w:gridSpan w:val="10"/>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95"/>
        </w:trPr>
        <w:tc>
          <w:tcPr>
            <w:tcW w:w="1000" w:type="dxa"/>
            <w:vAlign w:val="bottom"/>
            <w:gridSpan w:val="3"/>
          </w:tcPr>
          <w:p>
            <w:pPr>
              <w:jc w:val="right"/>
              <w:spacing w:after="0"/>
              <w:rPr>
                <w:sz w:val="20"/>
                <w:szCs w:val="20"/>
                <w:color w:val="auto"/>
              </w:rPr>
            </w:pPr>
            <w:r>
              <w:rPr>
                <w:rFonts w:ascii="Arial" w:cs="Arial" w:eastAsia="Arial" w:hAnsi="Arial"/>
                <w:sz w:val="12"/>
                <w:szCs w:val="12"/>
                <w:color w:val="auto"/>
              </w:rPr>
              <w:t>10.7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Arial" w:cs="Arial" w:eastAsia="Arial" w:hAnsi="Arial"/>
                <w:sz w:val="12"/>
                <w:szCs w:val="12"/>
                <w:color w:val="auto"/>
                <w:w w:val="91"/>
              </w:rPr>
              <w:t>Registration Rights Agreement, dated as of March 16, 1994, among the Company and Mace Siegel, Dana K. Anderson, Arthur M. Coppola and Edward C. Coppola (incorporated by reference as an exhibit</w:t>
            </w:r>
          </w:p>
        </w:tc>
      </w:tr>
      <w:tr>
        <w:trPr>
          <w:trHeight w:val="153"/>
        </w:trPr>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15"/>
          </w:tcPr>
          <w:p>
            <w:pPr>
              <w:spacing w:after="0"/>
              <w:rPr>
                <w:sz w:val="20"/>
                <w:szCs w:val="20"/>
                <w:color w:val="auto"/>
              </w:rPr>
            </w:pPr>
            <w:r>
              <w:rPr>
                <w:rFonts w:ascii="Arial" w:cs="Arial" w:eastAsia="Arial" w:hAnsi="Arial"/>
                <w:sz w:val="12"/>
                <w:szCs w:val="12"/>
                <w:color w:val="auto"/>
              </w:rPr>
              <w:t>to the Company's 1994 Form 10-K) (Filed in paper - hyperlink is not required pursuant to Rule 105 of Regulation S-T).</w:t>
            </w:r>
          </w:p>
        </w:tc>
      </w:tr>
      <w:tr>
        <w:trPr>
          <w:trHeight w:val="317"/>
        </w:trPr>
        <w:tc>
          <w:tcPr>
            <w:tcW w:w="1000" w:type="dxa"/>
            <w:vAlign w:val="bottom"/>
            <w:gridSpan w:val="3"/>
          </w:tcPr>
          <w:p>
            <w:pPr>
              <w:jc w:val="right"/>
              <w:spacing w:after="0"/>
              <w:rPr>
                <w:rFonts w:ascii="Arial" w:cs="Arial" w:eastAsia="Arial" w:hAnsi="Arial"/>
                <w:sz w:val="12"/>
                <w:szCs w:val="12"/>
                <w:color w:val="0000FF"/>
              </w:rPr>
            </w:pPr>
            <w:hyperlink r:id="rId170">
              <w:r>
                <w:rPr>
                  <w:rFonts w:ascii="Arial" w:cs="Arial" w:eastAsia="Arial" w:hAnsi="Arial"/>
                  <w:sz w:val="12"/>
                  <w:szCs w:val="12"/>
                  <w:color w:val="0000FF"/>
                </w:rPr>
                <w:t>10.</w:t>
              </w:r>
              <w:r>
                <w:rPr>
                  <w:rFonts w:ascii="Arial" w:cs="Arial" w:eastAsia="Arial" w:hAnsi="Arial"/>
                  <w:sz w:val="12"/>
                  <w:szCs w:val="12"/>
                  <w:u w:val="single" w:color="auto"/>
                  <w:color w:val="0000FF"/>
                </w:rPr>
                <w:t>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2"/>
                <w:szCs w:val="12"/>
                <w:color w:val="0000FF"/>
                <w:w w:val="92"/>
              </w:rPr>
            </w:pPr>
            <w:hyperlink r:id="rId170">
              <w:r>
                <w:rPr>
                  <w:rFonts w:ascii="Arial" w:cs="Arial" w:eastAsia="Arial" w:hAnsi="Arial"/>
                  <w:sz w:val="12"/>
                  <w:szCs w:val="12"/>
                  <w:color w:val="0000FF"/>
                  <w:w w:val="92"/>
                </w:rPr>
                <w:t>Registration Rights Agreement dated as of December 18, 2003 by the Operating Partnership, the Company and Taubman Realty Group Limited Partnership (Registration rights assigned by Taubman to</w:t>
              </w:r>
            </w:hyperlink>
          </w:p>
        </w:tc>
      </w:tr>
      <w:tr>
        <w:trPr>
          <w:trHeight w:val="77"/>
        </w:trPr>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80" w:type="dxa"/>
            <w:vAlign w:val="bottom"/>
            <w:tcBorders>
              <w:top w:val="single" w:sz="8" w:color="0000FF"/>
              <w:bottom w:val="single" w:sz="8" w:color="0000FF"/>
            </w:tcBorders>
            <w:gridSpan w:val="2"/>
          </w:tcPr>
          <w:p>
            <w:pPr>
              <w:spacing w:after="0" w:line="77" w:lineRule="exact"/>
              <w:rPr>
                <w:rFonts w:ascii="Arial" w:cs="Arial" w:eastAsia="Arial" w:hAnsi="Arial"/>
                <w:sz w:val="8"/>
                <w:szCs w:val="8"/>
                <w:color w:val="0000FF"/>
              </w:rPr>
            </w:pPr>
            <w:hyperlink r:id="rId170">
              <w:r>
                <w:rPr>
                  <w:rFonts w:ascii="Arial" w:cs="Arial" w:eastAsia="Arial" w:hAnsi="Arial"/>
                  <w:sz w:val="8"/>
                  <w:szCs w:val="8"/>
                  <w:color w:val="0000FF"/>
                </w:rPr>
                <w:t>three assignees) (incorporated by reference as an exhibit to the Company's 2003 Form 10-K).</w:t>
              </w:r>
            </w:hyperlink>
          </w:p>
        </w:tc>
        <w:tc>
          <w:tcPr>
            <w:tcW w:w="5140" w:type="dxa"/>
            <w:vAlign w:val="bottom"/>
            <w:tcBorders>
              <w:top w:val="single" w:sz="8" w:color="0000FF"/>
            </w:tcBorders>
            <w:gridSpan w:val="10"/>
          </w:tcPr>
          <w:p>
            <w:pPr>
              <w:spacing w:after="0"/>
              <w:rPr>
                <w:sz w:val="6"/>
                <w:szCs w:val="6"/>
                <w:color w:val="auto"/>
              </w:rPr>
            </w:pPr>
          </w:p>
        </w:tc>
        <w:tc>
          <w:tcPr>
            <w:tcW w:w="100" w:type="dxa"/>
            <w:vAlign w:val="bottom"/>
            <w:gridSpan w:val="2"/>
          </w:tcPr>
          <w:p>
            <w:pPr>
              <w:spacing w:after="0"/>
              <w:rPr>
                <w:sz w:val="6"/>
                <w:szCs w:val="6"/>
                <w:color w:val="auto"/>
              </w:rPr>
            </w:pPr>
          </w:p>
        </w:tc>
        <w:tc>
          <w:tcPr>
            <w:tcW w:w="160" w:type="dxa"/>
            <w:vAlign w:val="bottom"/>
          </w:tcPr>
          <w:p>
            <w:pPr>
              <w:spacing w:after="0"/>
              <w:rPr>
                <w:sz w:val="6"/>
                <w:szCs w:val="6"/>
                <w:color w:val="auto"/>
              </w:rPr>
            </w:pPr>
          </w:p>
        </w:tc>
      </w:tr>
      <w:tr>
        <w:trPr>
          <w:trHeight w:val="295"/>
        </w:trPr>
        <w:tc>
          <w:tcPr>
            <w:tcW w:w="1000" w:type="dxa"/>
            <w:vAlign w:val="bottom"/>
            <w:gridSpan w:val="3"/>
          </w:tcPr>
          <w:p>
            <w:pPr>
              <w:jc w:val="right"/>
              <w:spacing w:after="0"/>
              <w:rPr>
                <w:sz w:val="20"/>
                <w:szCs w:val="20"/>
                <w:color w:val="auto"/>
              </w:rPr>
            </w:pPr>
            <w:r>
              <w:rPr>
                <w:rFonts w:ascii="Arial" w:cs="Arial" w:eastAsia="Arial" w:hAnsi="Arial"/>
                <w:sz w:val="12"/>
                <w:szCs w:val="12"/>
                <w:color w:val="auto"/>
              </w:rPr>
              <w:t>10.9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Arial" w:cs="Arial" w:eastAsia="Arial" w:hAnsi="Arial"/>
                <w:sz w:val="12"/>
                <w:szCs w:val="12"/>
                <w:color w:val="auto"/>
                <w:w w:val="91"/>
              </w:rPr>
              <w:t>Incidental Registration Rights Agreement dated March 16, 1994 (incorporated by reference as an exhibit to the Company's 1994 Form 10-K) (Filed in paper - hyperlink is not required pursuant to Rule 105</w:t>
            </w:r>
          </w:p>
        </w:tc>
      </w:tr>
      <w:tr>
        <w:trPr>
          <w:trHeight w:val="153"/>
        </w:trPr>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15"/>
          </w:tcPr>
          <w:p>
            <w:pPr>
              <w:spacing w:after="0"/>
              <w:rPr>
                <w:sz w:val="20"/>
                <w:szCs w:val="20"/>
                <w:color w:val="auto"/>
              </w:rPr>
            </w:pPr>
            <w:r>
              <w:rPr>
                <w:rFonts w:ascii="Arial" w:cs="Arial" w:eastAsia="Arial" w:hAnsi="Arial"/>
                <w:sz w:val="12"/>
                <w:szCs w:val="12"/>
                <w:color w:val="auto"/>
              </w:rPr>
              <w:t>of Regulation S-T).</w:t>
            </w:r>
          </w:p>
        </w:tc>
      </w:tr>
      <w:tr>
        <w:trPr>
          <w:trHeight w:val="297"/>
        </w:trPr>
        <w:tc>
          <w:tcPr>
            <w:tcW w:w="78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1"/>
                <w:szCs w:val="11"/>
                <w:color w:val="0000FF"/>
                <w:w w:val="72"/>
              </w:rPr>
            </w:pPr>
            <w:hyperlink r:id="rId149">
              <w:r>
                <w:rPr>
                  <w:rFonts w:ascii="Arial" w:cs="Arial" w:eastAsia="Arial" w:hAnsi="Arial"/>
                  <w:sz w:val="11"/>
                  <w:szCs w:val="11"/>
                  <w:color w:val="0000FF"/>
                  <w:w w:val="72"/>
                </w:rPr>
                <w:t>10.</w:t>
              </w:r>
              <w:r>
                <w:rPr>
                  <w:rFonts w:ascii="Arial" w:cs="Arial" w:eastAsia="Arial" w:hAnsi="Arial"/>
                  <w:sz w:val="11"/>
                  <w:szCs w:val="11"/>
                  <w:u w:val="single" w:color="auto"/>
                  <w:color w:val="0000FF"/>
                  <w:w w:val="72"/>
                </w:rPr>
                <w:t>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tcBorders>
              <w:bottom w:val="single" w:sz="8" w:color="0000FF"/>
            </w:tcBorders>
            <w:gridSpan w:val="4"/>
          </w:tcPr>
          <w:p>
            <w:pPr>
              <w:spacing w:after="0"/>
              <w:rPr>
                <w:rFonts w:ascii="Arial" w:cs="Arial" w:eastAsia="Arial" w:hAnsi="Arial"/>
                <w:sz w:val="12"/>
                <w:szCs w:val="12"/>
                <w:color w:val="0000FF"/>
                <w:w w:val="90"/>
              </w:rPr>
            </w:pPr>
            <w:hyperlink r:id="rId149">
              <w:r>
                <w:rPr>
                  <w:rFonts w:ascii="Arial" w:cs="Arial" w:eastAsia="Arial" w:hAnsi="Arial"/>
                  <w:sz w:val="12"/>
                  <w:szCs w:val="12"/>
                  <w:color w:val="0000FF"/>
                  <w:w w:val="90"/>
                </w:rPr>
                <w:t>Incidental Registration Rights Agreement dated as of July 21, 1994 (incorporated by reference as an exhibit to the Company's 1997 Form 10-K).</w:t>
              </w:r>
            </w:hyperlink>
          </w:p>
        </w:tc>
        <w:tc>
          <w:tcPr>
            <w:tcW w:w="2940" w:type="dxa"/>
            <w:vAlign w:val="bottom"/>
            <w:gridSpan w:val="11"/>
          </w:tcPr>
          <w:p>
            <w:pPr>
              <w:spacing w:after="0"/>
              <w:rPr>
                <w:sz w:val="24"/>
                <w:szCs w:val="24"/>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49">
              <w:r>
                <w:rPr>
                  <w:rFonts w:ascii="Arial" w:cs="Arial" w:eastAsia="Arial" w:hAnsi="Arial"/>
                  <w:sz w:val="12"/>
                  <w:szCs w:val="12"/>
                  <w:color w:val="0000FF"/>
                </w:rPr>
                <w:t>10.</w:t>
              </w:r>
              <w:r>
                <w:rPr>
                  <w:rFonts w:ascii="Arial" w:cs="Arial" w:eastAsia="Arial" w:hAnsi="Arial"/>
                  <w:sz w:val="12"/>
                  <w:szCs w:val="12"/>
                  <w:u w:val="single" w:color="auto"/>
                  <w:color w:val="0000FF"/>
                </w:rPr>
                <w:t>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2"/>
                <w:szCs w:val="12"/>
                <w:color w:val="0000FF"/>
              </w:rPr>
            </w:pPr>
            <w:hyperlink r:id="rId149">
              <w:r>
                <w:rPr>
                  <w:rFonts w:ascii="Arial" w:cs="Arial" w:eastAsia="Arial" w:hAnsi="Arial"/>
                  <w:sz w:val="12"/>
                  <w:szCs w:val="12"/>
                  <w:color w:val="0000FF"/>
                </w:rPr>
                <w:t>Incidental Registration Rights Agreement dated as of August 15, 1995 (incorporated by reference as an exhibit to the Company's 1997 Form 10-K).</w:t>
              </w:r>
            </w:hyperlink>
          </w:p>
        </w:tc>
      </w:tr>
      <w:tr>
        <w:trPr>
          <w:trHeight w:val="20"/>
        </w:trPr>
        <w:tc>
          <w:tcPr>
            <w:tcW w:w="6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1"/>
                <w:szCs w:val="11"/>
                <w:color w:val="0000FF"/>
                <w:w w:val="72"/>
              </w:rPr>
            </w:pPr>
            <w:hyperlink r:id="rId149">
              <w:r>
                <w:rPr>
                  <w:rFonts w:ascii="Arial" w:cs="Arial" w:eastAsia="Arial" w:hAnsi="Arial"/>
                  <w:sz w:val="11"/>
                  <w:szCs w:val="11"/>
                  <w:color w:val="0000FF"/>
                  <w:w w:val="72"/>
                </w:rPr>
                <w:t>10.</w:t>
              </w:r>
              <w:r>
                <w:rPr>
                  <w:rFonts w:ascii="Arial" w:cs="Arial" w:eastAsia="Arial" w:hAnsi="Arial"/>
                  <w:sz w:val="11"/>
                  <w:szCs w:val="11"/>
                  <w:u w:val="single" w:color="auto"/>
                  <w:color w:val="0000FF"/>
                  <w:w w:val="72"/>
                </w:rPr>
                <w:t>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7"/>
          </w:tcPr>
          <w:p>
            <w:pPr>
              <w:spacing w:after="0"/>
              <w:rPr>
                <w:rFonts w:ascii="Arial" w:cs="Arial" w:eastAsia="Arial" w:hAnsi="Arial"/>
                <w:sz w:val="12"/>
                <w:szCs w:val="12"/>
                <w:color w:val="0000FF"/>
                <w:w w:val="90"/>
              </w:rPr>
            </w:pPr>
            <w:hyperlink r:id="rId149">
              <w:r>
                <w:rPr>
                  <w:rFonts w:ascii="Arial" w:cs="Arial" w:eastAsia="Arial" w:hAnsi="Arial"/>
                  <w:sz w:val="12"/>
                  <w:szCs w:val="12"/>
                  <w:color w:val="0000FF"/>
                  <w:w w:val="90"/>
                </w:rPr>
                <w:t>Incidental Registration Rights Agreement dated as of December 21, 1995 (incorporated by reference as an exhibit to the Company's 1997 Form 10-K).</w:t>
              </w:r>
            </w:hyperlink>
          </w:p>
        </w:tc>
        <w:tc>
          <w:tcPr>
            <w:tcW w:w="2640" w:type="dxa"/>
            <w:vAlign w:val="bottom"/>
            <w:gridSpan w:val="8"/>
          </w:tcPr>
          <w:p>
            <w:pPr>
              <w:spacing w:after="0"/>
              <w:rPr>
                <w:sz w:val="24"/>
                <w:szCs w:val="24"/>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Pr>
          <w:p>
            <w:pPr>
              <w:jc w:val="right"/>
              <w:spacing w:after="0"/>
              <w:rPr>
                <w:rFonts w:ascii="Arial" w:cs="Arial" w:eastAsia="Arial" w:hAnsi="Arial"/>
                <w:sz w:val="11"/>
                <w:szCs w:val="11"/>
                <w:color w:val="0000FF"/>
                <w:w w:val="72"/>
              </w:rPr>
            </w:pPr>
            <w:hyperlink r:id="rId149">
              <w:r>
                <w:rPr>
                  <w:rFonts w:ascii="Arial" w:cs="Arial" w:eastAsia="Arial" w:hAnsi="Arial"/>
                  <w:sz w:val="11"/>
                  <w:szCs w:val="11"/>
                  <w:color w:val="0000FF"/>
                  <w:w w:val="72"/>
                </w:rPr>
                <w:t>10.</w:t>
              </w:r>
              <w:r>
                <w:rPr>
                  <w:rFonts w:ascii="Arial" w:cs="Arial" w:eastAsia="Arial" w:hAnsi="Arial"/>
                  <w:sz w:val="11"/>
                  <w:szCs w:val="11"/>
                  <w:u w:val="single" w:color="auto"/>
                  <w:color w:val="0000FF"/>
                  <w:w w:val="72"/>
                </w:rPr>
                <w:t>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2"/>
                <w:szCs w:val="12"/>
                <w:color w:val="0000FF"/>
              </w:rPr>
            </w:pPr>
            <w:hyperlink r:id="rId149">
              <w:r>
                <w:rPr>
                  <w:rFonts w:ascii="Arial" w:cs="Arial" w:eastAsia="Arial" w:hAnsi="Arial"/>
                  <w:sz w:val="12"/>
                  <w:szCs w:val="12"/>
                  <w:color w:val="0000FF"/>
                </w:rPr>
                <w:t>List of Omitted Incidental/Demand Registration Rights Agreements (incorporated by reference as an exhibit to the Company's 1997 Form 10-K).</w:t>
              </w:r>
            </w:hyperlink>
          </w:p>
        </w:tc>
      </w:tr>
      <w:tr>
        <w:trPr>
          <w:trHeight w:val="20"/>
        </w:trPr>
        <w:tc>
          <w:tcPr>
            <w:tcW w:w="6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520" w:type="dxa"/>
            <w:vAlign w:val="bottom"/>
            <w:gridSpan w:val="4"/>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Pr>
          <w:p>
            <w:pPr>
              <w:jc w:val="right"/>
              <w:spacing w:after="0"/>
              <w:rPr>
                <w:rFonts w:ascii="Arial" w:cs="Arial" w:eastAsia="Arial" w:hAnsi="Arial"/>
                <w:sz w:val="11"/>
                <w:szCs w:val="11"/>
                <w:color w:val="0000FF"/>
                <w:w w:val="72"/>
              </w:rPr>
            </w:pPr>
            <w:hyperlink r:id="rId129">
              <w:r>
                <w:rPr>
                  <w:rFonts w:ascii="Arial" w:cs="Arial" w:eastAsia="Arial" w:hAnsi="Arial"/>
                  <w:sz w:val="11"/>
                  <w:szCs w:val="11"/>
                  <w:color w:val="0000FF"/>
                  <w:w w:val="72"/>
                </w:rPr>
                <w:t>10.</w:t>
              </w:r>
              <w:r>
                <w:rPr>
                  <w:rFonts w:ascii="Arial" w:cs="Arial" w:eastAsia="Arial" w:hAnsi="Arial"/>
                  <w:sz w:val="11"/>
                  <w:szCs w:val="11"/>
                  <w:u w:val="single" w:color="auto"/>
                  <w:color w:val="0000FF"/>
                  <w:w w:val="72"/>
                </w:rPr>
                <w:t>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2"/>
                <w:szCs w:val="12"/>
                <w:color w:val="0000FF"/>
                <w:w w:val="92"/>
              </w:rPr>
            </w:pPr>
            <w:hyperlink r:id="rId129">
              <w:r>
                <w:rPr>
                  <w:rFonts w:ascii="Arial" w:cs="Arial" w:eastAsia="Arial" w:hAnsi="Arial"/>
                  <w:sz w:val="12"/>
                  <w:szCs w:val="12"/>
                  <w:color w:val="0000FF"/>
                  <w:w w:val="92"/>
                </w:rPr>
                <w:t>Redemption, Registration Rights and Lock-Up Agreement dated as of July 24, 1998 between the Company and Harry S. Newman, Jr. and LeRoy H. Brettin (incorporated by reference as an exhibit to the</w:t>
              </w:r>
            </w:hyperlink>
          </w:p>
        </w:tc>
      </w:tr>
      <w:tr>
        <w:trPr>
          <w:trHeight w:val="97"/>
        </w:trPr>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w w:val="98"/>
              </w:rPr>
            </w:pPr>
            <w:hyperlink r:id="rId129">
              <w:r>
                <w:rPr>
                  <w:rFonts w:ascii="Arial" w:cs="Arial" w:eastAsia="Arial" w:hAnsi="Arial"/>
                  <w:sz w:val="11"/>
                  <w:szCs w:val="11"/>
                  <w:color w:val="0000FF"/>
                  <w:w w:val="98"/>
                </w:rPr>
                <w:t>Company's 1998 Form 10-K).</w:t>
              </w:r>
            </w:hyperlink>
          </w:p>
        </w:tc>
        <w:tc>
          <w:tcPr>
            <w:tcW w:w="8280" w:type="dxa"/>
            <w:vAlign w:val="bottom"/>
            <w:tcBorders>
              <w:top w:val="single" w:sz="8" w:color="0000FF"/>
            </w:tcBorders>
            <w:gridSpan w:val="13"/>
          </w:tcPr>
          <w:p>
            <w:pPr>
              <w:spacing w:after="0"/>
              <w:rPr>
                <w:sz w:val="8"/>
                <w:szCs w:val="8"/>
                <w:color w:val="auto"/>
              </w:rPr>
            </w:pPr>
          </w:p>
        </w:tc>
        <w:tc>
          <w:tcPr>
            <w:tcW w:w="160" w:type="dxa"/>
            <w:vAlign w:val="bottom"/>
          </w:tcPr>
          <w:p>
            <w:pPr>
              <w:spacing w:after="0"/>
              <w:rPr>
                <w:sz w:val="8"/>
                <w:szCs w:val="8"/>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Pr>
          <w:p>
            <w:pPr>
              <w:jc w:val="right"/>
              <w:spacing w:after="0"/>
              <w:rPr>
                <w:rFonts w:ascii="Arial" w:cs="Arial" w:eastAsia="Arial" w:hAnsi="Arial"/>
                <w:sz w:val="11"/>
                <w:szCs w:val="11"/>
                <w:color w:val="0000FF"/>
                <w:w w:val="72"/>
              </w:rPr>
            </w:pPr>
            <w:hyperlink r:id="rId171">
              <w:r>
                <w:rPr>
                  <w:rFonts w:ascii="Arial" w:cs="Arial" w:eastAsia="Arial" w:hAnsi="Arial"/>
                  <w:sz w:val="11"/>
                  <w:szCs w:val="11"/>
                  <w:color w:val="0000FF"/>
                  <w:w w:val="72"/>
                </w:rPr>
                <w:t>10.</w:t>
              </w:r>
              <w:r>
                <w:rPr>
                  <w:rFonts w:ascii="Arial" w:cs="Arial" w:eastAsia="Arial" w:hAnsi="Arial"/>
                  <w:sz w:val="11"/>
                  <w:szCs w:val="11"/>
                  <w:u w:val="single" w:color="auto"/>
                  <w:color w:val="0000FF"/>
                  <w:w w:val="72"/>
                </w:rPr>
                <w:t>15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2"/>
                <w:szCs w:val="12"/>
                <w:color w:val="0000FF"/>
              </w:rPr>
            </w:pPr>
            <w:hyperlink r:id="rId171">
              <w:r>
                <w:rPr>
                  <w:rFonts w:ascii="Arial" w:cs="Arial" w:eastAsia="Arial" w:hAnsi="Arial"/>
                  <w:sz w:val="12"/>
                  <w:szCs w:val="12"/>
                  <w:color w:val="0000FF"/>
                </w:rPr>
                <w:t>Form of Indemnification Agreement between the Company and its executive officers and directors (incorporated by reference as an exhibit to the Company's 2008 Form 10-K).</w:t>
              </w:r>
            </w:hyperlink>
          </w:p>
        </w:tc>
      </w:tr>
      <w:tr>
        <w:trPr>
          <w:trHeight w:val="20"/>
        </w:trPr>
        <w:tc>
          <w:tcPr>
            <w:tcW w:w="6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1"/>
                <w:szCs w:val="11"/>
                <w:color w:val="0000FF"/>
                <w:w w:val="72"/>
              </w:rPr>
            </w:pPr>
            <w:hyperlink r:id="rId172">
              <w:r>
                <w:rPr>
                  <w:rFonts w:ascii="Arial" w:cs="Arial" w:eastAsia="Arial" w:hAnsi="Arial"/>
                  <w:sz w:val="11"/>
                  <w:szCs w:val="11"/>
                  <w:color w:val="0000FF"/>
                  <w:w w:val="72"/>
                </w:rPr>
                <w:t>10.</w:t>
              </w:r>
              <w:r>
                <w:rPr>
                  <w:rFonts w:ascii="Arial" w:cs="Arial" w:eastAsia="Arial" w:hAnsi="Arial"/>
                  <w:sz w:val="11"/>
                  <w:szCs w:val="11"/>
                  <w:u w:val="single" w:color="auto"/>
                  <w:color w:val="0000FF"/>
                  <w:w w:val="72"/>
                </w:rPr>
                <w:t>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tcBorders>
              <w:bottom w:val="single" w:sz="8" w:color="0000FF"/>
            </w:tcBorders>
            <w:gridSpan w:val="11"/>
          </w:tcPr>
          <w:p>
            <w:pPr>
              <w:spacing w:after="0"/>
              <w:rPr>
                <w:rFonts w:ascii="Arial" w:cs="Arial" w:eastAsia="Arial" w:hAnsi="Arial"/>
                <w:sz w:val="12"/>
                <w:szCs w:val="12"/>
                <w:color w:val="0000FF"/>
                <w:w w:val="90"/>
              </w:rPr>
            </w:pPr>
            <w:hyperlink r:id="rId172">
              <w:r>
                <w:rPr>
                  <w:rFonts w:ascii="Arial" w:cs="Arial" w:eastAsia="Arial" w:hAnsi="Arial"/>
                  <w:sz w:val="12"/>
                  <w:szCs w:val="12"/>
                  <w:color w:val="0000FF"/>
                  <w:w w:val="90"/>
                </w:rPr>
                <w:t>Form of Registration Rights Agreement with Series D Preferred Unit Holders (incorporated by reference as an exhibit to the Company's Current Report on Form 8-K, event date July 26, 2002).</w:t>
              </w:r>
            </w:hyperlink>
          </w:p>
        </w:tc>
        <w:tc>
          <w:tcPr>
            <w:tcW w:w="640" w:type="dxa"/>
            <w:vAlign w:val="bottom"/>
            <w:gridSpan w:val="4"/>
          </w:tcPr>
          <w:p>
            <w:pPr>
              <w:spacing w:after="0"/>
              <w:rPr>
                <w:sz w:val="24"/>
                <w:szCs w:val="24"/>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73">
              <w:r>
                <w:rPr>
                  <w:rFonts w:ascii="Arial" w:cs="Arial" w:eastAsia="Arial" w:hAnsi="Arial"/>
                  <w:sz w:val="12"/>
                  <w:szCs w:val="12"/>
                  <w:color w:val="0000FF"/>
                </w:rPr>
                <w:t>10.</w:t>
              </w:r>
              <w:r>
                <w:rPr>
                  <w:rFonts w:ascii="Arial" w:cs="Arial" w:eastAsia="Arial" w:hAnsi="Arial"/>
                  <w:sz w:val="12"/>
                  <w:szCs w:val="12"/>
                  <w:u w:val="single" w:color="auto"/>
                  <w:color w:val="0000FF"/>
                </w:rPr>
                <w:t>16.1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2"/>
                <w:szCs w:val="12"/>
                <w:color w:val="0000FF"/>
              </w:rPr>
            </w:pPr>
            <w:hyperlink r:id="rId173">
              <w:r>
                <w:rPr>
                  <w:rFonts w:ascii="Arial" w:cs="Arial" w:eastAsia="Arial" w:hAnsi="Arial"/>
                  <w:sz w:val="12"/>
                  <w:szCs w:val="12"/>
                  <w:color w:val="0000FF"/>
                </w:rPr>
                <w:t>List of Omitted Registration Rights Agreements (incorporated by reference as an exhibit to the Company's Current Report on Form 8-K, event date July 26, 2002).</w:t>
              </w:r>
            </w:hyperlink>
          </w:p>
        </w:tc>
      </w:tr>
      <w:tr>
        <w:trPr>
          <w:trHeight w:val="20"/>
        </w:trPr>
        <w:tc>
          <w:tcPr>
            <w:tcW w:w="6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360" w:type="dxa"/>
            <w:vAlign w:val="bottom"/>
            <w:gridSpan w:val="2"/>
          </w:tcPr>
          <w:p>
            <w:pPr>
              <w:jc w:val="right"/>
              <w:spacing w:after="0"/>
              <w:rPr>
                <w:rFonts w:ascii="Arial" w:cs="Arial" w:eastAsia="Arial" w:hAnsi="Arial"/>
                <w:sz w:val="12"/>
                <w:szCs w:val="12"/>
                <w:color w:val="0000FF"/>
              </w:rPr>
            </w:pPr>
            <w:hyperlink r:id="rId174">
              <w:r>
                <w:rPr>
                  <w:rFonts w:ascii="Arial" w:cs="Arial" w:eastAsia="Arial" w:hAnsi="Arial"/>
                  <w:sz w:val="12"/>
                  <w:szCs w:val="12"/>
                  <w:color w:val="0000FF"/>
                </w:rPr>
                <w:t>10.</w:t>
              </w:r>
              <w:r>
                <w:rPr>
                  <w:rFonts w:ascii="Arial" w:cs="Arial" w:eastAsia="Arial" w:hAnsi="Arial"/>
                  <w:sz w:val="12"/>
                  <w:szCs w:val="12"/>
                  <w:u w:val="single" w:color="auto"/>
                  <w:color w:val="0000FF"/>
                </w:rPr>
                <w:t>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5"/>
          </w:tcPr>
          <w:p>
            <w:pPr>
              <w:spacing w:after="0"/>
              <w:rPr>
                <w:rFonts w:ascii="Arial" w:cs="Arial" w:eastAsia="Arial" w:hAnsi="Arial"/>
                <w:sz w:val="12"/>
                <w:szCs w:val="12"/>
                <w:color w:val="0000FF"/>
                <w:w w:val="96"/>
              </w:rPr>
            </w:pPr>
            <w:hyperlink r:id="rId174">
              <w:r>
                <w:rPr>
                  <w:rFonts w:ascii="Arial" w:cs="Arial" w:eastAsia="Arial" w:hAnsi="Arial"/>
                  <w:sz w:val="12"/>
                  <w:szCs w:val="12"/>
                  <w:color w:val="0000FF"/>
                  <w:w w:val="96"/>
                </w:rPr>
                <w:t>Credit Agreement, dated as of April 14, 2021, by and among the Company, as a guarantor, the Partnership, as borrower, certain subsidiary guarantors, Deutsche Bank AG New York Branch, as</w:t>
              </w:r>
            </w:hyperlink>
          </w:p>
        </w:tc>
      </w:tr>
      <w:tr>
        <w:trPr>
          <w:trHeight w:val="98"/>
        </w:trPr>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0" w:type="dxa"/>
            <w:vAlign w:val="bottom"/>
            <w:tcBorders>
              <w:top w:val="single" w:sz="8" w:color="0000FF"/>
            </w:tcBorders>
            <w:gridSpan w:val="10"/>
          </w:tcPr>
          <w:p>
            <w:pPr>
              <w:spacing w:after="0" w:line="99" w:lineRule="exact"/>
              <w:rPr>
                <w:rFonts w:ascii="Arial" w:cs="Arial" w:eastAsia="Arial" w:hAnsi="Arial"/>
                <w:sz w:val="11"/>
                <w:szCs w:val="11"/>
                <w:u w:val="single" w:color="auto"/>
                <w:color w:val="0000FF"/>
                <w:w w:val="98"/>
              </w:rPr>
            </w:pPr>
            <w:hyperlink r:id="rId174">
              <w:r>
                <w:rPr>
                  <w:rFonts w:ascii="Arial" w:cs="Arial" w:eastAsia="Arial" w:hAnsi="Arial"/>
                  <w:sz w:val="11"/>
                  <w:szCs w:val="11"/>
                  <w:u w:val="single" w:color="auto"/>
                  <w:color w:val="0000FF"/>
                  <w:w w:val="98"/>
                </w:rPr>
                <w:t>administrative agent and collateral agent, Deutsche Bank Securities Inc., JPMorgan Chase Bank, N.A. and Goldman Sachs Bank USA, as joint lead arrangers and joint bookrunning managers,</w:t>
              </w:r>
            </w:hyperlink>
          </w:p>
        </w:tc>
        <w:tc>
          <w:tcPr>
            <w:tcW w:w="680" w:type="dxa"/>
            <w:vAlign w:val="bottom"/>
            <w:gridSpan w:val="5"/>
          </w:tcPr>
          <w:p>
            <w:pPr>
              <w:spacing w:after="0" w:line="99" w:lineRule="exact"/>
              <w:rPr>
                <w:rFonts w:ascii="Arial" w:cs="Arial" w:eastAsia="Arial" w:hAnsi="Arial"/>
                <w:sz w:val="11"/>
                <w:szCs w:val="11"/>
                <w:u w:val="single" w:color="auto"/>
                <w:color w:val="0000FF"/>
              </w:rPr>
            </w:pPr>
            <w:hyperlink r:id="rId174">
              <w:r>
                <w:rPr>
                  <w:rFonts w:ascii="Arial" w:cs="Arial" w:eastAsia="Arial" w:hAnsi="Arial"/>
                  <w:sz w:val="11"/>
                  <w:szCs w:val="11"/>
                  <w:u w:val="single" w:color="auto"/>
                  <w:color w:val="0000FF"/>
                </w:rPr>
                <w:t>Deutsche</w:t>
              </w:r>
            </w:hyperlink>
          </w:p>
        </w:tc>
      </w:tr>
    </w:tbl>
    <w:p>
      <w:pPr>
        <w:ind w:left="1400" w:right="320"/>
        <w:spacing w:after="0" w:line="226" w:lineRule="auto"/>
        <w:rPr>
          <w:rFonts w:ascii="Arial" w:cs="Arial" w:eastAsia="Arial" w:hAnsi="Arial"/>
          <w:sz w:val="12"/>
          <w:szCs w:val="12"/>
          <w:u w:val="single" w:color="auto"/>
          <w:color w:val="0000FF"/>
        </w:rPr>
      </w:pPr>
      <w:hyperlink r:id="rId174">
        <w:r>
          <w:rPr>
            <w:rFonts w:ascii="Arial" w:cs="Arial" w:eastAsia="Arial" w:hAnsi="Arial"/>
            <w:sz w:val="12"/>
            <w:szCs w:val="12"/>
            <w:u w:val="single" w:color="auto"/>
            <w:color w:val="0000FF"/>
          </w:rPr>
          <w:t>Bank Securities Inc. and JPMorgan Chase Bank, N.A. as co-syndication agents, Goldman Sachs Bank USA, as documentation agent, and various lenders party thereto (incorporated by reference as an</w:t>
        </w:r>
      </w:hyperlink>
      <w:r>
        <w:rPr>
          <w:rFonts w:ascii="Arial" w:cs="Arial" w:eastAsia="Arial" w:hAnsi="Arial"/>
          <w:sz w:val="12"/>
          <w:szCs w:val="12"/>
          <w:u w:val="single" w:color="auto"/>
          <w:color w:val="0000FF"/>
        </w:rPr>
        <w:t xml:space="preserve"> </w:t>
      </w:r>
      <w:hyperlink r:id="rId174">
        <w:r>
          <w:rPr>
            <w:rFonts w:ascii="Arial" w:cs="Arial" w:eastAsia="Arial" w:hAnsi="Arial"/>
            <w:sz w:val="12"/>
            <w:szCs w:val="12"/>
            <w:u w:val="single" w:color="auto"/>
            <w:color w:val="0000FF"/>
          </w:rPr>
          <w:t>exhibit to the Company's Current Report on Form 8-K, event date April 14,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27"/>
        </w:trPr>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rPr>
              <w:t>Exhibit Number</w:t>
            </w: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7140" w:type="dxa"/>
            <w:vAlign w:val="bottom"/>
            <w:tcBorders>
              <w:bottom w:val="single" w:sz="8" w:color="auto"/>
            </w:tcBorders>
            <w:gridSpan w:val="15"/>
          </w:tcPr>
          <w:p>
            <w:pPr>
              <w:ind w:left="1960"/>
              <w:spacing w:after="0"/>
              <w:rPr>
                <w:sz w:val="20"/>
                <w:szCs w:val="20"/>
                <w:color w:val="auto"/>
              </w:rPr>
            </w:pPr>
            <w:r>
              <w:rPr>
                <w:rFonts w:ascii="Arial" w:cs="Arial" w:eastAsia="Arial" w:hAnsi="Arial"/>
                <w:sz w:val="10"/>
                <w:szCs w:val="10"/>
                <w:b w:val="1"/>
                <w:bCs w:val="1"/>
                <w:color w:val="auto"/>
              </w:rPr>
              <w:t>Description</w:t>
            </w:r>
          </w:p>
        </w:tc>
      </w:tr>
      <w:tr>
        <w:trPr>
          <w:trHeight w:val="119"/>
        </w:trPr>
        <w:tc>
          <w:tcPr>
            <w:tcW w:w="1000" w:type="dxa"/>
            <w:vAlign w:val="bottom"/>
            <w:gridSpan w:val="4"/>
          </w:tcPr>
          <w:p>
            <w:pPr>
              <w:jc w:val="right"/>
              <w:spacing w:after="0" w:line="119" w:lineRule="exact"/>
              <w:rPr>
                <w:rFonts w:ascii="Arial" w:cs="Arial" w:eastAsia="Arial" w:hAnsi="Arial"/>
                <w:sz w:val="12"/>
                <w:szCs w:val="12"/>
                <w:color w:val="0000FF"/>
              </w:rPr>
            </w:pPr>
            <w:hyperlink r:id="rId176">
              <w:r>
                <w:rPr>
                  <w:rFonts w:ascii="Arial" w:cs="Arial" w:eastAsia="Arial" w:hAnsi="Arial"/>
                  <w:sz w:val="12"/>
                  <w:szCs w:val="12"/>
                  <w:color w:val="0000FF"/>
                </w:rPr>
                <w:t>10.</w:t>
              </w:r>
            </w:hyperlink>
            <w:r>
              <w:rPr>
                <w:rFonts w:ascii="Arial" w:cs="Arial" w:eastAsia="Arial" w:hAnsi="Arial"/>
                <w:sz w:val="12"/>
                <w:szCs w:val="12"/>
                <w:u w:val="single" w:color="auto"/>
                <w:color w:val="0000FF"/>
              </w:rPr>
              <w:t>17.1</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gridSpan w:val="19"/>
          </w:tcPr>
          <w:p>
            <w:pPr>
              <w:spacing w:after="0" w:line="119" w:lineRule="exact"/>
              <w:rPr>
                <w:rFonts w:ascii="Arial" w:cs="Arial" w:eastAsia="Arial" w:hAnsi="Arial"/>
                <w:sz w:val="12"/>
                <w:szCs w:val="12"/>
                <w:color w:val="0000FF"/>
                <w:w w:val="91"/>
              </w:rPr>
            </w:pPr>
            <w:hyperlink r:id="rId176">
              <w:r>
                <w:rPr>
                  <w:rFonts w:ascii="Arial" w:cs="Arial" w:eastAsia="Arial" w:hAnsi="Arial"/>
                  <w:sz w:val="12"/>
                  <w:szCs w:val="12"/>
                  <w:color w:val="0000FF"/>
                  <w:w w:val="91"/>
                </w:rPr>
                <w:t>First Amendment to Credit Agreement, dated as of July 27, 2021, by and among the Company, as guarantor, the Partnership, as borrower, certain subsidiary guarantors, and Deutsche Bank AG New York</w:t>
              </w:r>
            </w:hyperlink>
          </w:p>
        </w:tc>
      </w:tr>
      <w:tr>
        <w:trPr>
          <w:trHeight w:val="97"/>
        </w:trPr>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740" w:type="dxa"/>
            <w:vAlign w:val="bottom"/>
            <w:tcBorders>
              <w:top w:val="single" w:sz="8" w:color="0000FF"/>
            </w:tcBorders>
            <w:gridSpan w:val="17"/>
          </w:tcPr>
          <w:p>
            <w:pPr>
              <w:spacing w:after="0" w:line="97" w:lineRule="exact"/>
              <w:rPr>
                <w:rFonts w:ascii="Arial" w:cs="Arial" w:eastAsia="Arial" w:hAnsi="Arial"/>
                <w:sz w:val="11"/>
                <w:szCs w:val="11"/>
                <w:color w:val="0000FF"/>
              </w:rPr>
            </w:pPr>
            <w:hyperlink r:id="rId176">
              <w:r>
                <w:rPr>
                  <w:rFonts w:ascii="Arial" w:cs="Arial" w:eastAsia="Arial" w:hAnsi="Arial"/>
                  <w:sz w:val="11"/>
                  <w:szCs w:val="11"/>
                  <w:color w:val="0000FF"/>
                </w:rPr>
                <w:t>Branch, as administrative agent for the lenders (incorporated by reference as an exhibit to the Company's Quarterly Report on Form 10-Q for the quarter ended June 30, 2021).</w:t>
              </w:r>
            </w:hyperlink>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4"/>
        </w:trPr>
        <w:tc>
          <w:tcPr>
            <w:tcW w:w="1000" w:type="dxa"/>
            <w:vAlign w:val="bottom"/>
            <w:gridSpan w:val="4"/>
          </w:tcPr>
          <w:p>
            <w:pPr>
              <w:jc w:val="right"/>
              <w:spacing w:after="0"/>
              <w:rPr>
                <w:rFonts w:ascii="Arial" w:cs="Arial" w:eastAsia="Arial" w:hAnsi="Arial"/>
                <w:sz w:val="12"/>
                <w:szCs w:val="12"/>
                <w:color w:val="0000FF"/>
              </w:rPr>
            </w:pPr>
            <w:hyperlink r:id="rId177">
              <w:r>
                <w:rPr>
                  <w:rFonts w:ascii="Arial" w:cs="Arial" w:eastAsia="Arial" w:hAnsi="Arial"/>
                  <w:sz w:val="12"/>
                  <w:szCs w:val="12"/>
                  <w:color w:val="0000FF"/>
                </w:rPr>
                <w:t>10.</w:t>
              </w:r>
              <w:r>
                <w:rPr>
                  <w:rFonts w:ascii="Arial" w:cs="Arial" w:eastAsia="Arial" w:hAnsi="Arial"/>
                  <w:sz w:val="12"/>
                  <w:szCs w:val="12"/>
                  <w:u w:val="single" w:color="auto"/>
                  <w:color w:val="0000FF"/>
                </w:rPr>
                <w:t>18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w w:val="92"/>
              </w:rPr>
            </w:pPr>
            <w:hyperlink r:id="rId177">
              <w:r>
                <w:rPr>
                  <w:rFonts w:ascii="Arial" w:cs="Arial" w:eastAsia="Arial" w:hAnsi="Arial"/>
                  <w:sz w:val="12"/>
                  <w:szCs w:val="12"/>
                  <w:color w:val="0000FF"/>
                  <w:w w:val="92"/>
                </w:rPr>
                <w:t>Unconditional Guaranty, dated as of April 14, 2021, by the Company in favor of Deutsche Bank AG New York Branch, as administrative agent (incorporated by reference as an exhibit to the Company’s</w:t>
              </w:r>
            </w:hyperlink>
          </w:p>
        </w:tc>
      </w:tr>
      <w:tr>
        <w:trPr>
          <w:trHeight w:val="77"/>
        </w:trPr>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740" w:type="dxa"/>
            <w:vAlign w:val="bottom"/>
            <w:tcBorders>
              <w:top w:val="single" w:sz="8" w:color="0000FF"/>
              <w:bottom w:val="single" w:sz="8" w:color="0000FF"/>
            </w:tcBorders>
            <w:gridSpan w:val="4"/>
          </w:tcPr>
          <w:p>
            <w:pPr>
              <w:spacing w:after="0" w:line="77" w:lineRule="exact"/>
              <w:rPr>
                <w:rFonts w:ascii="Arial" w:cs="Arial" w:eastAsia="Arial" w:hAnsi="Arial"/>
                <w:sz w:val="8"/>
                <w:szCs w:val="8"/>
                <w:color w:val="0000FF"/>
              </w:rPr>
            </w:pPr>
            <w:hyperlink r:id="rId177">
              <w:r>
                <w:rPr>
                  <w:rFonts w:ascii="Arial" w:cs="Arial" w:eastAsia="Arial" w:hAnsi="Arial"/>
                  <w:sz w:val="8"/>
                  <w:szCs w:val="8"/>
                  <w:color w:val="0000FF"/>
                </w:rPr>
                <w:t>Current Report on Form 8-K, event date April 14, 2021).</w:t>
              </w:r>
            </w:hyperlink>
          </w:p>
        </w:tc>
        <w:tc>
          <w:tcPr>
            <w:tcW w:w="6960" w:type="dxa"/>
            <w:vAlign w:val="bottom"/>
            <w:tcBorders>
              <w:top w:val="single" w:sz="8" w:color="0000FF"/>
            </w:tcBorders>
            <w:gridSpan w:val="12"/>
          </w:tcPr>
          <w:p>
            <w:pPr>
              <w:spacing w:after="0"/>
              <w:rPr>
                <w:sz w:val="6"/>
                <w:szCs w:val="6"/>
                <w:color w:val="auto"/>
              </w:rPr>
            </w:pPr>
          </w:p>
        </w:tc>
        <w:tc>
          <w:tcPr>
            <w:tcW w:w="80" w:type="dxa"/>
            <w:vAlign w:val="bottom"/>
            <w:gridSpan w:val="2"/>
          </w:tcPr>
          <w:p>
            <w:pPr>
              <w:spacing w:after="0"/>
              <w:rPr>
                <w:sz w:val="6"/>
                <w:szCs w:val="6"/>
                <w:color w:val="auto"/>
              </w:rPr>
            </w:pPr>
          </w:p>
        </w:tc>
        <w:tc>
          <w:tcPr>
            <w:tcW w:w="100" w:type="dxa"/>
            <w:vAlign w:val="bottom"/>
          </w:tcPr>
          <w:p>
            <w:pPr>
              <w:spacing w:after="0"/>
              <w:rPr>
                <w:sz w:val="6"/>
                <w:szCs w:val="6"/>
                <w:color w:val="auto"/>
              </w:rPr>
            </w:pPr>
          </w:p>
        </w:tc>
      </w:tr>
      <w:tr>
        <w:trPr>
          <w:trHeight w:val="313"/>
        </w:trPr>
        <w:tc>
          <w:tcPr>
            <w:tcW w:w="720" w:type="dxa"/>
            <w:vAlign w:val="bottom"/>
            <w:gridSpan w:val="3"/>
          </w:tcPr>
          <w:p>
            <w:pPr>
              <w:spacing w:after="0"/>
              <w:rPr>
                <w:sz w:val="24"/>
                <w:szCs w:val="24"/>
                <w:color w:val="auto"/>
              </w:rPr>
            </w:pPr>
          </w:p>
        </w:tc>
        <w:tc>
          <w:tcPr>
            <w:tcW w:w="280" w:type="dxa"/>
            <w:vAlign w:val="bottom"/>
            <w:tcBorders>
              <w:bottom w:val="single" w:sz="8" w:color="0000FF"/>
            </w:tcBorders>
          </w:tcPr>
          <w:p>
            <w:pPr>
              <w:jc w:val="right"/>
              <w:spacing w:after="0"/>
              <w:rPr>
                <w:rFonts w:ascii="Arial" w:cs="Arial" w:eastAsia="Arial" w:hAnsi="Arial"/>
                <w:sz w:val="12"/>
                <w:szCs w:val="12"/>
                <w:color w:val="0000FF"/>
                <w:w w:val="86"/>
              </w:rPr>
            </w:pPr>
            <w:hyperlink r:id="rId178">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tcBorders>
              <w:bottom w:val="single" w:sz="8" w:color="0000FF"/>
            </w:tcBorders>
            <w:gridSpan w:val="7"/>
          </w:tcPr>
          <w:p>
            <w:pPr>
              <w:spacing w:after="0"/>
              <w:rPr>
                <w:rFonts w:ascii="Arial" w:cs="Arial" w:eastAsia="Arial" w:hAnsi="Arial"/>
                <w:sz w:val="12"/>
                <w:szCs w:val="12"/>
                <w:color w:val="0000FF"/>
                <w:w w:val="91"/>
              </w:rPr>
            </w:pPr>
            <w:hyperlink r:id="rId178">
              <w:r>
                <w:rPr>
                  <w:rFonts w:ascii="Arial" w:cs="Arial" w:eastAsia="Arial" w:hAnsi="Arial"/>
                  <w:sz w:val="12"/>
                  <w:szCs w:val="12"/>
                  <w:color w:val="0000FF"/>
                  <w:w w:val="91"/>
                </w:rPr>
                <w:t>Tax Matters Agreement (Wilmorite) (incorporated by reference as an exhibit to the Company's Current Report on Form 8-K, event date April 25, 2005).</w:t>
              </w:r>
            </w:hyperlink>
          </w:p>
        </w:tc>
        <w:tc>
          <w:tcPr>
            <w:tcW w:w="2580" w:type="dxa"/>
            <w:vAlign w:val="bottom"/>
            <w:gridSpan w:val="12"/>
          </w:tcPr>
          <w:p>
            <w:pPr>
              <w:spacing w:after="0"/>
              <w:rPr>
                <w:sz w:val="24"/>
                <w:szCs w:val="24"/>
                <w:color w:val="auto"/>
              </w:rPr>
            </w:pPr>
          </w:p>
        </w:tc>
      </w:tr>
      <w:tr>
        <w:trPr>
          <w:trHeight w:val="304"/>
        </w:trPr>
        <w:tc>
          <w:tcPr>
            <w:tcW w:w="720" w:type="dxa"/>
            <w:vAlign w:val="bottom"/>
            <w:gridSpan w:val="3"/>
          </w:tcPr>
          <w:p>
            <w:pPr>
              <w:spacing w:after="0"/>
              <w:rPr>
                <w:sz w:val="24"/>
                <w:szCs w:val="24"/>
                <w:color w:val="auto"/>
              </w:rPr>
            </w:pPr>
          </w:p>
        </w:tc>
        <w:tc>
          <w:tcPr>
            <w:tcW w:w="280" w:type="dxa"/>
            <w:vAlign w:val="bottom"/>
          </w:tcPr>
          <w:p>
            <w:pPr>
              <w:jc w:val="right"/>
              <w:spacing w:after="0"/>
              <w:rPr>
                <w:rFonts w:ascii="Arial" w:cs="Arial" w:eastAsia="Arial" w:hAnsi="Arial"/>
                <w:sz w:val="12"/>
                <w:szCs w:val="12"/>
                <w:color w:val="0000FF"/>
                <w:w w:val="86"/>
              </w:rPr>
            </w:pPr>
            <w:hyperlink r:id="rId179">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20</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w w:val="98"/>
              </w:rPr>
            </w:pPr>
            <w:hyperlink r:id="rId179">
              <w:r>
                <w:rPr>
                  <w:rFonts w:ascii="Arial" w:cs="Arial" w:eastAsia="Arial" w:hAnsi="Arial"/>
                  <w:sz w:val="12"/>
                  <w:szCs w:val="12"/>
                  <w:color w:val="0000FF"/>
                  <w:w w:val="98"/>
                </w:rPr>
                <w:t>2003 Equity Incentive Plan, as amended and restated as of May 26, 2016 (incorporated by reference as an exhibit to the Company's Current Report on Form 8-K, event date May 26, 2016).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000" w:type="dxa"/>
            <w:vAlign w:val="bottom"/>
            <w:gridSpan w:val="4"/>
          </w:tcPr>
          <w:p>
            <w:pPr>
              <w:jc w:val="right"/>
              <w:spacing w:after="0"/>
              <w:rPr>
                <w:rFonts w:ascii="Arial" w:cs="Arial" w:eastAsia="Arial" w:hAnsi="Arial"/>
                <w:sz w:val="12"/>
                <w:szCs w:val="12"/>
                <w:color w:val="0000FF"/>
              </w:rPr>
            </w:pPr>
            <w:hyperlink r:id="rId180">
              <w:r>
                <w:rPr>
                  <w:rFonts w:ascii="Arial" w:cs="Arial" w:eastAsia="Arial" w:hAnsi="Arial"/>
                  <w:sz w:val="12"/>
                  <w:szCs w:val="12"/>
                  <w:color w:val="0000FF"/>
                </w:rPr>
                <w:t>10.</w:t>
              </w:r>
              <w:r>
                <w:rPr>
                  <w:rFonts w:ascii="Arial" w:cs="Arial" w:eastAsia="Arial" w:hAnsi="Arial"/>
                  <w:sz w:val="12"/>
                  <w:szCs w:val="12"/>
                  <w:u w:val="single" w:color="auto"/>
                  <w:color w:val="0000FF"/>
                </w:rPr>
                <w:t>20.1</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w w:val="91"/>
              </w:rPr>
            </w:pPr>
            <w:hyperlink r:id="rId180">
              <w:r>
                <w:rPr>
                  <w:rFonts w:ascii="Arial" w:cs="Arial" w:eastAsia="Arial" w:hAnsi="Arial"/>
                  <w:sz w:val="12"/>
                  <w:szCs w:val="12"/>
                  <w:color w:val="0000FF"/>
                  <w:w w:val="91"/>
                </w:rPr>
                <w:t>Amended and Restated Cash Bonus/Restricted Stock/Stock Unit and LTIP Unit Award Program under the 2003 Equity Incentive Plan (incorporated by reference as an exhibit to the Company's 2010 Form</w:t>
              </w:r>
            </w:hyperlink>
          </w:p>
        </w:tc>
      </w:tr>
      <w:tr>
        <w:trPr>
          <w:trHeight w:val="97"/>
        </w:trPr>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w w:val="99"/>
              </w:rPr>
            </w:pPr>
            <w:hyperlink r:id="rId180">
              <w:r>
                <w:rPr>
                  <w:rFonts w:ascii="Arial" w:cs="Arial" w:eastAsia="Arial" w:hAnsi="Arial"/>
                  <w:sz w:val="11"/>
                  <w:szCs w:val="11"/>
                  <w:color w:val="0000FF"/>
                  <w:w w:val="99"/>
                </w:rPr>
                <w:t>10-K).</w:t>
              </w:r>
            </w:hyperlink>
          </w:p>
        </w:tc>
        <w:tc>
          <w:tcPr>
            <w:tcW w:w="9460" w:type="dxa"/>
            <w:vAlign w:val="bottom"/>
            <w:tcBorders>
              <w:top w:val="single" w:sz="8" w:color="0000FF"/>
            </w:tcBorders>
            <w:gridSpan w:val="17"/>
          </w:tcPr>
          <w:p>
            <w:pPr>
              <w:spacing w:after="0"/>
              <w:rPr>
                <w:sz w:val="8"/>
                <w:szCs w:val="8"/>
                <w:color w:val="auto"/>
              </w:rPr>
            </w:pPr>
          </w:p>
        </w:tc>
        <w:tc>
          <w:tcPr>
            <w:tcW w:w="100" w:type="dxa"/>
            <w:vAlign w:val="bottom"/>
          </w:tcPr>
          <w:p>
            <w:pPr>
              <w:spacing w:after="0"/>
              <w:rPr>
                <w:sz w:val="8"/>
                <w:szCs w:val="8"/>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81">
              <w:r>
                <w:rPr>
                  <w:rFonts w:ascii="Arial" w:cs="Arial" w:eastAsia="Arial" w:hAnsi="Arial"/>
                  <w:sz w:val="12"/>
                  <w:szCs w:val="12"/>
                  <w:color w:val="0000FF"/>
                </w:rPr>
                <w:t>10.</w:t>
              </w:r>
              <w:r>
                <w:rPr>
                  <w:rFonts w:ascii="Arial" w:cs="Arial" w:eastAsia="Arial" w:hAnsi="Arial"/>
                  <w:sz w:val="12"/>
                  <w:szCs w:val="12"/>
                  <w:u w:val="single" w:color="auto"/>
                  <w:color w:val="0000FF"/>
                </w:rPr>
                <w:t>20.2</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rPr>
            </w:pPr>
            <w:hyperlink r:id="rId181">
              <w:r>
                <w:rPr>
                  <w:rFonts w:ascii="Arial" w:cs="Arial" w:eastAsia="Arial" w:hAnsi="Arial"/>
                  <w:sz w:val="12"/>
                  <w:szCs w:val="12"/>
                  <w:color w:val="0000FF"/>
                </w:rPr>
                <w:t>Form of Restricted Stock Award Agreement under 2003 Equity Incentive Plan (incorporated by reference as an exhibit to the Company's 2008 Form 10-K).</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82">
              <w:r>
                <w:rPr>
                  <w:rFonts w:ascii="Arial" w:cs="Arial" w:eastAsia="Arial" w:hAnsi="Arial"/>
                  <w:sz w:val="12"/>
                  <w:szCs w:val="12"/>
                  <w:color w:val="0000FF"/>
                </w:rPr>
                <w:t>10.</w:t>
              </w:r>
              <w:r>
                <w:rPr>
                  <w:rFonts w:ascii="Arial" w:cs="Arial" w:eastAsia="Arial" w:hAnsi="Arial"/>
                  <w:sz w:val="12"/>
                  <w:szCs w:val="12"/>
                  <w:u w:val="single" w:color="auto"/>
                  <w:color w:val="0000FF"/>
                </w:rPr>
                <w:t>20.3</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rPr>
            </w:pPr>
            <w:hyperlink r:id="rId182">
              <w:r>
                <w:rPr>
                  <w:rFonts w:ascii="Arial" w:cs="Arial" w:eastAsia="Arial" w:hAnsi="Arial"/>
                  <w:sz w:val="12"/>
                  <w:szCs w:val="12"/>
                  <w:color w:val="0000FF"/>
                </w:rPr>
                <w:t>Form of Stock Unit Award Agreement under 2003 Equity Incentive Plan (incorporated by reference as an exhibit to the Company's 2014 Form 10-K).</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9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83">
              <w:r>
                <w:rPr>
                  <w:rFonts w:ascii="Arial" w:cs="Arial" w:eastAsia="Arial" w:hAnsi="Arial"/>
                  <w:sz w:val="12"/>
                  <w:szCs w:val="12"/>
                  <w:color w:val="0000FF"/>
                </w:rPr>
                <w:t>10.</w:t>
              </w:r>
              <w:r>
                <w:rPr>
                  <w:rFonts w:ascii="Arial" w:cs="Arial" w:eastAsia="Arial" w:hAnsi="Arial"/>
                  <w:sz w:val="12"/>
                  <w:szCs w:val="12"/>
                  <w:u w:val="single" w:color="auto"/>
                  <w:color w:val="0000FF"/>
                </w:rPr>
                <w:t>20.4</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rPr>
            </w:pPr>
            <w:hyperlink r:id="rId183">
              <w:r>
                <w:rPr>
                  <w:rFonts w:ascii="Arial" w:cs="Arial" w:eastAsia="Arial" w:hAnsi="Arial"/>
                  <w:sz w:val="12"/>
                  <w:szCs w:val="12"/>
                  <w:color w:val="0000FF"/>
                </w:rPr>
                <w:t>Form of Employee Stock Option Agreement under 2003 Equity Incentive Plan (incorporated by reference as an exhibit to the Company's 2008 Form 10-K).</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84">
              <w:r>
                <w:rPr>
                  <w:rFonts w:ascii="Arial" w:cs="Arial" w:eastAsia="Arial" w:hAnsi="Arial"/>
                  <w:sz w:val="12"/>
                  <w:szCs w:val="12"/>
                  <w:color w:val="0000FF"/>
                </w:rPr>
                <w:t>10.</w:t>
              </w:r>
              <w:r>
                <w:rPr>
                  <w:rFonts w:ascii="Arial" w:cs="Arial" w:eastAsia="Arial" w:hAnsi="Arial"/>
                  <w:sz w:val="12"/>
                  <w:szCs w:val="12"/>
                  <w:u w:val="single" w:color="auto"/>
                  <w:color w:val="0000FF"/>
                </w:rPr>
                <w:t>20.5</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rPr>
            </w:pPr>
            <w:hyperlink r:id="rId184">
              <w:r>
                <w:rPr>
                  <w:rFonts w:ascii="Arial" w:cs="Arial" w:eastAsia="Arial" w:hAnsi="Arial"/>
                  <w:sz w:val="12"/>
                  <w:szCs w:val="12"/>
                  <w:color w:val="0000FF"/>
                </w:rPr>
                <w:t>Form of Non-Qualified Stock Option Grant under 2003 Equity Incentive Plan (incorporated by reference as an exhibit to the Company's 2008 Form 10-K).</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85">
              <w:r>
                <w:rPr>
                  <w:rFonts w:ascii="Arial" w:cs="Arial" w:eastAsia="Arial" w:hAnsi="Arial"/>
                  <w:sz w:val="12"/>
                  <w:szCs w:val="12"/>
                  <w:color w:val="0000FF"/>
                </w:rPr>
                <w:t>10.</w:t>
              </w:r>
              <w:r>
                <w:rPr>
                  <w:rFonts w:ascii="Arial" w:cs="Arial" w:eastAsia="Arial" w:hAnsi="Arial"/>
                  <w:sz w:val="12"/>
                  <w:szCs w:val="12"/>
                  <w:u w:val="single" w:color="auto"/>
                  <w:color w:val="0000FF"/>
                </w:rPr>
                <w:t>20.6</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rPr>
            </w:pPr>
            <w:hyperlink r:id="rId185">
              <w:r>
                <w:rPr>
                  <w:rFonts w:ascii="Arial" w:cs="Arial" w:eastAsia="Arial" w:hAnsi="Arial"/>
                  <w:sz w:val="12"/>
                  <w:szCs w:val="12"/>
                  <w:color w:val="0000FF"/>
                </w:rPr>
                <w:t>Form of Restricted Stock Award Agreement for Non-Management Directors (incorporated by reference as an exhibit to the Company's 2008 Form 10-K).</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86">
              <w:r>
                <w:rPr>
                  <w:rFonts w:ascii="Arial" w:cs="Arial" w:eastAsia="Arial" w:hAnsi="Arial"/>
                  <w:sz w:val="12"/>
                  <w:szCs w:val="12"/>
                  <w:color w:val="0000FF"/>
                </w:rPr>
                <w:t>10.</w:t>
              </w:r>
              <w:r>
                <w:rPr>
                  <w:rFonts w:ascii="Arial" w:cs="Arial" w:eastAsia="Arial" w:hAnsi="Arial"/>
                  <w:sz w:val="12"/>
                  <w:szCs w:val="12"/>
                  <w:u w:val="single" w:color="auto"/>
                  <w:color w:val="0000FF"/>
                </w:rPr>
                <w:t>20.7</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rPr>
            </w:pPr>
            <w:hyperlink r:id="rId186">
              <w:r>
                <w:rPr>
                  <w:rFonts w:ascii="Arial" w:cs="Arial" w:eastAsia="Arial" w:hAnsi="Arial"/>
                  <w:sz w:val="12"/>
                  <w:szCs w:val="12"/>
                  <w:color w:val="0000FF"/>
                </w:rPr>
                <w:t>Form of Stock Unit Award Agreement under 2003 Equity Incentive Plan for Non-Employee Directors (incorporated by reference as an exhibit to the Company's 2015 Form 10-K).</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87">
              <w:r>
                <w:rPr>
                  <w:rFonts w:ascii="Arial" w:cs="Arial" w:eastAsia="Arial" w:hAnsi="Arial"/>
                  <w:sz w:val="12"/>
                  <w:szCs w:val="12"/>
                  <w:color w:val="0000FF"/>
                </w:rPr>
                <w:t>10.</w:t>
              </w:r>
              <w:r>
                <w:rPr>
                  <w:rFonts w:ascii="Arial" w:cs="Arial" w:eastAsia="Arial" w:hAnsi="Arial"/>
                  <w:sz w:val="12"/>
                  <w:szCs w:val="12"/>
                  <w:u w:val="single" w:color="auto"/>
                  <w:color w:val="0000FF"/>
                </w:rPr>
                <w:t>20.8</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rPr>
            </w:pPr>
            <w:hyperlink r:id="rId187">
              <w:r>
                <w:rPr>
                  <w:rFonts w:ascii="Arial" w:cs="Arial" w:eastAsia="Arial" w:hAnsi="Arial"/>
                  <w:sz w:val="12"/>
                  <w:szCs w:val="12"/>
                  <w:color w:val="0000FF"/>
                </w:rPr>
                <w:t>Form of Stock Appreciation Right under 2003 Equity Incentive Plan (incorporated by reference as an exhibit to the Company's 2008 Form 10-K).</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88">
              <w:r>
                <w:rPr>
                  <w:rFonts w:ascii="Arial" w:cs="Arial" w:eastAsia="Arial" w:hAnsi="Arial"/>
                  <w:sz w:val="12"/>
                  <w:szCs w:val="12"/>
                  <w:color w:val="0000FF"/>
                </w:rPr>
                <w:t>10.</w:t>
              </w:r>
              <w:r>
                <w:rPr>
                  <w:rFonts w:ascii="Arial" w:cs="Arial" w:eastAsia="Arial" w:hAnsi="Arial"/>
                  <w:sz w:val="12"/>
                  <w:szCs w:val="12"/>
                  <w:u w:val="single" w:color="auto"/>
                  <w:color w:val="0000FF"/>
                </w:rPr>
                <w:t>20.9</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w w:val="93"/>
              </w:rPr>
            </w:pPr>
            <w:hyperlink r:id="rId188">
              <w:r>
                <w:rPr>
                  <w:rFonts w:ascii="Arial" w:cs="Arial" w:eastAsia="Arial" w:hAnsi="Arial"/>
                  <w:sz w:val="12"/>
                  <w:szCs w:val="12"/>
                  <w:color w:val="0000FF"/>
                  <w:w w:val="93"/>
                </w:rPr>
                <w:t>Form of LTIP Unit Award Agreement under 2003 Equity Incentive Plan (service-based) (incorporated by reference as an exhibit to the Company's Quarterly Report on Form 10-Q for the quarter ended</w:t>
              </w:r>
            </w:hyperlink>
          </w:p>
        </w:tc>
      </w:tr>
      <w:tr>
        <w:trPr>
          <w:trHeight w:val="97"/>
        </w:trPr>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top w:val="single" w:sz="8" w:color="0000FF"/>
              <w:bottom w:val="single" w:sz="8" w:color="0000FF"/>
            </w:tcBorders>
            <w:gridSpan w:val="2"/>
          </w:tcPr>
          <w:p>
            <w:pPr>
              <w:spacing w:after="0" w:line="97" w:lineRule="exact"/>
              <w:rPr>
                <w:rFonts w:ascii="Arial" w:cs="Arial" w:eastAsia="Arial" w:hAnsi="Arial"/>
                <w:sz w:val="11"/>
                <w:szCs w:val="11"/>
                <w:color w:val="0000FF"/>
                <w:w w:val="98"/>
              </w:rPr>
            </w:pPr>
            <w:hyperlink r:id="rId188">
              <w:r>
                <w:rPr>
                  <w:rFonts w:ascii="Arial" w:cs="Arial" w:eastAsia="Arial" w:hAnsi="Arial"/>
                  <w:sz w:val="11"/>
                  <w:szCs w:val="11"/>
                  <w:color w:val="0000FF"/>
                  <w:w w:val="98"/>
                </w:rPr>
                <w:t>March 31, 2019).</w:t>
              </w:r>
            </w:hyperlink>
          </w:p>
        </w:tc>
        <w:tc>
          <w:tcPr>
            <w:tcW w:w="8780" w:type="dxa"/>
            <w:vAlign w:val="bottom"/>
            <w:tcBorders>
              <w:top w:val="single" w:sz="8" w:color="0000FF"/>
            </w:tcBorders>
            <w:gridSpan w:val="13"/>
          </w:tcPr>
          <w:p>
            <w:pPr>
              <w:spacing w:after="0"/>
              <w:rPr>
                <w:sz w:val="8"/>
                <w:szCs w:val="8"/>
                <w:color w:val="auto"/>
              </w:rPr>
            </w:pPr>
          </w:p>
        </w:tc>
        <w:tc>
          <w:tcPr>
            <w:tcW w:w="260" w:type="dxa"/>
            <w:vAlign w:val="bottom"/>
            <w:gridSpan w:val="4"/>
          </w:tcPr>
          <w:p>
            <w:pPr>
              <w:spacing w:after="0"/>
              <w:rPr>
                <w:sz w:val="8"/>
                <w:szCs w:val="8"/>
                <w:color w:val="auto"/>
              </w:rPr>
            </w:pPr>
          </w:p>
        </w:tc>
      </w:tr>
      <w:tr>
        <w:trPr>
          <w:trHeight w:val="324"/>
        </w:trPr>
        <w:tc>
          <w:tcPr>
            <w:tcW w:w="1000" w:type="dxa"/>
            <w:vAlign w:val="bottom"/>
            <w:gridSpan w:val="4"/>
          </w:tcPr>
          <w:p>
            <w:pPr>
              <w:jc w:val="right"/>
              <w:spacing w:after="0"/>
              <w:rPr>
                <w:rFonts w:ascii="Arial" w:cs="Arial" w:eastAsia="Arial" w:hAnsi="Arial"/>
                <w:sz w:val="12"/>
                <w:szCs w:val="12"/>
                <w:color w:val="0000FF"/>
              </w:rPr>
            </w:pPr>
            <w:hyperlink r:id="rId189">
              <w:r>
                <w:rPr>
                  <w:rFonts w:ascii="Arial" w:cs="Arial" w:eastAsia="Arial" w:hAnsi="Arial"/>
                  <w:sz w:val="12"/>
                  <w:szCs w:val="12"/>
                  <w:color w:val="0000FF"/>
                </w:rPr>
                <w:t>10.</w:t>
              </w:r>
              <w:r>
                <w:rPr>
                  <w:rFonts w:ascii="Arial" w:cs="Arial" w:eastAsia="Arial" w:hAnsi="Arial"/>
                  <w:sz w:val="12"/>
                  <w:szCs w:val="12"/>
                  <w:u w:val="single" w:color="auto"/>
                  <w:color w:val="0000FF"/>
                </w:rPr>
                <w:t>20.10</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w w:val="93"/>
              </w:rPr>
            </w:pPr>
            <w:hyperlink r:id="rId189">
              <w:r>
                <w:rPr>
                  <w:rFonts w:ascii="Arial" w:cs="Arial" w:eastAsia="Arial" w:hAnsi="Arial"/>
                  <w:sz w:val="12"/>
                  <w:szCs w:val="12"/>
                  <w:color w:val="0000FF"/>
                  <w:w w:val="93"/>
                </w:rPr>
                <w:t>Form of LTIP Unit Award Agreement under 2003 Equity Incentive Plan (performance-based) (incorporated by reference as an exhibit to the Company’s Quarterly Report on Form 10-Q for the quarter</w:t>
              </w:r>
            </w:hyperlink>
          </w:p>
        </w:tc>
      </w:tr>
      <w:tr>
        <w:trPr>
          <w:trHeight w:val="77"/>
        </w:trPr>
        <w:tc>
          <w:tcPr>
            <w:tcW w:w="580" w:type="dxa"/>
            <w:vAlign w:val="bottom"/>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FF"/>
              <w:bottom w:val="single" w:sz="8" w:color="0000FF"/>
            </w:tcBorders>
            <w:gridSpan w:val="3"/>
          </w:tcPr>
          <w:p>
            <w:pPr>
              <w:spacing w:after="0" w:line="77" w:lineRule="exact"/>
              <w:rPr>
                <w:rFonts w:ascii="Arial" w:cs="Arial" w:eastAsia="Arial" w:hAnsi="Arial"/>
                <w:sz w:val="8"/>
                <w:szCs w:val="8"/>
                <w:color w:val="0000FF"/>
              </w:rPr>
            </w:pPr>
            <w:hyperlink r:id="rId189">
              <w:r>
                <w:rPr>
                  <w:rFonts w:ascii="Arial" w:cs="Arial" w:eastAsia="Arial" w:hAnsi="Arial"/>
                  <w:sz w:val="8"/>
                  <w:szCs w:val="8"/>
                  <w:color w:val="0000FF"/>
                </w:rPr>
                <w:t>ended June 30, 2021).</w:t>
              </w:r>
            </w:hyperlink>
          </w:p>
        </w:tc>
        <w:tc>
          <w:tcPr>
            <w:tcW w:w="8520" w:type="dxa"/>
            <w:vAlign w:val="bottom"/>
            <w:tcBorders>
              <w:top w:val="single" w:sz="8" w:color="0000FF"/>
            </w:tcBorders>
            <w:gridSpan w:val="11"/>
          </w:tcPr>
          <w:p>
            <w:pPr>
              <w:spacing w:after="0"/>
              <w:rPr>
                <w:sz w:val="6"/>
                <w:szCs w:val="6"/>
                <w:color w:val="auto"/>
              </w:rPr>
            </w:pPr>
          </w:p>
        </w:tc>
        <w:tc>
          <w:tcPr>
            <w:tcW w:w="300" w:type="dxa"/>
            <w:vAlign w:val="bottom"/>
            <w:gridSpan w:val="5"/>
          </w:tcPr>
          <w:p>
            <w:pPr>
              <w:spacing w:after="0"/>
              <w:rPr>
                <w:sz w:val="6"/>
                <w:szCs w:val="6"/>
                <w:color w:val="auto"/>
              </w:rPr>
            </w:pPr>
          </w:p>
        </w:tc>
      </w:tr>
      <w:tr>
        <w:trPr>
          <w:trHeight w:val="304"/>
        </w:trPr>
        <w:tc>
          <w:tcPr>
            <w:tcW w:w="1000" w:type="dxa"/>
            <w:vAlign w:val="bottom"/>
            <w:gridSpan w:val="4"/>
          </w:tcPr>
          <w:p>
            <w:pPr>
              <w:jc w:val="right"/>
              <w:spacing w:after="0"/>
              <w:rPr>
                <w:rFonts w:ascii="Arial" w:cs="Arial" w:eastAsia="Arial" w:hAnsi="Arial"/>
                <w:sz w:val="12"/>
                <w:szCs w:val="12"/>
                <w:color w:val="0000FF"/>
              </w:rPr>
            </w:pPr>
            <w:hyperlink r:id="rId190">
              <w:r>
                <w:rPr>
                  <w:rFonts w:ascii="Arial" w:cs="Arial" w:eastAsia="Arial" w:hAnsi="Arial"/>
                  <w:sz w:val="12"/>
                  <w:szCs w:val="12"/>
                  <w:color w:val="0000FF"/>
                </w:rPr>
                <w:t>10.</w:t>
              </w:r>
              <w:r>
                <w:rPr>
                  <w:rFonts w:ascii="Arial" w:cs="Arial" w:eastAsia="Arial" w:hAnsi="Arial"/>
                  <w:sz w:val="12"/>
                  <w:szCs w:val="12"/>
                  <w:u w:val="single" w:color="auto"/>
                  <w:color w:val="0000FF"/>
                </w:rPr>
                <w:t>20.11</w:t>
              </w:r>
            </w:hyperlink>
          </w:p>
        </w:tc>
        <w:tc>
          <w:tcPr>
            <w:tcW w:w="3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9"/>
          </w:tcPr>
          <w:p>
            <w:pPr>
              <w:spacing w:after="0"/>
              <w:rPr>
                <w:rFonts w:ascii="Arial" w:cs="Arial" w:eastAsia="Arial" w:hAnsi="Arial"/>
                <w:sz w:val="12"/>
                <w:szCs w:val="12"/>
                <w:color w:val="0000FF"/>
                <w:w w:val="94"/>
              </w:rPr>
            </w:pPr>
            <w:hyperlink r:id="rId190">
              <w:r>
                <w:rPr>
                  <w:rFonts w:ascii="Arial" w:cs="Arial" w:eastAsia="Arial" w:hAnsi="Arial"/>
                  <w:sz w:val="12"/>
                  <w:szCs w:val="12"/>
                  <w:color w:val="0000FF"/>
                  <w:w w:val="94"/>
                </w:rPr>
                <w:t>Form of LTIP Unit Award Agreement under 2003 Equity Incentive Plan (fully-vested) (incorporated by reference as an exhibit to the Company's Quarterly Report on Form 10-Q for the quarter ended</w:t>
              </w:r>
            </w:hyperlink>
          </w:p>
        </w:tc>
      </w:tr>
      <w:tr>
        <w:trPr>
          <w:trHeight w:val="97"/>
        </w:trPr>
        <w:tc>
          <w:tcPr>
            <w:tcW w:w="58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top w:val="single" w:sz="8" w:color="0000FF"/>
              <w:bottom w:val="single" w:sz="8" w:color="0000FF"/>
            </w:tcBorders>
            <w:gridSpan w:val="2"/>
          </w:tcPr>
          <w:p>
            <w:pPr>
              <w:spacing w:after="0" w:line="97" w:lineRule="exact"/>
              <w:rPr>
                <w:rFonts w:ascii="Arial" w:cs="Arial" w:eastAsia="Arial" w:hAnsi="Arial"/>
                <w:sz w:val="11"/>
                <w:szCs w:val="11"/>
                <w:color w:val="0000FF"/>
                <w:w w:val="98"/>
              </w:rPr>
            </w:pPr>
            <w:hyperlink r:id="rId190">
              <w:r>
                <w:rPr>
                  <w:rFonts w:ascii="Arial" w:cs="Arial" w:eastAsia="Arial" w:hAnsi="Arial"/>
                  <w:sz w:val="11"/>
                  <w:szCs w:val="11"/>
                  <w:color w:val="0000FF"/>
                  <w:w w:val="98"/>
                </w:rPr>
                <w:t xml:space="preserve">March </w:t>
              </w:r>
            </w:hyperlink>
            <w:r>
              <w:rPr>
                <w:rFonts w:ascii="Arial" w:cs="Arial" w:eastAsia="Arial" w:hAnsi="Arial"/>
                <w:sz w:val="11"/>
                <w:szCs w:val="11"/>
                <w:color w:val="0000FF"/>
                <w:w w:val="98"/>
              </w:rPr>
              <w:t xml:space="preserve">31, </w:t>
            </w:r>
            <w:hyperlink r:id="rId190">
              <w:r>
                <w:rPr>
                  <w:rFonts w:ascii="Arial" w:cs="Arial" w:eastAsia="Arial" w:hAnsi="Arial"/>
                  <w:sz w:val="11"/>
                  <w:szCs w:val="11"/>
                  <w:color w:val="0000FF"/>
                  <w:w w:val="98"/>
                </w:rPr>
                <w:t>2014).</w:t>
              </w:r>
            </w:hyperlink>
          </w:p>
        </w:tc>
        <w:tc>
          <w:tcPr>
            <w:tcW w:w="8700" w:type="dxa"/>
            <w:vAlign w:val="bottom"/>
            <w:tcBorders>
              <w:top w:val="single" w:sz="8" w:color="0000FF"/>
            </w:tcBorders>
            <w:gridSpan w:val="11"/>
          </w:tcPr>
          <w:p>
            <w:pPr>
              <w:spacing w:after="0"/>
              <w:rPr>
                <w:sz w:val="8"/>
                <w:szCs w:val="8"/>
                <w:color w:val="auto"/>
              </w:rPr>
            </w:pPr>
          </w:p>
        </w:tc>
        <w:tc>
          <w:tcPr>
            <w:tcW w:w="340" w:type="dxa"/>
            <w:vAlign w:val="bottom"/>
            <w:gridSpan w:val="6"/>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113" w:name="page114"/>
    <w:bookmarkEnd w:id="113"/>
    <w:tbl>
      <w:tblPr>
        <w:tblLayout w:type="fixed"/>
        <w:tblInd w:w="8" w:type="dxa"/>
        <w:tblCellMar>
          <w:top w:w="0" w:type="dxa"/>
          <w:left w:w="0" w:type="dxa"/>
          <w:bottom w:w="0" w:type="dxa"/>
          <w:right w:w="0" w:type="dxa"/>
        </w:tblCellMar>
      </w:tblPr>
      <w:tr>
        <w:trPr>
          <w:trHeight w:val="123"/>
        </w:trPr>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Exhibit Number</w:t>
            </w: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780" w:type="dxa"/>
            <w:vAlign w:val="bottom"/>
            <w:tcBorders>
              <w:bottom w:val="single" w:sz="8" w:color="auto"/>
            </w:tcBorders>
            <w:gridSpan w:val="8"/>
          </w:tcPr>
          <w:p>
            <w:pPr>
              <w:ind w:left="600"/>
              <w:spacing w:after="0"/>
              <w:rPr>
                <w:sz w:val="20"/>
                <w:szCs w:val="20"/>
                <w:color w:val="auto"/>
              </w:rPr>
            </w:pPr>
            <w:r>
              <w:rPr>
                <w:rFonts w:ascii="Arial" w:cs="Arial" w:eastAsia="Arial" w:hAnsi="Arial"/>
                <w:sz w:val="10"/>
                <w:szCs w:val="10"/>
                <w:b w:val="1"/>
                <w:bCs w:val="1"/>
                <w:color w:val="auto"/>
              </w:rPr>
              <w:t>Description</w:t>
            </w:r>
          </w:p>
        </w:tc>
      </w:tr>
      <w:tr>
        <w:trPr>
          <w:trHeight w:val="143"/>
        </w:trPr>
        <w:tc>
          <w:tcPr>
            <w:tcW w:w="1000" w:type="dxa"/>
            <w:vAlign w:val="bottom"/>
            <w:gridSpan w:val="3"/>
          </w:tcPr>
          <w:p>
            <w:pPr>
              <w:jc w:val="right"/>
              <w:spacing w:after="0" w:line="123" w:lineRule="exact"/>
              <w:rPr>
                <w:rFonts w:ascii="Arial" w:cs="Arial" w:eastAsia="Arial" w:hAnsi="Arial"/>
                <w:sz w:val="12"/>
                <w:szCs w:val="12"/>
                <w:color w:val="0000FF"/>
              </w:rPr>
            </w:pPr>
            <w:hyperlink r:id="rId192">
              <w:r>
                <w:rPr>
                  <w:rFonts w:ascii="Arial" w:cs="Arial" w:eastAsia="Arial" w:hAnsi="Arial"/>
                  <w:sz w:val="12"/>
                  <w:szCs w:val="12"/>
                  <w:color w:val="0000FF"/>
                </w:rPr>
                <w:t>10.</w:t>
              </w:r>
              <w:r>
                <w:rPr>
                  <w:rFonts w:ascii="Arial" w:cs="Arial" w:eastAsia="Arial" w:hAnsi="Arial"/>
                  <w:sz w:val="12"/>
                  <w:szCs w:val="12"/>
                  <w:u w:val="single" w:color="auto"/>
                  <w:color w:val="0000FF"/>
                </w:rPr>
                <w:t>21</w:t>
              </w:r>
            </w:hyperlink>
          </w:p>
        </w:tc>
        <w:tc>
          <w:tcPr>
            <w:tcW w:w="380" w:type="dxa"/>
            <w:vAlign w:val="bottom"/>
          </w:tcPr>
          <w:p>
            <w:pPr>
              <w:ind w:left="20"/>
              <w:spacing w:after="0" w:line="12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9880" w:type="dxa"/>
            <w:vAlign w:val="bottom"/>
            <w:gridSpan w:val="16"/>
          </w:tcPr>
          <w:p>
            <w:pPr>
              <w:spacing w:after="0" w:line="123" w:lineRule="exact"/>
              <w:rPr>
                <w:rFonts w:ascii="Arial" w:cs="Arial" w:eastAsia="Arial" w:hAnsi="Arial"/>
                <w:sz w:val="12"/>
                <w:szCs w:val="12"/>
                <w:color w:val="0000FF"/>
                <w:w w:val="90"/>
              </w:rPr>
            </w:pPr>
            <w:hyperlink r:id="rId192">
              <w:r>
                <w:rPr>
                  <w:rFonts w:ascii="Arial" w:cs="Arial" w:eastAsia="Arial" w:hAnsi="Arial"/>
                  <w:sz w:val="12"/>
                  <w:szCs w:val="12"/>
                  <w:color w:val="0000FF"/>
                  <w:w w:val="90"/>
                </w:rPr>
                <w:t>The Macerich Company Employee Stock Purchase Plan (as amended and restated effective June 1, 2021) (incorporated by reference as an exhibit to the Company’s Current Report on 8-K, event date May</w:t>
              </w:r>
            </w:hyperlink>
          </w:p>
        </w:tc>
      </w:tr>
      <w:tr>
        <w:trPr>
          <w:trHeight w:val="86"/>
        </w:trPr>
        <w:tc>
          <w:tcPr>
            <w:tcW w:w="720" w:type="dxa"/>
            <w:vAlign w:val="bottom"/>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Borders>
              <w:top w:val="single" w:sz="8" w:color="0000FF"/>
            </w:tcBorders>
            <w:gridSpan w:val="2"/>
          </w:tcPr>
          <w:p>
            <w:pPr>
              <w:spacing w:after="0" w:line="86" w:lineRule="exact"/>
              <w:rPr>
                <w:rFonts w:ascii="Arial" w:cs="Arial" w:eastAsia="Arial" w:hAnsi="Arial"/>
                <w:sz w:val="8"/>
                <w:szCs w:val="8"/>
                <w:color w:val="0000FF"/>
              </w:rPr>
            </w:pPr>
            <w:hyperlink r:id="rId192">
              <w:r>
                <w:rPr>
                  <w:rFonts w:ascii="Arial" w:cs="Arial" w:eastAsia="Arial" w:hAnsi="Arial"/>
                  <w:sz w:val="8"/>
                  <w:szCs w:val="8"/>
                  <w:color w:val="0000FF"/>
                </w:rPr>
                <w:t>28, 2021).</w:t>
              </w:r>
            </w:hyperlink>
          </w:p>
        </w:tc>
        <w:tc>
          <w:tcPr>
            <w:tcW w:w="260" w:type="dxa"/>
            <w:vAlign w:val="bottom"/>
            <w:tcBorders>
              <w:top w:val="single" w:sz="8" w:color="0000FF"/>
            </w:tcBorders>
          </w:tcPr>
          <w:p>
            <w:pPr>
              <w:spacing w:after="0"/>
              <w:rPr>
                <w:sz w:val="7"/>
                <w:szCs w:val="7"/>
                <w:color w:val="auto"/>
              </w:rPr>
            </w:pPr>
          </w:p>
        </w:tc>
        <w:tc>
          <w:tcPr>
            <w:tcW w:w="7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170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530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3"/>
        </w:trPr>
        <w:tc>
          <w:tcPr>
            <w:tcW w:w="720" w:type="dxa"/>
            <w:vAlign w:val="bottom"/>
          </w:tcPr>
          <w:p>
            <w:pPr>
              <w:spacing w:after="0"/>
              <w:rPr>
                <w:sz w:val="24"/>
                <w:szCs w:val="24"/>
                <w:color w:val="auto"/>
              </w:rPr>
            </w:pPr>
          </w:p>
        </w:tc>
        <w:tc>
          <w:tcPr>
            <w:tcW w:w="280" w:type="dxa"/>
            <w:vAlign w:val="bottom"/>
            <w:gridSpan w:val="2"/>
          </w:tcPr>
          <w:p>
            <w:pPr>
              <w:jc w:val="right"/>
              <w:spacing w:after="0"/>
              <w:rPr>
                <w:rFonts w:ascii="Arial" w:cs="Arial" w:eastAsia="Arial" w:hAnsi="Arial"/>
                <w:sz w:val="12"/>
                <w:szCs w:val="12"/>
                <w:color w:val="0000FF"/>
                <w:w w:val="86"/>
              </w:rPr>
            </w:pPr>
            <w:hyperlink r:id="rId193">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22</w:t>
              </w:r>
            </w:hyperlink>
          </w:p>
        </w:tc>
        <w:tc>
          <w:tcPr>
            <w:tcW w:w="380" w:type="dxa"/>
            <w:vAlign w:val="bottom"/>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2"/>
                <w:szCs w:val="12"/>
                <w:color w:val="0000FF"/>
                <w:w w:val="93"/>
              </w:rPr>
            </w:pPr>
            <w:hyperlink r:id="rId193">
              <w:r>
                <w:rPr>
                  <w:rFonts w:ascii="Arial" w:cs="Arial" w:eastAsia="Arial" w:hAnsi="Arial"/>
                  <w:sz w:val="12"/>
                  <w:szCs w:val="12"/>
                  <w:color w:val="0000FF"/>
                  <w:w w:val="93"/>
                </w:rPr>
                <w:t>Change in Control Severance Pay Plan for Executive Vice Presidents (incorporated by reference as an exhibit to the Company’s Quarterly Report on Form 10-Q for the quarter ended March 31, 2019).</w:t>
              </w:r>
            </w:hyperlink>
          </w:p>
        </w:tc>
      </w:tr>
      <w:tr>
        <w:trPr>
          <w:trHeight w:val="304"/>
        </w:trPr>
        <w:tc>
          <w:tcPr>
            <w:tcW w:w="720" w:type="dxa"/>
            <w:vAlign w:val="bottom"/>
          </w:tcPr>
          <w:p>
            <w:pPr>
              <w:spacing w:after="0"/>
              <w:rPr>
                <w:sz w:val="24"/>
                <w:szCs w:val="24"/>
                <w:color w:val="auto"/>
              </w:rPr>
            </w:pPr>
          </w:p>
        </w:tc>
        <w:tc>
          <w:tcPr>
            <w:tcW w:w="280" w:type="dxa"/>
            <w:vAlign w:val="bottom"/>
            <w:tcBorders>
              <w:top w:val="single" w:sz="8" w:color="0000FF"/>
              <w:bottom w:val="single" w:sz="8" w:color="0000FF"/>
            </w:tcBorders>
            <w:gridSpan w:val="2"/>
          </w:tcPr>
          <w:p>
            <w:pPr>
              <w:jc w:val="right"/>
              <w:spacing w:after="0"/>
              <w:rPr>
                <w:rFonts w:ascii="Arial" w:cs="Arial" w:eastAsia="Arial" w:hAnsi="Arial"/>
                <w:sz w:val="12"/>
                <w:szCs w:val="12"/>
                <w:color w:val="0000FF"/>
                <w:w w:val="86"/>
              </w:rPr>
            </w:pPr>
            <w:hyperlink r:id="rId194">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23</w:t>
              </w:r>
            </w:hyperlink>
          </w:p>
        </w:tc>
        <w:tc>
          <w:tcPr>
            <w:tcW w:w="380" w:type="dxa"/>
            <w:vAlign w:val="bottom"/>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400" w:type="dxa"/>
            <w:vAlign w:val="bottom"/>
            <w:tcBorders>
              <w:top w:val="single" w:sz="8" w:color="0000FF"/>
              <w:bottom w:val="single" w:sz="8" w:color="0000FF"/>
            </w:tcBorders>
            <w:gridSpan w:val="9"/>
          </w:tcPr>
          <w:p>
            <w:pPr>
              <w:spacing w:after="0"/>
              <w:rPr>
                <w:rFonts w:ascii="Arial" w:cs="Arial" w:eastAsia="Arial" w:hAnsi="Arial"/>
                <w:sz w:val="12"/>
                <w:szCs w:val="12"/>
                <w:color w:val="0000FF"/>
                <w:w w:val="90"/>
              </w:rPr>
            </w:pPr>
            <w:hyperlink r:id="rId194">
              <w:r>
                <w:rPr>
                  <w:rFonts w:ascii="Arial" w:cs="Arial" w:eastAsia="Arial" w:hAnsi="Arial"/>
                  <w:sz w:val="12"/>
                  <w:szCs w:val="12"/>
                  <w:color w:val="0000FF"/>
                  <w:w w:val="90"/>
                </w:rPr>
                <w:t>Change in Control Severance Pay Plan for Senior Executives (incorporated by reference as an exhibit to the Company's Quarterly Report on Form 10-Q for the quarter ended September 30, 2017).</w:t>
              </w:r>
            </w:hyperlink>
          </w:p>
        </w:tc>
        <w:tc>
          <w:tcPr>
            <w:tcW w:w="180" w:type="dxa"/>
            <w:vAlign w:val="bottom"/>
            <w:tcBorders>
              <w:top w:val="single" w:sz="8" w:color="0000FF"/>
            </w:tcBorders>
            <w:gridSpan w:val="2"/>
          </w:tcPr>
          <w:p>
            <w:pPr>
              <w:spacing w:after="0"/>
              <w:rPr>
                <w:sz w:val="24"/>
                <w:szCs w:val="24"/>
                <w:color w:val="auto"/>
              </w:rPr>
            </w:pPr>
          </w:p>
        </w:tc>
        <w:tc>
          <w:tcPr>
            <w:tcW w:w="300" w:type="dxa"/>
            <w:vAlign w:val="bottom"/>
            <w:gridSpan w:val="5"/>
          </w:tcPr>
          <w:p>
            <w:pPr>
              <w:spacing w:after="0"/>
              <w:rPr>
                <w:sz w:val="24"/>
                <w:szCs w:val="24"/>
                <w:color w:val="auto"/>
              </w:rPr>
            </w:pPr>
          </w:p>
        </w:tc>
      </w:tr>
      <w:tr>
        <w:trPr>
          <w:trHeight w:val="324"/>
        </w:trPr>
        <w:tc>
          <w:tcPr>
            <w:tcW w:w="1000" w:type="dxa"/>
            <w:vAlign w:val="bottom"/>
            <w:gridSpan w:val="3"/>
          </w:tcPr>
          <w:p>
            <w:pPr>
              <w:jc w:val="right"/>
              <w:spacing w:after="0"/>
              <w:rPr>
                <w:rFonts w:ascii="Arial" w:cs="Arial" w:eastAsia="Arial" w:hAnsi="Arial"/>
                <w:sz w:val="12"/>
                <w:szCs w:val="12"/>
                <w:color w:val="0000FF"/>
              </w:rPr>
            </w:pPr>
            <w:hyperlink r:id="rId195">
              <w:r>
                <w:rPr>
                  <w:rFonts w:ascii="Arial" w:cs="Arial" w:eastAsia="Arial" w:hAnsi="Arial"/>
                  <w:sz w:val="12"/>
                  <w:szCs w:val="12"/>
                  <w:color w:val="0000FF"/>
                </w:rPr>
                <w:t>10.</w:t>
              </w:r>
              <w:r>
                <w:rPr>
                  <w:rFonts w:ascii="Arial" w:cs="Arial" w:eastAsia="Arial" w:hAnsi="Arial"/>
                  <w:sz w:val="12"/>
                  <w:szCs w:val="12"/>
                  <w:u w:val="single" w:color="auto"/>
                  <w:color w:val="0000FF"/>
                </w:rPr>
                <w:t>24</w:t>
              </w:r>
            </w:hyperlink>
          </w:p>
        </w:tc>
        <w:tc>
          <w:tcPr>
            <w:tcW w:w="380" w:type="dxa"/>
            <w:vAlign w:val="bottom"/>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2"/>
                <w:szCs w:val="12"/>
                <w:color w:val="0000FF"/>
                <w:w w:val="91"/>
              </w:rPr>
            </w:pPr>
            <w:hyperlink r:id="rId195">
              <w:r>
                <w:rPr>
                  <w:rFonts w:ascii="Arial" w:cs="Arial" w:eastAsia="Arial" w:hAnsi="Arial"/>
                  <w:sz w:val="12"/>
                  <w:szCs w:val="12"/>
                  <w:color w:val="0000FF"/>
                  <w:w w:val="91"/>
                </w:rPr>
                <w:t>Employment Agreement Renewal between the Company and Thomas E. O’Hern, effective June 8, 2021 (incorporated by reference as an exhibit to the Company’s Current Report on Form 8-K, event date</w:t>
              </w:r>
            </w:hyperlink>
          </w:p>
        </w:tc>
      </w:tr>
      <w:tr>
        <w:trPr>
          <w:trHeight w:val="77"/>
        </w:trPr>
        <w:tc>
          <w:tcPr>
            <w:tcW w:w="720" w:type="dxa"/>
            <w:vAlign w:val="bottom"/>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top w:val="single" w:sz="8" w:color="0000FF"/>
              <w:bottom w:val="single" w:sz="8" w:color="0000FF"/>
            </w:tcBorders>
            <w:gridSpan w:val="2"/>
          </w:tcPr>
          <w:p>
            <w:pPr>
              <w:spacing w:after="0" w:line="77" w:lineRule="exact"/>
              <w:rPr>
                <w:rFonts w:ascii="Arial" w:cs="Arial" w:eastAsia="Arial" w:hAnsi="Arial"/>
                <w:sz w:val="8"/>
                <w:szCs w:val="8"/>
                <w:color w:val="0000FF"/>
              </w:rPr>
            </w:pPr>
            <w:hyperlink r:id="rId195">
              <w:r>
                <w:rPr>
                  <w:rFonts w:ascii="Arial" w:cs="Arial" w:eastAsia="Arial" w:hAnsi="Arial"/>
                  <w:sz w:val="8"/>
                  <w:szCs w:val="8"/>
                  <w:color w:val="0000FF"/>
                </w:rPr>
                <w:t>June 11, 2021).</w:t>
              </w:r>
            </w:hyperlink>
          </w:p>
        </w:tc>
        <w:tc>
          <w:tcPr>
            <w:tcW w:w="9040" w:type="dxa"/>
            <w:vAlign w:val="bottom"/>
            <w:tcBorders>
              <w:top w:val="single" w:sz="8" w:color="0000FF"/>
            </w:tcBorders>
            <w:gridSpan w:val="12"/>
          </w:tcPr>
          <w:p>
            <w:pPr>
              <w:spacing w:after="0"/>
              <w:rPr>
                <w:sz w:val="6"/>
                <w:szCs w:val="6"/>
                <w:color w:val="auto"/>
              </w:rPr>
            </w:pPr>
          </w:p>
        </w:tc>
        <w:tc>
          <w:tcPr>
            <w:tcW w:w="100" w:type="dxa"/>
            <w:vAlign w:val="bottom"/>
            <w:gridSpan w:val="2"/>
          </w:tcPr>
          <w:p>
            <w:pPr>
              <w:spacing w:after="0"/>
              <w:rPr>
                <w:sz w:val="6"/>
                <w:szCs w:val="6"/>
                <w:color w:val="auto"/>
              </w:rPr>
            </w:pPr>
          </w:p>
        </w:tc>
      </w:tr>
      <w:tr>
        <w:trPr>
          <w:trHeight w:val="333"/>
        </w:trPr>
        <w:tc>
          <w:tcPr>
            <w:tcW w:w="1000" w:type="dxa"/>
            <w:vAlign w:val="bottom"/>
            <w:gridSpan w:val="3"/>
          </w:tcPr>
          <w:p>
            <w:pPr>
              <w:jc w:val="right"/>
              <w:spacing w:after="0"/>
              <w:rPr>
                <w:rFonts w:ascii="Arial" w:cs="Arial" w:eastAsia="Arial" w:hAnsi="Arial"/>
                <w:sz w:val="12"/>
                <w:szCs w:val="12"/>
                <w:color w:val="0000FF"/>
              </w:rPr>
            </w:pPr>
            <w:hyperlink r:id="rId196">
              <w:r>
                <w:rPr>
                  <w:rFonts w:ascii="Arial" w:cs="Arial" w:eastAsia="Arial" w:hAnsi="Arial"/>
                  <w:sz w:val="12"/>
                  <w:szCs w:val="12"/>
                  <w:color w:val="0000FF"/>
                </w:rPr>
                <w:t>10.</w:t>
              </w:r>
              <w:r>
                <w:rPr>
                  <w:rFonts w:ascii="Arial" w:cs="Arial" w:eastAsia="Arial" w:hAnsi="Arial"/>
                  <w:sz w:val="12"/>
                  <w:szCs w:val="12"/>
                  <w:u w:val="single" w:color="auto"/>
                  <w:color w:val="0000FF"/>
                </w:rPr>
                <w:t>25</w:t>
              </w:r>
            </w:hyperlink>
          </w:p>
        </w:tc>
        <w:tc>
          <w:tcPr>
            <w:tcW w:w="380" w:type="dxa"/>
            <w:vAlign w:val="bottom"/>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2"/>
                <w:szCs w:val="12"/>
                <w:color w:val="0000FF"/>
                <w:w w:val="93"/>
              </w:rPr>
            </w:pPr>
            <w:hyperlink r:id="rId196">
              <w:r>
                <w:rPr>
                  <w:rFonts w:ascii="Arial" w:cs="Arial" w:eastAsia="Arial" w:hAnsi="Arial"/>
                  <w:sz w:val="12"/>
                  <w:szCs w:val="12"/>
                  <w:color w:val="0000FF"/>
                  <w:w w:val="93"/>
                </w:rPr>
                <w:t>Employment Agreement between the Company and William P. Voegele, effective September 1, 2019 (incorporated by reference as an exhibit to the Company’s Quarterly Report on Form 10-Q for the</w:t>
              </w:r>
            </w:hyperlink>
          </w:p>
        </w:tc>
      </w:tr>
      <w:tr>
        <w:trPr>
          <w:trHeight w:val="77"/>
        </w:trPr>
        <w:tc>
          <w:tcPr>
            <w:tcW w:w="720" w:type="dxa"/>
            <w:vAlign w:val="bottom"/>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720" w:type="dxa"/>
            <w:vAlign w:val="bottom"/>
            <w:tcBorders>
              <w:top w:val="single" w:sz="8" w:color="0000FF"/>
              <w:bottom w:val="single" w:sz="8" w:color="0000FF"/>
            </w:tcBorders>
            <w:gridSpan w:val="4"/>
          </w:tcPr>
          <w:p>
            <w:pPr>
              <w:spacing w:after="0" w:line="77" w:lineRule="exact"/>
              <w:rPr>
                <w:rFonts w:ascii="Arial" w:cs="Arial" w:eastAsia="Arial" w:hAnsi="Arial"/>
                <w:sz w:val="8"/>
                <w:szCs w:val="8"/>
                <w:color w:val="0000FF"/>
              </w:rPr>
            </w:pPr>
            <w:hyperlink r:id="rId196">
              <w:r>
                <w:rPr>
                  <w:rFonts w:ascii="Arial" w:cs="Arial" w:eastAsia="Arial" w:hAnsi="Arial"/>
                  <w:sz w:val="8"/>
                  <w:szCs w:val="8"/>
                  <w:color w:val="0000FF"/>
                </w:rPr>
                <w:t>quarter ended September 30, 2019).</w:t>
              </w:r>
            </w:hyperlink>
          </w:p>
        </w:tc>
        <w:tc>
          <w:tcPr>
            <w:tcW w:w="7840" w:type="dxa"/>
            <w:vAlign w:val="bottom"/>
            <w:tcBorders>
              <w:top w:val="single" w:sz="8" w:color="0000FF"/>
            </w:tcBorders>
            <w:gridSpan w:val="6"/>
          </w:tcPr>
          <w:p>
            <w:pPr>
              <w:spacing w:after="0"/>
              <w:rPr>
                <w:sz w:val="6"/>
                <w:szCs w:val="6"/>
                <w:color w:val="auto"/>
              </w:rPr>
            </w:pPr>
          </w:p>
        </w:tc>
        <w:tc>
          <w:tcPr>
            <w:tcW w:w="6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gridSpan w:val="3"/>
          </w:tcPr>
          <w:p>
            <w:pPr>
              <w:spacing w:after="0"/>
              <w:rPr>
                <w:sz w:val="6"/>
                <w:szCs w:val="6"/>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97">
              <w:r>
                <w:rPr>
                  <w:rFonts w:ascii="Arial" w:cs="Arial" w:eastAsia="Arial" w:hAnsi="Arial"/>
                  <w:sz w:val="12"/>
                  <w:szCs w:val="12"/>
                  <w:color w:val="0000FF"/>
                </w:rPr>
                <w:t>10.</w:t>
              </w:r>
              <w:r>
                <w:rPr>
                  <w:rFonts w:ascii="Arial" w:cs="Arial" w:eastAsia="Arial" w:hAnsi="Arial"/>
                  <w:sz w:val="12"/>
                  <w:szCs w:val="12"/>
                  <w:u w:val="single" w:color="auto"/>
                  <w:color w:val="0000FF"/>
                </w:rPr>
                <w:t>26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2"/>
                <w:szCs w:val="12"/>
                <w:color w:val="0000FF"/>
                <w:w w:val="92"/>
              </w:rPr>
            </w:pPr>
            <w:hyperlink r:id="rId197">
              <w:r>
                <w:rPr>
                  <w:rFonts w:ascii="Arial" w:cs="Arial" w:eastAsia="Arial" w:hAnsi="Arial"/>
                  <w:sz w:val="12"/>
                  <w:szCs w:val="12"/>
                  <w:color w:val="0000FF"/>
                  <w:w w:val="92"/>
                </w:rPr>
                <w:t>2005 Amended and Restated Agreement of Limited Partnership of MACWH, LP dated as of April 25, 2005 (incorporated by reference as an exhibit to the Company's Current Report on Form 8-K, event</w:t>
              </w:r>
            </w:hyperlink>
          </w:p>
        </w:tc>
      </w:tr>
      <w:tr>
        <w:trPr>
          <w:trHeight w:val="97"/>
        </w:trPr>
        <w:tc>
          <w:tcPr>
            <w:tcW w:w="72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700" w:type="dxa"/>
            <w:vAlign w:val="bottom"/>
            <w:tcBorders>
              <w:top w:val="single" w:sz="8" w:color="0000FF"/>
            </w:tcBorders>
            <w:gridSpan w:val="13"/>
          </w:tcPr>
          <w:p>
            <w:pPr>
              <w:spacing w:after="0" w:line="97" w:lineRule="exact"/>
              <w:rPr>
                <w:rFonts w:ascii="Arial" w:cs="Arial" w:eastAsia="Arial" w:hAnsi="Arial"/>
                <w:sz w:val="11"/>
                <w:szCs w:val="11"/>
                <w:color w:val="0000FF"/>
              </w:rPr>
            </w:pPr>
            <w:hyperlink r:id="rId197">
              <w:r>
                <w:rPr>
                  <w:rFonts w:ascii="Arial" w:cs="Arial" w:eastAsia="Arial" w:hAnsi="Arial"/>
                  <w:sz w:val="11"/>
                  <w:szCs w:val="11"/>
                  <w:color w:val="0000FF"/>
                </w:rPr>
                <w:t>date April 25, 2005).</w:t>
              </w:r>
            </w:hyperlink>
          </w:p>
        </w:tc>
        <w:tc>
          <w:tcPr>
            <w:tcW w:w="180" w:type="dxa"/>
            <w:vAlign w:val="bottom"/>
            <w:gridSpan w:val="3"/>
          </w:tcPr>
          <w:p>
            <w:pPr>
              <w:spacing w:after="0"/>
              <w:rPr>
                <w:sz w:val="8"/>
                <w:szCs w:val="8"/>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04"/>
        </w:trPr>
        <w:tc>
          <w:tcPr>
            <w:tcW w:w="1000" w:type="dxa"/>
            <w:vAlign w:val="bottom"/>
            <w:gridSpan w:val="3"/>
          </w:tcPr>
          <w:p>
            <w:pPr>
              <w:jc w:val="right"/>
              <w:spacing w:after="0"/>
              <w:rPr>
                <w:rFonts w:ascii="Arial" w:cs="Arial" w:eastAsia="Arial" w:hAnsi="Arial"/>
                <w:sz w:val="12"/>
                <w:szCs w:val="12"/>
                <w:color w:val="0000FF"/>
              </w:rPr>
            </w:pPr>
            <w:hyperlink r:id="rId198">
              <w:r>
                <w:rPr>
                  <w:rFonts w:ascii="Arial" w:cs="Arial" w:eastAsia="Arial" w:hAnsi="Arial"/>
                  <w:sz w:val="12"/>
                  <w:szCs w:val="12"/>
                  <w:color w:val="0000FF"/>
                </w:rPr>
                <w:t>10.</w:t>
              </w:r>
              <w:r>
                <w:rPr>
                  <w:rFonts w:ascii="Arial" w:cs="Arial" w:eastAsia="Arial" w:hAnsi="Arial"/>
                  <w:sz w:val="12"/>
                  <w:szCs w:val="12"/>
                  <w:u w:val="single" w:color="auto"/>
                  <w:color w:val="0000FF"/>
                </w:rPr>
                <w:t>27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2"/>
                <w:szCs w:val="12"/>
                <w:color w:val="0000FF"/>
                <w:w w:val="92"/>
              </w:rPr>
            </w:pPr>
            <w:hyperlink r:id="rId198">
              <w:r>
                <w:rPr>
                  <w:rFonts w:ascii="Arial" w:cs="Arial" w:eastAsia="Arial" w:hAnsi="Arial"/>
                  <w:sz w:val="12"/>
                  <w:szCs w:val="12"/>
                  <w:color w:val="0000FF"/>
                  <w:w w:val="92"/>
                </w:rPr>
                <w:t>Registration Rights Agreement dated as of April 25, 2005 among the Company and the persons names on Exhibit A thereto (incorporated by reference as an exhibit to the Company's Current Report on</w:t>
              </w:r>
            </w:hyperlink>
          </w:p>
        </w:tc>
      </w:tr>
      <w:tr>
        <w:trPr>
          <w:trHeight w:val="97"/>
        </w:trPr>
        <w:tc>
          <w:tcPr>
            <w:tcW w:w="72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620" w:type="dxa"/>
            <w:vAlign w:val="bottom"/>
            <w:tcBorders>
              <w:top w:val="single" w:sz="8" w:color="0000FF"/>
            </w:tcBorders>
            <w:gridSpan w:val="12"/>
          </w:tcPr>
          <w:p>
            <w:pPr>
              <w:spacing w:after="0" w:line="97" w:lineRule="exact"/>
              <w:rPr>
                <w:rFonts w:ascii="Arial" w:cs="Arial" w:eastAsia="Arial" w:hAnsi="Arial"/>
                <w:sz w:val="11"/>
                <w:szCs w:val="11"/>
                <w:color w:val="0000FF"/>
              </w:rPr>
            </w:pPr>
            <w:hyperlink r:id="rId198">
              <w:r>
                <w:rPr>
                  <w:rFonts w:ascii="Arial" w:cs="Arial" w:eastAsia="Arial" w:hAnsi="Arial"/>
                  <w:sz w:val="11"/>
                  <w:szCs w:val="11"/>
                  <w:color w:val="0000FF"/>
                </w:rPr>
                <w:t>Form 8-K, event date April 25, 2005).</w:t>
              </w:r>
            </w:hyperlink>
          </w:p>
        </w:tc>
        <w:tc>
          <w:tcPr>
            <w:tcW w:w="260" w:type="dxa"/>
            <w:vAlign w:val="bottom"/>
            <w:gridSpan w:val="4"/>
          </w:tcPr>
          <w:p>
            <w:pPr>
              <w:spacing w:after="0"/>
              <w:rPr>
                <w:sz w:val="8"/>
                <w:szCs w:val="8"/>
                <w:color w:val="auto"/>
              </w:rPr>
            </w:pPr>
          </w:p>
        </w:tc>
      </w:tr>
      <w:tr>
        <w:trPr>
          <w:trHeight w:val="313"/>
        </w:trPr>
        <w:tc>
          <w:tcPr>
            <w:tcW w:w="78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2"/>
                <w:szCs w:val="12"/>
                <w:color w:val="0000FF"/>
                <w:w w:val="85"/>
              </w:rPr>
            </w:pPr>
            <w:hyperlink w:anchor="page129">
              <w:r>
                <w:rPr>
                  <w:rFonts w:ascii="Arial" w:cs="Arial" w:eastAsia="Arial" w:hAnsi="Arial"/>
                  <w:sz w:val="12"/>
                  <w:szCs w:val="12"/>
                  <w:color w:val="0000FF"/>
                  <w:w w:val="85"/>
                </w:rPr>
                <w:t>21.</w:t>
              </w:r>
              <w:r>
                <w:rPr>
                  <w:rFonts w:ascii="Arial" w:cs="Arial" w:eastAsia="Arial" w:hAnsi="Arial"/>
                  <w:sz w:val="12"/>
                  <w:szCs w:val="12"/>
                  <w:u w:val="single" w:color="auto"/>
                  <w:color w:val="0000FF"/>
                  <w:w w:val="85"/>
                </w:rPr>
                <w:t>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0000FF"/>
              <w:bottom w:val="single" w:sz="8" w:color="0000FF"/>
            </w:tcBorders>
            <w:gridSpan w:val="3"/>
          </w:tcPr>
          <w:p>
            <w:pPr>
              <w:spacing w:after="0"/>
              <w:rPr>
                <w:rFonts w:ascii="Arial" w:cs="Arial" w:eastAsia="Arial" w:hAnsi="Arial"/>
                <w:sz w:val="12"/>
                <w:szCs w:val="12"/>
                <w:color w:val="0000FF"/>
                <w:w w:val="95"/>
              </w:rPr>
            </w:pPr>
            <w:hyperlink w:anchor="page129">
              <w:r>
                <w:rPr>
                  <w:rFonts w:ascii="Arial" w:cs="Arial" w:eastAsia="Arial" w:hAnsi="Arial"/>
                  <w:sz w:val="12"/>
                  <w:szCs w:val="12"/>
                  <w:color w:val="0000FF"/>
                  <w:w w:val="95"/>
                </w:rPr>
                <w:t>List of Subsidiaries</w:t>
              </w:r>
            </w:hyperlink>
          </w:p>
        </w:tc>
        <w:tc>
          <w:tcPr>
            <w:tcW w:w="820" w:type="dxa"/>
            <w:vAlign w:val="bottom"/>
            <w:tcBorders>
              <w:top w:val="single" w:sz="8" w:color="0000FF"/>
            </w:tcBorders>
            <w:gridSpan w:val="2"/>
          </w:tcPr>
          <w:p>
            <w:pPr>
              <w:spacing w:after="0"/>
              <w:rPr>
                <w:sz w:val="24"/>
                <w:szCs w:val="24"/>
                <w:color w:val="auto"/>
              </w:rPr>
            </w:pPr>
          </w:p>
        </w:tc>
        <w:tc>
          <w:tcPr>
            <w:tcW w:w="8060" w:type="dxa"/>
            <w:vAlign w:val="bottom"/>
            <w:gridSpan w:val="11"/>
          </w:tcPr>
          <w:p>
            <w:pPr>
              <w:spacing w:after="0"/>
              <w:rPr>
                <w:sz w:val="24"/>
                <w:szCs w:val="24"/>
                <w:color w:val="auto"/>
              </w:rPr>
            </w:pPr>
          </w:p>
        </w:tc>
      </w:tr>
      <w:tr>
        <w:trPr>
          <w:trHeight w:val="313"/>
        </w:trPr>
        <w:tc>
          <w:tcPr>
            <w:tcW w:w="78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2"/>
                <w:szCs w:val="12"/>
                <w:color w:val="0000FF"/>
                <w:w w:val="85"/>
              </w:rPr>
            </w:pPr>
            <w:hyperlink w:anchor="page133">
              <w:r>
                <w:rPr>
                  <w:rFonts w:ascii="Arial" w:cs="Arial" w:eastAsia="Arial" w:hAnsi="Arial"/>
                  <w:sz w:val="12"/>
                  <w:szCs w:val="12"/>
                  <w:color w:val="0000FF"/>
                  <w:w w:val="85"/>
                </w:rPr>
                <w:t>23.</w:t>
              </w:r>
              <w:r>
                <w:rPr>
                  <w:rFonts w:ascii="Arial" w:cs="Arial" w:eastAsia="Arial" w:hAnsi="Arial"/>
                  <w:sz w:val="12"/>
                  <w:szCs w:val="12"/>
                  <w:u w:val="single" w:color="auto"/>
                  <w:color w:val="0000FF"/>
                  <w:w w:val="85"/>
                </w:rPr>
                <w:t>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Borders>
              <w:bottom w:val="single" w:sz="8" w:color="0000FF"/>
            </w:tcBorders>
            <w:gridSpan w:val="7"/>
          </w:tcPr>
          <w:p>
            <w:pPr>
              <w:spacing w:after="0"/>
              <w:rPr>
                <w:rFonts w:ascii="Arial" w:cs="Arial" w:eastAsia="Arial" w:hAnsi="Arial"/>
                <w:sz w:val="12"/>
                <w:szCs w:val="12"/>
                <w:color w:val="0000FF"/>
                <w:w w:val="92"/>
              </w:rPr>
            </w:pPr>
            <w:hyperlink w:anchor="page133">
              <w:r>
                <w:rPr>
                  <w:rFonts w:ascii="Arial" w:cs="Arial" w:eastAsia="Arial" w:hAnsi="Arial"/>
                  <w:sz w:val="12"/>
                  <w:szCs w:val="12"/>
                  <w:color w:val="0000FF"/>
                  <w:w w:val="92"/>
                </w:rPr>
                <w:t>Consent of Independent Registered Public Accounting Firm (KPMG LLP)</w:t>
              </w:r>
            </w:hyperlink>
          </w:p>
        </w:tc>
        <w:tc>
          <w:tcPr>
            <w:tcW w:w="6300" w:type="dxa"/>
            <w:vAlign w:val="bottom"/>
            <w:gridSpan w:val="9"/>
          </w:tcPr>
          <w:p>
            <w:pPr>
              <w:spacing w:after="0"/>
              <w:rPr>
                <w:sz w:val="24"/>
                <w:szCs w:val="24"/>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Pr>
          <w:p>
            <w:pPr>
              <w:jc w:val="right"/>
              <w:spacing w:after="0"/>
              <w:rPr>
                <w:rFonts w:ascii="Arial" w:cs="Arial" w:eastAsia="Arial" w:hAnsi="Arial"/>
                <w:sz w:val="12"/>
                <w:szCs w:val="12"/>
                <w:color w:val="0000FF"/>
                <w:w w:val="85"/>
              </w:rPr>
            </w:pPr>
            <w:hyperlink w:anchor="page134">
              <w:r>
                <w:rPr>
                  <w:rFonts w:ascii="Arial" w:cs="Arial" w:eastAsia="Arial" w:hAnsi="Arial"/>
                  <w:sz w:val="12"/>
                  <w:szCs w:val="12"/>
                  <w:color w:val="0000FF"/>
                  <w:w w:val="85"/>
                </w:rPr>
                <w:t>31.</w:t>
              </w:r>
              <w:r>
                <w:rPr>
                  <w:rFonts w:ascii="Arial" w:cs="Arial" w:eastAsia="Arial" w:hAnsi="Arial"/>
                  <w:sz w:val="12"/>
                  <w:szCs w:val="12"/>
                  <w:u w:val="single" w:color="auto"/>
                  <w:color w:val="0000FF"/>
                  <w:w w:val="85"/>
                </w:rPr>
                <w:t>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rFonts w:ascii="Arial" w:cs="Arial" w:eastAsia="Arial" w:hAnsi="Arial"/>
                <w:sz w:val="12"/>
                <w:szCs w:val="12"/>
                <w:color w:val="0000FF"/>
              </w:rPr>
            </w:pPr>
            <w:hyperlink w:anchor="page134">
              <w:r>
                <w:rPr>
                  <w:rFonts w:ascii="Arial" w:cs="Arial" w:eastAsia="Arial" w:hAnsi="Arial"/>
                  <w:sz w:val="12"/>
                  <w:szCs w:val="12"/>
                  <w:color w:val="0000FF"/>
                </w:rPr>
                <w:t>Section 302 Certification of Thomas E. O'Hern, Chief Executive Officer and Director</w:t>
              </w:r>
            </w:hyperlink>
          </w:p>
        </w:tc>
      </w:tr>
      <w:tr>
        <w:trPr>
          <w:trHeight w:val="304"/>
        </w:trPr>
        <w:tc>
          <w:tcPr>
            <w:tcW w:w="780" w:type="dxa"/>
            <w:vAlign w:val="bottom"/>
            <w:gridSpan w:val="2"/>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12"/>
                <w:szCs w:val="12"/>
                <w:color w:val="0000FF"/>
                <w:w w:val="85"/>
              </w:rPr>
            </w:pPr>
            <w:hyperlink w:anchor="page135">
              <w:r>
                <w:rPr>
                  <w:rFonts w:ascii="Arial" w:cs="Arial" w:eastAsia="Arial" w:hAnsi="Arial"/>
                  <w:sz w:val="12"/>
                  <w:szCs w:val="12"/>
                  <w:color w:val="0000FF"/>
                  <w:w w:val="85"/>
                </w:rPr>
                <w:t>31.</w:t>
              </w:r>
              <w:r>
                <w:rPr>
                  <w:rFonts w:ascii="Arial" w:cs="Arial" w:eastAsia="Arial" w:hAnsi="Arial"/>
                  <w:sz w:val="12"/>
                  <w:szCs w:val="12"/>
                  <w:u w:val="single" w:color="auto"/>
                  <w:color w:val="0000FF"/>
                  <w:w w:val="85"/>
                </w:rPr>
                <w:t>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Borders>
              <w:top w:val="single" w:sz="8" w:color="0000FF"/>
              <w:bottom w:val="single" w:sz="8" w:color="0000FF"/>
            </w:tcBorders>
            <w:gridSpan w:val="6"/>
          </w:tcPr>
          <w:p>
            <w:pPr>
              <w:spacing w:after="0"/>
              <w:rPr>
                <w:rFonts w:ascii="Arial" w:cs="Arial" w:eastAsia="Arial" w:hAnsi="Arial"/>
                <w:sz w:val="12"/>
                <w:szCs w:val="12"/>
                <w:color w:val="0000FF"/>
                <w:w w:val="92"/>
              </w:rPr>
            </w:pPr>
            <w:hyperlink w:anchor="page135">
              <w:r>
                <w:rPr>
                  <w:rFonts w:ascii="Arial" w:cs="Arial" w:eastAsia="Arial" w:hAnsi="Arial"/>
                  <w:sz w:val="12"/>
                  <w:szCs w:val="12"/>
                  <w:color w:val="0000FF"/>
                  <w:w w:val="92"/>
                </w:rPr>
                <w:t>Section 302 Certification of Scott W. Kingsmore, Chief Financial Officer</w:t>
              </w:r>
            </w:hyperlink>
          </w:p>
        </w:tc>
        <w:tc>
          <w:tcPr>
            <w:tcW w:w="580" w:type="dxa"/>
            <w:vAlign w:val="bottom"/>
            <w:tcBorders>
              <w:top w:val="single" w:sz="8" w:color="0000FF"/>
            </w:tcBorders>
            <w:gridSpan w:val="2"/>
          </w:tcPr>
          <w:p>
            <w:pPr>
              <w:spacing w:after="0"/>
              <w:rPr>
                <w:sz w:val="24"/>
                <w:szCs w:val="24"/>
                <w:color w:val="auto"/>
              </w:rPr>
            </w:pPr>
          </w:p>
        </w:tc>
        <w:tc>
          <w:tcPr>
            <w:tcW w:w="5780" w:type="dxa"/>
            <w:vAlign w:val="bottom"/>
            <w:gridSpan w:val="8"/>
          </w:tcPr>
          <w:p>
            <w:pPr>
              <w:spacing w:after="0"/>
              <w:rPr>
                <w:sz w:val="24"/>
                <w:szCs w:val="24"/>
                <w:color w:val="auto"/>
              </w:rPr>
            </w:pPr>
          </w:p>
        </w:tc>
      </w:tr>
      <w:tr>
        <w:trPr>
          <w:trHeight w:val="304"/>
        </w:trPr>
        <w:tc>
          <w:tcPr>
            <w:tcW w:w="78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12"/>
                <w:szCs w:val="12"/>
                <w:color w:val="0000FF"/>
                <w:w w:val="85"/>
              </w:rPr>
            </w:pPr>
            <w:hyperlink w:anchor="page136">
              <w:r>
                <w:rPr>
                  <w:rFonts w:ascii="Arial" w:cs="Arial" w:eastAsia="Arial" w:hAnsi="Arial"/>
                  <w:sz w:val="12"/>
                  <w:szCs w:val="12"/>
                  <w:color w:val="0000FF"/>
                  <w:w w:val="85"/>
                </w:rPr>
                <w:t>32.</w:t>
              </w:r>
              <w:r>
                <w:rPr>
                  <w:rFonts w:ascii="Arial" w:cs="Arial" w:eastAsia="Arial" w:hAnsi="Arial"/>
                  <w:sz w:val="12"/>
                  <w:szCs w:val="12"/>
                  <w:u w:val="single" w:color="auto"/>
                  <w:color w:val="0000FF"/>
                  <w:w w:val="85"/>
                </w:rPr>
                <w:t>1</w:t>
              </w:r>
            </w:hyperlink>
          </w:p>
        </w:tc>
        <w:tc>
          <w:tcPr>
            <w:tcW w:w="380" w:type="dxa"/>
            <w:vAlign w:val="bottom"/>
          </w:tcPr>
          <w:p>
            <w:pPr>
              <w:ind w:lef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3520" w:type="dxa"/>
            <w:vAlign w:val="bottom"/>
            <w:tcBorders>
              <w:bottom w:val="single" w:sz="8" w:color="0000FF"/>
            </w:tcBorders>
            <w:gridSpan w:val="6"/>
          </w:tcPr>
          <w:p>
            <w:pPr>
              <w:spacing w:after="0"/>
              <w:rPr>
                <w:rFonts w:ascii="Arial" w:cs="Arial" w:eastAsia="Arial" w:hAnsi="Arial"/>
                <w:sz w:val="12"/>
                <w:szCs w:val="12"/>
                <w:color w:val="0000FF"/>
                <w:w w:val="91"/>
              </w:rPr>
            </w:pPr>
            <w:hyperlink w:anchor="page136">
              <w:r>
                <w:rPr>
                  <w:rFonts w:ascii="Arial" w:cs="Arial" w:eastAsia="Arial" w:hAnsi="Arial"/>
                  <w:sz w:val="12"/>
                  <w:szCs w:val="12"/>
                  <w:color w:val="0000FF"/>
                  <w:w w:val="91"/>
                </w:rPr>
                <w:t>Section 906 Certifications of Thomas E. O'Hern and Scott W. Kingsmore</w:t>
              </w:r>
            </w:hyperlink>
          </w:p>
        </w:tc>
        <w:tc>
          <w:tcPr>
            <w:tcW w:w="6360" w:type="dxa"/>
            <w:vAlign w:val="bottom"/>
            <w:gridSpan w:val="10"/>
          </w:tcPr>
          <w:p>
            <w:pPr>
              <w:spacing w:after="0"/>
              <w:rPr>
                <w:sz w:val="24"/>
                <w:szCs w:val="24"/>
                <w:color w:val="auto"/>
              </w:rPr>
            </w:pPr>
          </w:p>
        </w:tc>
      </w:tr>
      <w:tr>
        <w:trPr>
          <w:trHeight w:val="331"/>
        </w:trPr>
        <w:tc>
          <w:tcPr>
            <w:tcW w:w="1000" w:type="dxa"/>
            <w:vAlign w:val="bottom"/>
            <w:gridSpan w:val="3"/>
          </w:tcPr>
          <w:p>
            <w:pPr>
              <w:jc w:val="right"/>
              <w:spacing w:after="0"/>
              <w:rPr>
                <w:sz w:val="20"/>
                <w:szCs w:val="20"/>
                <w:color w:val="auto"/>
              </w:rPr>
            </w:pPr>
            <w:r>
              <w:rPr>
                <w:rFonts w:ascii="Arial" w:cs="Arial" w:eastAsia="Arial" w:hAnsi="Arial"/>
                <w:sz w:val="12"/>
                <w:szCs w:val="12"/>
                <w:color w:val="auto"/>
              </w:rPr>
              <w:t>101.SCH</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2"/>
                <w:szCs w:val="12"/>
                <w:color w:val="auto"/>
              </w:rPr>
              <w:t>Inline XBRL Taxonomy Extension Schema Document</w:t>
            </w:r>
          </w:p>
        </w:tc>
      </w:tr>
      <w:tr>
        <w:trPr>
          <w:trHeight w:val="324"/>
        </w:trPr>
        <w:tc>
          <w:tcPr>
            <w:tcW w:w="1000" w:type="dxa"/>
            <w:vAlign w:val="bottom"/>
            <w:gridSpan w:val="3"/>
          </w:tcPr>
          <w:p>
            <w:pPr>
              <w:jc w:val="right"/>
              <w:spacing w:after="0"/>
              <w:rPr>
                <w:sz w:val="20"/>
                <w:szCs w:val="20"/>
                <w:color w:val="auto"/>
              </w:rPr>
            </w:pPr>
            <w:r>
              <w:rPr>
                <w:rFonts w:ascii="Arial" w:cs="Arial" w:eastAsia="Arial" w:hAnsi="Arial"/>
                <w:sz w:val="12"/>
                <w:szCs w:val="12"/>
                <w:color w:val="auto"/>
              </w:rPr>
              <w:t>101.CAL</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2"/>
                <w:szCs w:val="12"/>
                <w:color w:val="auto"/>
              </w:rPr>
              <w:t>Inline XBRL Taxonomy Extension Calculation Linkbase Document</w:t>
            </w:r>
          </w:p>
        </w:tc>
      </w:tr>
      <w:tr>
        <w:trPr>
          <w:trHeight w:val="324"/>
        </w:trPr>
        <w:tc>
          <w:tcPr>
            <w:tcW w:w="1000" w:type="dxa"/>
            <w:vAlign w:val="bottom"/>
            <w:gridSpan w:val="3"/>
          </w:tcPr>
          <w:p>
            <w:pPr>
              <w:jc w:val="right"/>
              <w:spacing w:after="0"/>
              <w:rPr>
                <w:sz w:val="20"/>
                <w:szCs w:val="20"/>
                <w:color w:val="auto"/>
              </w:rPr>
            </w:pPr>
            <w:r>
              <w:rPr>
                <w:rFonts w:ascii="Arial" w:cs="Arial" w:eastAsia="Arial" w:hAnsi="Arial"/>
                <w:sz w:val="12"/>
                <w:szCs w:val="12"/>
                <w:color w:val="auto"/>
              </w:rPr>
              <w:t>101.LAB</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2"/>
                <w:szCs w:val="12"/>
                <w:color w:val="auto"/>
              </w:rPr>
              <w:t>Inline XBRL Taxonomy Extension Label Linkbase Document</w:t>
            </w:r>
          </w:p>
        </w:tc>
      </w:tr>
      <w:tr>
        <w:trPr>
          <w:trHeight w:val="324"/>
        </w:trPr>
        <w:tc>
          <w:tcPr>
            <w:tcW w:w="1000" w:type="dxa"/>
            <w:vAlign w:val="bottom"/>
            <w:gridSpan w:val="3"/>
          </w:tcPr>
          <w:p>
            <w:pPr>
              <w:jc w:val="right"/>
              <w:spacing w:after="0"/>
              <w:rPr>
                <w:sz w:val="20"/>
                <w:szCs w:val="20"/>
                <w:color w:val="auto"/>
              </w:rPr>
            </w:pPr>
            <w:r>
              <w:rPr>
                <w:rFonts w:ascii="Arial" w:cs="Arial" w:eastAsia="Arial" w:hAnsi="Arial"/>
                <w:sz w:val="12"/>
                <w:szCs w:val="12"/>
                <w:color w:val="auto"/>
              </w:rPr>
              <w:t>101.PRE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2"/>
                <w:szCs w:val="12"/>
                <w:color w:val="auto"/>
              </w:rPr>
              <w:t>Inline XBRL Taxonomy Extension Presentation Linkbase Document</w:t>
            </w:r>
          </w:p>
        </w:tc>
      </w:tr>
      <w:tr>
        <w:trPr>
          <w:trHeight w:val="324"/>
        </w:trPr>
        <w:tc>
          <w:tcPr>
            <w:tcW w:w="1000" w:type="dxa"/>
            <w:vAlign w:val="bottom"/>
            <w:gridSpan w:val="3"/>
          </w:tcPr>
          <w:p>
            <w:pPr>
              <w:jc w:val="right"/>
              <w:spacing w:after="0"/>
              <w:rPr>
                <w:sz w:val="20"/>
                <w:szCs w:val="20"/>
                <w:color w:val="auto"/>
              </w:rPr>
            </w:pPr>
            <w:r>
              <w:rPr>
                <w:rFonts w:ascii="Arial" w:cs="Arial" w:eastAsia="Arial" w:hAnsi="Arial"/>
                <w:sz w:val="12"/>
                <w:szCs w:val="12"/>
                <w:color w:val="auto"/>
              </w:rPr>
              <w:t>101.DEF</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2"/>
                <w:szCs w:val="12"/>
                <w:color w:val="auto"/>
              </w:rPr>
              <w:t>Inline XBRL Taxonomy Extension Definition Linkbase Document</w:t>
            </w:r>
          </w:p>
        </w:tc>
      </w:tr>
    </w:tbl>
    <w:p>
      <w:pPr>
        <w:spacing w:after="0" w:line="171" w:lineRule="exact"/>
        <w:rPr>
          <w:sz w:val="20"/>
          <w:szCs w:val="20"/>
          <w:color w:val="auto"/>
        </w:rPr>
      </w:pPr>
    </w:p>
    <w:p>
      <w:pPr>
        <w:ind w:left="8" w:right="3200" w:firstLine="817"/>
        <w:spacing w:after="0" w:line="469" w:lineRule="auto"/>
        <w:tabs>
          <w:tab w:leader="none" w:pos="1415" w:val="left"/>
        </w:tabs>
        <w:numPr>
          <w:ilvl w:val="1"/>
          <w:numId w:val="47"/>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with applicable taxonomy extension information contained in Exhibits 101.*). * Represents a management contract, or compensatory plan, contract or arrangement required to be filed pursuant to Regulation S-K.</w:t>
      </w:r>
    </w:p>
    <w:p>
      <w:pPr>
        <w:ind w:left="148" w:hanging="148"/>
        <w:spacing w:after="0"/>
        <w:tabs>
          <w:tab w:leader="none" w:pos="1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37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64" w:right="31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36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 on February 25,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00" w:type="dxa"/>
            <w:vAlign w:val="bottom"/>
            <w:gridSpan w:val="2"/>
          </w:tcPr>
          <w:p>
            <w:pPr>
              <w:ind w:left="5440"/>
              <w:spacing w:after="0"/>
              <w:rPr>
                <w:sz w:val="20"/>
                <w:szCs w:val="20"/>
                <w:color w:val="auto"/>
              </w:rPr>
            </w:pPr>
            <w:r>
              <w:rPr>
                <w:rFonts w:ascii="Arial" w:cs="Arial" w:eastAsia="Arial" w:hAnsi="Arial"/>
                <w:sz w:val="12"/>
                <w:szCs w:val="12"/>
                <w:b w:val="1"/>
                <w:bCs w:val="1"/>
                <w:color w:val="auto"/>
              </w:rPr>
              <w:t>THE MACERICH COMPANY</w:t>
            </w: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4"/>
        </w:trPr>
        <w:tc>
          <w:tcPr>
            <w:tcW w:w="6080" w:type="dxa"/>
            <w:vAlign w:val="bottom"/>
          </w:tcPr>
          <w:p>
            <w:pPr>
              <w:ind w:left="5440"/>
              <w:spacing w:after="0"/>
              <w:rPr>
                <w:sz w:val="20"/>
                <w:szCs w:val="20"/>
                <w:color w:val="auto"/>
              </w:rPr>
            </w:pPr>
            <w:r>
              <w:rPr>
                <w:rFonts w:ascii="Arial" w:cs="Arial" w:eastAsia="Arial" w:hAnsi="Arial"/>
                <w:sz w:val="12"/>
                <w:szCs w:val="12"/>
                <w:color w:val="auto"/>
              </w:rPr>
              <w:t>By</w:t>
            </w:r>
          </w:p>
        </w:tc>
        <w:tc>
          <w:tcPr>
            <w:tcW w:w="14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center"/>
              <w:ind w:right="1080"/>
              <w:spacing w:after="0"/>
              <w:rPr>
                <w:sz w:val="20"/>
                <w:szCs w:val="20"/>
                <w:color w:val="auto"/>
              </w:rPr>
            </w:pPr>
            <w:r>
              <w:rPr>
                <w:rFonts w:ascii="Arial" w:cs="Arial" w:eastAsia="Arial" w:hAnsi="Arial"/>
                <w:sz w:val="12"/>
                <w:szCs w:val="12"/>
                <w:color w:val="auto"/>
                <w:w w:val="94"/>
              </w:rPr>
              <w:t>/s/ THOMAS E. O'HERN</w:t>
            </w:r>
          </w:p>
        </w:tc>
        <w:tc>
          <w:tcPr>
            <w:tcW w:w="20" w:type="dxa"/>
            <w:vAlign w:val="bottom"/>
          </w:tcPr>
          <w:p>
            <w:pPr>
              <w:spacing w:after="0"/>
              <w:rPr>
                <w:sz w:val="24"/>
                <w:szCs w:val="24"/>
                <w:color w:val="auto"/>
              </w:rPr>
            </w:pPr>
          </w:p>
        </w:tc>
      </w:tr>
      <w:tr>
        <w:trPr>
          <w:trHeight w:val="142"/>
        </w:trPr>
        <w:tc>
          <w:tcPr>
            <w:tcW w:w="6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0" w:type="dxa"/>
            <w:vAlign w:val="bottom"/>
            <w:gridSpan w:val="2"/>
          </w:tcPr>
          <w:p>
            <w:pPr>
              <w:jc w:val="center"/>
              <w:ind w:right="1140"/>
              <w:spacing w:after="0"/>
              <w:rPr>
                <w:sz w:val="20"/>
                <w:szCs w:val="20"/>
                <w:color w:val="auto"/>
              </w:rPr>
            </w:pPr>
            <w:r>
              <w:rPr>
                <w:rFonts w:ascii="Arial" w:cs="Arial" w:eastAsia="Arial" w:hAnsi="Arial"/>
                <w:sz w:val="12"/>
                <w:szCs w:val="12"/>
                <w:color w:val="auto"/>
                <w:w w:val="90"/>
              </w:rPr>
              <w:t>Thomas E. O'Hern</w:t>
            </w:r>
          </w:p>
        </w:tc>
      </w:tr>
      <w:tr>
        <w:trPr>
          <w:trHeight w:val="153"/>
        </w:trPr>
        <w:tc>
          <w:tcPr>
            <w:tcW w:w="6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0" w:type="dxa"/>
            <w:vAlign w:val="bottom"/>
            <w:gridSpan w:val="2"/>
          </w:tcPr>
          <w:p>
            <w:pPr>
              <w:jc w:val="center"/>
              <w:ind w:right="1140"/>
              <w:spacing w:after="0"/>
              <w:rPr>
                <w:sz w:val="20"/>
                <w:szCs w:val="20"/>
                <w:color w:val="auto"/>
              </w:rPr>
            </w:pPr>
            <w:r>
              <w:rPr>
                <w:rFonts w:ascii="Arial" w:cs="Arial" w:eastAsia="Arial" w:hAnsi="Arial"/>
                <w:sz w:val="12"/>
                <w:szCs w:val="12"/>
                <w:i w:val="1"/>
                <w:iCs w:val="1"/>
                <w:color w:val="auto"/>
                <w:w w:val="93"/>
              </w:rPr>
              <w:t>Chief Executive Officer and Director</w:t>
            </w:r>
          </w:p>
        </w:tc>
      </w:tr>
      <w:tr>
        <w:trPr>
          <w:trHeight w:val="828"/>
        </w:trPr>
        <w:tc>
          <w:tcPr>
            <w:tcW w:w="6080" w:type="dxa"/>
            <w:vAlign w:val="bottom"/>
          </w:tcPr>
          <w:p>
            <w:pPr>
              <w:jc w:val="right"/>
              <w:ind w:right="280"/>
              <w:spacing w:after="0"/>
              <w:rPr>
                <w:sz w:val="20"/>
                <w:szCs w:val="20"/>
                <w:color w:val="auto"/>
              </w:rPr>
            </w:pPr>
            <w:r>
              <w:rPr>
                <w:rFonts w:ascii="Arial" w:cs="Arial" w:eastAsia="Arial" w:hAnsi="Arial"/>
                <w:sz w:val="12"/>
                <w:szCs w:val="12"/>
                <w:color w:val="auto"/>
              </w:rPr>
              <w:t>115</w:t>
            </w:r>
          </w:p>
        </w:tc>
        <w:tc>
          <w:tcPr>
            <w:tcW w:w="1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608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37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15" w:name="page116"/>
    <w:bookmarkEnd w:id="115"/>
    <w:p>
      <w:pPr>
        <w:ind w:left="280"/>
        <w:spacing w:after="0"/>
        <w:rPr>
          <w:sz w:val="20"/>
          <w:szCs w:val="20"/>
          <w:color w:val="auto"/>
        </w:rPr>
      </w:pPr>
      <w:r>
        <w:rPr>
          <w:rFonts w:ascii="Arial" w:cs="Arial" w:eastAsia="Arial" w:hAnsi="Arial"/>
          <w:sz w:val="10"/>
          <w:szCs w:val="10"/>
          <w:color w:val="auto"/>
        </w:rPr>
        <w:t>Pursuant to the requirements of the Securities Exchange Act of 1934, this report has been signed below by the following persons on behalf of the registrant and in the capacities and on the dates indicated.</w:t>
      </w:r>
    </w:p>
    <w:p>
      <w:pPr>
        <w:spacing w:after="0" w:line="140" w:lineRule="exact"/>
        <w:rPr>
          <w:sz w:val="20"/>
          <w:szCs w:val="20"/>
          <w:color w:val="auto"/>
        </w:rPr>
      </w:pPr>
    </w:p>
    <w:p>
      <w:pPr>
        <w:jc w:val="both"/>
        <w:ind w:left="1840"/>
        <w:spacing w:after="0"/>
        <w:tabs>
          <w:tab w:leader="none" w:pos="6340" w:val="left"/>
          <w:tab w:leader="none" w:pos="10000" w:val="left"/>
        </w:tabs>
        <w:rPr>
          <w:sz w:val="20"/>
          <w:szCs w:val="20"/>
          <w:color w:val="auto"/>
        </w:rPr>
      </w:pPr>
      <w:r>
        <w:rPr>
          <w:rFonts w:ascii="Arial" w:cs="Arial" w:eastAsia="Arial" w:hAnsi="Arial"/>
          <w:sz w:val="10"/>
          <w:szCs w:val="10"/>
          <w:b w:val="1"/>
          <w:bCs w:val="1"/>
          <w:u w:val="single" w:color="auto"/>
          <w:color w:val="auto"/>
        </w:rPr>
        <w:t>Signature</w:t>
      </w:r>
      <w:r>
        <w:rPr>
          <w:sz w:val="20"/>
          <w:szCs w:val="20"/>
          <w:color w:val="auto"/>
        </w:rPr>
        <w:tab/>
      </w:r>
      <w:r>
        <w:rPr>
          <w:rFonts w:ascii="Arial" w:cs="Arial" w:eastAsia="Arial" w:hAnsi="Arial"/>
          <w:sz w:val="10"/>
          <w:szCs w:val="10"/>
          <w:b w:val="1"/>
          <w:bCs w:val="1"/>
          <w:u w:val="single" w:color="auto"/>
          <w:color w:val="auto"/>
        </w:rPr>
        <w:t>Capacity</w:t>
      </w:r>
      <w:r>
        <w:rPr>
          <w:sz w:val="20"/>
          <w:szCs w:val="20"/>
          <w:color w:val="auto"/>
        </w:rPr>
        <w:tab/>
      </w:r>
      <w:r>
        <w:rPr>
          <w:rFonts w:ascii="Arial" w:cs="Arial" w:eastAsia="Arial" w:hAnsi="Arial"/>
          <w:sz w:val="8"/>
          <w:szCs w:val="8"/>
          <w:b w:val="1"/>
          <w:bCs w:val="1"/>
          <w:u w:val="single" w:color="auto"/>
          <w:color w:val="auto"/>
        </w:rPr>
        <w:t>Date</w:t>
      </w:r>
    </w:p>
    <w:p>
      <w:pPr>
        <w:sectPr>
          <w:pgSz w:w="11900" w:h="16838" w:orient="portrait"/>
          <w:cols w:equalWidth="0" w:num="1">
            <w:col w:w="10560"/>
          </w:cols>
          <w:pgMar w:left="300" w:top="743" w:right="1039" w:bottom="1440" w:gutter="0" w:footer="0" w:header="0"/>
        </w:sectPr>
      </w:pP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THOMAS E. O'HERN</w:t>
            </w:r>
          </w:p>
        </w:tc>
        <w:tc>
          <w:tcPr>
            <w:tcW w:w="1880" w:type="dxa"/>
            <w:vAlign w:val="bottom"/>
          </w:tcPr>
          <w:p>
            <w:pPr>
              <w:ind w:left="100"/>
              <w:spacing w:after="0"/>
              <w:rPr>
                <w:sz w:val="20"/>
                <w:szCs w:val="20"/>
                <w:color w:val="auto"/>
              </w:rPr>
            </w:pPr>
            <w:r>
              <w:rPr>
                <w:rFonts w:ascii="Arial" w:cs="Arial" w:eastAsia="Arial" w:hAnsi="Arial"/>
                <w:sz w:val="12"/>
                <w:szCs w:val="12"/>
                <w:color w:val="auto"/>
                <w:w w:val="92"/>
              </w:rPr>
              <w:t>Chief Executive Officer and Director</w:t>
            </w:r>
          </w:p>
        </w:tc>
      </w:tr>
      <w:tr>
        <w:trPr>
          <w:trHeight w:val="160"/>
        </w:trPr>
        <w:tc>
          <w:tcPr>
            <w:tcW w:w="4100" w:type="dxa"/>
            <w:vAlign w:val="bottom"/>
          </w:tcPr>
          <w:p>
            <w:pPr>
              <w:jc w:val="center"/>
              <w:spacing w:after="0"/>
              <w:rPr>
                <w:sz w:val="20"/>
                <w:szCs w:val="20"/>
                <w:color w:val="auto"/>
              </w:rPr>
            </w:pPr>
            <w:r>
              <w:rPr>
                <w:rFonts w:ascii="Arial" w:cs="Arial" w:eastAsia="Arial" w:hAnsi="Arial"/>
                <w:sz w:val="12"/>
                <w:szCs w:val="12"/>
                <w:color w:val="auto"/>
                <w:w w:val="90"/>
              </w:rPr>
              <w:t>Thomas E. O'Hern</w:t>
            </w:r>
          </w:p>
        </w:tc>
        <w:tc>
          <w:tcPr>
            <w:tcW w:w="1880" w:type="dxa"/>
            <w:vAlign w:val="bottom"/>
          </w:tcPr>
          <w:p>
            <w:pPr>
              <w:ind w:left="100"/>
              <w:spacing w:after="0"/>
              <w:rPr>
                <w:sz w:val="20"/>
                <w:szCs w:val="20"/>
                <w:color w:val="auto"/>
              </w:rPr>
            </w:pPr>
            <w:r>
              <w:rPr>
                <w:rFonts w:ascii="Arial" w:cs="Arial" w:eastAsia="Arial" w:hAnsi="Arial"/>
                <w:sz w:val="12"/>
                <w:szCs w:val="12"/>
                <w:color w:val="auto"/>
              </w:rPr>
              <w:t>(Principal Executive Officer)</w:t>
            </w:r>
          </w:p>
        </w:tc>
      </w:tr>
      <w:tr>
        <w:trPr>
          <w:trHeight w:val="28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EDWARD C. COPPOLA</w:t>
            </w:r>
          </w:p>
        </w:tc>
        <w:tc>
          <w:tcPr>
            <w:tcW w:w="1880" w:type="dxa"/>
            <w:vAlign w:val="bottom"/>
          </w:tcPr>
          <w:p>
            <w:pPr>
              <w:spacing w:after="0"/>
              <w:rPr>
                <w:sz w:val="24"/>
                <w:szCs w:val="24"/>
                <w:color w:val="auto"/>
              </w:rPr>
            </w:pPr>
          </w:p>
        </w:tc>
      </w:tr>
      <w:tr>
        <w:trPr>
          <w:trHeight w:val="160"/>
        </w:trPr>
        <w:tc>
          <w:tcPr>
            <w:tcW w:w="4100" w:type="dxa"/>
            <w:vAlign w:val="bottom"/>
          </w:tcPr>
          <w:p>
            <w:pPr>
              <w:jc w:val="center"/>
              <w:spacing w:after="0"/>
              <w:rPr>
                <w:sz w:val="20"/>
                <w:szCs w:val="20"/>
                <w:color w:val="auto"/>
              </w:rPr>
            </w:pPr>
            <w:r>
              <w:rPr>
                <w:rFonts w:ascii="Arial" w:cs="Arial" w:eastAsia="Arial" w:hAnsi="Arial"/>
                <w:sz w:val="12"/>
                <w:szCs w:val="12"/>
                <w:color w:val="auto"/>
                <w:w w:val="92"/>
              </w:rPr>
              <w:t>Edward C. Coppola</w:t>
            </w:r>
          </w:p>
        </w:tc>
        <w:tc>
          <w:tcPr>
            <w:tcW w:w="1880" w:type="dxa"/>
            <w:vAlign w:val="bottom"/>
          </w:tcPr>
          <w:p>
            <w:pPr>
              <w:ind w:left="100"/>
              <w:spacing w:after="0"/>
              <w:rPr>
                <w:sz w:val="20"/>
                <w:szCs w:val="20"/>
                <w:color w:val="auto"/>
              </w:rPr>
            </w:pPr>
            <w:r>
              <w:rPr>
                <w:rFonts w:ascii="Arial" w:cs="Arial" w:eastAsia="Arial" w:hAnsi="Arial"/>
                <w:sz w:val="12"/>
                <w:szCs w:val="12"/>
                <w:color w:val="auto"/>
              </w:rPr>
              <w:t>President and Director</w:t>
            </w:r>
          </w:p>
        </w:tc>
      </w:tr>
      <w:tr>
        <w:trPr>
          <w:trHeight w:val="28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PEGGY ALFORD</w:t>
            </w:r>
          </w:p>
        </w:tc>
        <w:tc>
          <w:tcPr>
            <w:tcW w:w="1880" w:type="dxa"/>
            <w:vAlign w:val="bottom"/>
          </w:tcPr>
          <w:p>
            <w:pPr>
              <w:spacing w:after="0"/>
              <w:rPr>
                <w:sz w:val="24"/>
                <w:szCs w:val="24"/>
                <w:color w:val="auto"/>
              </w:rPr>
            </w:pPr>
          </w:p>
        </w:tc>
      </w:tr>
      <w:tr>
        <w:trPr>
          <w:trHeight w:val="187"/>
        </w:trPr>
        <w:tc>
          <w:tcPr>
            <w:tcW w:w="4100" w:type="dxa"/>
            <w:vAlign w:val="bottom"/>
          </w:tcPr>
          <w:p>
            <w:pPr>
              <w:jc w:val="center"/>
              <w:spacing w:after="0"/>
              <w:rPr>
                <w:sz w:val="20"/>
                <w:szCs w:val="20"/>
                <w:color w:val="auto"/>
              </w:rPr>
            </w:pPr>
            <w:r>
              <w:rPr>
                <w:rFonts w:ascii="Arial" w:cs="Arial" w:eastAsia="Arial" w:hAnsi="Arial"/>
                <w:sz w:val="12"/>
                <w:szCs w:val="12"/>
                <w:color w:val="auto"/>
                <w:w w:val="93"/>
              </w:rPr>
              <w:t>Peggy Alford</w:t>
            </w:r>
          </w:p>
        </w:tc>
        <w:tc>
          <w:tcPr>
            <w:tcW w:w="1880" w:type="dxa"/>
            <w:vAlign w:val="bottom"/>
          </w:tcPr>
          <w:p>
            <w:pPr>
              <w:ind w:left="100"/>
              <w:spacing w:after="0"/>
              <w:rPr>
                <w:sz w:val="20"/>
                <w:szCs w:val="20"/>
                <w:color w:val="auto"/>
              </w:rPr>
            </w:pPr>
            <w:r>
              <w:rPr>
                <w:rFonts w:ascii="Arial" w:cs="Arial" w:eastAsia="Arial" w:hAnsi="Arial"/>
                <w:sz w:val="12"/>
                <w:szCs w:val="12"/>
                <w:color w:val="auto"/>
              </w:rPr>
              <w:t>Director</w:t>
            </w:r>
          </w:p>
        </w:tc>
      </w:tr>
      <w:tr>
        <w:trPr>
          <w:trHeight w:val="28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JOHN H. ALSCHULER</w:t>
            </w:r>
          </w:p>
        </w:tc>
        <w:tc>
          <w:tcPr>
            <w:tcW w:w="1880" w:type="dxa"/>
            <w:vAlign w:val="bottom"/>
          </w:tcPr>
          <w:p>
            <w:pPr>
              <w:spacing w:after="0"/>
              <w:rPr>
                <w:sz w:val="24"/>
                <w:szCs w:val="24"/>
                <w:color w:val="auto"/>
              </w:rPr>
            </w:pPr>
          </w:p>
        </w:tc>
      </w:tr>
      <w:tr>
        <w:trPr>
          <w:trHeight w:val="160"/>
        </w:trPr>
        <w:tc>
          <w:tcPr>
            <w:tcW w:w="4100" w:type="dxa"/>
            <w:vAlign w:val="bottom"/>
          </w:tcPr>
          <w:p>
            <w:pPr>
              <w:jc w:val="center"/>
              <w:spacing w:after="0"/>
              <w:rPr>
                <w:sz w:val="20"/>
                <w:szCs w:val="20"/>
                <w:color w:val="auto"/>
              </w:rPr>
            </w:pPr>
            <w:r>
              <w:rPr>
                <w:rFonts w:ascii="Arial" w:cs="Arial" w:eastAsia="Arial" w:hAnsi="Arial"/>
                <w:sz w:val="12"/>
                <w:szCs w:val="12"/>
                <w:color w:val="auto"/>
                <w:w w:val="93"/>
              </w:rPr>
              <w:t>John H. Alschuler</w:t>
            </w:r>
          </w:p>
        </w:tc>
        <w:tc>
          <w:tcPr>
            <w:tcW w:w="1880" w:type="dxa"/>
            <w:vAlign w:val="bottom"/>
          </w:tcPr>
          <w:p>
            <w:pPr>
              <w:ind w:left="100"/>
              <w:spacing w:after="0"/>
              <w:rPr>
                <w:sz w:val="20"/>
                <w:szCs w:val="20"/>
                <w:color w:val="auto"/>
              </w:rPr>
            </w:pPr>
            <w:r>
              <w:rPr>
                <w:rFonts w:ascii="Arial" w:cs="Arial" w:eastAsia="Arial" w:hAnsi="Arial"/>
                <w:sz w:val="12"/>
                <w:szCs w:val="12"/>
                <w:color w:val="auto"/>
              </w:rPr>
              <w:t>Director</w:t>
            </w:r>
          </w:p>
        </w:tc>
      </w:tr>
      <w:tr>
        <w:trPr>
          <w:trHeight w:val="28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ERIC K. BRANDT</w:t>
            </w: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62"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55" w:lineRule="exact"/>
        <w:rPr>
          <w:sz w:val="20"/>
          <w:szCs w:val="20"/>
          <w:color w:val="auto"/>
        </w:rPr>
      </w:pPr>
    </w:p>
    <w:p>
      <w:pPr>
        <w:sectPr>
          <w:pgSz w:w="11900" w:h="16838" w:orient="portrait"/>
          <w:cols w:equalWidth="0" w:num="2">
            <w:col w:w="8960" w:space="720"/>
            <w:col w:w="880"/>
          </w:cols>
          <w:pgMar w:left="300" w:top="743" w:right="1039" w:bottom="1440" w:gutter="0" w:footer="0" w:header="0"/>
          <w:type w:val="continuous"/>
        </w:sectPr>
      </w:pPr>
    </w:p>
    <w:p>
      <w:pPr>
        <w:jc w:val="center"/>
        <w:ind w:left="620"/>
        <w:spacing w:after="0"/>
        <w:rPr>
          <w:sz w:val="20"/>
          <w:szCs w:val="20"/>
          <w:color w:val="auto"/>
        </w:rPr>
      </w:pPr>
      <w:r>
        <w:rPr>
          <w:rFonts w:ascii="Arial" w:cs="Arial" w:eastAsia="Arial" w:hAnsi="Arial"/>
          <w:sz w:val="12"/>
          <w:szCs w:val="12"/>
          <w:color w:val="auto"/>
        </w:rPr>
        <w:t>Eric K. Brandt</w:t>
      </w:r>
    </w:p>
    <w:p>
      <w:pPr>
        <w:spacing w:after="0" w:line="150"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STEVEN R. 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606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2">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Steven R. Hash</w:t>
      </w:r>
    </w:p>
    <w:p>
      <w:pPr>
        <w:spacing w:after="0" w:line="150"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DANIEL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606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3">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Daniel J. Hirsch</w:t>
      </w:r>
    </w:p>
    <w:p>
      <w:pPr>
        <w:spacing w:after="0" w:line="150"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DIANA M. LAING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606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4">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Diana M. Laing</w:t>
      </w:r>
    </w:p>
    <w:p>
      <w:pPr>
        <w:spacing w:after="0" w:line="150"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STEVEN L. SOBOROFF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606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5">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Steven L. Soboroff</w:t>
      </w:r>
    </w:p>
    <w:p>
      <w:pPr>
        <w:spacing w:after="0" w:line="150"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ANDREA M.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606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6">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Andrea M. Stephen</w:t>
      </w:r>
    </w:p>
    <w:p>
      <w:pPr>
        <w:spacing w:after="0" w:line="150"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606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7">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Scott W. Kingsmore</w:t>
      </w:r>
    </w:p>
    <w:p>
      <w:pPr>
        <w:spacing w:after="0" w:line="150" w:lineRule="exact"/>
        <w:rPr>
          <w:sz w:val="20"/>
          <w:szCs w:val="20"/>
          <w:color w:val="auto"/>
        </w:rPr>
      </w:pPr>
    </w:p>
    <w:p>
      <w:pPr>
        <w:jc w:val="center"/>
        <w:ind w:left="620"/>
        <w:spacing w:after="0"/>
        <w:rPr>
          <w:sz w:val="20"/>
          <w:szCs w:val="20"/>
          <w:color w:val="auto"/>
        </w:rPr>
      </w:pPr>
      <w:r>
        <w:rPr>
          <w:rFonts w:ascii="Arial" w:cs="Arial" w:eastAsia="Arial" w:hAnsi="Arial"/>
          <w:sz w:val="11"/>
          <w:szCs w:val="11"/>
          <w:color w:val="auto"/>
        </w:rPr>
        <w:t>/s/ CHRISTOPHER J. ZECCHINI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606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8">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3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Christopher J. Zecchini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Director</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Chairman of Board of Directors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75" w:lineRule="exact"/>
        <w:rPr>
          <w:sz w:val="20"/>
          <w:szCs w:val="20"/>
          <w:color w:val="auto"/>
        </w:rPr>
      </w:pPr>
    </w:p>
    <w:p>
      <w:pPr>
        <w:ind w:right="360"/>
        <w:spacing w:after="0" w:line="234" w:lineRule="auto"/>
        <w:rPr>
          <w:sz w:val="20"/>
          <w:szCs w:val="20"/>
          <w:color w:val="auto"/>
        </w:rPr>
      </w:pPr>
      <w:r>
        <w:rPr>
          <w:rFonts w:ascii="Arial" w:cs="Arial" w:eastAsia="Arial" w:hAnsi="Arial"/>
          <w:sz w:val="12"/>
          <w:szCs w:val="12"/>
          <w:color w:val="auto"/>
        </w:rPr>
        <w:t>Senior Executive Vice President, Treasurer and Chief Financial Officer (Principal Financial Officer)</w:t>
      </w:r>
    </w:p>
    <w:p>
      <w:pPr>
        <w:spacing w:after="0" w:line="316" w:lineRule="exact"/>
        <w:rPr>
          <w:sz w:val="20"/>
          <w:szCs w:val="20"/>
          <w:color w:val="auto"/>
        </w:rPr>
      </w:pPr>
    </w:p>
    <w:p>
      <w:pPr>
        <w:jc w:val="center"/>
        <w:ind w:right="760"/>
        <w:spacing w:after="0"/>
        <w:rPr>
          <w:sz w:val="20"/>
          <w:szCs w:val="20"/>
          <w:color w:val="auto"/>
        </w:rPr>
      </w:pPr>
      <w:r>
        <w:rPr>
          <w:rFonts w:ascii="Arial" w:cs="Arial" w:eastAsia="Arial" w:hAnsi="Arial"/>
          <w:sz w:val="11"/>
          <w:szCs w:val="11"/>
          <w:color w:val="auto"/>
        </w:rPr>
        <w:t>Senior Vice President and Chief Accounting Officer (Principal Accounting Officer)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February 25, 2022</w:t>
      </w:r>
    </w:p>
    <w:p>
      <w:pPr>
        <w:spacing w:after="0" w:line="384" w:lineRule="exact"/>
        <w:rPr>
          <w:sz w:val="20"/>
          <w:szCs w:val="20"/>
          <w:color w:val="auto"/>
        </w:rPr>
      </w:pPr>
    </w:p>
    <w:p>
      <w:pPr>
        <w:sectPr>
          <w:pgSz w:w="11900" w:h="16838" w:orient="portrait"/>
          <w:cols w:equalWidth="0" w:num="3">
            <w:col w:w="3480" w:space="720"/>
            <w:col w:w="4760" w:space="720"/>
            <w:col w:w="880"/>
          </w:cols>
          <w:pgMar w:left="300" w:top="743" w:right="1039" w:bottom="1440" w:gutter="0" w:footer="0" w:header="0"/>
          <w:type w:val="continuous"/>
        </w:sectPr>
      </w:pP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0"/>
          <w:szCs w:val="10"/>
          <w:color w:val="auto"/>
        </w:rPr>
        <w:t>116</w:t>
      </w:r>
    </w:p>
    <w:p>
      <w:pPr>
        <w:sectPr>
          <w:pgSz w:w="11900" w:h="16838" w:orient="portrait"/>
          <w:cols w:equalWidth="0" w:num="1">
            <w:col w:w="10560"/>
          </w:cols>
          <w:pgMar w:left="300" w:top="743" w:right="10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2"/>
          <w:szCs w:val="1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Description of the Registrant’s Securities Registered Pursuant to</w:t>
      </w:r>
    </w:p>
    <w:p>
      <w:pPr>
        <w:jc w:val="center"/>
        <w:spacing w:after="0"/>
        <w:rPr>
          <w:sz w:val="20"/>
          <w:szCs w:val="20"/>
          <w:color w:val="auto"/>
        </w:rPr>
      </w:pPr>
      <w:r>
        <w:rPr>
          <w:rFonts w:ascii="Arial" w:cs="Arial" w:eastAsia="Arial" w:hAnsi="Arial"/>
          <w:sz w:val="12"/>
          <w:szCs w:val="12"/>
          <w:b w:val="1"/>
          <w:bCs w:val="1"/>
          <w:u w:val="single" w:color="auto"/>
          <w:color w:val="auto"/>
        </w:rPr>
        <w:t>Section 12 of the Securities Exchange Act of 1934, as amended</w:t>
      </w:r>
    </w:p>
    <w:p>
      <w:pPr>
        <w:spacing w:after="0" w:line="293" w:lineRule="exact"/>
        <w:rPr>
          <w:sz w:val="20"/>
          <w:szCs w:val="20"/>
          <w:color w:val="auto"/>
        </w:rPr>
      </w:pPr>
    </w:p>
    <w:p>
      <w:pPr>
        <w:jc w:val="both"/>
        <w:spacing w:after="0" w:line="215" w:lineRule="auto"/>
        <w:rPr>
          <w:sz w:val="20"/>
          <w:szCs w:val="20"/>
          <w:color w:val="auto"/>
        </w:rPr>
      </w:pPr>
      <w:r>
        <w:rPr>
          <w:rFonts w:ascii="Arial" w:cs="Arial" w:eastAsia="Arial" w:hAnsi="Arial"/>
          <w:sz w:val="12"/>
          <w:szCs w:val="12"/>
          <w:color w:val="auto"/>
        </w:rPr>
        <w:t>The common stock, par value $0.01 per share (“Common Stock”), of The Macerich Company (“Macerich,” “we,” or “our”) is registered under Section 12 of the Securities Exchange Act of 1934, as amended (the “Exchange Act”). The following description sets forth certain general terms and provisions of our Common Stock. These descriptions are in all respects subject to and qualified in their entirety by, and should be read in conjunction with, the applicable provisions of our Articles of Amendment and Restatement, as further amended and supplemented (our “Articles”), and our Amended and Restated Bylaws (our “Bylaws”), each of which is incorporated herein by reference and copies of which are incorporated by reference as exhibits to our most recent Annual Report on Form 10-K filed with the Securities and Exchange Commission, and the applicable provisions of the Maryland General Corporation Law (the “MGCL”).</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Capitalization</w:t>
      </w:r>
    </w:p>
    <w:p>
      <w:pPr>
        <w:spacing w:after="0" w:line="109"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Our Articles authorize us to issue up to 575,000,000 shares of capital stock, consisting of 500,000,000 shares of Common Stock, 15,000,000 shares of preferred stock, par value $0.01 per share (“Preferred Stock”), and 60,000,000 shares of excess stock, par value $0.01 per share (“Excess Stock”).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Subject to the provisions of our Articles regarding Excess Stock, the holders of our Common Stock have full voting rights, one vote for each share held of record.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Subject to the provisions of our Articles regarding Excess Stock and the rights of any holders of Preferred Stock, holders of our Common Stock are entitled to receive the dividends authorized by our board of directors and declared by us out of funds legally available for this purpose.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Distributions on Liquidation</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Rights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Holders of our Common Stock have no preemptive or other subscription or conversion rights. Our Common Stock is not subject to assessment or any sinking fund.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Exchange Listing</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Our shares of Common Stock are listed on the New York Stock Exchange under the symbol “MAC”.</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Transfer Agent and Registrar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Computershare Trust Company, N.A.</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Relationship to Preferred Stock</w:t>
      </w:r>
    </w:p>
    <w:p>
      <w:pPr>
        <w:spacing w:after="0" w:line="123" w:lineRule="exact"/>
        <w:rPr>
          <w:sz w:val="20"/>
          <w:szCs w:val="20"/>
          <w:color w:val="auto"/>
        </w:rPr>
      </w:pPr>
    </w:p>
    <w:p>
      <w:pPr>
        <w:jc w:val="both"/>
        <w:spacing w:after="0" w:line="219" w:lineRule="auto"/>
        <w:rPr>
          <w:sz w:val="20"/>
          <w:szCs w:val="20"/>
          <w:color w:val="auto"/>
        </w:rPr>
      </w:pPr>
      <w:r>
        <w:rPr>
          <w:rFonts w:ascii="Arial" w:cs="Arial" w:eastAsia="Arial" w:hAnsi="Arial"/>
          <w:sz w:val="12"/>
          <w:szCs w:val="12"/>
          <w:color w:val="auto"/>
        </w:rPr>
        <w:t>Under our Articles,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ACTIVE/115011216.3</w:t>
      </w:r>
    </w:p>
    <w:p>
      <w:pPr>
        <w:sectPr>
          <w:pgSz w:w="11900" w:h="16838" w:orient="portrait"/>
          <w:cols w:equalWidth="0" w:num="1">
            <w:col w:w="11300"/>
          </w:cols>
          <w:pgMar w:left="300" w:top="120" w:right="299" w:bottom="1440" w:gutter="0" w:footer="0" w:header="0"/>
        </w:sectPr>
      </w:pPr>
    </w:p>
    <w:bookmarkStart w:id="117" w:name="page118"/>
    <w:bookmarkEnd w:id="117"/>
    <w:p>
      <w:pPr>
        <w:spacing w:after="0"/>
        <w:rPr>
          <w:sz w:val="20"/>
          <w:szCs w:val="20"/>
          <w:color w:val="auto"/>
        </w:rPr>
      </w:pPr>
      <w:r>
        <w:rPr>
          <w:rFonts w:ascii="Arial" w:cs="Arial" w:eastAsia="Arial" w:hAnsi="Arial"/>
          <w:sz w:val="11"/>
          <w:szCs w:val="11"/>
          <w:color w:val="auto"/>
        </w:rPr>
        <w:t>some, or a majority, of shares of our Common Stock might receive a premium for their shares over the then prevailing market price of those shares or which such holders might believe to be otherwise in their best interests.</w:t>
      </w:r>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We currently have 1,961,345 shares of Series D Cumulative Convertible Preferred Stock (the “Series D Preferred Stock”) authorized under our Articles, none of which are outstanding. If issued, shares of the Series D Preferred Stock could be converted into shares of our Common Stock based on a formula set forth in the applicable Articles Supplementary. Rights of holders of the Series D Preferred Stock include dividend and liquidation preferences over the holders of shares of our Common Stock and, in some circumstances, voting rights preferences over the holders of shares of our Common Stock.</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See “Selected Provisions of Maryland Law and of Our Articles and Bylaws—Power to Reclassify Shares of Our Stock” for more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Restrictions on Transfer and Ownership</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For us to qualify as a real estate investment trust (“REIT”) under the Internal Revenue Code of 1986, as amended (the “Code”), both of the following conditions relating to ownership of shares must be satisfied:</w:t>
      </w:r>
    </w:p>
    <w:p>
      <w:pPr>
        <w:spacing w:after="0" w:line="105" w:lineRule="exact"/>
        <w:rPr>
          <w:sz w:val="20"/>
          <w:szCs w:val="20"/>
          <w:color w:val="auto"/>
        </w:rPr>
      </w:pPr>
    </w:p>
    <w:p>
      <w:pPr>
        <w:ind w:left="420" w:right="20" w:hanging="212"/>
        <w:spacing w:after="0" w:line="234" w:lineRule="auto"/>
        <w:tabs>
          <w:tab w:leader="none" w:pos="417" w:val="left"/>
        </w:tabs>
        <w:numPr>
          <w:ilvl w:val="0"/>
          <w:numId w:val="49"/>
        </w:numPr>
        <w:rPr>
          <w:rFonts w:ascii="Arial" w:cs="Arial" w:eastAsia="Arial" w:hAnsi="Arial"/>
          <w:sz w:val="12"/>
          <w:szCs w:val="12"/>
          <w:color w:val="auto"/>
        </w:rPr>
      </w:pPr>
      <w:r>
        <w:rPr>
          <w:rFonts w:ascii="Arial" w:cs="Arial" w:eastAsia="Arial" w:hAnsi="Arial"/>
          <w:sz w:val="12"/>
          <w:szCs w:val="12"/>
          <w:color w:val="auto"/>
        </w:rPr>
        <w:t>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w:t>
      </w:r>
    </w:p>
    <w:p>
      <w:pPr>
        <w:spacing w:after="0" w:line="126" w:lineRule="exact"/>
        <w:rPr>
          <w:rFonts w:ascii="Arial" w:cs="Arial" w:eastAsia="Arial" w:hAnsi="Arial"/>
          <w:sz w:val="12"/>
          <w:szCs w:val="12"/>
          <w:color w:val="auto"/>
        </w:rPr>
      </w:pPr>
    </w:p>
    <w:p>
      <w:pPr>
        <w:ind w:left="420" w:hanging="212"/>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shares of our capital stock must be beneficially owned by 100 or more persons during at least 335 days of a taxable year of 12 months or during a proportionate part of a shorter taxable year.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Our Articles Restrict the Ownership and Transfer of Shares of Our Capital Stock</w:t>
      </w:r>
    </w:p>
    <w:p>
      <w:pPr>
        <w:spacing w:after="0" w:line="96" w:lineRule="exact"/>
        <w:rPr>
          <w:sz w:val="20"/>
          <w:szCs w:val="20"/>
          <w:color w:val="auto"/>
        </w:rPr>
      </w:pPr>
    </w:p>
    <w:p>
      <w:pPr>
        <w:jc w:val="both"/>
        <w:spacing w:after="0" w:line="231" w:lineRule="auto"/>
        <w:rPr>
          <w:sz w:val="20"/>
          <w:szCs w:val="20"/>
          <w:color w:val="auto"/>
        </w:rPr>
      </w:pPr>
      <w:r>
        <w:rPr>
          <w:rFonts w:ascii="Arial" w:cs="Arial" w:eastAsia="Arial" w:hAnsi="Arial"/>
          <w:sz w:val="11"/>
          <w:szCs w:val="11"/>
          <w:color w:val="auto"/>
        </w:rPr>
        <w:t>Subject to exceptions specified in our Articles, no stockholder may own, or be deemed to own by virtue of the attribution provisions of the Code, in excess of the lesser of 5% in value or in number of shares of our 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Articles exclude from the ownership limit some persons and their respective families and affiliates, but provides that no excluded participant may own (directly or indirectly) more than the excluded participant’s percentage limitation, as described below under “—Issuance of Excess Stock.”</w:t>
      </w:r>
    </w:p>
    <w:p>
      <w:pPr>
        <w:spacing w:after="0" w:line="93"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Our Articles provide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For more information, see the section entitled “—Issuance of Excess Stock.”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Issuance of Excess Stock</w:t>
      </w:r>
    </w:p>
    <w:p>
      <w:pPr>
        <w:spacing w:after="0" w:line="96" w:lineRule="exact"/>
        <w:rPr>
          <w:sz w:val="20"/>
          <w:szCs w:val="20"/>
          <w:color w:val="auto"/>
        </w:rPr>
      </w:pPr>
    </w:p>
    <w:p>
      <w:pPr>
        <w:jc w:val="both"/>
        <w:ind w:right="20"/>
        <w:spacing w:after="0" w:line="234" w:lineRule="auto"/>
        <w:rPr>
          <w:sz w:val="20"/>
          <w:szCs w:val="20"/>
          <w:color w:val="auto"/>
        </w:rPr>
      </w:pPr>
      <w:r>
        <w:rPr>
          <w:rFonts w:ascii="Arial" w:cs="Arial" w:eastAsia="Arial" w:hAnsi="Arial"/>
          <w:sz w:val="12"/>
          <w:szCs w:val="12"/>
          <w:color w:val="auto"/>
        </w:rPr>
        <w:t>Our Articles provide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w:t>
      </w:r>
    </w:p>
    <w:p>
      <w:pPr>
        <w:spacing w:after="0" w:line="91" w:lineRule="exact"/>
        <w:rPr>
          <w:sz w:val="20"/>
          <w:szCs w:val="20"/>
          <w:color w:val="auto"/>
        </w:rPr>
      </w:pPr>
    </w:p>
    <w:p>
      <w:pPr>
        <w:ind w:left="420" w:hanging="212"/>
        <w:spacing w:after="0" w:line="212" w:lineRule="auto"/>
        <w:tabs>
          <w:tab w:leader="none" w:pos="417" w:val="left"/>
        </w:tabs>
        <w:numPr>
          <w:ilvl w:val="0"/>
          <w:numId w:val="50"/>
        </w:numPr>
        <w:rPr>
          <w:rFonts w:ascii="Arial" w:cs="Arial" w:eastAsia="Arial" w:hAnsi="Arial"/>
          <w:sz w:val="12"/>
          <w:szCs w:val="12"/>
          <w:color w:val="auto"/>
        </w:rPr>
      </w:pPr>
      <w:r>
        <w:rPr>
          <w:rFonts w:ascii="Arial" w:cs="Arial" w:eastAsia="Arial" w:hAnsi="Arial"/>
          <w:sz w:val="12"/>
          <w:szCs w:val="12"/>
          <w:color w:val="auto"/>
        </w:rPr>
        <w:t>a person owning (directly or indirectly) shares of our stock in excess of the ownership limit as determined in accordance with our Articles or owning (directly or indirectly) more than a specified percentage of our Common Stock as determined in accordance with our Articles (that person’s “percentage limitation”);</w:t>
      </w: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shares of our Common Stock and Preferred Stock being owned by fewer than 100 persons (determined without reference to any rules of attribution);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ACTIVE/115011216.3</w:t>
      </w:r>
    </w:p>
    <w:p>
      <w:pPr>
        <w:sectPr>
          <w:pgSz w:w="11900" w:h="16838" w:orient="portrait"/>
          <w:cols w:equalWidth="0" w:num="1">
            <w:col w:w="11300"/>
          </w:cols>
          <w:pgMar w:left="300" w:top="1130" w:right="299" w:bottom="1440" w:gutter="0" w:footer="0" w:header="0"/>
        </w:sectPr>
      </w:pPr>
    </w:p>
    <w:bookmarkStart w:id="118" w:name="page119"/>
    <w:bookmarkEnd w:id="118"/>
    <w:p>
      <w:pPr>
        <w:ind w:left="420" w:right="20" w:hanging="212"/>
        <w:spacing w:after="0" w:line="234" w:lineRule="auto"/>
        <w:tabs>
          <w:tab w:leader="none" w:pos="417" w:val="left"/>
        </w:tabs>
        <w:numPr>
          <w:ilvl w:val="0"/>
          <w:numId w:val="51"/>
        </w:numPr>
        <w:rPr>
          <w:rFonts w:ascii="Arial" w:cs="Arial" w:eastAsia="Arial" w:hAnsi="Arial"/>
          <w:sz w:val="12"/>
          <w:szCs w:val="12"/>
          <w:color w:val="auto"/>
        </w:rPr>
      </w:pPr>
      <w:r>
        <w:rPr>
          <w:rFonts w:ascii="Arial" w:cs="Arial" w:eastAsia="Arial" w:hAnsi="Arial"/>
          <w:sz w:val="12"/>
          <w:szCs w:val="12"/>
          <w:color w:val="auto"/>
        </w:rPr>
        <w:t>our becoming “closely held” under Section 856(h) of the Code (determined without regard to Code Section 856(h)(2) and by deleting the words “the last half of” in the first sentence of Code Section 542(a)(2) in applying Code Section 856(h)); or</w:t>
      </w:r>
    </w:p>
    <w:p>
      <w:pPr>
        <w:spacing w:after="0" w:line="126" w:lineRule="exact"/>
        <w:rPr>
          <w:rFonts w:ascii="Arial" w:cs="Arial" w:eastAsia="Arial" w:hAnsi="Arial"/>
          <w:sz w:val="12"/>
          <w:szCs w:val="12"/>
          <w:color w:val="auto"/>
        </w:rPr>
      </w:pPr>
    </w:p>
    <w:p>
      <w:pPr>
        <w:ind w:left="420" w:hanging="212"/>
        <w:spacing w:after="0"/>
        <w:tabs>
          <w:tab w:leader="none" w:pos="4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our disqualification as a REIT.</w:t>
      </w:r>
    </w:p>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Outstanding shares of Excess Stock will be held in trust. The trustee of the trust will be appointed by us and will be independent of us, any purported record or beneficial transferee and any beneficiary of such trust (the “beneficiary”).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The beneficiary will be one or more charitable organizations selected by the trustee.</w:t>
      </w:r>
    </w:p>
    <w:p>
      <w:pPr>
        <w:spacing w:after="0" w:line="95" w:lineRule="exact"/>
        <w:rPr>
          <w:sz w:val="20"/>
          <w:szCs w:val="20"/>
          <w:color w:val="auto"/>
        </w:rPr>
      </w:pPr>
    </w:p>
    <w:p>
      <w:pPr>
        <w:jc w:val="both"/>
        <w:spacing w:after="0" w:line="233" w:lineRule="auto"/>
        <w:rPr>
          <w:sz w:val="20"/>
          <w:szCs w:val="20"/>
          <w:color w:val="auto"/>
        </w:rPr>
      </w:pPr>
      <w:r>
        <w:rPr>
          <w:rFonts w:ascii="Arial" w:cs="Arial" w:eastAsia="Arial" w:hAnsi="Arial"/>
          <w:sz w:val="11"/>
          <w:szCs w:val="11"/>
          <w:color w:val="auto"/>
        </w:rPr>
        <w:t>Our Articles further provide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Articles.</w:t>
      </w:r>
    </w:p>
    <w:p>
      <w:pPr>
        <w:spacing w:after="0" w:line="82" w:lineRule="exact"/>
        <w:rPr>
          <w:sz w:val="20"/>
          <w:szCs w:val="20"/>
          <w:color w:val="auto"/>
        </w:rPr>
      </w:pPr>
    </w:p>
    <w:p>
      <w:pPr>
        <w:jc w:val="both"/>
        <w:spacing w:after="0" w:line="215" w:lineRule="auto"/>
        <w:rPr>
          <w:sz w:val="20"/>
          <w:szCs w:val="20"/>
          <w:color w:val="auto"/>
        </w:rPr>
      </w:pPr>
      <w:r>
        <w:rPr>
          <w:rFonts w:ascii="Arial" w:cs="Arial" w:eastAsia="Arial" w:hAnsi="Arial"/>
          <w:sz w:val="12"/>
          <w:szCs w:val="12"/>
          <w:color w:val="auto"/>
        </w:rPr>
        <w:t>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Articles contain provisions that prohibit the purported transferee of shares of Excess Stock from receiving in return for the transfer an amount that reflects any appreciation in the original shares during the period that the shares of Excess Stock were outstanding. Our Articles require any amount received by a purported transferee, in excess of the amount permitted to be received, to be paid to the beneficiary.</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Our Articles further provide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date of the prohibited transfer if the purported transferee gives notice to us of the transfer or, if no notice is given, the date our board of directors determines in good faith that a prohibited transfer has occurred.</w:t>
      </w:r>
    </w:p>
    <w:p>
      <w:pPr>
        <w:spacing w:after="0" w:line="70"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These provisions contained in our Articles will not be automatically removed even if the REIT provisions of the Code are changed so as to no longer contain any ownership concentration limitation or if the ownership concentration limitation is increased. Amendments to our Articles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Any certificates representing shares of our Common Stock and our Preferred Stock bear, or will bear, a legend referring to the restrictions described above.</w:t>
      </w:r>
    </w:p>
    <w:p>
      <w:pPr>
        <w:spacing w:after="0" w:line="96" w:lineRule="exact"/>
        <w:rPr>
          <w:sz w:val="20"/>
          <w:szCs w:val="20"/>
          <w:color w:val="auto"/>
        </w:rPr>
      </w:pPr>
    </w:p>
    <w:p>
      <w:pPr>
        <w:jc w:val="both"/>
        <w:ind w:right="20"/>
        <w:spacing w:after="0" w:line="224" w:lineRule="auto"/>
        <w:rPr>
          <w:sz w:val="20"/>
          <w:szCs w:val="20"/>
          <w:color w:val="auto"/>
        </w:rPr>
      </w:pPr>
      <w:r>
        <w:rPr>
          <w:rFonts w:ascii="Arial" w:cs="Arial" w:eastAsia="Arial" w:hAnsi="Arial"/>
          <w:sz w:val="12"/>
          <w:szCs w:val="12"/>
          <w:color w:val="auto"/>
        </w:rPr>
        <w:t>All persons who own, directly or by virtue of the attribution provisions of the Code, more than 5% of our outstanding stock must file an affidavit with us containing the information specified in our Articles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Selected Provisions of Maryland Law and of Our Articles and Bylaws</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In addition to the ownership limit, certain provisions of our Articles, Bylaws and the MGCL may delay, defer or prevent a change of control or other transaction in which holders of some, or a majority, of shares of our Common Stock might receive a premium for their shares over the then prevailing market price of those shares or which such</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ACTIVE/115011216.3</w:t>
      </w:r>
    </w:p>
    <w:p>
      <w:pPr>
        <w:sectPr>
          <w:pgSz w:w="11900" w:h="16838" w:orient="portrait"/>
          <w:cols w:equalWidth="0" w:num="1">
            <w:col w:w="11300"/>
          </w:cols>
          <w:pgMar w:left="300" w:top="986" w:right="29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color w:val="auto"/>
        </w:rPr>
        <w:t>holders might believe to be otherwise in their best interests. The following paragraphs summarize a number of these provisions, as well as selected provisions of the MGCL.</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Power to Reclassify Shares of Our Stock</w:t>
      </w:r>
    </w:p>
    <w:p>
      <w:pPr>
        <w:spacing w:after="0" w:line="105" w:lineRule="exact"/>
        <w:rPr>
          <w:sz w:val="20"/>
          <w:szCs w:val="20"/>
          <w:color w:val="auto"/>
        </w:rPr>
      </w:pPr>
    </w:p>
    <w:p>
      <w:pPr>
        <w:jc w:val="both"/>
        <w:spacing w:after="0" w:line="219" w:lineRule="auto"/>
        <w:rPr>
          <w:sz w:val="20"/>
          <w:szCs w:val="20"/>
          <w:color w:val="auto"/>
        </w:rPr>
      </w:pPr>
      <w:r>
        <w:rPr>
          <w:rFonts w:ascii="Arial" w:cs="Arial" w:eastAsia="Arial" w:hAnsi="Arial"/>
          <w:sz w:val="12"/>
          <w:szCs w:val="12"/>
          <w:color w:val="auto"/>
        </w:rPr>
        <w:t>Our Articles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Articles will be set forth in articles supplementary filed with the State Department of Assessments and Taxation of Maryland prior to the issuance of any classified or reclassified stock.</w:t>
      </w:r>
    </w:p>
    <w:p>
      <w:pPr>
        <w:spacing w:after="0" w:line="81"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Our Articles also authorize our board of directors to issue one or more classes or series of Common Stock or Preferred Stock and authorize the creation and issuance of rights entitling holders thereof to purchase from us shares of stock or other securities or property.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Advance Notice of Director Nominations and New Business; Procedures for Special Meetings Requested by Stockholders</w:t>
      </w:r>
    </w:p>
    <w:p>
      <w:pPr>
        <w:spacing w:after="0" w:line="105"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Our Articles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w:t>
      </w:r>
    </w:p>
    <w:p>
      <w:pPr>
        <w:spacing w:after="0" w:line="82" w:lineRule="exact"/>
        <w:rPr>
          <w:sz w:val="20"/>
          <w:szCs w:val="20"/>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pursuant to our notice of the meeting;</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by or at the direction of our board of directors;</w:t>
      </w:r>
    </w:p>
    <w:p>
      <w:pPr>
        <w:spacing w:after="0" w:line="141" w:lineRule="exact"/>
        <w:rPr>
          <w:rFonts w:ascii="Arial" w:cs="Arial" w:eastAsia="Arial" w:hAnsi="Arial"/>
          <w:sz w:val="12"/>
          <w:szCs w:val="12"/>
          <w:color w:val="auto"/>
        </w:rPr>
      </w:pPr>
    </w:p>
    <w:p>
      <w:pPr>
        <w:jc w:val="both"/>
        <w:ind w:left="420" w:right="20" w:hanging="212"/>
        <w:spacing w:after="0" w:line="224" w:lineRule="auto"/>
        <w:tabs>
          <w:tab w:leader="none" w:pos="417" w:val="left"/>
        </w:tabs>
        <w:numPr>
          <w:ilvl w:val="0"/>
          <w:numId w:val="52"/>
        </w:numPr>
        <w:rPr>
          <w:rFonts w:ascii="Arial" w:cs="Arial" w:eastAsia="Arial" w:hAnsi="Arial"/>
          <w:sz w:val="12"/>
          <w:szCs w:val="12"/>
          <w:color w:val="auto"/>
        </w:rPr>
      </w:pPr>
      <w:r>
        <w:rPr>
          <w:rFonts w:ascii="Arial" w:cs="Arial" w:eastAsia="Arial" w:hAnsi="Arial"/>
          <w:sz w:val="12"/>
          <w:szCs w:val="12"/>
          <w:color w:val="auto"/>
        </w:rPr>
        <w:t>by any stockholder who is a stockholder of record both at the time such stockholder gives the notice required by our Bylaws and at the time of the annual meeting, who is entitled to vote at the meeting in the election of each individual so nominated or on the proposal of other business, as the case may be, and who has complied with the advance notice procedures, including minimum and maximum time periods, set forth in our Articles and Bylaws; or</w:t>
      </w:r>
    </w:p>
    <w:p>
      <w:pPr>
        <w:spacing w:after="0" w:line="126" w:lineRule="exact"/>
        <w:rPr>
          <w:rFonts w:ascii="Arial" w:cs="Arial" w:eastAsia="Arial" w:hAnsi="Arial"/>
          <w:sz w:val="12"/>
          <w:szCs w:val="12"/>
          <w:color w:val="auto"/>
        </w:rPr>
      </w:pPr>
    </w:p>
    <w:p>
      <w:pPr>
        <w:jc w:val="both"/>
        <w:ind w:left="420" w:hanging="212"/>
        <w:spacing w:after="0" w:line="224" w:lineRule="auto"/>
        <w:tabs>
          <w:tab w:leader="none" w:pos="417" w:val="left"/>
        </w:tabs>
        <w:numPr>
          <w:ilvl w:val="0"/>
          <w:numId w:val="52"/>
        </w:numPr>
        <w:rPr>
          <w:rFonts w:ascii="Arial" w:cs="Arial" w:eastAsia="Arial" w:hAnsi="Arial"/>
          <w:sz w:val="12"/>
          <w:szCs w:val="12"/>
          <w:color w:val="auto"/>
        </w:rPr>
      </w:pPr>
      <w:r>
        <w:rPr>
          <w:rFonts w:ascii="Arial" w:cs="Arial" w:eastAsia="Arial" w:hAnsi="Arial"/>
          <w:sz w:val="12"/>
          <w:szCs w:val="12"/>
          <w:color w:val="auto"/>
        </w:rPr>
        <w:t>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w:t>
      </w:r>
    </w:p>
    <w:p>
      <w:pPr>
        <w:spacing w:after="0" w:line="82" w:lineRule="exact"/>
        <w:rPr>
          <w:sz w:val="20"/>
          <w:szCs w:val="20"/>
          <w:color w:val="auto"/>
        </w:rPr>
      </w:pPr>
    </w:p>
    <w:p>
      <w:pPr>
        <w:ind w:right="20"/>
        <w:spacing w:after="0" w:line="234" w:lineRule="auto"/>
        <w:rPr>
          <w:sz w:val="20"/>
          <w:szCs w:val="20"/>
          <w:color w:val="auto"/>
        </w:rPr>
      </w:pPr>
      <w:r>
        <w:rPr>
          <w:rFonts w:ascii="Arial" w:cs="Arial" w:eastAsia="Arial" w:hAnsi="Arial"/>
          <w:sz w:val="12"/>
          <w:szCs w:val="12"/>
          <w:color w:val="auto"/>
        </w:rPr>
        <w:t>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w:t>
      </w:r>
    </w:p>
    <w:p>
      <w:pPr>
        <w:spacing w:after="0" w:line="91" w:lineRule="exact"/>
        <w:rPr>
          <w:sz w:val="20"/>
          <w:szCs w:val="20"/>
          <w:color w:val="auto"/>
        </w:rPr>
      </w:pPr>
    </w:p>
    <w:p>
      <w:pPr>
        <w:ind w:left="420" w:hanging="212"/>
        <w:spacing w:after="0"/>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by or at the direction of our board of directors;</w:t>
      </w:r>
    </w:p>
    <w:p>
      <w:pPr>
        <w:spacing w:after="0" w:line="141" w:lineRule="exact"/>
        <w:rPr>
          <w:rFonts w:ascii="Arial" w:cs="Arial" w:eastAsia="Arial" w:hAnsi="Arial"/>
          <w:sz w:val="12"/>
          <w:szCs w:val="12"/>
          <w:color w:val="auto"/>
        </w:rPr>
      </w:pPr>
    </w:p>
    <w:p>
      <w:pPr>
        <w:ind w:left="420" w:hanging="212"/>
        <w:spacing w:after="0" w:line="234" w:lineRule="auto"/>
        <w:tabs>
          <w:tab w:leader="none" w:pos="417" w:val="left"/>
        </w:tabs>
        <w:numPr>
          <w:ilvl w:val="0"/>
          <w:numId w:val="53"/>
        </w:numPr>
        <w:rPr>
          <w:rFonts w:ascii="Arial" w:cs="Arial" w:eastAsia="Arial" w:hAnsi="Arial"/>
          <w:sz w:val="12"/>
          <w:szCs w:val="12"/>
          <w:color w:val="auto"/>
        </w:rPr>
      </w:pPr>
      <w:r>
        <w:rPr>
          <w:rFonts w:ascii="Arial" w:cs="Arial" w:eastAsia="Arial" w:hAnsi="Arial"/>
          <w:sz w:val="12"/>
          <w:szCs w:val="12"/>
          <w:color w:val="auto"/>
        </w:rPr>
        <w:t>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w:t>
      </w:r>
    </w:p>
    <w:p>
      <w:pPr>
        <w:spacing w:after="0" w:line="126" w:lineRule="exact"/>
        <w:rPr>
          <w:rFonts w:ascii="Arial" w:cs="Arial" w:eastAsia="Arial" w:hAnsi="Arial"/>
          <w:sz w:val="12"/>
          <w:szCs w:val="12"/>
          <w:color w:val="auto"/>
        </w:rPr>
      </w:pPr>
    </w:p>
    <w:p>
      <w:pPr>
        <w:jc w:val="both"/>
        <w:ind w:left="420" w:hanging="212"/>
        <w:spacing w:after="0" w:line="224" w:lineRule="auto"/>
        <w:tabs>
          <w:tab w:leader="none" w:pos="417" w:val="left"/>
        </w:tabs>
        <w:numPr>
          <w:ilvl w:val="0"/>
          <w:numId w:val="53"/>
        </w:numPr>
        <w:rPr>
          <w:rFonts w:ascii="Arial" w:cs="Arial" w:eastAsia="Arial" w:hAnsi="Arial"/>
          <w:sz w:val="12"/>
          <w:szCs w:val="12"/>
          <w:color w:val="auto"/>
        </w:rPr>
      </w:pPr>
      <w:r>
        <w:rPr>
          <w:rFonts w:ascii="Arial" w:cs="Arial" w:eastAsia="Arial" w:hAnsi="Arial"/>
          <w:sz w:val="12"/>
          <w:szCs w:val="12"/>
          <w:color w:val="auto"/>
        </w:rPr>
        <w:t>provided that the special meeting has been called in accordance with our Bylaws for the purpose of electing directors, by any stockholder who is a stockholder of record both at the time such stockholder gives the notice required by our Bylaws and at the time of the special meeting, who is entitled to vote at the meeting in the election of each individual so nominated and who has complied with the advance notice procedures, including minimum and maximum time periods, set forth in our Bylaws.</w:t>
      </w:r>
    </w:p>
    <w:p>
      <w:pPr>
        <w:spacing w:after="0" w:line="82" w:lineRule="exact"/>
        <w:rPr>
          <w:sz w:val="20"/>
          <w:szCs w:val="20"/>
          <w:color w:val="auto"/>
        </w:rPr>
      </w:pPr>
    </w:p>
    <w:p>
      <w:pPr>
        <w:spacing w:after="0" w:line="234" w:lineRule="auto"/>
        <w:rPr>
          <w:sz w:val="20"/>
          <w:szCs w:val="20"/>
          <w:color w:val="auto"/>
        </w:rPr>
      </w:pPr>
      <w:r>
        <w:rPr>
          <w:rFonts w:ascii="Arial" w:cs="Arial" w:eastAsia="Arial" w:hAnsi="Arial"/>
          <w:sz w:val="12"/>
          <w:szCs w:val="12"/>
          <w:color w:val="auto"/>
        </w:rPr>
        <w:t>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Exemptions for Our Original Founders from the Maryland Business Combination Act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ACTIVE/115011216.3</w:t>
      </w:r>
    </w:p>
    <w:p>
      <w:pPr>
        <w:sectPr>
          <w:pgSz w:w="11900" w:h="16838" w:orient="portrait"/>
          <w:cols w:equalWidth="0" w:num="1">
            <w:col w:w="11300"/>
          </w:cols>
          <w:pgMar w:left="300" w:top="986" w:right="299" w:bottom="1440" w:gutter="0" w:footer="0" w:header="0"/>
        </w:sectPr>
      </w:pPr>
    </w:p>
    <w:bookmarkStart w:id="120" w:name="page121"/>
    <w:bookmarkEnd w:id="120"/>
    <w:p>
      <w:pPr>
        <w:jc w:val="both"/>
        <w:spacing w:after="0" w:line="224" w:lineRule="auto"/>
        <w:rPr>
          <w:sz w:val="20"/>
          <w:szCs w:val="20"/>
          <w:color w:val="auto"/>
        </w:rPr>
      </w:pPr>
      <w:r>
        <w:rPr>
          <w:rFonts w:ascii="Arial" w:cs="Arial" w:eastAsia="Arial" w:hAnsi="Arial"/>
          <w:sz w:val="12"/>
          <w:szCs w:val="12"/>
          <w:color w:val="auto"/>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82" w:lineRule="exact"/>
        <w:rPr>
          <w:sz w:val="20"/>
          <w:szCs w:val="20"/>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any person who beneficially owns 10% or more of the voting power of the corporation’s voting stock; or</w:t>
      </w:r>
    </w:p>
    <w:p>
      <w:pPr>
        <w:spacing w:after="0" w:line="141" w:lineRule="exact"/>
        <w:rPr>
          <w:rFonts w:ascii="Arial" w:cs="Arial" w:eastAsia="Arial" w:hAnsi="Arial"/>
          <w:sz w:val="12"/>
          <w:szCs w:val="12"/>
          <w:color w:val="auto"/>
        </w:rPr>
      </w:pPr>
    </w:p>
    <w:p>
      <w:pPr>
        <w:ind w:left="420" w:hanging="212"/>
        <w:spacing w:after="0" w:line="234" w:lineRule="auto"/>
        <w:tabs>
          <w:tab w:leader="none" w:pos="417"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 affiliate or associate of the corporation who, at any time within the two-year period immediately prior to the date in question, was the beneficial owner, directly or indirectly, of 10% or more of the voting power of the then outstanding stock of the corporation.</w:t>
      </w:r>
    </w:p>
    <w:p>
      <w:pPr>
        <w:spacing w:after="0" w:line="91" w:lineRule="exact"/>
        <w:rPr>
          <w:sz w:val="20"/>
          <w:szCs w:val="20"/>
          <w:color w:val="auto"/>
        </w:rPr>
      </w:pPr>
    </w:p>
    <w:p>
      <w:pPr>
        <w:jc w:val="both"/>
        <w:spacing w:after="0" w:line="215" w:lineRule="auto"/>
        <w:rPr>
          <w:sz w:val="20"/>
          <w:szCs w:val="20"/>
          <w:color w:val="auto"/>
        </w:rPr>
      </w:pPr>
      <w:r>
        <w:rPr>
          <w:rFonts w:ascii="Arial" w:cs="Arial" w:eastAsia="Arial" w:hAnsi="Arial"/>
          <w:sz w:val="12"/>
          <w:szCs w:val="12"/>
          <w:color w:val="auto"/>
        </w:rPr>
        <w:t>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84"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As permitted by the MGCL, our Articles exempt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Non-Stockholder Constituencies</w:t>
      </w:r>
    </w:p>
    <w:p>
      <w:pPr>
        <w:spacing w:after="0" w:line="105"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Under our Articles,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Control Share Acquisitions</w:t>
      </w:r>
    </w:p>
    <w:p>
      <w:pPr>
        <w:spacing w:after="0" w:line="96" w:lineRule="exact"/>
        <w:rPr>
          <w:sz w:val="20"/>
          <w:szCs w:val="20"/>
          <w:color w:val="auto"/>
        </w:rPr>
      </w:pPr>
    </w:p>
    <w:p>
      <w:pPr>
        <w:jc w:val="both"/>
        <w:spacing w:after="0" w:line="219" w:lineRule="auto"/>
        <w:rPr>
          <w:sz w:val="20"/>
          <w:szCs w:val="20"/>
          <w:color w:val="auto"/>
        </w:rPr>
      </w:pPr>
      <w:r>
        <w:rPr>
          <w:rFonts w:ascii="Arial" w:cs="Arial" w:eastAsia="Arial" w:hAnsi="Arial"/>
          <w:sz w:val="12"/>
          <w:szCs w:val="12"/>
          <w:color w:val="auto"/>
        </w:rPr>
        <w:t>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w:t>
      </w:r>
    </w:p>
    <w:p>
      <w:pPr>
        <w:spacing w:after="0" w:line="90"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Our Articles exempt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Subtitle 8</w:t>
      </w:r>
    </w:p>
    <w:p>
      <w:pPr>
        <w:spacing w:after="0" w:line="96"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 bylaws, to be subject to any or all of the following five provisions:</w:t>
      </w:r>
    </w:p>
    <w:p>
      <w:pPr>
        <w:spacing w:after="0" w:line="91" w:lineRule="exact"/>
        <w:rPr>
          <w:sz w:val="20"/>
          <w:szCs w:val="20"/>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Section 3-803 – requiring classification of the board of directors into three classes;</w:t>
      </w:r>
    </w:p>
    <w:p>
      <w:pPr>
        <w:spacing w:after="0" w:line="141" w:lineRule="exact"/>
        <w:rPr>
          <w:rFonts w:ascii="Arial" w:cs="Arial" w:eastAsia="Arial" w:hAnsi="Arial"/>
          <w:sz w:val="12"/>
          <w:szCs w:val="12"/>
          <w:color w:val="auto"/>
        </w:rPr>
      </w:pPr>
    </w:p>
    <w:p>
      <w:pPr>
        <w:ind w:left="420" w:hanging="212"/>
        <w:spacing w:after="0"/>
        <w:tabs>
          <w:tab w:leader="none" w:pos="420" w:val="left"/>
        </w:tabs>
        <w:numPr>
          <w:ilvl w:val="0"/>
          <w:numId w:val="55"/>
        </w:numPr>
        <w:rPr>
          <w:rFonts w:ascii="Arial" w:cs="Arial" w:eastAsia="Arial" w:hAnsi="Arial"/>
          <w:sz w:val="11"/>
          <w:szCs w:val="11"/>
          <w:color w:val="auto"/>
        </w:rPr>
      </w:pPr>
      <w:r>
        <w:rPr>
          <w:rFonts w:ascii="Arial" w:cs="Arial" w:eastAsia="Arial" w:hAnsi="Arial"/>
          <w:sz w:val="11"/>
          <w:szCs w:val="11"/>
          <w:color w:val="auto"/>
        </w:rPr>
        <w:t>Section 3-804(a) – requiring that stockholders may remove any director by the affirmative vote of at least two-thirds of all the votes entitled to be cast by the stockholders generally in the election of directors;</w:t>
      </w:r>
    </w:p>
    <w:p>
      <w:pPr>
        <w:spacing w:after="0" w:line="152" w:lineRule="exact"/>
        <w:rPr>
          <w:rFonts w:ascii="Arial" w:cs="Arial" w:eastAsia="Arial" w:hAnsi="Arial"/>
          <w:sz w:val="11"/>
          <w:szCs w:val="11"/>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Section 3-804(b) – requiring that the number of directors be fixed only by vote of the board of directors;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ACTIVE/115011216.3</w:t>
      </w:r>
    </w:p>
    <w:p>
      <w:pPr>
        <w:sectPr>
          <w:pgSz w:w="11900" w:h="16838" w:orient="portrait"/>
          <w:cols w:equalWidth="0" w:num="1">
            <w:col w:w="11300"/>
          </w:cols>
          <w:pgMar w:left="300" w:top="986" w:right="299" w:bottom="1440" w:gutter="0" w:footer="0" w:header="0"/>
        </w:sectPr>
      </w:pPr>
    </w:p>
    <w:bookmarkStart w:id="121" w:name="page122"/>
    <w:bookmarkEnd w:id="121"/>
    <w:p>
      <w:pPr>
        <w:ind w:left="420" w:hanging="212"/>
        <w:spacing w:after="0" w:line="234" w:lineRule="auto"/>
        <w:tabs>
          <w:tab w:leader="none" w:pos="417" w:val="left"/>
        </w:tabs>
        <w:numPr>
          <w:ilvl w:val="0"/>
          <w:numId w:val="56"/>
        </w:numPr>
        <w:rPr>
          <w:rFonts w:ascii="Arial" w:cs="Arial" w:eastAsia="Arial" w:hAnsi="Arial"/>
          <w:sz w:val="12"/>
          <w:szCs w:val="12"/>
          <w:color w:val="auto"/>
        </w:rPr>
      </w:pPr>
      <w:r>
        <w:rPr>
          <w:rFonts w:ascii="Arial" w:cs="Arial" w:eastAsia="Arial" w:hAnsi="Arial"/>
          <w:sz w:val="12"/>
          <w:szCs w:val="12"/>
          <w:color w:val="auto"/>
        </w:rPr>
        <w:t>Section 3-804(c) – requiring that any vacancy on the board of directors be filled only by the affirmative vote of a majority of the remaining directors for the remainder of the full term of the class of directors in which the vacancy occurred and until a successor is elected and qualifies; and</w:t>
      </w:r>
    </w:p>
    <w:p>
      <w:pPr>
        <w:spacing w:after="0" w:line="126"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1"/>
          <w:szCs w:val="11"/>
          <w:color w:val="auto"/>
        </w:rPr>
      </w:pPr>
      <w:r>
        <w:rPr>
          <w:rFonts w:ascii="Arial" w:cs="Arial" w:eastAsia="Arial" w:hAnsi="Arial"/>
          <w:sz w:val="11"/>
          <w:szCs w:val="11"/>
          <w:color w:val="auto"/>
        </w:rPr>
        <w:t>Section 3-805 – requiring that a special meeting of stockholders may be called only upon the written request of stockholders entitled to cast at least a majority of all the votes entitled to be cast at the meeting.</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1"/>
          <w:szCs w:val="11"/>
          <w:color w:val="auto"/>
        </w:rPr>
        <w:t>Following our board of director’s resolution, we supplemented our Articles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Amendment to Our Articles and Bylaws</w:t>
      </w:r>
    </w:p>
    <w:p>
      <w:pPr>
        <w:spacing w:after="0" w:line="96" w:lineRule="exact"/>
        <w:rPr>
          <w:sz w:val="20"/>
          <w:szCs w:val="20"/>
          <w:color w:val="auto"/>
        </w:rPr>
      </w:pPr>
    </w:p>
    <w:p>
      <w:pPr>
        <w:jc w:val="both"/>
        <w:spacing w:after="0" w:line="219" w:lineRule="auto"/>
        <w:rPr>
          <w:sz w:val="20"/>
          <w:szCs w:val="20"/>
          <w:color w:val="auto"/>
        </w:rPr>
      </w:pPr>
      <w:r>
        <w:rPr>
          <w:rFonts w:ascii="Arial" w:cs="Arial" w:eastAsia="Arial" w:hAnsi="Arial"/>
          <w:sz w:val="12"/>
          <w:szCs w:val="12"/>
          <w:color w:val="auto"/>
        </w:rPr>
        <w:t xml:space="preserve">Except for those amendments permitted to be made without stockholder approval under the MGCL or by specific provision in our Articles, amendments to our Articles must be declared advisable by our board of directors and approved by the affirmative vote of stockholders entitled to cast a majority of all the votes entitled to be cast on the matter. Any amendment to our Articles related to the (i) removal of directors, (ii) vote required to approve any extraordinary transaction </w:t>
      </w:r>
      <w:r>
        <w:rPr>
          <w:rFonts w:ascii="Arial" w:cs="Arial" w:eastAsia="Arial" w:hAnsi="Arial"/>
          <w:sz w:val="12"/>
          <w:szCs w:val="12"/>
          <w:i w:val="1"/>
          <w:iCs w:val="1"/>
          <w:color w:val="auto"/>
        </w:rPr>
        <w:t>(i.e.</w:t>
      </w:r>
      <w:r>
        <w:rPr>
          <w:rFonts w:ascii="Arial" w:cs="Arial" w:eastAsia="Arial" w:hAnsi="Arial"/>
          <w:sz w:val="12"/>
          <w:szCs w:val="12"/>
          <w:color w:val="auto"/>
        </w:rPr>
        <w:t>, merger, share exchange, consolidation, conversion and sale of all or substantially all of our assets) or (iii) amendment provision in our Articles relating to these matters requires the affirmative vote of stockholders entitled to cast two-thirds of all the votes entitled to be cast on the matter.</w:t>
      </w:r>
    </w:p>
    <w:p>
      <w:pPr>
        <w:spacing w:after="0" w:line="81" w:lineRule="exact"/>
        <w:rPr>
          <w:sz w:val="20"/>
          <w:szCs w:val="20"/>
          <w:color w:val="auto"/>
        </w:rPr>
      </w:pPr>
    </w:p>
    <w:p>
      <w:pPr>
        <w:jc w:val="both"/>
        <w:spacing w:after="0" w:line="219" w:lineRule="auto"/>
        <w:rPr>
          <w:sz w:val="20"/>
          <w:szCs w:val="20"/>
          <w:color w:val="auto"/>
        </w:rPr>
      </w:pPr>
      <w:r>
        <w:rPr>
          <w:rFonts w:ascii="Arial" w:cs="Arial" w:eastAsia="Arial" w:hAnsi="Arial"/>
          <w:sz w:val="12"/>
          <w:szCs w:val="12"/>
          <w:color w:val="auto"/>
        </w:rPr>
        <w:t>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Articles,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Our Board of Directors; Election; Removal</w:t>
      </w:r>
    </w:p>
    <w:p>
      <w:pPr>
        <w:spacing w:after="0" w:line="96" w:lineRule="exact"/>
        <w:rPr>
          <w:sz w:val="20"/>
          <w:szCs w:val="20"/>
          <w:color w:val="auto"/>
        </w:rPr>
      </w:pPr>
    </w:p>
    <w:p>
      <w:pPr>
        <w:ind w:right="100"/>
        <w:spacing w:after="0" w:line="234" w:lineRule="auto"/>
        <w:rPr>
          <w:sz w:val="20"/>
          <w:szCs w:val="20"/>
          <w:color w:val="auto"/>
        </w:rPr>
      </w:pPr>
      <w:r>
        <w:rPr>
          <w:rFonts w:ascii="Arial" w:cs="Arial" w:eastAsia="Arial" w:hAnsi="Arial"/>
          <w:sz w:val="12"/>
          <w:szCs w:val="12"/>
          <w:color w:val="auto"/>
        </w:rPr>
        <w:t>Our Articles provide that the number of directors on our board of directors is fixed pursuant to our Bylaws, but may not be fewer than the minimum required by the MGCL, which is one. Our Bylaws provide that our board of directors must consist of not less than one and not more than twelve directors.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Our Articles and Bylaws provide that directors are required to be elected by the affirmative vote of a majority of all the votes cast on the matter at a meeting at which a quorum is present.</w:t>
      </w:r>
    </w:p>
    <w:p>
      <w:pPr>
        <w:spacing w:after="0" w:line="141" w:lineRule="exact"/>
        <w:rPr>
          <w:sz w:val="20"/>
          <w:szCs w:val="20"/>
          <w:color w:val="auto"/>
        </w:rPr>
      </w:pPr>
    </w:p>
    <w:p>
      <w:pPr>
        <w:ind w:right="100"/>
        <w:spacing w:after="0" w:line="212" w:lineRule="auto"/>
        <w:rPr>
          <w:sz w:val="20"/>
          <w:szCs w:val="20"/>
          <w:color w:val="auto"/>
        </w:rPr>
      </w:pPr>
      <w:r>
        <w:rPr>
          <w:rFonts w:ascii="Arial" w:cs="Arial" w:eastAsia="Arial" w:hAnsi="Arial"/>
          <w:sz w:val="12"/>
          <w:szCs w:val="12"/>
          <w:color w:val="auto"/>
        </w:rPr>
        <w:t>Subject to the rights of holders of any series of Preferred Stock, our Articles provide that a director may be removed only for cause and only by the affirmative vote of the holders of shares entitled to cast at least two-thirds of the votes entitled to be cast generally in the election of directors.</w:t>
      </w:r>
    </w:p>
    <w:p>
      <w:pPr>
        <w:spacing w:after="0"/>
        <w:rPr>
          <w:sz w:val="20"/>
          <w:szCs w:val="20"/>
          <w:color w:val="auto"/>
        </w:rPr>
      </w:pPr>
      <w:r>
        <w:rPr>
          <w:rFonts w:ascii="Arial" w:cs="Arial" w:eastAsia="Arial" w:hAnsi="Arial"/>
          <w:sz w:val="12"/>
          <w:szCs w:val="12"/>
          <w:i w:val="1"/>
          <w:iCs w:val="1"/>
          <w:color w:val="auto"/>
        </w:rPr>
        <w:t>Our Dissolution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Our dissolution must be approved by our board of directors and by the affirmative vote of not less than a majority of all of the votes entitled to be cast on the matter.</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Supermajority Vote for Extraordinary Corporate Actions</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1"/>
          <w:szCs w:val="11"/>
          <w:color w:val="auto"/>
        </w:rPr>
        <w:t>Under the MGCL, a Maryland corporation generally cannot dissolve, amend its charter, merge, convert into another entity, sell all or substantially all of its assets, or engage in a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Articles, which provide that amendments to the Articles (except for certain instances) and dissolution must be approved by the vote of holders of a majority of our outstanding shares of Common Stock entitled to vote on the matter, our Articles do not provide for a lesser percentage in these situations.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Exclusive Forum</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Our Bylaws provide that, unless our board of directors agrees otherwise, (i) any derivative action or proceeding, (ii) any action asserting a claim of breach of any duty owed by any of our directors, officers or other employees to us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ACTIVE/115011216.3</w:t>
      </w:r>
    </w:p>
    <w:p>
      <w:pPr>
        <w:sectPr>
          <w:pgSz w:w="11900" w:h="16838" w:orient="portrait"/>
          <w:cols w:equalWidth="0" w:num="1">
            <w:col w:w="11300"/>
          </w:cols>
          <w:pgMar w:left="300" w:top="1148" w:right="299" w:bottom="1440" w:gutter="0" w:footer="0" w:header="0"/>
        </w:sectPr>
      </w:pPr>
    </w:p>
    <w:bookmarkStart w:id="122" w:name="page123"/>
    <w:bookmarkEnd w:id="122"/>
    <w:p>
      <w:pPr>
        <w:spacing w:after="0" w:line="234" w:lineRule="auto"/>
        <w:rPr>
          <w:sz w:val="20"/>
          <w:szCs w:val="20"/>
          <w:color w:val="auto"/>
        </w:rPr>
      </w:pPr>
      <w:r>
        <w:rPr>
          <w:rFonts w:ascii="Arial" w:cs="Arial" w:eastAsia="Arial" w:hAnsi="Arial"/>
          <w:sz w:val="12"/>
          <w:szCs w:val="12"/>
          <w:color w:val="auto"/>
        </w:rPr>
        <w:t>or our stockholders, (iii) any action asserting a claim against us or any of our directors, officers or other employees pursuant to the MGCL, or our Articles or Bylaws and (iv) claims governed by the internal affairs doctrine must be brought in the Circuit Court for Baltimore City, Maryland (or if that court does not have jurisdiction, the United States District Court for the District of Maryland, Baltimore Division).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ACTIVE/115011216.3</w:t>
      </w:r>
    </w:p>
    <w:p>
      <w:pPr>
        <w:sectPr>
          <w:pgSz w:w="11900" w:h="16838" w:orient="portrait"/>
          <w:cols w:equalWidth="0" w:num="1">
            <w:col w:w="11300"/>
          </w:cols>
          <w:pgMar w:left="300" w:top="986" w:right="2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b w:val="1"/>
          <w:bCs w:val="1"/>
          <w:color w:val="auto"/>
        </w:rPr>
        <w:t>Exhibit 10.1.13</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FOURTEENTH AMENDMENT TO THE</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AMENDED AND RESTATED LIMITED PARTNERSHIP AGREEMENT OF</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THE MACERICH PARTNERSHIP, L.P.</w:t>
      </w:r>
    </w:p>
    <w:p>
      <w:pPr>
        <w:spacing w:after="0" w:line="138" w:lineRule="exact"/>
        <w:rPr>
          <w:sz w:val="20"/>
          <w:szCs w:val="20"/>
          <w:color w:val="auto"/>
        </w:rPr>
      </w:pPr>
    </w:p>
    <w:p>
      <w:pPr>
        <w:ind w:left="8" w:right="140" w:firstLine="432"/>
        <w:spacing w:after="0" w:line="271" w:lineRule="auto"/>
        <w:rPr>
          <w:sz w:val="20"/>
          <w:szCs w:val="20"/>
          <w:color w:val="auto"/>
        </w:rPr>
      </w:pPr>
      <w:r>
        <w:rPr>
          <w:rFonts w:ascii="Arial" w:cs="Arial" w:eastAsia="Arial" w:hAnsi="Arial"/>
          <w:sz w:val="13"/>
          <w:szCs w:val="13"/>
          <w:color w:val="auto"/>
        </w:rPr>
        <w:t>THIS FOURTEENTH AMENDMENT (the "</w:t>
      </w:r>
      <w:r>
        <w:rPr>
          <w:rFonts w:ascii="Arial" w:cs="Arial" w:eastAsia="Arial" w:hAnsi="Arial"/>
          <w:sz w:val="13"/>
          <w:szCs w:val="13"/>
          <w:b w:val="1"/>
          <w:bCs w:val="1"/>
          <w:color w:val="auto"/>
        </w:rPr>
        <w:t>Amendment</w:t>
      </w:r>
      <w:r>
        <w:rPr>
          <w:rFonts w:ascii="Arial" w:cs="Arial" w:eastAsia="Arial" w:hAnsi="Arial"/>
          <w:sz w:val="13"/>
          <w:szCs w:val="13"/>
          <w:color w:val="auto"/>
        </w:rPr>
        <w:t>") TO THE AMENDED AND RESTATED LIMITED PARTNERSHIP AGREEMENT DATED AS OF MARCH 16, 1994, AMENDED AS OF AUGUST 14, 1995, FURTHER AMENDED AS OF JUNE 27, 1997, FURTHER AMENDED AS OF NOVEMBER 16, 1997, FURTHER AMENDED AS OF FEBRUARY 25, 1998, FURTHER AMENDED AS OF FEBRUARY 26, 1998, FURTHER AMENDED AS OF JUNE 17, 1998, FURTHER AMENDED AS OF DECEMBER 23, 1998, FURTHER AMENDED AS OF NOVEMBER 9, 2000, FURTHER AMENDED AS OF JULY 26, 2002, FURTHER AMENDED AS OF OCTOBER 26, 2006, FURTHER AMENDED AS OF MARCH 16, 2007, FURTHER AMENDED AS OF APRIL 30, 2009 AND FURTHER AMENDED AS OF OCTOBER 29, 2009 (the "</w:t>
      </w:r>
      <w:r>
        <w:rPr>
          <w:rFonts w:ascii="Arial" w:cs="Arial" w:eastAsia="Arial" w:hAnsi="Arial"/>
          <w:sz w:val="13"/>
          <w:szCs w:val="13"/>
          <w:b w:val="1"/>
          <w:bCs w:val="1"/>
          <w:color w:val="auto"/>
        </w:rPr>
        <w:t>Agreement</w:t>
      </w:r>
      <w:r>
        <w:rPr>
          <w:rFonts w:ascii="Arial" w:cs="Arial" w:eastAsia="Arial" w:hAnsi="Arial"/>
          <w:sz w:val="13"/>
          <w:szCs w:val="13"/>
          <w:color w:val="auto"/>
        </w:rPr>
        <w:t>") OF THE MACERICH PARTNERSHIP, L.P. (the "</w:t>
      </w:r>
      <w:r>
        <w:rPr>
          <w:rFonts w:ascii="Arial" w:cs="Arial" w:eastAsia="Arial" w:hAnsi="Arial"/>
          <w:sz w:val="13"/>
          <w:szCs w:val="13"/>
          <w:b w:val="1"/>
          <w:bCs w:val="1"/>
          <w:color w:val="auto"/>
        </w:rPr>
        <w:t>Partnership</w:t>
      </w:r>
      <w:r>
        <w:rPr>
          <w:rFonts w:ascii="Arial" w:cs="Arial" w:eastAsia="Arial" w:hAnsi="Arial"/>
          <w:sz w:val="13"/>
          <w:szCs w:val="13"/>
          <w:color w:val="auto"/>
        </w:rPr>
        <w:t>") is dated effective as of April 14, 2021. All capitalized terms used herein and not defined shall have the respective meanings ascribed to them in the Agreement.</w:t>
      </w:r>
    </w:p>
    <w:p>
      <w:pPr>
        <w:spacing w:after="0" w:line="130" w:lineRule="exact"/>
        <w:rPr>
          <w:sz w:val="20"/>
          <w:szCs w:val="20"/>
          <w:color w:val="auto"/>
        </w:rPr>
      </w:pPr>
    </w:p>
    <w:p>
      <w:pPr>
        <w:jc w:val="both"/>
        <w:ind w:left="8" w:right="340" w:firstLine="432"/>
        <w:spacing w:after="0" w:line="260" w:lineRule="auto"/>
        <w:rPr>
          <w:sz w:val="20"/>
          <w:szCs w:val="20"/>
          <w:color w:val="auto"/>
        </w:rPr>
      </w:pPr>
      <w:r>
        <w:rPr>
          <w:rFonts w:ascii="Arial" w:cs="Arial" w:eastAsia="Arial" w:hAnsi="Arial"/>
          <w:sz w:val="14"/>
          <w:szCs w:val="14"/>
          <w:color w:val="auto"/>
        </w:rPr>
        <w:t>WHEREAS, Section 12.l(b)(iv) of the Agreement permits The Macerich Company, the general partner of the Partnership (the "</w:t>
      </w:r>
      <w:r>
        <w:rPr>
          <w:rFonts w:ascii="Arial" w:cs="Arial" w:eastAsia="Arial" w:hAnsi="Arial"/>
          <w:sz w:val="14"/>
          <w:szCs w:val="14"/>
          <w:b w:val="1"/>
          <w:bCs w:val="1"/>
          <w:color w:val="auto"/>
        </w:rPr>
        <w:t>General Partner</w:t>
      </w:r>
      <w:r>
        <w:rPr>
          <w:rFonts w:ascii="Arial" w:cs="Arial" w:eastAsia="Arial" w:hAnsi="Arial"/>
          <w:sz w:val="14"/>
          <w:szCs w:val="14"/>
          <w:color w:val="auto"/>
        </w:rPr>
        <w:t>"), without the consent of the Limited Partners, to amend the Agreement, among other things, to reflect a change that does not adversely affect the Limited Partners in any material respect, or to cure any ambiguity with respect to, correct or supplement any provision in the Agreement not inconsistent with law or other provisions thereunder;</w:t>
      </w:r>
    </w:p>
    <w:p>
      <w:pPr>
        <w:spacing w:after="0" w:line="129" w:lineRule="exact"/>
        <w:rPr>
          <w:sz w:val="20"/>
          <w:szCs w:val="20"/>
          <w:color w:val="auto"/>
        </w:rPr>
      </w:pPr>
    </w:p>
    <w:p>
      <w:pPr>
        <w:ind w:left="8" w:right="480" w:firstLine="432"/>
        <w:spacing w:after="0" w:line="273" w:lineRule="auto"/>
        <w:rPr>
          <w:sz w:val="20"/>
          <w:szCs w:val="20"/>
          <w:color w:val="auto"/>
        </w:rPr>
      </w:pPr>
      <w:r>
        <w:rPr>
          <w:rFonts w:ascii="Arial" w:cs="Arial" w:eastAsia="Arial" w:hAnsi="Arial"/>
          <w:sz w:val="14"/>
          <w:szCs w:val="14"/>
          <w:color w:val="auto"/>
        </w:rPr>
        <w:t>WHEREAS, the General Partner has made the determination pursuant to Section 12.1(b)(iv) of the Agreement that consent of the Limited Partners of the Partnership is not required with respect to the matters set forth in this Amendment;</w:t>
      </w:r>
    </w:p>
    <w:p>
      <w:pPr>
        <w:spacing w:after="0" w:line="129"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WHEREAS, all things necessary to make this Amendment a valid agreement of the Partnership have been done; and</w:t>
      </w:r>
    </w:p>
    <w:p>
      <w:pPr>
        <w:spacing w:after="0" w:line="163" w:lineRule="exact"/>
        <w:rPr>
          <w:sz w:val="20"/>
          <w:szCs w:val="20"/>
          <w:color w:val="auto"/>
        </w:rPr>
      </w:pPr>
    </w:p>
    <w:p>
      <w:pPr>
        <w:ind w:left="428"/>
        <w:spacing w:after="0"/>
        <w:rPr>
          <w:sz w:val="20"/>
          <w:szCs w:val="20"/>
          <w:color w:val="auto"/>
        </w:rPr>
      </w:pPr>
      <w:r>
        <w:rPr>
          <w:rFonts w:ascii="Arial" w:cs="Arial" w:eastAsia="Arial" w:hAnsi="Arial"/>
          <w:sz w:val="14"/>
          <w:szCs w:val="14"/>
          <w:color w:val="auto"/>
        </w:rPr>
        <w:t>WHEREAS, the General Partner desires by this Amendment to amend the Agreement as of the date hereof.</w:t>
      </w:r>
    </w:p>
    <w:p>
      <w:pPr>
        <w:spacing w:after="0" w:line="163" w:lineRule="exact"/>
        <w:rPr>
          <w:sz w:val="20"/>
          <w:szCs w:val="20"/>
          <w:color w:val="auto"/>
        </w:rPr>
      </w:pPr>
    </w:p>
    <w:p>
      <w:pPr>
        <w:ind w:left="8" w:right="180" w:firstLine="432"/>
        <w:spacing w:after="0" w:line="273" w:lineRule="auto"/>
        <w:rPr>
          <w:sz w:val="20"/>
          <w:szCs w:val="20"/>
          <w:color w:val="auto"/>
        </w:rPr>
      </w:pPr>
      <w:r>
        <w:rPr>
          <w:rFonts w:ascii="Arial" w:cs="Arial" w:eastAsia="Arial" w:hAnsi="Arial"/>
          <w:sz w:val="14"/>
          <w:szCs w:val="14"/>
          <w:color w:val="auto"/>
        </w:rPr>
        <w:t>NOW, THEREFORE, pursuant to the authority granted to the General Partner under the Agreement, and in consideration of the mutual covenants set forth herein, and for other good and valuable consideration, the receipt and sufficiency of which are hereby acknowledged, the General Partner hereby amends the Agreement as follows:</w:t>
      </w:r>
    </w:p>
    <w:p>
      <w:pPr>
        <w:spacing w:after="0" w:line="129" w:lineRule="exact"/>
        <w:rPr>
          <w:sz w:val="20"/>
          <w:szCs w:val="20"/>
          <w:color w:val="auto"/>
        </w:rPr>
      </w:pPr>
    </w:p>
    <w:p>
      <w:pPr>
        <w:ind w:left="148" w:hanging="148"/>
        <w:spacing w:after="0"/>
        <w:tabs>
          <w:tab w:leader="none" w:pos="148"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Amendment to the Agreement</w:t>
      </w:r>
    </w:p>
    <w:p>
      <w:pPr>
        <w:spacing w:after="0" w:line="163"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General Partner, as general partner of the Partnership and as attorney-in-fact for its Limited Partners, hereby amends the Agreement as follows:</w:t>
      </w:r>
    </w:p>
    <w:p>
      <w:pPr>
        <w:spacing w:after="0" w:line="172" w:lineRule="exact"/>
        <w:rPr>
          <w:sz w:val="20"/>
          <w:szCs w:val="20"/>
          <w:color w:val="auto"/>
        </w:rPr>
      </w:pPr>
    </w:p>
    <w:p>
      <w:pPr>
        <w:ind w:left="208"/>
        <w:spacing w:after="0"/>
        <w:rPr>
          <w:sz w:val="20"/>
          <w:szCs w:val="20"/>
          <w:color w:val="auto"/>
        </w:rPr>
      </w:pPr>
      <w:r>
        <w:rPr>
          <w:rFonts w:ascii="Arial" w:cs="Arial" w:eastAsia="Arial" w:hAnsi="Arial"/>
          <w:sz w:val="14"/>
          <w:szCs w:val="14"/>
          <w:color w:val="auto"/>
        </w:rPr>
        <w:t>a) Section 8.1 is hereby amended by deleting the following sentence in its entirety:</w:t>
      </w:r>
    </w:p>
    <w:p>
      <w:pPr>
        <w:sectPr>
          <w:pgSz w:w="11900" w:h="16838" w:orient="portrait"/>
          <w:cols w:equalWidth="0" w:num="1">
            <w:col w:w="11308"/>
          </w:cols>
          <w:pgMar w:left="292" w:top="558" w:right="299" w:bottom="1440" w:gutter="0" w:footer="0" w:header="0"/>
        </w:sectPr>
      </w:pPr>
    </w:p>
    <w:bookmarkStart w:id="124" w:name="page125"/>
    <w:bookmarkEnd w:id="124"/>
    <w:p>
      <w:pPr>
        <w:ind w:left="428"/>
        <w:spacing w:after="0" w:line="273" w:lineRule="auto"/>
        <w:rPr>
          <w:sz w:val="20"/>
          <w:szCs w:val="20"/>
          <w:color w:val="auto"/>
        </w:rPr>
      </w:pPr>
      <w:r>
        <w:rPr>
          <w:rFonts w:ascii="Arial" w:cs="Arial" w:eastAsia="Arial" w:hAnsi="Arial"/>
          <w:sz w:val="14"/>
          <w:szCs w:val="14"/>
          <w:color w:val="auto"/>
        </w:rPr>
        <w:t>“The General Partner shall not encumber or pledge its Partnership Interest, whether held in its capacity as a General Partner or a Limited Partner except in connection with obtaining any loan the proceeds of which are to be advanced to the Partnership as a Funding Loan.”</w:t>
      </w:r>
    </w:p>
    <w:p>
      <w:pPr>
        <w:spacing w:after="0" w:line="120" w:lineRule="exact"/>
        <w:rPr>
          <w:sz w:val="20"/>
          <w:szCs w:val="20"/>
          <w:color w:val="auto"/>
        </w:rPr>
      </w:pPr>
    </w:p>
    <w:p>
      <w:pPr>
        <w:ind w:left="428"/>
        <w:spacing w:after="0"/>
        <w:rPr>
          <w:sz w:val="20"/>
          <w:szCs w:val="20"/>
          <w:color w:val="auto"/>
        </w:rPr>
      </w:pPr>
      <w:r>
        <w:rPr>
          <w:rFonts w:ascii="Arial" w:cs="Arial" w:eastAsia="Arial" w:hAnsi="Arial"/>
          <w:sz w:val="14"/>
          <w:szCs w:val="14"/>
          <w:color w:val="auto"/>
        </w:rPr>
        <w:t>and replacing it with the following:</w:t>
      </w:r>
    </w:p>
    <w:p>
      <w:pPr>
        <w:spacing w:after="0" w:line="172" w:lineRule="exact"/>
        <w:rPr>
          <w:sz w:val="20"/>
          <w:szCs w:val="20"/>
          <w:color w:val="auto"/>
        </w:rPr>
      </w:pPr>
    </w:p>
    <w:p>
      <w:pPr>
        <w:ind w:left="428" w:right="20"/>
        <w:spacing w:after="0" w:line="257" w:lineRule="auto"/>
        <w:rPr>
          <w:sz w:val="20"/>
          <w:szCs w:val="20"/>
          <w:color w:val="auto"/>
        </w:rPr>
      </w:pPr>
      <w:r>
        <w:rPr>
          <w:rFonts w:ascii="Arial" w:cs="Arial" w:eastAsia="Arial" w:hAnsi="Arial"/>
          <w:sz w:val="14"/>
          <w:szCs w:val="14"/>
          <w:color w:val="auto"/>
        </w:rPr>
        <w:t>“The General Partner shall not encumber or pledge its Partnership Interest, whether held in its capacity as a General Partner or a Limited Partner, except in connection with (1) obtaining any loan or financing or (2) the issuance of any notes or similar debt instrument, in each case, the proceeds of which are to be (x) advanced to the Partnership as a Funding Loan or Preferred Investment or (y) received directly by the Partnership or any of its subsidiaries.”</w:t>
      </w:r>
    </w:p>
    <w:p>
      <w:pPr>
        <w:spacing w:after="0" w:line="140" w:lineRule="exact"/>
        <w:rPr>
          <w:sz w:val="20"/>
          <w:szCs w:val="20"/>
          <w:color w:val="auto"/>
        </w:rPr>
      </w:pPr>
    </w:p>
    <w:p>
      <w:pPr>
        <w:ind w:left="208"/>
        <w:spacing w:after="0"/>
        <w:rPr>
          <w:sz w:val="20"/>
          <w:szCs w:val="20"/>
          <w:color w:val="auto"/>
        </w:rPr>
      </w:pPr>
      <w:r>
        <w:rPr>
          <w:rFonts w:ascii="Arial" w:cs="Arial" w:eastAsia="Arial" w:hAnsi="Arial"/>
          <w:sz w:val="14"/>
          <w:szCs w:val="14"/>
          <w:color w:val="auto"/>
        </w:rPr>
        <w:t>b) Section 3.4 is hereby amended by adding the following sentence as the final sentence in such section:</w:t>
      </w:r>
    </w:p>
    <w:p>
      <w:pPr>
        <w:spacing w:after="0" w:line="163" w:lineRule="exact"/>
        <w:rPr>
          <w:sz w:val="20"/>
          <w:szCs w:val="20"/>
          <w:color w:val="auto"/>
        </w:rPr>
      </w:pPr>
    </w:p>
    <w:p>
      <w:pPr>
        <w:ind w:left="428"/>
        <w:spacing w:after="0"/>
        <w:rPr>
          <w:sz w:val="20"/>
          <w:szCs w:val="20"/>
          <w:color w:val="auto"/>
        </w:rPr>
      </w:pPr>
      <w:r>
        <w:rPr>
          <w:rFonts w:ascii="Arial" w:cs="Arial" w:eastAsia="Arial" w:hAnsi="Arial"/>
          <w:sz w:val="14"/>
          <w:szCs w:val="14"/>
          <w:color w:val="auto"/>
        </w:rPr>
        <w:t>“For the avoidance of doubt, nothing herein prohibits the General Partner from guaranteeing any indebtedness of the Partnership or any of its subsidiaries.”</w:t>
      </w:r>
    </w:p>
    <w:p>
      <w:pPr>
        <w:spacing w:after="0" w:line="163" w:lineRule="exact"/>
        <w:rPr>
          <w:sz w:val="20"/>
          <w:szCs w:val="20"/>
          <w:color w:val="auto"/>
        </w:rPr>
      </w:pPr>
    </w:p>
    <w:p>
      <w:pPr>
        <w:ind w:left="148" w:hanging="148"/>
        <w:spacing w:after="0"/>
        <w:tabs>
          <w:tab w:leader="none" w:pos="148"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Continuation of the Agreement</w:t>
      </w:r>
    </w:p>
    <w:p>
      <w:pPr>
        <w:spacing w:after="0" w:line="172" w:lineRule="exact"/>
        <w:rPr>
          <w:sz w:val="20"/>
          <w:szCs w:val="20"/>
          <w:color w:val="auto"/>
        </w:rPr>
      </w:pPr>
    </w:p>
    <w:p>
      <w:pPr>
        <w:ind w:left="8" w:right="220" w:firstLine="432"/>
        <w:spacing w:after="0" w:line="312" w:lineRule="auto"/>
        <w:rPr>
          <w:sz w:val="20"/>
          <w:szCs w:val="20"/>
          <w:color w:val="auto"/>
        </w:rPr>
      </w:pPr>
      <w:r>
        <w:rPr>
          <w:rFonts w:ascii="Arial" w:cs="Arial" w:eastAsia="Arial" w:hAnsi="Arial"/>
          <w:sz w:val="13"/>
          <w:szCs w:val="13"/>
          <w:color w:val="auto"/>
        </w:rPr>
        <w:t>The Agreement and this Amendment shall be read together and shall have the same force and effect as if the provisions of the Agreement and this Amendment were contained in one document. Any provisions of the Agreement not amended by this Amendment shall remain in full force and effect as provided in the Agreement immediately prior to the date hereof.</w:t>
      </w:r>
    </w:p>
    <w:p>
      <w:pPr>
        <w:sectPr>
          <w:pgSz w:w="11900" w:h="16838" w:orient="portrait"/>
          <w:cols w:equalWidth="0" w:num="1">
            <w:col w:w="11108"/>
          </w:cols>
          <w:pgMar w:left="292" w:top="998" w:right="49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intentionally blank</w:t>
      </w:r>
      <w:r>
        <w:rPr>
          <w:rFonts w:ascii="Arial" w:cs="Arial" w:eastAsia="Arial" w:hAnsi="Arial"/>
          <w:sz w:val="13"/>
          <w:szCs w:val="13"/>
          <w:color w:val="auto"/>
        </w:rPr>
        <w:t>]</w:t>
      </w:r>
    </w:p>
    <w:p>
      <w:pPr>
        <w:sectPr>
          <w:pgSz w:w="11900" w:h="16838" w:orient="portrait"/>
          <w:cols w:equalWidth="0" w:num="1">
            <w:col w:w="9019"/>
          </w:cols>
          <w:pgMar w:left="1440" w:top="998" w:right="1440" w:bottom="1440" w:gutter="0" w:footer="0" w:header="0"/>
        </w:sectPr>
      </w:pPr>
    </w:p>
    <w:bookmarkStart w:id="126" w:name="page127"/>
    <w:bookmarkEnd w:id="126"/>
    <w:p>
      <w:pPr>
        <w:spacing w:after="0"/>
        <w:rPr>
          <w:sz w:val="20"/>
          <w:szCs w:val="20"/>
          <w:color w:val="auto"/>
        </w:rPr>
      </w:pPr>
      <w:r>
        <w:rPr>
          <w:rFonts w:ascii="Arial" w:cs="Arial" w:eastAsia="Arial" w:hAnsi="Arial"/>
          <w:sz w:val="11"/>
          <w:szCs w:val="11"/>
          <w:color w:val="auto"/>
        </w:rPr>
        <w:t>IN WITNESS WHEREOF, the parties hereto have executed this Amendment to the Agreement as of the date first above written.</w:t>
      </w:r>
    </w:p>
    <w:p>
      <w:pPr>
        <w:sectPr>
          <w:pgSz w:w="11900" w:h="16838" w:orient="portrait"/>
          <w:cols w:equalWidth="0" w:num="1">
            <w:col w:w="9779"/>
          </w:cols>
          <w:pgMar w:left="680" w:top="1218" w:right="1440" w:bottom="1440" w:gutter="0" w:footer="0" w:header="0"/>
        </w:sectPr>
      </w:pPr>
    </w:p>
    <w:p>
      <w:pPr>
        <w:spacing w:after="0" w:line="342"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GENERAL PARTNER:</w:t>
      </w:r>
    </w:p>
    <w:p>
      <w:pPr>
        <w:spacing w:after="0" w:line="166"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THE MACERICH COMPANY</w:t>
      </w:r>
    </w:p>
    <w:p>
      <w:pPr>
        <w:spacing w:after="0" w:line="200" w:lineRule="exact"/>
        <w:rPr>
          <w:sz w:val="20"/>
          <w:szCs w:val="20"/>
          <w:color w:val="auto"/>
        </w:rPr>
      </w:pPr>
    </w:p>
    <w:p>
      <w:pPr>
        <w:spacing w:after="0" w:line="236" w:lineRule="exact"/>
        <w:rPr>
          <w:sz w:val="20"/>
          <w:szCs w:val="20"/>
          <w:color w:val="auto"/>
        </w:rPr>
      </w:pPr>
    </w:p>
    <w:p>
      <w:pPr>
        <w:ind w:left="2200"/>
        <w:spacing w:after="0"/>
        <w:rPr>
          <w:sz w:val="20"/>
          <w:szCs w:val="20"/>
          <w:color w:val="auto"/>
        </w:rPr>
      </w:pPr>
      <w:r>
        <w:rPr>
          <w:rFonts w:ascii="Arial" w:cs="Arial" w:eastAsia="Arial" w:hAnsi="Arial"/>
          <w:sz w:val="13"/>
          <w:szCs w:val="13"/>
          <w:color w:val="auto"/>
        </w:rPr>
        <w:t>By: /s/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-7620</wp:posOffset>
            </wp:positionV>
            <wp:extent cx="79121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9">
                      <a:extLst>
                        <a:ext uri="{28A0092B-C50C-407E-A947-70E740481C1C}"/>
                      </a:extLst>
                    </a:blip>
                    <a:srcRect/>
                    <a:stretch>
                      <a:fillRect/>
                    </a:stretch>
                  </pic:blipFill>
                  <pic:spPr bwMode="auto">
                    <a:xfrm>
                      <a:off x="0" y="0"/>
                      <a:ext cx="791210" cy="5715"/>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3"/>
          <w:szCs w:val="13"/>
          <w:color w:val="auto"/>
        </w:rPr>
        <w:t>Name: Ann C. Menard</w:t>
      </w:r>
    </w:p>
    <w:p>
      <w:pPr>
        <w:ind w:left="2200"/>
        <w:spacing w:after="0"/>
        <w:rPr>
          <w:sz w:val="20"/>
          <w:szCs w:val="20"/>
          <w:color w:val="auto"/>
        </w:rPr>
      </w:pPr>
      <w:r>
        <w:rPr>
          <w:rFonts w:ascii="Arial" w:cs="Arial" w:eastAsia="Arial" w:hAnsi="Arial"/>
          <w:sz w:val="12"/>
          <w:szCs w:val="12"/>
          <w:color w:val="auto"/>
        </w:rPr>
        <w:t>Title: Senior Executive Vice President, Chief Legal Officer and Secretary</w:t>
      </w:r>
    </w:p>
    <w:p>
      <w:pPr>
        <w:sectPr>
          <w:pgSz w:w="11900" w:h="16838" w:orient="portrait"/>
          <w:cols w:equalWidth="0" w:num="1">
            <w:col w:w="9779"/>
          </w:cols>
          <w:pgMar w:left="680" w:top="1218" w:right="1440"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1"/>
          <w:szCs w:val="11"/>
          <w:b w:val="1"/>
          <w:bCs w:val="1"/>
          <w:color w:val="auto"/>
        </w:rPr>
        <w:t>FOURTEENTH AMENDMENT TO THE</w:t>
      </w:r>
    </w:p>
    <w:p>
      <w:pPr>
        <w:spacing w:after="0" w:line="13"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color w:val="auto"/>
        </w:rPr>
        <w:t>AMENDED AND RESTATED LIMITED PARTNERSHIP AGREEMENT OF</w:t>
      </w:r>
    </w:p>
    <w:p>
      <w:pPr>
        <w:jc w:val="center"/>
        <w:ind w:right="-260"/>
        <w:spacing w:after="0"/>
        <w:rPr>
          <w:sz w:val="20"/>
          <w:szCs w:val="20"/>
          <w:color w:val="auto"/>
        </w:rPr>
      </w:pPr>
      <w:r>
        <w:rPr>
          <w:rFonts w:ascii="Arial" w:cs="Arial" w:eastAsia="Arial" w:hAnsi="Arial"/>
          <w:sz w:val="11"/>
          <w:szCs w:val="11"/>
          <w:b w:val="1"/>
          <w:bCs w:val="1"/>
          <w:color w:val="auto"/>
        </w:rPr>
        <w:t>THE MACERICH PARTNERSHIP, L.P.</w:t>
      </w:r>
    </w:p>
    <w:p>
      <w:pPr>
        <w:sectPr>
          <w:pgSz w:w="11900" w:h="16838" w:orient="portrait"/>
          <w:cols w:equalWidth="0" w:num="1">
            <w:col w:w="9299"/>
          </w:cols>
          <w:pgMar w:left="1160" w:top="1201"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21.1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LIST OF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801-GALLERY ASSOCIATES, L.P., a Pennsylvania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801-GALLERY C-3 ASSOCIATES,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801-GALLERY GP, LLC, a Pennsylvania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801 MARKET VENTURE GP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AM TYSONS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BILTMORE SHOPPING CENTER PARTNERS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BROOKLYN KINGS PLAZA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CAM-CARSON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COOLIDGE HOLDING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CORTE MADERA VILLAGE,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COUNTRY CLUB PLAZA KC PARTNERS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DANBURY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DESERT SKY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EAST MESA ADJACENT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EAST MESA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FASHION OUTLETS II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FASHION OUTLETS OF CHICAGO EXPANSION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FASHION OUTLETS OF CHICAGO LLC, a Delaware limited liability company</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FIFTH WALL VENTURES, L.P., a Delaware limited partnership</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FIFTH WALL VENTURES II, L.P., a Cayman Islands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FIFTH WALL VENTURES RETAIL FUND,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FOC ADJACENT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FREE RACE MALL REST., L.P., a New Jersey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FREEHOLD CHANDLER HOLDINGS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GOODYEAR PERIPHERAL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GREEN ACRES ADJACENT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HPP-MAC WSP,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KIERLAND COMMONS INVESTMENT LLC, a Delaware limited liability company</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KINGS PLAZA ENERGY LLC, a Delaware limited liability company</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KINGS PLAZA GROUND LEASE LLC, a Delaware limited liability company</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MACERICH ARIZONA MANAGEMENT LLC, a Delaware limited liability company</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MACERICH ARIZONA PARTNERS LLC, an Arizona limited liability company</w:t>
      </w:r>
    </w:p>
    <w:p>
      <w:pPr>
        <w:sectPr>
          <w:pgSz w:w="11900" w:h="16838" w:orient="portrait"/>
          <w:cols w:equalWidth="0" w:num="1">
            <w:col w:w="11300"/>
          </w:cols>
          <w:pgMar w:left="300" w:top="989" w:right="29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color w:val="auto"/>
        </w:rPr>
        <w:t>MACERICH BUENAVENTURA LIMITED PARTNERSHIP, a California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FARGO ASSOCIATES, a California general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FRESNO ADJACENT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FRESNO LIMITED PARTNERSHIP, a California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HHF BROADWAY PLAZA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HHF CENTERS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HOLDINGS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INLAND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INVESTMENTS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JANSS MARKETPLACE HOLDINGS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LA CUMBRE 9.45 AC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LA CUMBRE GP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LA CUMBRE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MANAGEMENT COMPANY, a California corporation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NB FREEHOLD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NIAGARA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NORTH PARK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OAKS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PARTNERS OF COLORADO LLC, a Colorado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PPR CORP., a Maryland corporation</w:t>
      </w:r>
    </w:p>
    <w:p>
      <w:pPr>
        <w:spacing w:after="0" w:line="76" w:lineRule="exact"/>
        <w:rPr>
          <w:sz w:val="20"/>
          <w:szCs w:val="20"/>
          <w:color w:val="auto"/>
        </w:rPr>
      </w:pPr>
    </w:p>
    <w:p>
      <w:pPr>
        <w:ind w:right="4779"/>
        <w:spacing w:after="0" w:line="361" w:lineRule="auto"/>
        <w:rPr>
          <w:sz w:val="20"/>
          <w:szCs w:val="20"/>
          <w:color w:val="auto"/>
        </w:rPr>
      </w:pPr>
      <w:r>
        <w:rPr>
          <w:rFonts w:ascii="Arial" w:cs="Arial" w:eastAsia="Arial" w:hAnsi="Arial"/>
          <w:sz w:val="13"/>
          <w:szCs w:val="13"/>
          <w:color w:val="auto"/>
        </w:rPr>
        <w:t>MACERICH PROPERTY MANAGEMENT COMPANY, LLC, a Delaware limited liability company MACERICH SMP LP, a Delaware limited partnership</w:t>
      </w:r>
    </w:p>
    <w:p>
      <w:pPr>
        <w:spacing w:after="0"/>
        <w:rPr>
          <w:sz w:val="20"/>
          <w:szCs w:val="20"/>
          <w:color w:val="auto"/>
        </w:rPr>
      </w:pPr>
      <w:r>
        <w:rPr>
          <w:rFonts w:ascii="Arial" w:cs="Arial" w:eastAsia="Arial" w:hAnsi="Arial"/>
          <w:sz w:val="13"/>
          <w:szCs w:val="13"/>
          <w:color w:val="auto"/>
        </w:rPr>
        <w:t>MACERICH SOUTH PARK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SOUTHRIDGE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STONEWOOD CORP., a Delaware corporation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TYSONS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VALLEY RIVER CENTER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VICTOR VALLEY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MACERICH VINTAGE FAIRE LIMITED PARTNERSHIP,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MACJ,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MACPT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MACW FREEHOLD,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MACWH,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MACW MALL MANAGEMENT, INC., a New York corporation</w:t>
      </w:r>
    </w:p>
    <w:p>
      <w:pPr>
        <w:sectPr>
          <w:pgSz w:w="11900" w:h="16838" w:orient="portrait"/>
          <w:cols w:equalWidth="0" w:num="1">
            <w:col w:w="10159"/>
          </w:cols>
          <w:pgMar w:left="300" w:top="1029" w:right="1440"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auto"/>
        </w:rPr>
        <w:t>MACW PROPERTY MANAGEMENT, LLC, a New York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MACW TYSONS,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MP PS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MS PORTFOLIO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MVRC HOLDING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MW INVESTMENT GP CORP., a Delaware corporation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NEW RIVER ASSOCIATES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ONE SCOTTSDALE INVESTORS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PACIFIC PREMIER RETAIL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PM GALLERY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PROPCOR II ASSOCIATES,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PV LAND SPE,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QUEENS CENTER REIT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QUEENS CENTER SPE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RAILHEAD ASSOCIATES,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SCOTTSDALE FASHION SQUARE PARTNERSHIP, an Arizona general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SM EASTLAND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SM VALLEY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THE MACERICH PARTNERSHIP, L.P.,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WESTCOR COMPANY LIMITED PARTNERSHIP, an Arizona limited partnership</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WESTCOR COMPANY II LIMITED PARTNERSHIP, an Arizona limited partnership</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TM TRS HOLDING COMPANY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TOWNE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TWC TUCSON,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TYSONS CORNER LLC, a Virginia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TYSONS CORNER HOTEL I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TYSONS CORNER PROPERTY HOLDINGS II LLC, a Delaware limited liability company</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TYSONS CORNER PROPERTY LLC, a Virginia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VALLEY STREAM GREEN ACRES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WESTCOR/GOODYEAR,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WESTCOR/PARADISE RIDGE,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WESTCOR REALTY LIMITED PARTNERSHIP, a Delaware limited partnership</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WESTCOR SANTAN ADJACENT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WESTCOR SANTAN VILLAGE LLC, a Delaware limited liability company</w:t>
      </w:r>
    </w:p>
    <w:p>
      <w:pPr>
        <w:sectPr>
          <w:pgSz w:w="11900" w:h="16838" w:orient="portrait"/>
          <w:cols w:equalWidth="0" w:num="1">
            <w:col w:w="10159"/>
          </w:cols>
          <w:pgMar w:left="300" w:top="1029" w:right="1440" w:bottom="1440" w:gutter="0" w:footer="0" w:header="0"/>
        </w:sectPr>
      </w:pPr>
    </w:p>
    <w:bookmarkStart w:id="131" w:name="page132"/>
    <w:bookmarkEnd w:id="131"/>
    <w:p>
      <w:pPr>
        <w:spacing w:after="0"/>
        <w:rPr>
          <w:sz w:val="20"/>
          <w:szCs w:val="20"/>
          <w:color w:val="auto"/>
        </w:rPr>
      </w:pPr>
      <w:r>
        <w:rPr>
          <w:rFonts w:ascii="Arial" w:cs="Arial" w:eastAsia="Arial" w:hAnsi="Arial"/>
          <w:sz w:val="12"/>
          <w:szCs w:val="12"/>
          <w:color w:val="auto"/>
        </w:rPr>
        <w:t>WESTCOR SURPRISE RSC LLC, an Arizona limited liability company</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WESTCOR SURPRISE RSC II LLC, an Arizona limited liability company</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WESTCOR/SURPRISE LLC, an Arizona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WILTON MALL, LLC, a Delaware limited liability company</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WMAP, L.L.C., a Delaware limited liability company</w:t>
      </w:r>
    </w:p>
    <w:p>
      <w:pPr>
        <w:sectPr>
          <w:pgSz w:w="11900" w:h="16838" w:orient="portrait"/>
          <w:cols w:equalWidth="0" w:num="1">
            <w:col w:w="10159"/>
          </w:cols>
          <w:pgMar w:left="300" w:top="1029"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2"/>
          <w:szCs w:val="12"/>
          <w:b w:val="1"/>
          <w:bCs w:val="1"/>
          <w:color w:val="auto"/>
        </w:rPr>
        <w:t>Exhibit 23.1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361" w:lineRule="exact"/>
        <w:rPr>
          <w:sz w:val="20"/>
          <w:szCs w:val="20"/>
          <w:color w:val="auto"/>
        </w:rPr>
      </w:pPr>
    </w:p>
    <w:p>
      <w:pPr>
        <w:jc w:val="both"/>
        <w:ind w:right="20" w:firstLine="297"/>
        <w:spacing w:after="0" w:line="263" w:lineRule="auto"/>
        <w:rPr>
          <w:sz w:val="20"/>
          <w:szCs w:val="20"/>
          <w:color w:val="auto"/>
        </w:rPr>
      </w:pPr>
      <w:r>
        <w:rPr>
          <w:rFonts w:ascii="Arial" w:cs="Arial" w:eastAsia="Arial" w:hAnsi="Arial"/>
          <w:sz w:val="12"/>
          <w:szCs w:val="12"/>
          <w:color w:val="auto"/>
        </w:rPr>
        <w:t>We consent to the incorporation by reference in the registration statements (Nos. 333-240975, 333-107063, and 333-121630) on Form S-3 and (Nos. 333-00584, 333-42309, 333-42303, 333-69995, 333-108193, 333-120585, 333-161371, 333-186915, 333-186916, 333-211816 and 333-256832) on Form S-8 of our reports dated February 25, 2022, with respect to the consolidated financial statements and financial statement schedule III of The Macerich Company and the effectiveness of internal control over financial reporting.</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2022</w:t>
      </w:r>
    </w:p>
    <w:p>
      <w:pPr>
        <w:sectPr>
          <w:pgSz w:w="11900" w:h="16838" w:orient="portrait"/>
          <w:cols w:equalWidth="0" w:num="1">
            <w:col w:w="11300"/>
          </w:cols>
          <w:pgMar w:left="300" w:top="991" w:right="2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2"/>
          <w:szCs w:val="12"/>
          <w:b w:val="1"/>
          <w:bCs w:val="1"/>
          <w:color w:val="auto"/>
        </w:rPr>
        <w:t>Exhibit 31.1</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CERTIFICATION</w:t>
      </w:r>
    </w:p>
    <w:p>
      <w:pPr>
        <w:spacing w:after="0" w:line="37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Thomas E. O'Hern, certify that:</w:t>
      </w:r>
    </w:p>
    <w:p>
      <w:pPr>
        <w:spacing w:after="0" w:line="96" w:lineRule="exact"/>
        <w:rPr>
          <w:sz w:val="20"/>
          <w:szCs w:val="20"/>
          <w:color w:val="auto"/>
        </w:rPr>
      </w:pPr>
    </w:p>
    <w:p>
      <w:pPr>
        <w:ind w:left="368" w:hanging="368"/>
        <w:spacing w:after="0"/>
        <w:tabs>
          <w:tab w:leader="none" w:pos="36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 have reviewed this report on Form 10-K for the year ended December 31, 2021 of The Macerich Company;</w:t>
      </w:r>
    </w:p>
    <w:p>
      <w:pPr>
        <w:spacing w:after="0" w:line="105" w:lineRule="exact"/>
        <w:rPr>
          <w:rFonts w:ascii="Arial" w:cs="Arial" w:eastAsia="Arial" w:hAnsi="Arial"/>
          <w:sz w:val="12"/>
          <w:szCs w:val="12"/>
          <w:color w:val="auto"/>
        </w:rPr>
      </w:pPr>
    </w:p>
    <w:p>
      <w:pPr>
        <w:ind w:left="388" w:right="40" w:hanging="388"/>
        <w:spacing w:after="0" w:line="276" w:lineRule="auto"/>
        <w:tabs>
          <w:tab w:leader="none" w:pos="38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2"/>
          <w:szCs w:val="12"/>
          <w:color w:val="auto"/>
        </w:rPr>
      </w:pPr>
    </w:p>
    <w:p>
      <w:pPr>
        <w:ind w:left="388" w:right="140" w:hanging="388"/>
        <w:spacing w:after="0" w:line="276" w:lineRule="auto"/>
        <w:tabs>
          <w:tab w:leader="none" w:pos="38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2"/>
          <w:szCs w:val="12"/>
          <w:color w:val="auto"/>
        </w:rPr>
      </w:pPr>
    </w:p>
    <w:p>
      <w:pPr>
        <w:ind w:left="388" w:right="60" w:hanging="388"/>
        <w:spacing w:after="0" w:line="276" w:lineRule="auto"/>
        <w:tabs>
          <w:tab w:leader="none" w:pos="38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748" w:right="340" w:hanging="370"/>
        <w:spacing w:after="0" w:line="276" w:lineRule="auto"/>
        <w:tabs>
          <w:tab w:leader="none" w:pos="746"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748" w:right="100" w:hanging="370"/>
        <w:spacing w:after="0" w:line="276" w:lineRule="auto"/>
        <w:tabs>
          <w:tab w:leader="none" w:pos="744"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left="748" w:right="140" w:hanging="370"/>
        <w:spacing w:after="0" w:line="276" w:lineRule="auto"/>
        <w:tabs>
          <w:tab w:leader="none" w:pos="746" w:val="left"/>
        </w:tabs>
        <w:numPr>
          <w:ilvl w:val="1"/>
          <w:numId w:val="5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748" w:right="200" w:hanging="370"/>
        <w:spacing w:after="0" w:line="276" w:lineRule="auto"/>
        <w:tabs>
          <w:tab w:leader="none" w:pos="744" w:val="left"/>
        </w:tabs>
        <w:numPr>
          <w:ilvl w:val="1"/>
          <w:numId w:val="5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388" w:right="320" w:hanging="388"/>
        <w:spacing w:after="0" w:line="276" w:lineRule="auto"/>
        <w:tabs>
          <w:tab w:leader="none" w:pos="38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2"/>
          <w:szCs w:val="12"/>
          <w:color w:val="auto"/>
        </w:rPr>
      </w:pPr>
    </w:p>
    <w:p>
      <w:pPr>
        <w:ind w:left="748" w:right="500" w:hanging="370"/>
        <w:spacing w:after="0" w:line="276" w:lineRule="auto"/>
        <w:tabs>
          <w:tab w:leader="none" w:pos="746" w:val="left"/>
        </w:tabs>
        <w:numPr>
          <w:ilvl w:val="1"/>
          <w:numId w:val="5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748" w:hanging="370"/>
        <w:spacing w:after="0"/>
        <w:tabs>
          <w:tab w:leader="none" w:pos="748" w:val="left"/>
        </w:tabs>
        <w:numPr>
          <w:ilvl w:val="1"/>
          <w:numId w:val="5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6008"/>
        <w:spacing w:after="0"/>
        <w:rPr>
          <w:sz w:val="20"/>
          <w:szCs w:val="20"/>
          <w:color w:val="auto"/>
        </w:rPr>
      </w:pPr>
      <w:r>
        <w:rPr>
          <w:rFonts w:ascii="Arial" w:cs="Arial" w:eastAsia="Arial" w:hAnsi="Arial"/>
          <w:sz w:val="12"/>
          <w:szCs w:val="12"/>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9525</wp:posOffset>
            </wp:positionV>
            <wp:extent cx="310324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0">
                      <a:extLst>
                        <a:ext uri="{28A0092B-C50C-407E-A947-70E740481C1C}"/>
                      </a:extLst>
                    </a:blip>
                    <a:srcRect/>
                    <a:stretch>
                      <a:fillRect/>
                    </a:stretch>
                  </pic:blipFill>
                  <pic:spPr bwMode="auto">
                    <a:xfrm>
                      <a:off x="0" y="0"/>
                      <a:ext cx="3103245" cy="5715"/>
                    </a:xfrm>
                    <a:prstGeom prst="rect">
                      <a:avLst/>
                    </a:prstGeom>
                    <a:noFill/>
                  </pic:spPr>
                </pic:pic>
              </a:graphicData>
            </a:graphic>
          </wp:anchor>
        </w:drawing>
      </w:r>
    </w:p>
    <w:p>
      <w:pPr>
        <w:spacing w:after="0" w:line="4" w:lineRule="exact"/>
        <w:rPr>
          <w:sz w:val="20"/>
          <w:szCs w:val="20"/>
          <w:color w:val="auto"/>
        </w:rPr>
      </w:pPr>
    </w:p>
    <w:p>
      <w:pPr>
        <w:ind w:left="428"/>
        <w:spacing w:after="0"/>
        <w:tabs>
          <w:tab w:leader="none" w:pos="1248" w:val="left"/>
          <w:tab w:leader="none" w:pos="5988"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February 25, 2022</w:t>
      </w:r>
      <w:r>
        <w:rPr>
          <w:sz w:val="20"/>
          <w:szCs w:val="20"/>
          <w:color w:val="auto"/>
        </w:rPr>
        <w:tab/>
      </w:r>
      <w:r>
        <w:rPr>
          <w:rFonts w:ascii="Arial" w:cs="Arial" w:eastAsia="Arial" w:hAnsi="Arial"/>
          <w:sz w:val="11"/>
          <w:szCs w:val="11"/>
          <w:i w:val="1"/>
          <w:iCs w:val="1"/>
          <w:color w:val="auto"/>
        </w:rPr>
        <w:t>Chief Executive Officer and Director</w:t>
      </w:r>
    </w:p>
    <w:p>
      <w:pPr>
        <w:sectPr>
          <w:pgSz w:w="11900" w:h="16838" w:orient="portrait"/>
          <w:cols w:equalWidth="0" w:num="1">
            <w:col w:w="11308"/>
          </w:cols>
          <w:pgMar w:left="292" w:top="739" w:right="2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2"/>
          <w:szCs w:val="12"/>
          <w:b w:val="1"/>
          <w:bCs w:val="1"/>
          <w:color w:val="auto"/>
        </w:rPr>
        <w:t>Exhibit 31.2</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CERTIFICATION</w:t>
      </w:r>
    </w:p>
    <w:p>
      <w:pPr>
        <w:spacing w:after="0" w:line="37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Scott W. Kingsmore, certify that:</w:t>
      </w:r>
    </w:p>
    <w:p>
      <w:pPr>
        <w:spacing w:after="0" w:line="96" w:lineRule="exact"/>
        <w:rPr>
          <w:sz w:val="20"/>
          <w:szCs w:val="20"/>
          <w:color w:val="auto"/>
        </w:rPr>
      </w:pPr>
    </w:p>
    <w:p>
      <w:pPr>
        <w:ind w:left="428" w:hanging="428"/>
        <w:spacing w:after="0"/>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 have reviewed this report on Form 10-K for the year ended December 31, 2021 of The Macerich Company;</w:t>
      </w:r>
    </w:p>
    <w:p>
      <w:pPr>
        <w:spacing w:after="0" w:line="105" w:lineRule="exact"/>
        <w:rPr>
          <w:rFonts w:ascii="Arial" w:cs="Arial" w:eastAsia="Arial" w:hAnsi="Arial"/>
          <w:sz w:val="12"/>
          <w:szCs w:val="12"/>
          <w:color w:val="auto"/>
        </w:rPr>
      </w:pPr>
    </w:p>
    <w:p>
      <w:pPr>
        <w:ind w:left="428" w:right="240" w:hanging="428"/>
        <w:spacing w:after="0" w:line="276" w:lineRule="auto"/>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2"/>
          <w:szCs w:val="12"/>
          <w:color w:val="auto"/>
        </w:rPr>
      </w:pPr>
    </w:p>
    <w:p>
      <w:pPr>
        <w:ind w:left="428" w:right="80" w:hanging="428"/>
        <w:spacing w:after="0" w:line="276" w:lineRule="auto"/>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2"/>
          <w:szCs w:val="12"/>
          <w:color w:val="auto"/>
        </w:rPr>
      </w:pPr>
    </w:p>
    <w:p>
      <w:pPr>
        <w:ind w:left="428" w:right="440" w:hanging="428"/>
        <w:spacing w:after="0" w:line="276" w:lineRule="auto"/>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808" w:right="280" w:hanging="376"/>
        <w:spacing w:after="0" w:line="276" w:lineRule="auto"/>
        <w:tabs>
          <w:tab w:leader="none" w:pos="806" w:val="left"/>
        </w:tabs>
        <w:numPr>
          <w:ilvl w:val="1"/>
          <w:numId w:val="6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808" w:right="40" w:hanging="376"/>
        <w:spacing w:after="0" w:line="276" w:lineRule="auto"/>
        <w:tabs>
          <w:tab w:leader="none" w:pos="804" w:val="left"/>
        </w:tabs>
        <w:numPr>
          <w:ilvl w:val="1"/>
          <w:numId w:val="6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left="808" w:right="80" w:hanging="376"/>
        <w:spacing w:after="0" w:line="276" w:lineRule="auto"/>
        <w:tabs>
          <w:tab w:leader="none" w:pos="806" w:val="left"/>
        </w:tabs>
        <w:numPr>
          <w:ilvl w:val="1"/>
          <w:numId w:val="6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808" w:right="140" w:hanging="376"/>
        <w:spacing w:after="0" w:line="276" w:lineRule="auto"/>
        <w:tabs>
          <w:tab w:leader="none" w:pos="804" w:val="left"/>
        </w:tabs>
        <w:numPr>
          <w:ilvl w:val="1"/>
          <w:numId w:val="6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428" w:right="260" w:hanging="428"/>
        <w:spacing w:after="0" w:line="276" w:lineRule="auto"/>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2"/>
          <w:szCs w:val="12"/>
          <w:color w:val="auto"/>
        </w:rPr>
      </w:pPr>
    </w:p>
    <w:p>
      <w:pPr>
        <w:ind w:left="808" w:right="440" w:hanging="376"/>
        <w:spacing w:after="0" w:line="276" w:lineRule="auto"/>
        <w:tabs>
          <w:tab w:leader="none" w:pos="806" w:val="left"/>
        </w:tabs>
        <w:numPr>
          <w:ilvl w:val="1"/>
          <w:numId w:val="6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808" w:hanging="376"/>
        <w:spacing w:after="0"/>
        <w:tabs>
          <w:tab w:leader="none" w:pos="808" w:val="left"/>
        </w:tabs>
        <w:numPr>
          <w:ilvl w:val="1"/>
          <w:numId w:val="6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5428"/>
        <w:spacing w:after="0"/>
        <w:rPr>
          <w:sz w:val="20"/>
          <w:szCs w:val="20"/>
          <w:color w:val="auto"/>
        </w:rPr>
      </w:pPr>
      <w:r>
        <w:rPr>
          <w:rFonts w:ascii="Arial" w:cs="Arial" w:eastAsia="Arial" w:hAnsi="Arial"/>
          <w:sz w:val="12"/>
          <w:szCs w:val="12"/>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9525</wp:posOffset>
            </wp:positionV>
            <wp:extent cx="35204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1">
                      <a:extLst>
                        <a:ext uri="{28A0092B-C50C-407E-A947-70E740481C1C}"/>
                      </a:extLst>
                    </a:blip>
                    <a:srcRect/>
                    <a:stretch>
                      <a:fillRect/>
                    </a:stretch>
                  </pic:blipFill>
                  <pic:spPr bwMode="auto">
                    <a:xfrm>
                      <a:off x="0" y="0"/>
                      <a:ext cx="3520440" cy="5715"/>
                    </a:xfrm>
                    <a:prstGeom prst="rect">
                      <a:avLst/>
                    </a:prstGeom>
                    <a:noFill/>
                  </pic:spPr>
                </pic:pic>
              </a:graphicData>
            </a:graphic>
          </wp:anchor>
        </w:drawing>
      </w:r>
    </w:p>
    <w:p>
      <w:pPr>
        <w:spacing w:after="0" w:line="4" w:lineRule="exact"/>
        <w:rPr>
          <w:sz w:val="20"/>
          <w:szCs w:val="20"/>
          <w:color w:val="auto"/>
        </w:rPr>
      </w:pPr>
    </w:p>
    <w:p>
      <w:pPr>
        <w:ind w:left="368"/>
        <w:spacing w:after="0"/>
        <w:tabs>
          <w:tab w:leader="none" w:pos="1188" w:val="left"/>
          <w:tab w:leader="none" w:pos="5408"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February 25, 2022</w:t>
      </w:r>
      <w:r>
        <w:rPr>
          <w:sz w:val="20"/>
          <w:szCs w:val="20"/>
          <w:color w:val="auto"/>
        </w:rPr>
        <w:tab/>
      </w:r>
      <w:r>
        <w:rPr>
          <w:rFonts w:ascii="Arial" w:cs="Arial" w:eastAsia="Arial" w:hAnsi="Arial"/>
          <w:sz w:val="10"/>
          <w:szCs w:val="10"/>
          <w:i w:val="1"/>
          <w:iCs w:val="1"/>
          <w:color w:val="auto"/>
        </w:rPr>
        <w:t>Senior Executive Vice President and Chief Financial Officer</w:t>
      </w:r>
    </w:p>
    <w:p>
      <w:pPr>
        <w:sectPr>
          <w:pgSz w:w="11900" w:h="16838" w:orient="portrait"/>
          <w:cols w:equalWidth="0" w:num="1">
            <w:col w:w="11308"/>
          </w:cols>
          <w:pgMar w:left="292" w:top="739" w:right="2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2"/>
          <w:szCs w:val="12"/>
          <w:b w:val="1"/>
          <w:bCs w:val="1"/>
          <w:color w:val="auto"/>
        </w:rPr>
        <w:t>Exhibit 32.1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 (The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WRITTEN STATEMENT PURSUANT TO 18 U.S.C. SECTION 1350</w:t>
      </w:r>
    </w:p>
    <w:p>
      <w:pPr>
        <w:spacing w:after="0" w:line="96" w:lineRule="exact"/>
        <w:rPr>
          <w:sz w:val="20"/>
          <w:szCs w:val="20"/>
          <w:color w:val="auto"/>
        </w:rPr>
      </w:pPr>
    </w:p>
    <w:p>
      <w:pPr>
        <w:ind w:right="60" w:firstLine="297"/>
        <w:spacing w:after="0" w:line="276" w:lineRule="auto"/>
        <w:rPr>
          <w:sz w:val="20"/>
          <w:szCs w:val="20"/>
          <w:color w:val="auto"/>
        </w:rPr>
      </w:pPr>
      <w:r>
        <w:rPr>
          <w:rFonts w:ascii="Arial" w:cs="Arial" w:eastAsia="Arial" w:hAnsi="Arial"/>
          <w:sz w:val="12"/>
          <w:szCs w:val="12"/>
          <w:color w:val="auto"/>
        </w:rPr>
        <w:t>The undersigned, Thomas E. O'Hern and Scott W. Kingsmore, the Chief Executive Officer and Chief Financial Officer, respectively, of The Macerich Company (the "Company"), pursuant to 18 U.S.C. §1350, each hereby certify that, to the best of his knowledge:</w:t>
      </w:r>
    </w:p>
    <w:p>
      <w:pPr>
        <w:spacing w:after="0" w:line="70" w:lineRule="exact"/>
        <w:rPr>
          <w:sz w:val="20"/>
          <w:szCs w:val="20"/>
          <w:color w:val="auto"/>
        </w:rPr>
      </w:pPr>
    </w:p>
    <w:p>
      <w:pPr>
        <w:ind w:left="860" w:hanging="382"/>
        <w:spacing w:after="0"/>
        <w:tabs>
          <w:tab w:leader="none" w:pos="8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Annual Report on Form 10-K for the year ended December 31, 2021 of the Company (the "Report") fully complies with the requirements of Section 13(a) and 15(d) of the Securities Exchange Act of 1934; and</w:t>
      </w:r>
    </w:p>
    <w:p>
      <w:pPr>
        <w:spacing w:after="0" w:line="107" w:lineRule="exact"/>
        <w:rPr>
          <w:rFonts w:ascii="Arial" w:cs="Arial" w:eastAsia="Arial" w:hAnsi="Arial"/>
          <w:sz w:val="11"/>
          <w:szCs w:val="11"/>
          <w:color w:val="auto"/>
        </w:rPr>
      </w:pPr>
    </w:p>
    <w:p>
      <w:pPr>
        <w:ind w:left="840" w:hanging="362"/>
        <w:spacing w:after="0"/>
        <w:tabs>
          <w:tab w:leader="none" w:pos="8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25, 2022</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9525</wp:posOffset>
            </wp:positionV>
            <wp:extent cx="35947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2">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Arial" w:cs="Arial" w:eastAsia="Arial" w:hAnsi="Arial"/>
          <w:sz w:val="12"/>
          <w:szCs w:val="12"/>
          <w:i w:val="1"/>
          <w:iCs w:val="1"/>
          <w:color w:val="auto"/>
        </w:rPr>
        <w:t>Chief Executive Officer and Director</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9525</wp:posOffset>
            </wp:positionV>
            <wp:extent cx="35947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3">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Arial" w:cs="Arial" w:eastAsia="Arial" w:hAnsi="Arial"/>
          <w:sz w:val="12"/>
          <w:szCs w:val="12"/>
          <w:i w:val="1"/>
          <w:iCs w:val="1"/>
          <w:color w:val="auto"/>
        </w:rPr>
        <w:t>Senior Executive Vice President and Chief Financial Officer</w:t>
      </w:r>
    </w:p>
    <w:sectPr>
      <w:pgSz w:w="11900" w:h="16838" w:orient="portrait"/>
      <w:cols w:equalWidth="0" w:num="1">
        <w:col w:w="11300"/>
      </w:cols>
      <w:pgMar w:left="300" w:top="73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2"/>
    </w:lvl>
  </w:abstractNum>
  <w:abstractNum w:abstractNumId="22">
    <w:nsid w:val="70A64E2A"/>
    <w:multiLevelType w:val="hybridMultilevel"/>
    <w:lvl w:ilvl="0">
      <w:lvlJc w:val="left"/>
      <w:lvlText w:val="(%1)"/>
      <w:numFmt w:val="decimal"/>
      <w:start w:val="8"/>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2"/>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2"/>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0"/>
    </w:lvl>
    <w:lvl w:ilvl="1">
      <w:lvlJc w:val="left"/>
      <w:lvlText w:val="(%2)"/>
      <w:numFmt w:val="decimal"/>
      <w:start w:val="10"/>
    </w:lvl>
  </w:abstractNum>
  <w:abstractNum w:abstractNumId="42">
    <w:nsid w:val="75C6C33A"/>
    <w:multiLevelType w:val="hybridMultilevel"/>
    <w:lvl w:ilvl="0">
      <w:lvlJc w:val="left"/>
      <w:lvlText w:val="%1."/>
      <w:numFmt w:val="decimal"/>
      <w:start w:val="14"/>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
      <w:numFmt w:val="bullet"/>
      <w:start w:val="1"/>
    </w:lvl>
    <w:lvl w:ilvl="1">
      <w:lvlJc w:val="left"/>
      <w:lvlText w:val="%2"/>
      <w:numFmt w:val="decimal"/>
      <w:start w:val="104"/>
    </w:lvl>
  </w:abstractNum>
  <w:abstractNum w:abstractNumId="47">
    <w:nsid w:val="4F4EF005"/>
    <w:multiLevelType w:val="hybridMultilevel"/>
    <w:lvl w:ilvl="0">
      <w:lvlJc w:val="left"/>
      <w:lvlText w:val="**"/>
      <w:numFmt w:val="bullet"/>
      <w:start w:val="1"/>
    </w:lvl>
    <w:lvl w:ilvl="1">
      <w:lvlJc w:val="left"/>
      <w:lvlText w:val="%2"/>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2"/>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54" Type="http://schemas.openxmlformats.org/officeDocument/2006/relationships/image" Target="media/image123.png"/><Relationship Id="rId168" Type="http://schemas.openxmlformats.org/officeDocument/2006/relationships/image" Target="media/image124.png"/><Relationship Id="rId175" Type="http://schemas.openxmlformats.org/officeDocument/2006/relationships/image" Target="media/image125.png"/><Relationship Id="rId191" Type="http://schemas.openxmlformats.org/officeDocument/2006/relationships/image" Target="media/image126.png"/><Relationship Id="rId199" Type="http://schemas.openxmlformats.org/officeDocument/2006/relationships/image" Target="media/image127.png"/><Relationship Id="rId200" Type="http://schemas.openxmlformats.org/officeDocument/2006/relationships/image" Target="media/image128.png"/><Relationship Id="rId201" Type="http://schemas.openxmlformats.org/officeDocument/2006/relationships/image" Target="media/image129.png"/><Relationship Id="rId202" Type="http://schemas.openxmlformats.org/officeDocument/2006/relationships/image" Target="media/image130.png"/><Relationship Id="rId203" Type="http://schemas.openxmlformats.org/officeDocument/2006/relationships/image" Target="media/image131.png"/><Relationship Id="rId204" Type="http://schemas.openxmlformats.org/officeDocument/2006/relationships/image" Target="media/image132.png"/><Relationship Id="rId205" Type="http://schemas.openxmlformats.org/officeDocument/2006/relationships/image" Target="media/image133.png"/><Relationship Id="rId206" Type="http://schemas.openxmlformats.org/officeDocument/2006/relationships/image" Target="media/image134.png"/><Relationship Id="rId207" Type="http://schemas.openxmlformats.org/officeDocument/2006/relationships/image" Target="media/image135.png"/><Relationship Id="rId208" Type="http://schemas.openxmlformats.org/officeDocument/2006/relationships/image" Target="media/image136.png"/><Relationship Id="rId209" Type="http://schemas.openxmlformats.org/officeDocument/2006/relationships/image" Target="media/image137.png"/><Relationship Id="rId210" Type="http://schemas.openxmlformats.org/officeDocument/2006/relationships/image" Target="media/image138.png"/><Relationship Id="rId211" Type="http://schemas.openxmlformats.org/officeDocument/2006/relationships/image" Target="media/image139.png"/><Relationship Id="rId212" Type="http://schemas.openxmlformats.org/officeDocument/2006/relationships/image" Target="media/image140.png"/><Relationship Id="rId213" Type="http://schemas.openxmlformats.org/officeDocument/2006/relationships/image" Target="media/image141.png"/><Relationship Id="rId128" Type="http://schemas.openxmlformats.org/officeDocument/2006/relationships/hyperlink" Target="http://www.sec.gov/Archives/edgar/data/912242/000110465914081468/a14-24669_1ex2d1.htm" TargetMode="External"/><Relationship Id="rId129" Type="http://schemas.openxmlformats.org/officeDocument/2006/relationships/hyperlink" Target="http://www.sec.gov/Archives/edgar/data/912242/0001047469-99-012492.txt" TargetMode="External"/><Relationship Id="rId130" Type="http://schemas.openxmlformats.org/officeDocument/2006/relationships/hyperlink" Target="http://www.sec.gov/Archives/edgar/data/912242/000091205702030706/a2086079zex-3_1.htm" TargetMode="External"/><Relationship Id="rId131" Type="http://schemas.openxmlformats.org/officeDocument/2006/relationships/hyperlink" Target="http://www.sec.gov/Archives/edgar/data/912242/000091205702021417/a2080342zex-4_6.htm" TargetMode="External"/><Relationship Id="rId132" Type="http://schemas.openxmlformats.org/officeDocument/2006/relationships/hyperlink" Target="http://www.sec.gov/Archives/edgar/data/912242/000104746909001981/a2189901zex-3_15.htm" TargetMode="External"/><Relationship Id="rId133" Type="http://schemas.openxmlformats.org/officeDocument/2006/relationships/hyperlink" Target="http://www.sec.gov/Archives/edgar/data/912242/000110465909008348/a09-5253_1ex3d1.htm" TargetMode="External"/><Relationship Id="rId134" Type="http://schemas.openxmlformats.org/officeDocument/2006/relationships/hyperlink" Target="http://www.sec.gov/Archives/edgar/data/912242/000104746909007391/a2193924zex-3_17.htm" TargetMode="External"/><Relationship Id="rId135" Type="http://schemas.openxmlformats.org/officeDocument/2006/relationships/hyperlink" Target="http://www.sec.gov/Archives/edgar/data/912242/000110465914043330/a14-14485_1ex3d1.htm" TargetMode="External"/><Relationship Id="rId136" Type="http://schemas.openxmlformats.org/officeDocument/2006/relationships/hyperlink" Target="http://www.sec.gov/Archives/edgar/data/912242/000110465915020412/a15-6870_1ex3d1.htm" TargetMode="External"/><Relationship Id="rId137" Type="http://schemas.openxmlformats.org/officeDocument/2006/relationships/hyperlink" Target="http://www.sec.gov/Archives/edgar/data/912242/000110465915020810/a15-6873_1ex3d1.htm" TargetMode="External"/><Relationship Id="rId138" Type="http://schemas.openxmlformats.org/officeDocument/2006/relationships/hyperlink" Target="http://www.sec.gov/Archives/edgar/data/912242/000110465915037228/a15-11185_1ex3d1.htm" TargetMode="External"/><Relationship Id="rId139" Type="http://schemas.openxmlformats.org/officeDocument/2006/relationships/hyperlink" Target="http://www.sec.gov/Archives/edgar/data/912242/000110465915042631/a15-13305_1ex3d1.htm" TargetMode="External"/><Relationship Id="rId140" Type="http://schemas.openxmlformats.org/officeDocument/2006/relationships/hyperlink" Target="http://www.sec.gov/Archives/edgar/data/912242/000119312519129272/d731295dex31.htm" TargetMode="External"/><Relationship Id="rId143" Type="http://schemas.openxmlformats.org/officeDocument/2006/relationships/hyperlink" Target="https://www.sec.gov/Archives/edgar/data/912242/000119312521182973/d417870dex31.htm" TargetMode="External"/><Relationship Id="rId144" Type="http://schemas.openxmlformats.org/officeDocument/2006/relationships/hyperlink" Target="http://www.sec.gov/Archives/edgar/data/912242/000119312519129272/d731295dex32.htm" TargetMode="External"/><Relationship Id="rId145" Type="http://schemas.openxmlformats.org/officeDocument/2006/relationships/hyperlink" Target="http://www.sec.gov/Archives/edgar/data/912242/0000898822-98-001027.txt" TargetMode="External"/><Relationship Id="rId146" Type="http://schemas.openxmlformats.org/officeDocument/2006/relationships/hyperlink" Target="http://www.sec.gov/Archives/edgar/data/912242/000104746903024203/a2114547zex-4_13.htm" TargetMode="External"/><Relationship Id="rId147" Type="http://schemas.openxmlformats.org/officeDocument/2006/relationships/hyperlink" Target="http://www.sec.gov/Archives/edgar/data/912242/0000912242-97-000007.txt" TargetMode="External"/><Relationship Id="rId148" Type="http://schemas.openxmlformats.org/officeDocument/2006/relationships/hyperlink" Target="http://www.sec.gov/Archives/edgar/data/912242/0000912057-97-023459.txt" TargetMode="External"/><Relationship Id="rId149" Type="http://schemas.openxmlformats.org/officeDocument/2006/relationships/hyperlink" Target="http://www.sec.gov/Archives/edgar/data/912242/0001047469-98-011649.txt" TargetMode="External"/><Relationship Id="rId150" Type="http://schemas.openxmlformats.org/officeDocument/2006/relationships/hyperlink" Target="http://www.sec.gov/Archives/edgar/data/912242/000091205701505482/a2042811zex-10_17.htm" TargetMode="External"/><Relationship Id="rId151" Type="http://schemas.openxmlformats.org/officeDocument/2006/relationships/hyperlink" Target="http://www.sec.gov/Archives/edgar/data/912242/000091205702030706/a2086079zex-10_1.htm" TargetMode="External"/><Relationship Id="rId152" Type="http://schemas.openxmlformats.org/officeDocument/2006/relationships/hyperlink" Target="http://www.sec.gov/Archives/edgar/data/912242/000104746907001438/a2175451zex-10_19.htm" TargetMode="External"/><Relationship Id="rId153" Type="http://schemas.openxmlformats.org/officeDocument/2006/relationships/hyperlink" Target="http://www.sec.gov/Archives/edgar/data/912242/000110465907021619/a07-8493_1ex10d1.htm" TargetMode="External"/><Relationship Id="rId155" Type="http://schemas.openxmlformats.org/officeDocument/2006/relationships/hyperlink" Target="http://www.sec.gov/Archives/edgar/data/912242/000104746909007391/a2193924zex-10_1.htm" TargetMode="External"/><Relationship Id="rId156" Type="http://schemas.openxmlformats.org/officeDocument/2006/relationships/hyperlink" Target="http://www.sec.gov/Archives/edgar/data/912242/000104746910001497/a2196442zex-10_112.htm" TargetMode="External"/><Relationship Id="rId157" Type="http://schemas.openxmlformats.org/officeDocument/2006/relationships/hyperlink" Target="http://www.sec.gov/Archives/edgar/data/912242/000110465905019358/a05-7552_1ex10d2.htm" TargetMode="External"/><Relationship Id="rId158" Type="http://schemas.openxmlformats.org/officeDocument/2006/relationships/hyperlink" Target="http://www.sec.gov/Archives/edgar/data/912242/000104746904007699/a2130493zex-10_5.htm" TargetMode="External"/><Relationship Id="rId159" Type="http://schemas.openxmlformats.org/officeDocument/2006/relationships/hyperlink" Target="http://www.sec.gov/Archives/edgar/data/912242/000104746909001981/a2189901zex-10_51.htm" TargetMode="External"/><Relationship Id="rId160" Type="http://schemas.openxmlformats.org/officeDocument/2006/relationships/hyperlink" Target="http://www.sec.gov/Archives/edgar/data/912242/000104746911006998/a2204925zex-10_1.htm" TargetMode="External"/><Relationship Id="rId161" Type="http://schemas.openxmlformats.org/officeDocument/2006/relationships/hyperlink" Target="http://www.sec.gov/Archives/edgar/data/912242/000104746912010061/a2211558zex-10_1.htm" TargetMode="External"/><Relationship Id="rId162" Type="http://schemas.openxmlformats.org/officeDocument/2006/relationships/hyperlink" Target="http://www.sec.gov/Archives/edgar/data/912242/000104746904007699/a2130493zex-10_6.htm" TargetMode="External"/><Relationship Id="rId163" Type="http://schemas.openxmlformats.org/officeDocument/2006/relationships/hyperlink" Target="http://www.sec.gov/Archives/edgar/data/912242/000104746909001981/a2189901zex-10_61.htm" TargetMode="External"/><Relationship Id="rId164" Type="http://schemas.openxmlformats.org/officeDocument/2006/relationships/hyperlink" Target="http://www.sec.gov/Archives/edgar/data/912242/000104746911006998/a2204925zex-10_3.htm" TargetMode="External"/><Relationship Id="rId165" Type="http://schemas.openxmlformats.org/officeDocument/2006/relationships/hyperlink" Target="http://www.sec.gov/Archives/edgar/data/912242/000104746912010061/a2211558zex-10_2.htm" TargetMode="External"/><Relationship Id="rId166" Type="http://schemas.openxmlformats.org/officeDocument/2006/relationships/hyperlink" Target="http://www.sec.gov/Archives/edgar/data/912242/000104746913008247/a2216262zex-10_1.htm" TargetMode="External"/><Relationship Id="rId167" Type="http://schemas.openxmlformats.org/officeDocument/2006/relationships/hyperlink" Target="http://www.sec.gov/Archives/edgar/data/912242/000091224216000020/mac-2015x12x31x10kxex108.htm" TargetMode="External"/><Relationship Id="rId169" Type="http://schemas.openxmlformats.org/officeDocument/2006/relationships/hyperlink" Target="http://www.sec.gov/Archives/edgar/data/912242/000091224219000013/mac-6302019xexhibit101.htm" TargetMode="External"/><Relationship Id="rId170" Type="http://schemas.openxmlformats.org/officeDocument/2006/relationships/hyperlink" Target="http://www.sec.gov/Archives/edgar/data/912242/000104746904007699/a2130493zex-10_48.htm" TargetMode="External"/><Relationship Id="rId171" Type="http://schemas.openxmlformats.org/officeDocument/2006/relationships/hyperlink" Target="http://www.sec.gov/Archives/edgar/data/912242/000104746909001981/a2189901zex-10_19.htm" TargetMode="External"/><Relationship Id="rId172" Type="http://schemas.openxmlformats.org/officeDocument/2006/relationships/hyperlink" Target="http://www.sec.gov/Archives/edgar/data/912242/000091205702030706/a2086079zex-10_2.htm" TargetMode="External"/><Relationship Id="rId173" Type="http://schemas.openxmlformats.org/officeDocument/2006/relationships/hyperlink" Target="http://www.sec.gov/Archives/edgar/data/912242/000091205702030706/a2086079zex-10_3.htm" TargetMode="External"/><Relationship Id="rId174" Type="http://schemas.openxmlformats.org/officeDocument/2006/relationships/hyperlink" Target="https://www.sec.gov/Archives/edgar/data/912242/000119312521121303/d28419dex101.htm" TargetMode="External"/><Relationship Id="rId176" Type="http://schemas.openxmlformats.org/officeDocument/2006/relationships/hyperlink" Target="https://www.sec.gov/Archives/edgar/data/912242/000091224221000014/mac-20210630x10qexhibit1011.htm" TargetMode="External"/><Relationship Id="rId177" Type="http://schemas.openxmlformats.org/officeDocument/2006/relationships/hyperlink" Target="https://www.sec.gov/Archives/edgar/data/912242/000119312521121303/d28419dex102.htm" TargetMode="External"/><Relationship Id="rId178" Type="http://schemas.openxmlformats.org/officeDocument/2006/relationships/hyperlink" Target="http://www.sec.gov/Archives/edgar/data/912242/000110465905019358/a05-7552_1ex10d3.htm" TargetMode="External"/><Relationship Id="rId179" Type="http://schemas.openxmlformats.org/officeDocument/2006/relationships/hyperlink" Target="http://www.sec.gov/Archives/edgar/data/912242/000110465916124837/a16-12376_1ex10d1.htm" TargetMode="External"/><Relationship Id="rId180" Type="http://schemas.openxmlformats.org/officeDocument/2006/relationships/hyperlink" Target="http://www.sec.gov/Archives/edgar/data/912242/000104746911001377/a2201763zex-10_271.htm" TargetMode="External"/><Relationship Id="rId181" Type="http://schemas.openxmlformats.org/officeDocument/2006/relationships/hyperlink" Target="http://www.sec.gov/Archives/edgar/data/912242/000104746909001981/a2189901zex-10_28.htm" TargetMode="External"/><Relationship Id="rId182" Type="http://schemas.openxmlformats.org/officeDocument/2006/relationships/hyperlink" Target="http://www.sec.gov/Archives/edgar/data/912242/000091224215000005/mac-2014x1231x10kxex10273.htm" TargetMode="External"/><Relationship Id="rId183" Type="http://schemas.openxmlformats.org/officeDocument/2006/relationships/hyperlink" Target="http://www.sec.gov/Archives/edgar/data/912242/000104746909001981/a2189901zex-10_30.htm" TargetMode="External"/><Relationship Id="rId184" Type="http://schemas.openxmlformats.org/officeDocument/2006/relationships/hyperlink" Target="http://www.sec.gov/Archives/edgar/data/912242/000104746909001981/a2189901zex-10_31.htm" TargetMode="External"/><Relationship Id="rId185" Type="http://schemas.openxmlformats.org/officeDocument/2006/relationships/hyperlink" Target="http://www.sec.gov/Archives/edgar/data/912242/000104746909001981/a2189901zex-10_32.htm" TargetMode="External"/><Relationship Id="rId186" Type="http://schemas.openxmlformats.org/officeDocument/2006/relationships/hyperlink" Target="http://www.sec.gov/Archives/edgar/data/912242/000091224216000020/mac-2015x12x31x10kxex10277.htm" TargetMode="External"/><Relationship Id="rId187" Type="http://schemas.openxmlformats.org/officeDocument/2006/relationships/hyperlink" Target="http://www.sec.gov/Archives/edgar/data/912242/000104746909001981/a2189901zex-10_323.htm" TargetMode="External"/><Relationship Id="rId188" Type="http://schemas.openxmlformats.org/officeDocument/2006/relationships/hyperlink" Target="http://www.sec.gov/Archives/edgar/data/912242/000091224219000007/mac-3312019xexhibit102.htm" TargetMode="External"/><Relationship Id="rId189" Type="http://schemas.openxmlformats.org/officeDocument/2006/relationships/hyperlink" Target="https://www.sec.gov/Archives/edgar/data/912242/000091224221000014/mac-20210630x10qexhibit105.htm" TargetMode="External"/><Relationship Id="rId190" Type="http://schemas.openxmlformats.org/officeDocument/2006/relationships/hyperlink" Target="https://www.sec.gov/Archives/edgar/data/912242/000091224214000006/mac-3312014exhibit104fully.htm" TargetMode="External"/><Relationship Id="rId192" Type="http://schemas.openxmlformats.org/officeDocument/2006/relationships/hyperlink" Target="https://www.sec.gov/Archives/edgar/data/912242/000119312521182973/d417870dex101.htm" TargetMode="External"/><Relationship Id="rId193" Type="http://schemas.openxmlformats.org/officeDocument/2006/relationships/hyperlink" Target="http://www.sec.gov/Archives/edgar/data/912242/000091224219000007/mac-3312019xexhibit103.htm" TargetMode="External"/><Relationship Id="rId194" Type="http://schemas.openxmlformats.org/officeDocument/2006/relationships/hyperlink" Target="http://www.sec.gov/Archives/edgar/data/912242/000091224217000017/mac-9302017xexhibit101.htm" TargetMode="External"/><Relationship Id="rId195" Type="http://schemas.openxmlformats.org/officeDocument/2006/relationships/hyperlink" Target="https://www.sec.gov/Archives/edgar/data/912242/000119312521191224/d77146dex101.htm" TargetMode="External"/><Relationship Id="rId196" Type="http://schemas.openxmlformats.org/officeDocument/2006/relationships/hyperlink" Target="http://www.sec.gov/Archives/edgar/data/912242/000091224219000017/mac-9302019xexhibit101.htm" TargetMode="External"/><Relationship Id="rId197" Type="http://schemas.openxmlformats.org/officeDocument/2006/relationships/hyperlink" Target="http://www.sec.gov/Archives/edgar/data/912242/000110465905019358/a05-7552_1ex10d1.htm" TargetMode="External"/><Relationship Id="rId198" Type="http://schemas.openxmlformats.org/officeDocument/2006/relationships/hyperlink" Target="http://www.sec.gov/Archives/edgar/data/912242/000110465905019358/a05-7552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2022-02-25T11:16:28Z</dcterms:created>
  <dcterms:modified xsi:type="dcterms:W3CDTF">2022-02-25T11:16:28Z</dcterms:modified>
</cp:coreProperties>
</file>