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715010</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September 30, 2019</w:t>
      </w:r>
    </w:p>
    <w:p>
      <w:pPr>
        <w:spacing w:after="0" w:line="189" w:lineRule="exact"/>
        <w:rPr>
          <w:sz w:val="24"/>
          <w:szCs w:val="24"/>
          <w:color w:val="auto"/>
        </w:rPr>
      </w:pPr>
    </w:p>
    <w:p>
      <w:pPr>
        <w:ind w:left="660" w:right="2460" w:hanging="652"/>
        <w:spacing w:after="0" w:line="400" w:lineRule="auto"/>
        <w:tabs>
          <w:tab w:leader="none" w:pos="246"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 xml:space="preserve">TRANSITION REPORT PURSUANT TO SECTION 13 OR 15(d) OF THE SECURITIES EXCHANGE ACT OF 1934 For the transition period from ___________ to </w:t>
      </w:r>
      <w:r>
        <w:rPr>
          <w:rFonts w:ascii="Arial" w:cs="Arial" w:eastAsia="Arial" w:hAnsi="Arial"/>
          <w:sz w:val="18"/>
          <w:szCs w:val="18"/>
          <w:b w:val="1"/>
          <w:bCs w:val="1"/>
          <w:color w:val="auto"/>
        </w:rPr>
        <w:t>___________</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1-12504</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MACERICH COMPANY</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161" w:right="259" w:bottom="1440" w:gutter="0" w:footer="0" w:header="0"/>
        </w:sectPr>
      </w:pPr>
    </w:p>
    <w:p>
      <w:pPr>
        <w:spacing w:after="0" w:line="196"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95-4448705</w:t>
      </w:r>
    </w:p>
    <w:p>
      <w:pPr>
        <w:spacing w:after="0" w:line="99" w:lineRule="exact"/>
        <w:rPr>
          <w:sz w:val="24"/>
          <w:szCs w:val="24"/>
          <w:color w:val="auto"/>
        </w:rPr>
      </w:pPr>
    </w:p>
    <w:p>
      <w:pPr>
        <w:sectPr>
          <w:pgSz w:w="11900" w:h="16838" w:orient="portrait"/>
          <w:cols w:equalWidth="0" w:num="2">
            <w:col w:w="7380" w:space="720"/>
            <w:col w:w="3300"/>
          </w:cols>
          <w:pgMar w:left="240" w:top="1161" w:right="259" w:bottom="1440" w:gutter="0" w:footer="0" w:header="0"/>
          <w:type w:val="continuous"/>
        </w:sectPr>
      </w:pPr>
    </w:p>
    <w:p>
      <w:pPr>
        <w:ind w:left="1880"/>
        <w:spacing w:after="0"/>
        <w:rPr>
          <w:sz w:val="20"/>
          <w:szCs w:val="20"/>
          <w:color w:val="auto"/>
        </w:rPr>
      </w:pPr>
      <w:r>
        <w:rPr>
          <w:rFonts w:ascii="Arial" w:cs="Arial" w:eastAsia="Arial" w:hAnsi="Arial"/>
          <w:sz w:val="15"/>
          <w:szCs w:val="15"/>
          <w:color w:val="auto"/>
        </w:rPr>
        <w:t>(State or other jurisdiction of</w:t>
      </w:r>
    </w:p>
    <w:p>
      <w:pPr>
        <w:spacing w:after="0" w:line="34"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282" w:lineRule="exact"/>
        <w:rPr>
          <w:sz w:val="24"/>
          <w:szCs w:val="24"/>
          <w:color w:val="auto"/>
        </w:rPr>
      </w:pPr>
    </w:p>
    <w:p>
      <w:pPr>
        <w:sectPr>
          <w:pgSz w:w="11900" w:h="16838" w:orient="portrait"/>
          <w:cols w:equalWidth="0" w:num="2">
            <w:col w:w="6460" w:space="720"/>
            <w:col w:w="4220"/>
          </w:cols>
          <w:pgMar w:left="240" w:top="1161" w:right="259" w:bottom="1440" w:gutter="0" w:footer="0" w:header="0"/>
          <w:type w:val="continuous"/>
        </w:sectPr>
      </w:pPr>
    </w:p>
    <w:p>
      <w:pPr>
        <w:ind w:left="300"/>
        <w:spacing w:after="0"/>
        <w:rPr>
          <w:sz w:val="20"/>
          <w:szCs w:val="20"/>
          <w:color w:val="auto"/>
        </w:rPr>
      </w:pPr>
      <w:r>
        <w:rPr>
          <w:rFonts w:ascii="Arial" w:cs="Arial" w:eastAsia="Arial" w:hAnsi="Arial"/>
          <w:sz w:val="14"/>
          <w:szCs w:val="14"/>
          <w:b w:val="1"/>
          <w:bCs w:val="1"/>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700,</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b w:val="1"/>
          <w:bCs w:val="1"/>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4"/>
          <w:szCs w:val="14"/>
          <w:b w:val="1"/>
          <w:bCs w:val="1"/>
          <w:color w:val="auto"/>
        </w:rPr>
        <w:t>90401</w:t>
      </w:r>
    </w:p>
    <w:p>
      <w:pPr>
        <w:spacing w:after="0" w:line="99" w:lineRule="exact"/>
        <w:rPr>
          <w:sz w:val="24"/>
          <w:szCs w:val="24"/>
          <w:color w:val="auto"/>
        </w:rPr>
      </w:pPr>
    </w:p>
    <w:p>
      <w:pPr>
        <w:sectPr>
          <w:pgSz w:w="11900" w:h="16838" w:orient="portrait"/>
          <w:cols w:equalWidth="0" w:num="5">
            <w:col w:w="1960" w:space="440"/>
            <w:col w:w="680" w:space="340"/>
            <w:col w:w="1000" w:space="340"/>
            <w:col w:w="2820" w:space="720"/>
            <w:col w:w="3100"/>
          </w:cols>
          <w:pgMar w:left="240" w:top="1161" w:right="259" w:bottom="1440" w:gutter="0" w:footer="0" w:header="0"/>
          <w:type w:val="continuous"/>
        </w:sectPr>
      </w:pPr>
    </w:p>
    <w:p>
      <w:pPr>
        <w:ind w:left="940"/>
        <w:spacing w:after="0"/>
        <w:rPr>
          <w:sz w:val="20"/>
          <w:szCs w:val="20"/>
          <w:color w:val="auto"/>
        </w:rPr>
      </w:pPr>
      <w:r>
        <w:rPr>
          <w:rFonts w:ascii="Arial" w:cs="Arial" w:eastAsia="Arial" w:hAnsi="Arial"/>
          <w:sz w:val="15"/>
          <w:szCs w:val="15"/>
          <w:color w:val="auto"/>
        </w:rPr>
        <w:t>(Address of principal executive office,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91" w:lineRule="exact"/>
        <w:rPr>
          <w:sz w:val="24"/>
          <w:szCs w:val="24"/>
          <w:color w:val="auto"/>
        </w:rPr>
      </w:pPr>
    </w:p>
    <w:p>
      <w:pPr>
        <w:sectPr>
          <w:pgSz w:w="11900" w:h="16838" w:orient="portrait"/>
          <w:cols w:equalWidth="0" w:num="2">
            <w:col w:w="7380" w:space="720"/>
            <w:col w:w="3300"/>
          </w:cols>
          <w:pgMar w:left="240" w:top="1161" w:right="259" w:bottom="1440" w:gutter="0" w:footer="0" w:header="0"/>
          <w:type w:val="continuous"/>
        </w:sectPr>
      </w:pPr>
    </w:p>
    <w:p>
      <w:pPr>
        <w:jc w:val="center"/>
        <w:ind w:right="-199"/>
        <w:spacing w:after="0"/>
        <w:rPr>
          <w:sz w:val="20"/>
          <w:szCs w:val="20"/>
          <w:color w:val="auto"/>
        </w:rPr>
      </w:pPr>
      <w:r>
        <w:rPr>
          <w:rFonts w:ascii="Arial" w:cs="Arial" w:eastAsia="Arial" w:hAnsi="Arial"/>
          <w:sz w:val="15"/>
          <w:szCs w:val="15"/>
          <w:b w:val="1"/>
          <w:bCs w:val="1"/>
          <w:color w:val="auto"/>
        </w:rPr>
        <w:t>(310) 394-6000</w:t>
      </w:r>
    </w:p>
    <w:p>
      <w:pPr>
        <w:sectPr>
          <w:pgSz w:w="11900" w:h="16838" w:orient="portrait"/>
          <w:cols w:equalWidth="0" w:num="1">
            <w:col w:w="11400"/>
          </w:cols>
          <w:pgMar w:left="240" w:top="1161" w:right="259" w:bottom="1440" w:gutter="0" w:footer="0" w:header="0"/>
          <w:type w:val="continuous"/>
        </w:sectPr>
      </w:pPr>
    </w:p>
    <w:p>
      <w:pPr>
        <w:spacing w:after="0" w:line="88"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(Registrant's telephone number, including area code)</w:t>
      </w:r>
    </w:p>
    <w:p>
      <w:pPr>
        <w:spacing w:after="0" w:line="51"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ind w:left="300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Securities registered pursuant to Section 12(b) of the Securities Act:</w:t>
      </w:r>
    </w:p>
    <w:p>
      <w:pPr>
        <w:sectPr>
          <w:pgSz w:w="11900" w:h="16838" w:orient="portrait"/>
          <w:cols w:equalWidth="0" w:num="1">
            <w:col w:w="11400"/>
          </w:cols>
          <w:pgMar w:left="240" w:top="1161" w:right="259" w:bottom="1440" w:gutter="0" w:footer="0" w:header="0"/>
          <w:type w:val="continuous"/>
        </w:sectPr>
      </w:pPr>
    </w:p>
    <w:p>
      <w:pPr>
        <w:spacing w:after="0" w:line="190" w:lineRule="exact"/>
        <w:rPr>
          <w:sz w:val="24"/>
          <w:szCs w:val="24"/>
          <w:color w:val="auto"/>
        </w:rPr>
      </w:pPr>
    </w:p>
    <w:p>
      <w:pPr>
        <w:ind w:left="13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180" w:space="720"/>
            <w:col w:w="2100" w:space="720"/>
            <w:col w:w="3680"/>
          </w:cols>
          <w:pgMar w:left="240" w:top="1161" w:right="259" w:bottom="1440" w:gutter="0" w:footer="0" w:header="0"/>
          <w:type w:val="continuous"/>
        </w:sectPr>
      </w:pPr>
    </w:p>
    <w:p>
      <w:pPr>
        <w:ind w:left="860"/>
        <w:spacing w:after="0"/>
        <w:rPr>
          <w:sz w:val="20"/>
          <w:szCs w:val="20"/>
          <w:color w:val="auto"/>
        </w:rPr>
      </w:pPr>
      <w:r>
        <w:rPr>
          <w:rFonts w:ascii="Arial" w:cs="Arial" w:eastAsia="Arial" w:hAnsi="Arial"/>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16" w:lineRule="exact"/>
        <w:rPr>
          <w:sz w:val="24"/>
          <w:szCs w:val="24"/>
          <w:color w:val="auto"/>
        </w:rPr>
      </w:pPr>
    </w:p>
    <w:p>
      <w:pPr>
        <w:sectPr>
          <w:pgSz w:w="11900" w:h="16838" w:orient="portrait"/>
          <w:cols w:equalWidth="0" w:num="3">
            <w:col w:w="4540" w:space="720"/>
            <w:col w:w="2380" w:space="720"/>
            <w:col w:w="3040"/>
          </w:cols>
          <w:pgMar w:left="240" w:top="1161" w:right="259" w:bottom="1440" w:gutter="0" w:footer="0" w:header="0"/>
          <w:type w:val="continuous"/>
        </w:sectPr>
      </w:pPr>
    </w:p>
    <w:p>
      <w:pPr>
        <w:ind w:right="140" w:firstLine="446"/>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20" w:lineRule="exact"/>
        <w:rPr>
          <w:sz w:val="24"/>
          <w:szCs w:val="24"/>
          <w:color w:val="auto"/>
        </w:rPr>
      </w:pPr>
    </w:p>
    <w:p>
      <w:pPr>
        <w:ind w:right="120" w:firstLine="446"/>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twelve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05" w:lineRule="exact"/>
        <w:rPr>
          <w:sz w:val="24"/>
          <w:szCs w:val="24"/>
          <w:color w:val="auto"/>
        </w:rPr>
      </w:pPr>
    </w:p>
    <w:p>
      <w:pPr>
        <w:ind w:firstLine="446"/>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8" w:lineRule="exact"/>
        <w:rPr>
          <w:sz w:val="24"/>
          <w:szCs w:val="24"/>
          <w:color w:val="auto"/>
        </w:rPr>
      </w:pPr>
    </w:p>
    <w:p>
      <w:pPr>
        <w:jc w:val="right"/>
        <w:ind w:left="300" w:right="580"/>
        <w:spacing w:after="0" w:line="276"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ind w:right="300" w:firstLine="446"/>
        <w:spacing w:after="0" w:line="218"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8" w:lineRule="exact"/>
        <w:rPr>
          <w:sz w:val="24"/>
          <w:szCs w:val="24"/>
          <w:color w:val="auto"/>
        </w:rPr>
      </w:pPr>
    </w:p>
    <w:p>
      <w:pPr>
        <w:ind w:left="460" w:right="2180"/>
        <w:spacing w:after="0" w:line="30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Number of shares outstanding as of November 5, 2019 of the registrant's common stock, par value $0.01 per share: 141,265,383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29845</wp:posOffset>
            </wp:positionV>
            <wp:extent cx="7237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ectPr>
          <w:pgSz w:w="11900" w:h="16838" w:orient="portrait"/>
          <w:cols w:equalWidth="0" w:num="1">
            <w:col w:w="11400"/>
          </w:cols>
          <w:pgMar w:left="240" w:top="116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4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rPr>
              <w:t>THE MACERICH COMPANY</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4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99"/>
              </w:rPr>
              <w:t>FORM 10-Q</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14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9480" w:type="dxa"/>
            <w:vAlign w:val="bottom"/>
            <w:gridSpan w:val="1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84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September 30, 2019 and December 31, 2018</w:t>
              </w:r>
            </w:hyperlink>
          </w:p>
        </w:tc>
        <w:tc>
          <w:tcPr>
            <w:tcW w:w="8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for the three and nine months ended September 30, 2019 and 2018</w:t>
              </w:r>
            </w:hyperlink>
          </w:p>
        </w:tc>
        <w:tc>
          <w:tcPr>
            <w:tcW w:w="8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Consolidated Statements of Comprehensive Income for the three and nine months ended September 30,</w:t>
              </w:r>
            </w:hyperlink>
          </w:p>
        </w:tc>
        <w:tc>
          <w:tcPr>
            <w:tcW w:w="84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80" w:type="dxa"/>
            <w:vAlign w:val="bottom"/>
            <w:gridSpan w:val="15"/>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2019 and 2018</w:t>
              </w:r>
            </w:hyperlink>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Equity for the three and nine months ended September 30, 2019 and 2018</w:t>
              </w:r>
            </w:hyperlink>
          </w:p>
        </w:tc>
        <w:tc>
          <w:tcPr>
            <w:tcW w:w="2140" w:type="dxa"/>
            <w:vAlign w:val="bottom"/>
            <w:gridSpan w:val="2"/>
          </w:tcPr>
          <w:p>
            <w:pPr>
              <w:spacing w:after="0"/>
              <w:rPr>
                <w:sz w:val="22"/>
                <w:szCs w:val="22"/>
                <w:color w:val="auto"/>
              </w:rPr>
            </w:pPr>
          </w:p>
        </w:tc>
        <w:tc>
          <w:tcPr>
            <w:tcW w:w="7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8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for the nine months ended September 30, 2019 and 2018</w:t>
              </w:r>
            </w:hyperlink>
          </w:p>
        </w:tc>
        <w:tc>
          <w:tcPr>
            <w:tcW w:w="8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980" w:type="dxa"/>
            <w:vAlign w:val="bottom"/>
            <w:gridSpan w:val="1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500" w:type="dxa"/>
            <w:vAlign w:val="bottom"/>
            <w:gridSpan w:val="3"/>
          </w:tcPr>
          <w:p>
            <w:pPr>
              <w:spacing w:after="0"/>
              <w:rPr>
                <w:sz w:val="22"/>
                <w:szCs w:val="22"/>
                <w:color w:val="auto"/>
              </w:rPr>
            </w:pPr>
          </w:p>
        </w:tc>
        <w:tc>
          <w:tcPr>
            <w:tcW w:w="8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948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8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948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8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14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4.</w:t>
              </w:r>
            </w:hyperlink>
          </w:p>
        </w:tc>
        <w:tc>
          <w:tcPr>
            <w:tcW w:w="9480" w:type="dxa"/>
            <w:vAlign w:val="bottom"/>
            <w:gridSpan w:val="1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84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948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w:t>
              </w:r>
            </w:hyperlink>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Item 1A.</w:t>
              </w:r>
            </w:hyperlink>
          </w:p>
        </w:tc>
        <w:tc>
          <w:tcPr>
            <w:tcW w:w="400" w:type="dxa"/>
            <w:vAlign w:val="bottom"/>
            <w:gridSpan w:val="2"/>
          </w:tcPr>
          <w:p>
            <w:pPr>
              <w:spacing w:after="0"/>
              <w:rPr>
                <w:sz w:val="22"/>
                <w:szCs w:val="22"/>
                <w:color w:val="auto"/>
              </w:rPr>
            </w:pPr>
          </w:p>
        </w:tc>
        <w:tc>
          <w:tcPr>
            <w:tcW w:w="900" w:type="dxa"/>
            <w:vAlign w:val="bottom"/>
            <w:gridSpan w:val="2"/>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8580" w:type="dxa"/>
            <w:vAlign w:val="bottom"/>
            <w:gridSpan w:val="13"/>
          </w:tcPr>
          <w:p>
            <w:pPr>
              <w:spacing w:after="0"/>
              <w:rPr>
                <w:sz w:val="22"/>
                <w:szCs w:val="22"/>
                <w:color w:val="auto"/>
              </w:rPr>
            </w:pPr>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2.</w:t>
              </w:r>
            </w:hyperlink>
          </w:p>
        </w:tc>
        <w:tc>
          <w:tcPr>
            <w:tcW w:w="400" w:type="dxa"/>
            <w:vAlign w:val="bottom"/>
            <w:gridSpan w:val="2"/>
          </w:tcPr>
          <w:p>
            <w:pPr>
              <w:spacing w:after="0"/>
              <w:rPr>
                <w:sz w:val="22"/>
                <w:szCs w:val="22"/>
                <w:color w:val="auto"/>
              </w:rPr>
            </w:pPr>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5.</w:t>
              </w:r>
            </w:hyperlink>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1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6.</w:t>
              </w:r>
            </w:hyperlink>
          </w:p>
        </w:tc>
        <w:tc>
          <w:tcPr>
            <w:tcW w:w="9480" w:type="dxa"/>
            <w:vAlign w:val="bottom"/>
            <w:gridSpan w:val="1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8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gridSpan w:val="3"/>
          </w:tcPr>
          <w:p>
            <w:pPr>
              <w:spacing w:after="0"/>
              <w:rPr>
                <w:rFonts w:ascii="Arial" w:cs="Arial" w:eastAsia="Arial" w:hAnsi="Arial"/>
                <w:sz w:val="18"/>
                <w:szCs w:val="18"/>
                <w:b w:val="1"/>
                <w:bCs w:val="1"/>
                <w:color w:val="0000FF"/>
                <w:w w:val="86"/>
              </w:rPr>
            </w:pPr>
            <w:hyperlink w:anchor="page50">
              <w:r>
                <w:rPr>
                  <w:rFonts w:ascii="Arial" w:cs="Arial" w:eastAsia="Arial" w:hAnsi="Arial"/>
                  <w:sz w:val="18"/>
                  <w:szCs w:val="18"/>
                  <w:b w:val="1"/>
                  <w:bCs w:val="1"/>
                  <w:color w:val="0000FF"/>
                  <w:w w:val="86"/>
                </w:rPr>
                <w:t>Signature</w:t>
              </w:r>
            </w:hyperlink>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4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1" w:right="2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6,664,106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6,785,776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102,711</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46,590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123,492</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150,656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390,403</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85,181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1,436,788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1,492,655</w:t>
            </w:r>
          </w:p>
        </w:tc>
        <w:tc>
          <w:tcPr>
            <w:tcW w:w="0" w:type="dxa"/>
            <w:vAlign w:val="bottom"/>
          </w:tcPr>
          <w:p>
            <w:pPr>
              <w:spacing w:after="0"/>
              <w:rPr>
                <w:sz w:val="1"/>
                <w:szCs w:val="1"/>
                <w:color w:val="auto"/>
              </w:rPr>
            </w:pPr>
          </w:p>
        </w:tc>
      </w:tr>
      <w:tr>
        <w:trPr>
          <w:trHeight w:val="264"/>
        </w:trPr>
        <w:tc>
          <w:tcPr>
            <w:tcW w:w="838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8,775,973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9,026,808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4,294,633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4,073,916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749,769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908,544</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61,348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59,392</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253,882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303,051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279,563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378,485</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5,868,204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5,838,376</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250,000,000 shares authorized, 141,370,725 and 141,221,712 shares issued</w:t>
            </w: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at September 30, 2019 and December 31, 2018, respectively</w:t>
            </w: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4,581,551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4,567,643</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(1,864,807)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(1,614,357)</w:t>
            </w:r>
          </w:p>
        </w:tc>
        <w:tc>
          <w:tcPr>
            <w:tcW w:w="0" w:type="dxa"/>
            <w:vAlign w:val="bottom"/>
          </w:tcPr>
          <w:p>
            <w:pPr>
              <w:spacing w:after="0"/>
              <w:rPr>
                <w:sz w:val="1"/>
                <w:szCs w:val="1"/>
                <w:color w:val="auto"/>
              </w:rPr>
            </w:pPr>
          </w:p>
        </w:tc>
      </w:tr>
      <w:tr>
        <w:trPr>
          <w:trHeight w:val="243"/>
        </w:trPr>
        <w:tc>
          <w:tcPr>
            <w:tcW w:w="83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2,707,211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2,950,232</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200,558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238,200</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2,907,769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3,188,432</w:t>
            </w:r>
          </w:p>
        </w:tc>
        <w:tc>
          <w:tcPr>
            <w:tcW w:w="0" w:type="dxa"/>
            <w:vAlign w:val="bottom"/>
          </w:tcPr>
          <w:p>
            <w:pPr>
              <w:spacing w:after="0"/>
              <w:rPr>
                <w:sz w:val="1"/>
                <w:szCs w:val="1"/>
                <w:color w:val="auto"/>
              </w:rPr>
            </w:pPr>
          </w:p>
        </w:tc>
      </w:tr>
      <w:tr>
        <w:trPr>
          <w:trHeight w:val="264"/>
        </w:trPr>
        <w:tc>
          <w:tcPr>
            <w:tcW w:w="838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8,775,973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9,026,808</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1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20" w:type="dxa"/>
            <w:vAlign w:val="bottom"/>
          </w:tcPr>
          <w:p>
            <w:pPr>
              <w:ind w:left="120"/>
              <w:spacing w:after="0"/>
              <w:rPr>
                <w:sz w:val="20"/>
                <w:szCs w:val="20"/>
                <w:color w:val="auto"/>
              </w:rPr>
            </w:pPr>
            <w:r>
              <w:rPr>
                <w:rFonts w:ascii="Arial" w:cs="Arial" w:eastAsia="Arial" w:hAnsi="Arial"/>
                <w:sz w:val="14"/>
                <w:szCs w:val="14"/>
                <w:color w:val="auto"/>
              </w:rPr>
              <w:t>Leasing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214,260</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224,251</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636,290</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659,377</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22,010</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Management Companies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32,090</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231,127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242,198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685,621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713,477</w:t>
            </w:r>
          </w:p>
        </w:tc>
        <w:tc>
          <w:tcPr>
            <w:tcW w:w="0" w:type="dxa"/>
            <w:vAlign w:val="bottom"/>
          </w:tcPr>
          <w:p>
            <w:pPr>
              <w:spacing w:after="0"/>
              <w:rPr>
                <w:sz w:val="1"/>
                <w:szCs w:val="1"/>
                <w:color w:val="auto"/>
              </w:rPr>
            </w:pPr>
          </w:p>
        </w:tc>
      </w:tr>
      <w:tr>
        <w:trPr>
          <w:trHeight w:val="190"/>
        </w:trPr>
        <w:tc>
          <w:tcPr>
            <w:tcW w:w="5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214,683</w:t>
            </w:r>
          </w:p>
        </w:tc>
        <w:tc>
          <w:tcPr>
            <w:tcW w:w="0" w:type="dxa"/>
            <w:vAlign w:val="bottom"/>
          </w:tcPr>
          <w:p>
            <w:pPr>
              <w:spacing w:after="0"/>
              <w:rPr>
                <w:sz w:val="1"/>
                <w:szCs w:val="1"/>
                <w:color w:val="auto"/>
              </w:rPr>
            </w:pPr>
          </w:p>
        </w:tc>
      </w:tr>
      <w:tr>
        <w:trPr>
          <w:trHeight w:val="197"/>
        </w:trPr>
        <w:tc>
          <w:tcPr>
            <w:tcW w:w="5920" w:type="dxa"/>
            <w:vAlign w:val="bottom"/>
          </w:tcPr>
          <w:p>
            <w:pPr>
              <w:ind w:left="120"/>
              <w:spacing w:after="0"/>
              <w:rPr>
                <w:sz w:val="20"/>
                <w:szCs w:val="20"/>
                <w:color w:val="auto"/>
              </w:rPr>
            </w:pPr>
            <w:r>
              <w:rPr>
                <w:rFonts w:ascii="Arial" w:cs="Arial" w:eastAsia="Arial" w:hAnsi="Arial"/>
                <w:sz w:val="14"/>
                <w:szCs w:val="14"/>
                <w:color w:val="auto"/>
              </w:rPr>
              <w:t>Leasing expenses</w:t>
            </w:r>
          </w:p>
        </w:tc>
        <w:tc>
          <w:tcPr>
            <w:tcW w:w="1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22,344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Companies' 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72,224</w:t>
            </w:r>
          </w:p>
        </w:tc>
        <w:tc>
          <w:tcPr>
            <w:tcW w:w="0" w:type="dxa"/>
            <w:vAlign w:val="bottom"/>
          </w:tcPr>
          <w:p>
            <w:pPr>
              <w:spacing w:after="0"/>
              <w:rPr>
                <w:sz w:val="1"/>
                <w:szCs w:val="1"/>
                <w:color w:val="auto"/>
              </w:rPr>
            </w:pPr>
          </w:p>
        </w:tc>
      </w:tr>
      <w:tr>
        <w:trPr>
          <w:trHeight w:val="197"/>
        </w:trPr>
        <w:tc>
          <w:tcPr>
            <w:tcW w:w="5920" w:type="dxa"/>
            <w:vAlign w:val="bottom"/>
          </w:tcPr>
          <w:p>
            <w:pPr>
              <w:ind w:left="120"/>
              <w:spacing w:after="0"/>
              <w:rPr>
                <w:sz w:val="20"/>
                <w:szCs w:val="20"/>
                <w:color w:val="auto"/>
              </w:rPr>
            </w:pPr>
            <w:r>
              <w:rPr>
                <w:rFonts w:ascii="Arial" w:cs="Arial" w:eastAsia="Arial" w:hAnsi="Arial"/>
                <w:sz w:val="14"/>
                <w:szCs w:val="14"/>
                <w:color w:val="auto"/>
              </w:rPr>
              <w:t>REIT general and administrative expenses</w:t>
            </w:r>
          </w:p>
        </w:tc>
        <w:tc>
          <w:tcPr>
            <w:tcW w:w="1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5,439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16,835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18,414</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Costs related to shareholder activism</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19,369</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82,787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81,803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246,640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240,608</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180,076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180,869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539,063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573,889</w:t>
            </w:r>
          </w:p>
        </w:tc>
        <w:tc>
          <w:tcPr>
            <w:tcW w:w="0" w:type="dxa"/>
            <w:vAlign w:val="bottom"/>
          </w:tcPr>
          <w:p>
            <w:pPr>
              <w:spacing w:after="0"/>
              <w:rPr>
                <w:sz w:val="1"/>
                <w:szCs w:val="1"/>
                <w:color w:val="auto"/>
              </w:rPr>
            </w:pPr>
          </w:p>
        </w:tc>
      </w:tr>
      <w:tr>
        <w:trPr>
          <w:trHeight w:val="190"/>
        </w:trPr>
        <w:tc>
          <w:tcPr>
            <w:tcW w:w="5920" w:type="dxa"/>
            <w:vAlign w:val="bottom"/>
          </w:tcPr>
          <w:p>
            <w:pPr>
              <w:ind w:left="120"/>
              <w:spacing w:after="0"/>
              <w:rPr>
                <w:sz w:val="20"/>
                <w:szCs w:val="20"/>
                <w:color w:val="auto"/>
              </w:rPr>
            </w:pPr>
            <w:r>
              <w:rPr>
                <w:rFonts w:ascii="Arial" w:cs="Arial" w:eastAsia="Arial" w:hAnsi="Arial"/>
                <w:sz w:val="14"/>
                <w:szCs w:val="14"/>
                <w:color w:val="auto"/>
              </w:rPr>
              <w:t>Interest (income) expense: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Related parties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8,481</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50,858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43,853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150,014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127,996</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44,927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90,265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136,477</w:t>
            </w:r>
          </w:p>
        </w:tc>
        <w:tc>
          <w:tcPr>
            <w:tcW w:w="0" w:type="dxa"/>
            <w:vAlign w:val="bottom"/>
          </w:tcPr>
          <w:p>
            <w:pPr>
              <w:spacing w:after="0"/>
              <w:rPr>
                <w:sz w:val="1"/>
                <w:szCs w:val="1"/>
                <w:color w:val="auto"/>
              </w:rPr>
            </w:pPr>
          </w:p>
        </w:tc>
      </w:tr>
      <w:tr>
        <w:trPr>
          <w:trHeight w:val="197"/>
        </w:trPr>
        <w:tc>
          <w:tcPr>
            <w:tcW w:w="5920" w:type="dxa"/>
            <w:vAlign w:val="bottom"/>
          </w:tcPr>
          <w:p>
            <w:pPr>
              <w:ind w:left="120"/>
              <w:spacing w:after="0"/>
              <w:rPr>
                <w:sz w:val="20"/>
                <w:szCs w:val="20"/>
                <w:color w:val="auto"/>
              </w:rPr>
            </w:pPr>
            <w:r>
              <w:rPr>
                <w:rFonts w:ascii="Arial" w:cs="Arial" w:eastAsia="Arial" w:hAnsi="Arial"/>
                <w:sz w:val="14"/>
                <w:szCs w:val="14"/>
                <w:color w:val="auto"/>
              </w:rPr>
              <w:t>Loss on extinguishment of debt, net</w:t>
            </w:r>
          </w:p>
        </w:tc>
        <w:tc>
          <w:tcPr>
            <w:tcW w:w="1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9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194,875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225,796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629,679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710,366</w:t>
            </w:r>
          </w:p>
        </w:tc>
        <w:tc>
          <w:tcPr>
            <w:tcW w:w="0" w:type="dxa"/>
            <w:vAlign w:val="bottom"/>
          </w:tcPr>
          <w:p>
            <w:pPr>
              <w:spacing w:after="0"/>
              <w:rPr>
                <w:sz w:val="1"/>
                <w:szCs w:val="1"/>
                <w:color w:val="auto"/>
              </w:rPr>
            </w:pPr>
          </w:p>
        </w:tc>
      </w:tr>
      <w:tr>
        <w:trPr>
          <w:trHeight w:val="197"/>
        </w:trPr>
        <w:tc>
          <w:tcPr>
            <w:tcW w:w="5920" w:type="dxa"/>
            <w:vAlign w:val="bottom"/>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1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18,789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34,082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51,330</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gain on sale or write down of assets, net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46,516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81,241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72,815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55,726</w:t>
            </w: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7,455</w:t>
            </w:r>
          </w:p>
        </w:tc>
        <w:tc>
          <w:tcPr>
            <w:tcW w:w="0" w:type="dxa"/>
            <w:vAlign w:val="bottom"/>
          </w:tcPr>
          <w:p>
            <w:pPr>
              <w:spacing w:after="0"/>
              <w:rPr>
                <w:sz w:val="1"/>
                <w:szCs w:val="1"/>
                <w:color w:val="auto"/>
              </w:rPr>
            </w:pPr>
          </w:p>
        </w:tc>
      </w:tr>
      <w:tr>
        <w:trPr>
          <w:trHeight w:val="22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the Company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46,371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74,028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69,929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48,271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Earnings per common share—attributable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tcPr>
          <w:p>
            <w:pPr>
              <w:ind w:left="1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141,368,000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141,196,000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141,325,000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141,120,000</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141,368,000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141,196,000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141,325,000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141,125,000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22" w:right="6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1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92"/>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r>
      <w:tr>
        <w:trPr>
          <w:trHeight w:val="202"/>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50,025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81,241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72,815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55,726</w:t>
            </w:r>
          </w:p>
        </w:tc>
      </w:tr>
      <w:tr>
        <w:trPr>
          <w:trHeight w:val="197"/>
        </w:trPr>
        <w:tc>
          <w:tcPr>
            <w:tcW w:w="59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cap/swap agreements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r>
      <w:tr>
        <w:trPr>
          <w:trHeight w:val="196"/>
        </w:trPr>
        <w:tc>
          <w:tcPr>
            <w:tcW w:w="59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49,871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81,416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66,335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55,910</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2,886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7,455</w:t>
            </w:r>
          </w:p>
        </w:tc>
      </w:tr>
      <w:tr>
        <w:trPr>
          <w:trHeight w:val="202"/>
        </w:trPr>
        <w:tc>
          <w:tcPr>
            <w:tcW w:w="5920" w:type="dxa"/>
            <w:vAlign w:val="bottom"/>
          </w:tcPr>
          <w:p>
            <w:pPr>
              <w:ind w:left="20"/>
              <w:spacing w:after="0"/>
              <w:rPr>
                <w:sz w:val="20"/>
                <w:szCs w:val="20"/>
                <w:color w:val="auto"/>
              </w:rPr>
            </w:pPr>
            <w:r>
              <w:rPr>
                <w:rFonts w:ascii="Arial" w:cs="Arial" w:eastAsia="Arial" w:hAnsi="Arial"/>
                <w:sz w:val="14"/>
                <w:szCs w:val="14"/>
                <w:color w:val="auto"/>
              </w:rPr>
              <w:t>Comprehensive income attributable to the Company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46,217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74,203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63,449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48,455</w:t>
            </w:r>
          </w:p>
        </w:tc>
      </w:tr>
      <w:tr>
        <w:trPr>
          <w:trHeight w:val="21"/>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22" w:right="6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September 30, 2019 and 2018</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80"/>
              <w:spacing w:after="0" w:line="131"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141,364,568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4,578,620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(1,805,097)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2,764,144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205,226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2,969,370</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46,371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46,371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3,654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50,025</w:t>
            </w: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Interest rate cap/swap agreements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w w:val="90"/>
              </w:rPr>
              <w:t>Amortization of share and unit-based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6,157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3,315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30"/>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Distributions declared ($0.75 per</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(106,081)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(106,081)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(106,081)</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(8,742)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(8,742)</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Redemption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interests in Operating Partnership</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960" w:type="dxa"/>
            <w:vAlign w:val="bottom"/>
          </w:tcPr>
          <w:p>
            <w:pPr>
              <w:ind w:left="20"/>
              <w:spacing w:after="0"/>
              <w:rPr>
                <w:sz w:val="20"/>
                <w:szCs w:val="20"/>
                <w:color w:val="auto"/>
              </w:rPr>
            </w:pPr>
            <w:r>
              <w:rPr>
                <w:rFonts w:ascii="Arial" w:cs="Arial" w:eastAsia="Arial" w:hAnsi="Arial"/>
                <w:sz w:val="13"/>
                <w:szCs w:val="13"/>
                <w:color w:val="auto"/>
              </w:rPr>
              <w:t>Balance at September 30, 2019</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141,370,725</w:t>
            </w:r>
          </w:p>
        </w:tc>
        <w:tc>
          <w:tcPr>
            <w:tcW w:w="100" w:type="dxa"/>
            <w:vAlign w:val="bottom"/>
          </w:tcPr>
          <w:p>
            <w:pPr>
              <w:spacing w:after="0"/>
              <w:rPr>
                <w:sz w:val="16"/>
                <w:szCs w:val="16"/>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1,413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4,581,551</w:t>
            </w:r>
          </w:p>
        </w:tc>
        <w:tc>
          <w:tcPr>
            <w:tcW w:w="3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(1,864,807)</w:t>
            </w:r>
          </w:p>
        </w:tc>
        <w:tc>
          <w:tcPr>
            <w:tcW w:w="10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(10,946)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2,707,211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200,558</w:t>
            </w:r>
          </w:p>
        </w:tc>
        <w:tc>
          <w:tcPr>
            <w:tcW w:w="120" w:type="dxa"/>
            <w:vAlign w:val="bottom"/>
          </w:tcPr>
          <w:p>
            <w:pPr>
              <w:spacing w:after="0"/>
              <w:rPr>
                <w:sz w:val="16"/>
                <w:szCs w:val="16"/>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2,907,769</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19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80"/>
              <w:spacing w:after="0" w:line="131"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2018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141,184,335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4,558,873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(1,489,742)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3,070,510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244,665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3,315,175</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74,028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74,028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7,213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81,241</w:t>
            </w: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cap</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w w:val="90"/>
              </w:rPr>
              <w:t>Amortization of share and unit-based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3,517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4,616</w:t>
            </w:r>
          </w:p>
        </w:tc>
        <w:tc>
          <w:tcPr>
            <w:tcW w:w="0" w:type="dxa"/>
            <w:vAlign w:val="bottom"/>
          </w:tcPr>
          <w:p>
            <w:pPr>
              <w:spacing w:after="0"/>
              <w:rPr>
                <w:sz w:val="1"/>
                <w:szCs w:val="1"/>
                <w:color w:val="auto"/>
              </w:rPr>
            </w:pPr>
          </w:p>
        </w:tc>
      </w:tr>
      <w:tr>
        <w:trPr>
          <w:trHeight w:val="130"/>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Distributions declared ($0.74 per</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(104,495)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(104,495)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(104,495)</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(8,203)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(8,203)</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12,008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September 30, 2018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141,199,860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4,563,103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(1,520,209)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3,044,448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243,481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3,287,929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80"/>
              <w:spacing w:after="0" w:line="131"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141,221,712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4,567,643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(1,614,357)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2,950,232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238,200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3,188,432</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69,929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69,929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2,886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72,815</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ASC 842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w w:val="95"/>
              </w:rPr>
              <w:t>Interest rate cap/swap agreements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(6,480)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(6,480)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(6,480)</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Amortization of share and unit-based</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101,213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13,353</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26,800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819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30"/>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Distributions declared ($2.25 per</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(318,176)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(318,176)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(318,176)</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(41,200)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(41,200)</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21,000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(1,242)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1,242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September 30,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141,370,725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4,581,551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(1,864,807)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2,707,211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2,907,769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9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restart"/>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80"/>
              <w:spacing w:after="0" w:line="131"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140,993,985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4,510,489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(830,279)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3,681,578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286,421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3,967,999</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48,271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48,271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7,455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55,726</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ASU 2014-09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(424,859)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(424,859)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(424,859)</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Interest rate cap</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80" w:type="dxa"/>
            <w:vAlign w:val="bottom"/>
          </w:tcPr>
          <w:p>
            <w:pPr>
              <w:jc w:val="right"/>
              <w:ind w:right="97"/>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Amortization of share and unit-based</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121,924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28,219</w:t>
            </w: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color w:val="auto"/>
              </w:rPr>
              <w:t>Employee stock purchases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17,240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806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30"/>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Distributions declared ($2.22 per</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(313,342)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(313,342)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(313,342)</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(26,101)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(26,101)</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66,711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24,002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(24,002)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September 30, 2018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141,199,860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4,563,103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(1,520,209)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3,044,448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243,481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3,287,929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For the Nine Months Ended September</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13335</wp:posOffset>
            </wp:positionV>
            <wp:extent cx="1603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8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72,815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55,726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sale or write down of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251,946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246,038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premium on mortgage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Amortization of share and unit-based plans</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22,644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Straight-line rent and amortization of above and below market leases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3,787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Equity in income of unconsolidated joint ventures</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(51,330)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of income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Change in fair value of financing arrangement obligation</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(9,279)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460"/>
              <w:spacing w:after="0"/>
              <w:rPr>
                <w:sz w:val="20"/>
                <w:szCs w:val="20"/>
                <w:color w:val="auto"/>
              </w:rPr>
            </w:pPr>
            <w:r>
              <w:rPr>
                <w:rFonts w:ascii="Arial" w:cs="Arial" w:eastAsia="Arial" w:hAnsi="Arial"/>
                <w:sz w:val="18"/>
                <w:szCs w:val="18"/>
                <w:color w:val="auto"/>
              </w:rPr>
              <w:t>Tenant and other receivables</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2,579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7,143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460"/>
              <w:spacing w:after="0"/>
              <w:rPr>
                <w:sz w:val="20"/>
                <w:szCs w:val="20"/>
                <w:color w:val="auto"/>
              </w:rPr>
            </w:pPr>
            <w:r>
              <w:rPr>
                <w:rFonts w:ascii="Arial" w:cs="Arial" w:eastAsia="Arial" w:hAnsi="Arial"/>
                <w:sz w:val="18"/>
                <w:szCs w:val="18"/>
                <w:color w:val="auto"/>
              </w:rPr>
              <w:t>Due from affiliates</w:t>
            </w:r>
          </w:p>
        </w:tc>
        <w:tc>
          <w:tcPr>
            <w:tcW w:w="2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(5,508)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4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(19,590)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247,161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Development, redevelopment, expansion and renovation of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(133,325)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Property improvements</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(32,858)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repayment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Deferred leasing costs</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541,336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Contributions to unconsolidated joint ventures</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(179,060)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assets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83,029</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16,575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256,159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40" w:type="dxa"/>
            <w:vAlign w:val="bottom"/>
            <w:gridSpan w:val="2"/>
            <w:vMerge w:val="restart"/>
          </w:tcPr>
          <w:p>
            <w:pPr>
              <w:jc w:val="right"/>
              <w:ind w:right="279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8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in thousands)</w:t>
      </w:r>
    </w:p>
    <w:p>
      <w:pPr>
        <w:spacing w:after="0" w:line="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3"/>
          <w:szCs w:val="13"/>
          <w:b w:val="1"/>
          <w:bCs w:val="1"/>
          <w:color w:val="auto"/>
        </w:rPr>
        <w:t>For the Nine Months Ended September</w:t>
      </w:r>
    </w:p>
    <w:p>
      <w:pPr>
        <w:spacing w:after="0" w:line="1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30,</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208"/>
        </w:trPr>
        <w:tc>
          <w:tcPr>
            <w:tcW w:w="8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mortgages, bank and other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295,000</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Payments on mortgages, bank and other notes payable</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7"/>
              </w:rPr>
              <w:t>(1,016,099)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(457,710)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 on finance arrangement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Proceeds from share and unit-based plans</w:t>
            </w:r>
          </w:p>
        </w:tc>
        <w:tc>
          <w:tcPr>
            <w:tcW w:w="18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of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Contribution from noncontrolling interests</w:t>
            </w:r>
          </w:p>
        </w:tc>
        <w:tc>
          <w:tcPr>
            <w:tcW w:w="18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and distributions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(339,443)</w:t>
            </w:r>
          </w:p>
        </w:tc>
        <w:tc>
          <w:tcPr>
            <w:tcW w:w="0" w:type="dxa"/>
            <w:vAlign w:val="bottom"/>
          </w:tcPr>
          <w:p>
            <w:pPr>
              <w:spacing w:after="0"/>
              <w:rPr>
                <w:sz w:val="1"/>
                <w:szCs w:val="1"/>
                <w:color w:val="auto"/>
              </w:rPr>
            </w:pP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(330,585)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(502,325)</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149,301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143,105</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107,268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144,100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 for interest, net of amounts capitalized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156,700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142,680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Accrued development costs included in accounts payable and accrued expenses and other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43,348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48,827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tcPr>
          <w:p>
            <w:pPr>
              <w:ind w:left="120"/>
              <w:spacing w:after="0"/>
              <w:rPr>
                <w:sz w:val="20"/>
                <w:szCs w:val="20"/>
                <w:color w:val="auto"/>
              </w:rPr>
            </w:pPr>
            <w:r>
              <w:rPr>
                <w:rFonts w:ascii="Arial" w:cs="Arial" w:eastAsia="Arial" w:hAnsi="Arial"/>
                <w:sz w:val="18"/>
                <w:szCs w:val="18"/>
                <w:color w:val="auto"/>
              </w:rPr>
              <w:t>Mortgage notes payable assumed in exchange for investments in unconsolidated joint ventures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139,249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Disposition of property in exchange for investments in unconsolidated joint ventures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80" w:type="dxa"/>
            <w:vAlign w:val="bottom"/>
          </w:tcPr>
          <w:p>
            <w:pPr>
              <w:ind w:left="120"/>
              <w:spacing w:after="0"/>
              <w:rPr>
                <w:sz w:val="20"/>
                <w:szCs w:val="20"/>
                <w:color w:val="auto"/>
              </w:rPr>
            </w:pPr>
            <w:r>
              <w:rPr>
                <w:rFonts w:ascii="Arial" w:cs="Arial" w:eastAsia="Arial" w:hAnsi="Arial"/>
                <w:sz w:val="18"/>
                <w:szCs w:val="18"/>
                <w:color w:val="auto"/>
              </w:rPr>
              <w:t>Conversion of Operating Partnership Units to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03" w:lineRule="exact"/>
        <w:rPr>
          <w:sz w:val="20"/>
          <w:szCs w:val="20"/>
          <w:color w:val="auto"/>
        </w:rPr>
      </w:pPr>
    </w:p>
    <w:p>
      <w:pPr>
        <w:ind w:right="80" w:firstLine="446"/>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September 30, 2019,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9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2"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right="7720" w:hanging="412"/>
        <w:spacing w:after="0" w:line="425"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ind w:right="40" w:firstLine="446"/>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6"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254,866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263,511</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23,001</w:t>
            </w:r>
          </w:p>
        </w:tc>
      </w:tr>
      <w:tr>
        <w:trPr>
          <w:trHeight w:val="264"/>
        </w:trPr>
        <w:tc>
          <w:tcPr>
            <w:tcW w:w="83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278,140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286,512</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222,085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125,273</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32,503</w:t>
            </w:r>
          </w:p>
        </w:tc>
      </w:tr>
      <w:tr>
        <w:trPr>
          <w:trHeight w:val="264"/>
        </w:trPr>
        <w:tc>
          <w:tcPr>
            <w:tcW w:w="83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258,864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157,776</w:t>
            </w:r>
          </w:p>
        </w:tc>
      </w:tr>
      <w:tr>
        <w:trPr>
          <w:trHeight w:val="21"/>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40"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2018.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2018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200" w:lineRule="exact"/>
        <w:rPr>
          <w:sz w:val="20"/>
          <w:szCs w:val="20"/>
          <w:color w:val="auto"/>
        </w:rPr>
      </w:pPr>
    </w:p>
    <w:p>
      <w:pPr>
        <w:spacing w:after="0" w:line="33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For the Nine Months Ended September</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03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36"/>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102,711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91,038</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52,067</w:t>
            </w:r>
          </w:p>
        </w:tc>
      </w:tr>
      <w:tr>
        <w:trPr>
          <w:trHeight w:val="264"/>
        </w:trPr>
        <w:tc>
          <w:tcPr>
            <w:tcW w:w="866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149,301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143,105</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98,309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93,479</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50,621</w:t>
            </w:r>
          </w:p>
        </w:tc>
      </w:tr>
      <w:tr>
        <w:trPr>
          <w:trHeight w:val="264"/>
        </w:trPr>
        <w:tc>
          <w:tcPr>
            <w:tcW w:w="866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107,268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144,100</w:t>
            </w: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Activism Costs: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September 30, 2018, the Company incurred $19,369 in costs associated with activities related to shareholder activism.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New Lease Standard:</w:t>
      </w:r>
    </w:p>
    <w:p>
      <w:pPr>
        <w:spacing w:after="0" w:line="144"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22" w:lineRule="exact"/>
        <w:rPr>
          <w:sz w:val="20"/>
          <w:szCs w:val="20"/>
          <w:color w:val="auto"/>
        </w:rPr>
      </w:pPr>
    </w:p>
    <w:p>
      <w:pPr>
        <w:ind w:right="80" w:firstLine="446"/>
        <w:spacing w:after="0" w:line="271" w:lineRule="auto"/>
        <w:rPr>
          <w:sz w:val="20"/>
          <w:szCs w:val="20"/>
          <w:color w:val="auto"/>
        </w:rPr>
      </w:pPr>
      <w:r>
        <w:rPr>
          <w:rFonts w:ascii="Arial" w:cs="Arial" w:eastAsia="Arial" w:hAnsi="Arial"/>
          <w:sz w:val="17"/>
          <w:szCs w:val="17"/>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expenses that were included in management companies' operating expenses to leasing expenses for the three and nine months ended September 30, 2018, to conform to the presentation for the three and nine months ended September 30, 2019.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 of operations. For comparison purposes, the Company has</w:t>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reclassified minimum rents, percentage rents, tenant recoveries and other leasing income to leasing revenue for the three and nine months ended</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September 30, 2018, to conform to the presentation for the three and nine months ended September 30,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 that were in litigation or bankruptcy. The standard also requires that the provision for bad debts relating to leases be presented as a reduction of leasing revenue. For the three and nine months ended September 30, 2018, the provision for bad debts is included in shopping center and operating expenses.</w:t>
      </w:r>
    </w:p>
    <w:p>
      <w:pPr>
        <w:spacing w:after="0" w:line="11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The standard requires lessees to classify its leases as either finance or operating leases. The lessee records a right-of-use ("ROU") asset and a lease liability for all leases with a term of greater than twelve months, regardless of their lease classification. Upon adoption, the Company recognized initial ROU assets and corresponding lease liabilities of $109,299, representing the discounted value of future lease payments required for leases classified as operating leases. In addition, the Company reclassified $59,736 from deferred charges and other assets, net, $5,978 from accounts payable and accrued expenses and $4,342 from other accrued liabilities, relating to existing intangible assets and straight-line rent liabilities. The Company's lease liabilities were increased at adoption by $15,268 for lease liabilities associated with finance leases that were previously included in other accrued liabilities. See Note 8—Leases, for further disclosure on the Company's adoption of the new standard.</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transparency and understandability of information conveyed to financial statement users about an entity’s risk management activities by better aligning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hedge accounting by preparers. The Company's adoption of the standard on January 1, 2019 did not have an impact on its consolidated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6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nine months ended September 30, 2019 and 2018 (shares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0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50,025</w:t>
            </w:r>
          </w:p>
        </w:tc>
        <w:tc>
          <w:tcPr>
            <w:tcW w:w="1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81,241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72,815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55,726</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3,654</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Net income attributable to the Company</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46,371</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74,028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69,929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48,271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64"/>
        </w:trPr>
        <w:tc>
          <w:tcPr>
            <w:tcW w:w="6620" w:type="dxa"/>
            <w:vAlign w:val="bottom"/>
          </w:tcPr>
          <w:p>
            <w:pPr>
              <w:ind w:left="20"/>
              <w:spacing w:after="0"/>
              <w:rPr>
                <w:sz w:val="20"/>
                <w:szCs w:val="20"/>
                <w:color w:val="auto"/>
              </w:rPr>
            </w:pPr>
            <w:r>
              <w:rPr>
                <w:rFonts w:ascii="Arial" w:cs="Arial" w:eastAsia="Arial" w:hAnsi="Arial"/>
                <w:sz w:val="18"/>
                <w:szCs w:val="18"/>
                <w:color w:val="auto"/>
                <w:w w:val="95"/>
              </w:rPr>
              <w:t>Numerator for basic and diluted EPS—net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46,074</w:t>
            </w:r>
          </w:p>
        </w:tc>
        <w:tc>
          <w:tcPr>
            <w:tcW w:w="1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73,750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69,060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47,447</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w w:val="94"/>
              </w:rPr>
              <w:t>Denominator for basic EPS—weighted average number of common shares outstanding</w:t>
            </w:r>
          </w:p>
        </w:tc>
        <w:tc>
          <w:tcPr>
            <w:tcW w:w="2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141,368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141,196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141,325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141,120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Share and unit-based compensation plans</w:t>
            </w:r>
          </w:p>
        </w:tc>
        <w:tc>
          <w:tcPr>
            <w:tcW w:w="20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Denominator for diluted EPS—weighted average number of common shares outstanding</w:t>
            </w: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141,368</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9"/>
              </w:rPr>
              <w:t>141,196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141,325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141,125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EPS—net income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0.33</w:t>
            </w: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20" w:right="40" w:hanging="412"/>
        <w:spacing w:after="0" w:line="325" w:lineRule="auto"/>
        <w:tabs>
          <w:tab w:leader="none" w:pos="429"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Diluted EPS excludes 90,619 convertible preferred partnership units for the three and nine months ended September 30, 2019 and 2018, as their impact was antidilutive. Diluted EPS also excludes 10,415,238 and 10,377,936 Operating Partnership units ("OP Units") for the three months ended September 30, 2019 and 2018, respectively, and 10,415,234 and 10,355,946 OP Units for the nine months ended September 30, 2019 and 2018, respectively, as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made the following recent investments and dispositions in its unconsolidated joint ventures:</w:t>
      </w:r>
    </w:p>
    <w:p>
      <w:pPr>
        <w:spacing w:after="0" w:line="158"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79"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$142,500. From March 1, 2018 to August 31, 2018, the Company accounted for its interest in the property as a collaborative arrangement (See Note 15—Collaborative Arrangement). On August 31, 2018, the Company completed the sale of the 75% ownership interest in the property to Hudson Pacific Properties, resulting in a gain on sale of assets of $46,242. The sales price was funded by a cash payment of $36,903 and the assumption of a pro rata share of the mortgage note payable on the property of $105,597. Concurrent with the sale of the ownership interest, the joint venture defeased the loan on the property by providing a $149,175 portfolio of marketable securities as replacement collateral in lieu of the property. The Company funded its $37,294 share of the purchase price of the marketable securities portfolio with the proceeds from the sale of the ownership interest in the property. Upon completion of the sale of the ownership interest in the property, the Company has accounted for its remaining ownership interest in the property under the equity method of accounting.</w:t>
      </w:r>
    </w:p>
    <w:p>
      <w:pPr>
        <w:spacing w:after="0" w:line="86"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104"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joint venture expects to complete the first phase of the development in fall 2021.</w:t>
      </w:r>
    </w:p>
    <w:p>
      <w:pPr>
        <w:spacing w:after="0" w:line="114"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106" w:lineRule="exact"/>
        <w:rPr>
          <w:sz w:val="20"/>
          <w:szCs w:val="20"/>
          <w:color w:val="auto"/>
        </w:rPr>
      </w:pPr>
    </w:p>
    <w:p>
      <w:pPr>
        <w:ind w:firstLine="446"/>
        <w:spacing w:after="0" w:line="342" w:lineRule="auto"/>
        <w:rPr>
          <w:sz w:val="20"/>
          <w:szCs w:val="20"/>
          <w:color w:val="auto"/>
        </w:rPr>
      </w:pPr>
      <w:r>
        <w:rPr>
          <w:rFonts w:ascii="Arial" w:cs="Arial" w:eastAsia="Arial" w:hAnsi="Arial"/>
          <w:sz w:val="16"/>
          <w:szCs w:val="16"/>
          <w:color w:val="auto"/>
        </w:rPr>
        <w:t>On September 12, 2019, the Company’s joint venture in Tysons Tower placed a new $190,000 loan on the property that bears interest at an effective rate of 3.38% and matures on October 11, 2029. The Company used its share of the proceeds to pay down its line of credit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9,359,938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9,241,003</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807,237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703,861</w:t>
            </w:r>
          </w:p>
        </w:tc>
      </w:tr>
      <w:tr>
        <w:trPr>
          <w:trHeight w:val="264"/>
        </w:trPr>
        <w:tc>
          <w:tcPr>
            <w:tcW w:w="8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10,167,175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9,944,864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Mortgage and other notes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6,261,409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6,050,930</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538,155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388,509</w:t>
            </w: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1,828,638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1,913,475</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1,538,973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1,591,950</w:t>
            </w:r>
          </w:p>
        </w:tc>
      </w:tr>
      <w:tr>
        <w:trPr>
          <w:trHeight w:val="264"/>
        </w:trPr>
        <w:tc>
          <w:tcPr>
            <w:tcW w:w="838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10,167,175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9,944,864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1,828,638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1,913,475</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(535,808)</w:t>
            </w:r>
          </w:p>
        </w:tc>
      </w:tr>
      <w:tr>
        <w:trPr>
          <w:trHeight w:val="237"/>
        </w:trPr>
        <w:tc>
          <w:tcPr>
            <w:tcW w:w="8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1,324,462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1,377,667</w:t>
            </w:r>
          </w:p>
        </w:tc>
      </w:tr>
      <w:tr>
        <w:trPr>
          <w:trHeight w:val="27"/>
        </w:trPr>
        <w:tc>
          <w:tcPr>
            <w:tcW w:w="8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1,436,788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1,492,655</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(114,988)</w:t>
            </w:r>
          </w:p>
        </w:tc>
      </w:tr>
      <w:tr>
        <w:trPr>
          <w:trHeight w:val="237"/>
        </w:trPr>
        <w:tc>
          <w:tcPr>
            <w:tcW w:w="8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1,324,462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1,377,667</w:t>
            </w:r>
          </w:p>
        </w:tc>
      </w:tr>
      <w:tr>
        <w:trPr>
          <w:trHeight w:val="27"/>
        </w:trPr>
        <w:tc>
          <w:tcPr>
            <w:tcW w:w="8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41763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20" w:right="160" w:hanging="412"/>
        <w:spacing w:after="0" w:line="264" w:lineRule="auto"/>
        <w:tabs>
          <w:tab w:leader="none" w:pos="4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amounts include assets of $2,981,866 and $3,047,851 of Pacific Premier Retail LLC (the "PPR Portfolio") as of September 30, 2019 and December 31, 2018, respectively, and liabilities of $1,836,948 and $1,859,637 of the PPR Portfolio as of September 30, 2019 and December 31, 2018, respectively.</w:t>
      </w:r>
    </w:p>
    <w:p>
      <w:pPr>
        <w:spacing w:after="0" w:line="113" w:lineRule="exact"/>
        <w:rPr>
          <w:rFonts w:ascii="Arial" w:cs="Arial" w:eastAsia="Arial" w:hAnsi="Arial"/>
          <w:sz w:val="18"/>
          <w:szCs w:val="18"/>
          <w:color w:val="auto"/>
        </w:rPr>
      </w:pPr>
    </w:p>
    <w:p>
      <w:pPr>
        <w:ind w:left="420" w:right="100" w:hanging="412"/>
        <w:spacing w:after="0" w:line="259" w:lineRule="auto"/>
        <w:tabs>
          <w:tab w:leader="none" w:pos="4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$5,354 and $1,160 for the three months ended September 30, 2019 and 2018, respectively, and $15,164 and $8,787 for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PPR Portfolio</w:t>
            </w: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Joint</w:t>
            </w:r>
          </w:p>
        </w:tc>
        <w:tc>
          <w:tcPr>
            <w:tcW w:w="32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Ventures</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Leasing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215,440</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15,648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46,976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184,780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231,756</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67,947</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Leasing expenses</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52,947</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25,260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63,683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88,943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211,994</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Gain on sale or write down of assets, net</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24,668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19,767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tcPr>
          <w:p>
            <w:pPr>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14,991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Leasing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223,849</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11,767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46,886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188,757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235,643</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71,421</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Interest expense(1)</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37,968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54,648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61,323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85,905</w:t>
            </w:r>
          </w:p>
        </w:tc>
        <w:tc>
          <w:tcPr>
            <w:tcW w:w="0" w:type="dxa"/>
            <w:vAlign w:val="bottom"/>
          </w:tcPr>
          <w:p>
            <w:pPr>
              <w:spacing w:after="0"/>
              <w:rPr>
                <w:sz w:val="1"/>
                <w:szCs w:val="1"/>
                <w:color w:val="auto"/>
              </w:rPr>
            </w:pPr>
          </w:p>
        </w:tc>
      </w:tr>
      <w:tr>
        <w:trPr>
          <w:trHeight w:val="237"/>
        </w:trPr>
        <w:tc>
          <w:tcPr>
            <w:tcW w:w="52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51,155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160,819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211,974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gain on sale or write down of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40,560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36,244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18,937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60"/>
          </w:cols>
          <w:pgMar w:left="240" w:top="269" w:right="99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3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PPR Portfolio</w:t>
            </w: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Joint</w:t>
            </w:r>
          </w:p>
        </w:tc>
        <w:tc>
          <w:tcPr>
            <w:tcW w:w="32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Ventures</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Leasing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514,929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652,603</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40,809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42,094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138,959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555,738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694,697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204,804</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Leasing expenses</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161,534</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75,506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205,016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280,522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498,115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653,219</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57,343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tcPr>
          <w:p>
            <w:pPr>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36,221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34,082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Leasing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533,041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670,682</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31,917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32,544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138,268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564,958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703,226</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212,265</w:t>
            </w:r>
          </w:p>
        </w:tc>
        <w:tc>
          <w:tcPr>
            <w:tcW w:w="0" w:type="dxa"/>
            <w:vAlign w:val="bottom"/>
          </w:tcPr>
          <w:p>
            <w:pPr>
              <w:spacing w:after="0"/>
              <w:rPr>
                <w:sz w:val="1"/>
                <w:szCs w:val="1"/>
                <w:color w:val="auto"/>
              </w:rPr>
            </w:pPr>
          </w:p>
        </w:tc>
      </w:tr>
      <w:tr>
        <w:trPr>
          <w:trHeight w:val="243"/>
        </w:trPr>
        <w:tc>
          <w:tcPr>
            <w:tcW w:w="5260" w:type="dxa"/>
            <w:vAlign w:val="bottom"/>
          </w:tcPr>
          <w:p>
            <w:pPr>
              <w:ind w:left="100"/>
              <w:spacing w:after="0"/>
              <w:rPr>
                <w:sz w:val="20"/>
                <w:szCs w:val="20"/>
                <w:color w:val="auto"/>
              </w:rPr>
            </w:pPr>
            <w:r>
              <w:rPr>
                <w:rFonts w:ascii="Arial" w:cs="Arial" w:eastAsia="Arial" w:hAnsi="Arial"/>
                <w:sz w:val="18"/>
                <w:szCs w:val="18"/>
                <w:color w:val="auto"/>
              </w:rPr>
              <w:t>Interest expense(1)</w:t>
            </w:r>
          </w:p>
        </w:tc>
        <w:tc>
          <w:tcPr>
            <w:tcW w:w="2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50,176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108,356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158,532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184,708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257,845</w:t>
            </w:r>
          </w:p>
        </w:tc>
        <w:tc>
          <w:tcPr>
            <w:tcW w:w="0" w:type="dxa"/>
            <w:vAlign w:val="bottom"/>
          </w:tcPr>
          <w:p>
            <w:pPr>
              <w:spacing w:after="0"/>
              <w:rPr>
                <w:sz w:val="1"/>
                <w:szCs w:val="1"/>
                <w:color w:val="auto"/>
              </w:rPr>
            </w:pPr>
          </w:p>
        </w:tc>
      </w:tr>
      <w:tr>
        <w:trPr>
          <w:trHeight w:val="237"/>
        </w:trPr>
        <w:tc>
          <w:tcPr>
            <w:tcW w:w="52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152,404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476,238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628,642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gain on sale or write down of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102,871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88,688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52,351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51,330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hanging="412"/>
        <w:spacing w:after="0" w:line="277"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includes $7,148 and $19,264 for the three and nine months ended September 30, 2018, respectively, related to mortgage notes payable to an affiliate of Northwestern Mutual Life ("NML") (See Note 18—Related Party Transactions).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269"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62" w:lineRule="exact"/>
        <w:rPr>
          <w:sz w:val="20"/>
          <w:szCs w:val="20"/>
          <w:color w:val="auto"/>
        </w:rPr>
      </w:pPr>
    </w:p>
    <w:p>
      <w:pPr>
        <w:jc w:val="both"/>
        <w:ind w:right="100" w:firstLine="446"/>
        <w:spacing w:after="0" w:line="286" w:lineRule="auto"/>
        <w:rPr>
          <w:sz w:val="20"/>
          <w:szCs w:val="20"/>
          <w:color w:val="auto"/>
        </w:rPr>
      </w:pPr>
      <w:r>
        <w:rPr>
          <w:rFonts w:ascii="Arial" w:cs="Arial" w:eastAsia="Arial" w:hAnsi="Arial"/>
          <w:sz w:val="17"/>
          <w:szCs w:val="17"/>
          <w:color w:val="auto"/>
        </w:rPr>
        <w:t>The Company uses interest rate cap and interest rate swap agreements to manage the interest rate risk of its floating rate debt. The Company recorded other comprehensive (loss) income related to the marking-to-market of derivative instruments of $(154) and $175 for the three months ended September 30, 2019 and 2018, respectively, and $(6,480) and $184 for the nine months ended September 30, 2019 and 2018, respectively.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derivatives were outstanding at September 30, 2019:</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2"/>
              </w:rPr>
              <w:t>Notional Amount</w:t>
            </w:r>
          </w:p>
        </w:tc>
        <w:tc>
          <w:tcPr>
            <w:tcW w:w="120" w:type="dxa"/>
            <w:vAlign w:val="bottom"/>
            <w:vMerge w:val="restart"/>
          </w:tcPr>
          <w:p>
            <w:pPr>
              <w:spacing w:after="0"/>
              <w:rPr>
                <w:sz w:val="13"/>
                <w:szCs w:val="13"/>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Product</w:t>
            </w:r>
          </w:p>
        </w:tc>
        <w:tc>
          <w:tcPr>
            <w:tcW w:w="120" w:type="dxa"/>
            <w:vAlign w:val="bottom"/>
            <w:vMerge w:val="restart"/>
          </w:tcPr>
          <w:p>
            <w:pPr>
              <w:spacing w:after="0"/>
              <w:rPr>
                <w:sz w:val="13"/>
                <w:szCs w:val="13"/>
                <w:color w:val="auto"/>
              </w:rPr>
            </w:pPr>
          </w:p>
        </w:tc>
        <w:tc>
          <w:tcPr>
            <w:tcW w:w="102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LIBOR Rate</w:t>
            </w:r>
          </w:p>
        </w:tc>
        <w:tc>
          <w:tcPr>
            <w:tcW w:w="100" w:type="dxa"/>
            <w:vAlign w:val="bottom"/>
            <w:vMerge w:val="restart"/>
          </w:tcPr>
          <w:p>
            <w:pPr>
              <w:spacing w:after="0"/>
              <w:rPr>
                <w:sz w:val="13"/>
                <w:szCs w:val="13"/>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3"/>
                <w:szCs w:val="13"/>
                <w:color w:val="auto"/>
              </w:rPr>
            </w:pPr>
          </w:p>
        </w:tc>
        <w:tc>
          <w:tcPr>
            <w:tcW w:w="1100" w:type="dxa"/>
            <w:vAlign w:val="bottom"/>
          </w:tcPr>
          <w:p>
            <w:pPr>
              <w:jc w:val="right"/>
              <w:ind w:right="143"/>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Cap</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Swaps</w:t>
            </w:r>
          </w:p>
        </w:tc>
        <w:tc>
          <w:tcPr>
            <w:tcW w:w="84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9/30/2021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(10,946)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80" w:firstLine="446"/>
        <w:spacing w:after="0" w:line="276" w:lineRule="auto"/>
        <w:rPr>
          <w:sz w:val="20"/>
          <w:szCs w:val="20"/>
          <w:color w:val="auto"/>
        </w:rPr>
      </w:pPr>
      <w:r>
        <w:rPr>
          <w:rFonts w:ascii="Arial" w:cs="Arial" w:eastAsia="Arial" w:hAnsi="Arial"/>
          <w:sz w:val="17"/>
          <w:szCs w:val="17"/>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5" w:lineRule="exact"/>
        <w:rPr>
          <w:sz w:val="20"/>
          <w:szCs w:val="20"/>
          <w:color w:val="auto"/>
        </w:rPr>
      </w:pPr>
    </w:p>
    <w:p>
      <w:pPr>
        <w:ind w:right="120" w:firstLine="446"/>
        <w:spacing w:after="0" w:line="297"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net consists of the following:</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1,508,445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1,506,678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6,315,465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6,288,308</w:t>
            </w:r>
          </w:p>
        </w:tc>
      </w:tr>
      <w:tr>
        <w:trPr>
          <w:trHeight w:val="27"/>
        </w:trPr>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708,230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678,110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Equipment and furnishings(1)</w:t>
            </w:r>
          </w:p>
        </w:tc>
        <w:tc>
          <w:tcPr>
            <w:tcW w:w="18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214,065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206,398</w:t>
            </w:r>
          </w:p>
        </w:tc>
      </w:tr>
      <w:tr>
        <w:trPr>
          <w:trHeight w:val="27"/>
        </w:trPr>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204,172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199,326</w:t>
            </w:r>
          </w:p>
        </w:tc>
      </w:tr>
      <w:tr>
        <w:trPr>
          <w:trHeight w:val="237"/>
        </w:trPr>
        <w:tc>
          <w:tcPr>
            <w:tcW w:w="68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8,950,377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8,878,820</w:t>
            </w:r>
          </w:p>
        </w:tc>
      </w:tr>
      <w:tr>
        <w:trPr>
          <w:trHeight w:val="27"/>
        </w:trPr>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(2,286,271)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(2,093,044)</w:t>
            </w:r>
          </w:p>
        </w:tc>
      </w:tr>
      <w:tr>
        <w:trPr>
          <w:trHeight w:val="237"/>
        </w:trPr>
        <w:tc>
          <w:tcPr>
            <w:tcW w:w="68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6,664,106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6,785,776</w:t>
            </w:r>
          </w:p>
        </w:tc>
      </w:tr>
      <w:tr>
        <w:trPr>
          <w:trHeight w:val="27"/>
        </w:trPr>
        <w:tc>
          <w:tcPr>
            <w:tcW w:w="6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right="220" w:hanging="484"/>
        <w:spacing w:after="0" w:line="277"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and furnishings and accumulated depreciation include the cost and accumulated amortization of ROU assets in connection with finance leases at September 30, 2019 (See Note 8—Leases).</w:t>
      </w:r>
    </w:p>
    <w:p>
      <w:pPr>
        <w:spacing w:after="0" w:line="10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Depreciation expense was $72,519 and $69,237 for the three months ended September 30, 2019 and 2018, respectively, and $214,689 and $204,031 for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(loss) gain on sale or write down of assets, net for the three and nine months ended September 30, 2019 and 2018 consist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218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sales(1)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46,242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45,931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Write-down of assets(2)</w:t>
            </w:r>
          </w:p>
        </w:tc>
        <w:tc>
          <w:tcPr>
            <w:tcW w:w="2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(1,786)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ind w:left="200"/>
              <w:spacing w:after="0"/>
              <w:rPr>
                <w:sz w:val="20"/>
                <w:szCs w:val="20"/>
                <w:color w:val="auto"/>
              </w:rPr>
            </w:pPr>
            <w:r>
              <w:rPr>
                <w:rFonts w:ascii="Arial" w:cs="Arial" w:eastAsia="Arial" w:hAnsi="Arial"/>
                <w:sz w:val="18"/>
                <w:szCs w:val="18"/>
                <w:color w:val="auto"/>
              </w:rPr>
              <w:t>(16,121)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(50,578)</w:t>
            </w:r>
          </w:p>
        </w:tc>
      </w:tr>
      <w:tr>
        <w:trPr>
          <w:trHeight w:val="27"/>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sales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2,060</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615</w:t>
            </w: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4,133</w:t>
            </w:r>
          </w:p>
        </w:tc>
      </w:tr>
      <w:tr>
        <w:trPr>
          <w:trHeight w:val="237"/>
        </w:trPr>
        <w:tc>
          <w:tcPr>
            <w:tcW w:w="54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46,516</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(15,506)</w:t>
            </w:r>
          </w:p>
        </w:tc>
        <w:tc>
          <w:tcPr>
            <w:tcW w:w="1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right="180" w:hanging="412"/>
        <w:spacing w:after="0" w:line="261" w:lineRule="auto"/>
        <w:tabs>
          <w:tab w:leader="none" w:pos="406" w:val="left"/>
        </w:tabs>
        <w:numPr>
          <w:ilvl w:val="0"/>
          <w:numId w:val="8"/>
        </w:numPr>
        <w:rPr>
          <w:rFonts w:ascii="Arial" w:cs="Arial" w:eastAsia="Arial" w:hAnsi="Arial"/>
          <w:sz w:val="16"/>
          <w:szCs w:val="16"/>
          <w:color w:val="auto"/>
        </w:rPr>
      </w:pPr>
      <w:r>
        <w:rPr>
          <w:rFonts w:ascii="Arial" w:cs="Arial" w:eastAsia="Arial" w:hAnsi="Arial"/>
          <w:sz w:val="16"/>
          <w:szCs w:val="16"/>
          <w:color w:val="auto"/>
        </w:rPr>
        <w:t>Gain on sale of properties during the three and nine months ended September 30, 2018 includes a gain of $46,242 on the sale of a 75% ownership interest in One Westside (See Note 4—Investments in Unconsolidated Joint Ventures). Gain on sale of properties during the nine months ended September 30, 2018 also includes the loss of $311 on the sale of Promenade at Casa Grande (See Note 16—Dispositions).</w:t>
      </w:r>
    </w:p>
    <w:p>
      <w:pPr>
        <w:spacing w:after="0" w:line="102" w:lineRule="exact"/>
        <w:rPr>
          <w:rFonts w:ascii="Arial" w:cs="Arial" w:eastAsia="Arial" w:hAnsi="Arial"/>
          <w:sz w:val="16"/>
          <w:szCs w:val="16"/>
          <w:color w:val="auto"/>
        </w:rPr>
      </w:pPr>
    </w:p>
    <w:p>
      <w:pPr>
        <w:jc w:val="both"/>
        <w:ind w:left="420" w:right="180" w:hanging="412"/>
        <w:spacing w:after="0" w:line="261" w:lineRule="auto"/>
        <w:tabs>
          <w:tab w:leader="none" w:pos="40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impairment losses of $36,338 on SouthPark Mall, $7,494 on two freestanding stores, $1,695 on Southridge Center and $1,043 on Promenade at Casa Grande during the nine months ended September 30, 2018. The impairment losses were due to the reduction of the estimated holding periods of the properties. The remaining balances represent the write off of development costs.</w:t>
      </w:r>
    </w:p>
    <w:p>
      <w:pPr>
        <w:spacing w:after="0" w:line="1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the impairment losses recorded for the nine months ended September 30, 2018, as described above:</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Significant Other</w:t>
            </w:r>
          </w:p>
        </w:tc>
        <w:tc>
          <w:tcPr>
            <w:tcW w:w="28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Significant</w:t>
            </w:r>
          </w:p>
        </w:tc>
      </w:tr>
      <w:tr>
        <w:trPr>
          <w:trHeight w:val="270"/>
        </w:trPr>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 Fair Value</w:t>
            </w:r>
          </w:p>
        </w:tc>
        <w:tc>
          <w:tcPr>
            <w:tcW w:w="100" w:type="dxa"/>
            <w:vAlign w:val="bottom"/>
          </w:tcPr>
          <w:p>
            <w:pPr>
              <w:spacing w:after="0"/>
              <w:rPr>
                <w:sz w:val="23"/>
                <w:szCs w:val="23"/>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Identical Assets</w:t>
            </w:r>
          </w:p>
        </w:tc>
        <w:tc>
          <w:tcPr>
            <w:tcW w:w="1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Unobservable Inputs</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Measurement</w:t>
            </w:r>
          </w:p>
        </w:tc>
        <w:tc>
          <w:tcPr>
            <w:tcW w:w="10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2)</w:t>
            </w:r>
          </w:p>
        </w:tc>
        <w:tc>
          <w:tcPr>
            <w:tcW w:w="280" w:type="dxa"/>
            <w:vAlign w:val="bottom"/>
          </w:tcPr>
          <w:p>
            <w:pPr>
              <w:spacing w:after="0"/>
              <w:rPr>
                <w:sz w:val="20"/>
                <w:szCs w:val="20"/>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72,700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72,700</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relating to the impairments were based on sales contracts.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48" w:lineRule="exact"/>
        <w:rPr>
          <w:sz w:val="20"/>
          <w:szCs w:val="20"/>
          <w:color w:val="auto"/>
        </w:rPr>
      </w:pPr>
    </w:p>
    <w:p>
      <w:pPr>
        <w:ind w:right="380" w:firstLine="446"/>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$4,634 and $2,919 at September 30, 2019 and December 31, 2018, respectively. Also included in tenant and other receivables, net are accrued percentage rents of $1,948 and $8,949 at September 30, 2019 and December 31, 2018, respectively, and a deferred rent receivable due to straight-line rent adjustments of $78,783 and $72,456 at September 30, 2019 and December 31,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 Leases:</w:t>
      </w:r>
    </w:p>
    <w:p>
      <w:pPr>
        <w:spacing w:after="0" w:line="144"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ectPr>
          <w:pgSz w:w="11900" w:h="16838" w:orient="portrait"/>
          <w:cols w:equalWidth="0" w:num="1">
            <w:col w:w="11360"/>
          </w:cols>
          <w:pgMar w:left="240" w:top="26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leasing revenue for the three and nine months ended September 30, 2019 and 2018:</w:t>
      </w:r>
    </w:p>
    <w:p>
      <w:pPr>
        <w:spacing w:after="0" w:line="20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0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92"/>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0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44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revenue - fixed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159,356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164,351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482,194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494,096</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Leasing revenue - variable payments</w:t>
            </w:r>
          </w:p>
        </w:tc>
        <w:tc>
          <w:tcPr>
            <w:tcW w:w="1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54,904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59,900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154,096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165,281</w:t>
            </w:r>
          </w:p>
        </w:tc>
      </w:tr>
      <w:tr>
        <w:trPr>
          <w:trHeight w:val="27"/>
        </w:trPr>
        <w:tc>
          <w:tcPr>
            <w:tcW w:w="4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214,260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224,251</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636,290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659,377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200" w:type="dxa"/>
            <w:vAlign w:val="bottom"/>
            <w:gridSpan w:val="3"/>
          </w:tcPr>
          <w:p>
            <w:pPr>
              <w:spacing w:after="0"/>
              <w:rPr>
                <w:sz w:val="20"/>
                <w:szCs w:val="20"/>
                <w:color w:val="auto"/>
              </w:rPr>
            </w:pPr>
            <w:r>
              <w:rPr>
                <w:rFonts w:ascii="Arial" w:cs="Arial" w:eastAsia="Arial" w:hAnsi="Arial"/>
                <w:sz w:val="18"/>
                <w:szCs w:val="18"/>
                <w:color w:val="auto"/>
              </w:rPr>
              <w:t>The following table summarizes the future minimum rental payments to the Company:</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9"/>
        </w:trPr>
        <w:tc>
          <w:tcPr>
            <w:tcW w:w="84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Twelve months ending September 30,</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77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840" w:type="dxa"/>
            <w:vAlign w:val="bottom"/>
          </w:tcPr>
          <w:p>
            <w:pPr>
              <w:spacing w:after="0"/>
              <w:rPr>
                <w:sz w:val="21"/>
                <w:szCs w:val="21"/>
                <w:color w:val="auto"/>
              </w:rPr>
            </w:pPr>
          </w:p>
        </w:tc>
        <w:tc>
          <w:tcPr>
            <w:tcW w:w="69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490,897</w:t>
            </w:r>
          </w:p>
        </w:tc>
      </w:tr>
      <w:tr>
        <w:trPr>
          <w:trHeight w:val="243"/>
        </w:trPr>
        <w:tc>
          <w:tcPr>
            <w:tcW w:w="7760" w:type="dxa"/>
            <w:vAlign w:val="bottom"/>
            <w:gridSpan w:val="2"/>
          </w:tcPr>
          <w:p>
            <w:pPr>
              <w:ind w:left="8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414,722</w:t>
            </w:r>
          </w:p>
        </w:tc>
      </w:tr>
      <w:tr>
        <w:trPr>
          <w:trHeight w:val="27"/>
        </w:trPr>
        <w:tc>
          <w:tcPr>
            <w:tcW w:w="77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363,264</w:t>
            </w:r>
          </w:p>
        </w:tc>
      </w:tr>
      <w:tr>
        <w:trPr>
          <w:trHeight w:val="243"/>
        </w:trPr>
        <w:tc>
          <w:tcPr>
            <w:tcW w:w="7760" w:type="dxa"/>
            <w:vAlign w:val="bottom"/>
            <w:gridSpan w:val="2"/>
          </w:tcPr>
          <w:p>
            <w:pPr>
              <w:ind w:left="8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313,166</w:t>
            </w:r>
          </w:p>
        </w:tc>
      </w:tr>
      <w:tr>
        <w:trPr>
          <w:trHeight w:val="27"/>
        </w:trPr>
        <w:tc>
          <w:tcPr>
            <w:tcW w:w="77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255,316</w:t>
            </w:r>
          </w:p>
        </w:tc>
      </w:tr>
      <w:tr>
        <w:trPr>
          <w:trHeight w:val="243"/>
        </w:trPr>
        <w:tc>
          <w:tcPr>
            <w:tcW w:w="84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753,888</w:t>
            </w:r>
          </w:p>
        </w:tc>
      </w:tr>
      <w:tr>
        <w:trPr>
          <w:trHeight w:val="27"/>
        </w:trPr>
        <w:tc>
          <w:tcPr>
            <w:tcW w:w="84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 w:type="dxa"/>
            <w:vAlign w:val="bottom"/>
          </w:tcPr>
          <w:p>
            <w:pPr>
              <w:spacing w:after="0"/>
              <w:rPr>
                <w:sz w:val="24"/>
                <w:szCs w:val="24"/>
                <w:color w:val="auto"/>
              </w:rPr>
            </w:pPr>
          </w:p>
        </w:tc>
        <w:tc>
          <w:tcPr>
            <w:tcW w:w="69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2,591,253</w:t>
            </w:r>
          </w:p>
        </w:tc>
      </w:tr>
      <w:tr>
        <w:trPr>
          <w:trHeight w:val="20"/>
        </w:trPr>
        <w:tc>
          <w:tcPr>
            <w:tcW w:w="84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Lessee Leases:</w:t>
      </w:r>
    </w:p>
    <w:p>
      <w:pPr>
        <w:spacing w:after="0" w:line="15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four finance leases that expire at various times through 2022.</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for the three and nine months ended September 30, 2019:</w:t>
      </w:r>
    </w:p>
    <w:p>
      <w:pPr>
        <w:spacing w:after="0" w:line="17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30, 2019</w:t>
            </w:r>
          </w:p>
        </w:tc>
        <w:tc>
          <w:tcPr>
            <w:tcW w:w="1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3,466</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4,086</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269" w:right="5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future minimum rental payments required under the leases: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September 30, 2019</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w w:val="93"/>
              </w:rPr>
              <w:t>Operating Leases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21"/>
                <w:szCs w:val="21"/>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17,149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17,004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16,867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140,415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140,562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undiscounted rental payments</w:t>
            </w: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207,011</w:t>
            </w: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15,469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220,336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(104,124)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102,887</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13,796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Company's weighted average remaining lease term of its operating and finance leases at September 30, 2019 was 31.0 years and 1.9 years, respectively. The Company's weighted average incremental borrowing rate of its operating and finance leases at September 30, 2019 was 7.7% and 4.2%,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203,843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226,885</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In-place lease values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94,966</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Leasing commissions and legal costs</w:t>
            </w:r>
          </w:p>
        </w:tc>
        <w:tc>
          <w:tcPr>
            <w:tcW w:w="2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21,019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23,508</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Above-market leases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140,889</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30,643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32,197</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45,857</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51,655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75,497</w:t>
            </w:r>
          </w:p>
        </w:tc>
      </w:tr>
      <w:tr>
        <w:trPr>
          <w:trHeight w:val="27"/>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504,622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639,799</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Less accumulated amortization(1)</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(226,823)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(249,396)</w:t>
            </w:r>
          </w:p>
        </w:tc>
      </w:tr>
      <w:tr>
        <w:trPr>
          <w:trHeight w:val="27"/>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277,799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390,403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274320</wp:posOffset>
            </wp:positionV>
            <wp:extent cx="3944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980" w:right="100" w:hanging="324"/>
        <w:spacing w:after="0" w:line="315" w:lineRule="auto"/>
        <w:tabs>
          <w:tab w:leader="none" w:pos="957"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Accumulated amortization includes $67,599 and $72,286 relating to in-place lease values, leasing commissions and legal costs at September 30, 2019 and December 31, 2018, respectively. Amortization expense of in-place lease values, leasing commissions and legal costs was $3,467 and $3,114 for the three months ended September 30, 2019 and 2018, respectively, and $9,991 and $10,504 for the nine months ended September 30, 2019 and 2018, respectively.</w:t>
      </w:r>
    </w:p>
    <w:p>
      <w:pPr>
        <w:sectPr>
          <w:pgSz w:w="11900" w:h="16838" w:orient="portrait"/>
          <w:cols w:equalWidth="0" w:num="1">
            <w:col w:w="11060"/>
          </w:cols>
          <w:pgMar w:left="240" w:top="26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269" w:right="59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Above-Market Leases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394"/>
              <w:spacing w:after="0"/>
              <w:rPr>
                <w:sz w:val="20"/>
                <w:szCs w:val="20"/>
                <w:color w:val="auto"/>
              </w:rPr>
            </w:pPr>
            <w:r>
              <w:rPr>
                <w:rFonts w:ascii="Arial" w:cs="Arial" w:eastAsia="Arial" w:hAnsi="Arial"/>
                <w:sz w:val="18"/>
                <w:szCs w:val="18"/>
                <w:color w:val="auto"/>
                <w:w w:val="90"/>
              </w:rPr>
              <w:t>62,679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140,889</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92"/>
              </w:rPr>
              <w:t>(36,199)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(49,847)</w:t>
            </w:r>
          </w:p>
        </w:tc>
      </w:tr>
      <w:tr>
        <w:trPr>
          <w:trHeight w:val="237"/>
        </w:trPr>
        <w:tc>
          <w:tcPr>
            <w:tcW w:w="68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center"/>
              <w:ind w:left="394"/>
              <w:spacing w:after="0"/>
              <w:rPr>
                <w:sz w:val="20"/>
                <w:szCs w:val="20"/>
                <w:color w:val="auto"/>
              </w:rPr>
            </w:pPr>
            <w:r>
              <w:rPr>
                <w:rFonts w:ascii="Arial" w:cs="Arial" w:eastAsia="Arial" w:hAnsi="Arial"/>
                <w:sz w:val="18"/>
                <w:szCs w:val="18"/>
                <w:color w:val="auto"/>
                <w:w w:val="90"/>
              </w:rPr>
              <w:t>26,480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91,042</w:t>
            </w:r>
          </w:p>
        </w:tc>
      </w:tr>
      <w:tr>
        <w:trPr>
          <w:trHeight w:val="27"/>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Below-Market Leases(1)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Original allocated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394"/>
              <w:spacing w:after="0"/>
              <w:rPr>
                <w:sz w:val="20"/>
                <w:szCs w:val="20"/>
                <w:color w:val="auto"/>
              </w:rPr>
            </w:pPr>
            <w:r>
              <w:rPr>
                <w:rFonts w:ascii="Arial" w:cs="Arial" w:eastAsia="Arial" w:hAnsi="Arial"/>
                <w:sz w:val="18"/>
                <w:szCs w:val="18"/>
                <w:color w:val="auto"/>
                <w:w w:val="90"/>
              </w:rPr>
              <w:t>92,420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108,330</w:t>
            </w:r>
          </w:p>
        </w:tc>
      </w:tr>
      <w:tr>
        <w:trPr>
          <w:trHeight w:val="27"/>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92"/>
              </w:rPr>
              <w:t>(54,837)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(56,345)</w:t>
            </w:r>
          </w:p>
        </w:tc>
      </w:tr>
      <w:tr>
        <w:trPr>
          <w:trHeight w:val="237"/>
        </w:trPr>
        <w:tc>
          <w:tcPr>
            <w:tcW w:w="68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center"/>
              <w:ind w:left="394"/>
              <w:spacing w:after="0"/>
              <w:rPr>
                <w:sz w:val="20"/>
                <w:szCs w:val="20"/>
                <w:color w:val="auto"/>
              </w:rPr>
            </w:pPr>
            <w:r>
              <w:rPr>
                <w:rFonts w:ascii="Arial" w:cs="Arial" w:eastAsia="Arial" w:hAnsi="Arial"/>
                <w:sz w:val="18"/>
                <w:szCs w:val="18"/>
                <w:color w:val="auto"/>
                <w:w w:val="90"/>
              </w:rPr>
              <w:t>37,583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51,985</w:t>
            </w:r>
          </w:p>
        </w:tc>
      </w:tr>
      <w:tr>
        <w:trPr>
          <w:trHeight w:val="27"/>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240030</wp:posOffset>
            </wp:positionV>
            <wp:extent cx="3944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Below-market leases are included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60"/>
          </w:cols>
          <w:pgMar w:left="240" w:top="269" w:right="99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notes payable at September 30, 2019 and December 31, 2018 consist of the following:</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4"/>
              </w:rPr>
              <w:t>Carrying Amount of Mortgage Notes(1)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108"/>
              <w:spacing w:after="0" w:line="139" w:lineRule="exact"/>
              <w:rPr>
                <w:sz w:val="20"/>
                <w:szCs w:val="20"/>
                <w:color w:val="auto"/>
              </w:rPr>
            </w:pPr>
            <w:r>
              <w:rPr>
                <w:rFonts w:ascii="Arial" w:cs="Arial" w:eastAsia="Arial" w:hAnsi="Arial"/>
                <w:sz w:val="14"/>
                <w:szCs w:val="14"/>
                <w:b w:val="1"/>
                <w:bCs w:val="1"/>
                <w:color w:val="auto"/>
                <w:w w:val="92"/>
              </w:rPr>
              <w:t>Effective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Monthly</w:t>
            </w: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vMerge w:val="restart"/>
          </w:tcPr>
          <w:p>
            <w:pPr>
              <w:spacing w:after="0"/>
              <w:rPr>
                <w:sz w:val="12"/>
                <w:szCs w:val="12"/>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Pr>
          <w:p>
            <w:pPr>
              <w:spacing w:after="0"/>
              <w:rPr>
                <w:sz w:val="12"/>
                <w:szCs w:val="12"/>
                <w:color w:val="auto"/>
              </w:rPr>
            </w:pPr>
          </w:p>
        </w:tc>
        <w:tc>
          <w:tcPr>
            <w:tcW w:w="8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6"/>
              </w:rPr>
              <w:t>Rate(2)</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Service(3)</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Chandler Fashion Center(5)(6)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255,086</w:t>
            </w:r>
          </w:p>
        </w:tc>
        <w:tc>
          <w:tcPr>
            <w:tcW w:w="10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199,972</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4.18</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Danbury Fair Mall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202,158</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5.53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Fashion Outlets of Chicago(7)</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299,092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199,622</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4.61</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Fashion Outlets of Niagara Falls USA(8)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109,651</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4.89</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Freehold Raceway Mall(5)</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398,337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398,212</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3.94</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Fresno Fashion Fair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323,460</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3.67</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Green Acres Commons(9)</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128,696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128,006</w:t>
            </w: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w w:val="96"/>
              </w:rPr>
              <w:t>4.81 %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 Acres Mall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279,513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284,686</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3.61</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Kings Plaza Shopping Center(10)</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429,285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437,120</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3.67</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Oaks, The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192,037</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4.14</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Pacific View</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119,003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121,362</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4.08</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Queens Center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600,000</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3.49</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Santa Monica Place(11)</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297,630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297,069</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3.63</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SanTan Village Regional Center(12)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121,585</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4.34</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Towne Mall</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20,733</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4.48</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Tucson La Encantada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65,361</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4.23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Victor Valley, Mall of</w:t>
            </w:r>
          </w:p>
        </w:tc>
        <w:tc>
          <w:tcPr>
            <w:tcW w:w="12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114,719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114,675</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w w:val="96"/>
              </w:rPr>
              <w:t>4.00</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Vintage Faire Mall</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253,869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258,207</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6"/>
              </w:rPr>
              <w:t>3.55</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4,294,633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4,073,916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820" w:right="360" w:hanging="407"/>
        <w:spacing w:after="0" w:line="312" w:lineRule="auto"/>
        <w:tabs>
          <w:tab w:leader="none" w:pos="81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$12,202 and $13,053 at September 30, 2019 and December 31, 2018, respectively.</w:t>
      </w:r>
    </w:p>
    <w:p>
      <w:pPr>
        <w:spacing w:after="0" w:line="83" w:lineRule="exact"/>
        <w:rPr>
          <w:rFonts w:ascii="Arial" w:cs="Arial" w:eastAsia="Arial" w:hAnsi="Arial"/>
          <w:sz w:val="13"/>
          <w:szCs w:val="13"/>
          <w:color w:val="auto"/>
        </w:rPr>
      </w:pPr>
    </w:p>
    <w:p>
      <w:pPr>
        <w:ind w:left="820" w:hanging="407"/>
        <w:spacing w:after="0"/>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136" w:lineRule="exact"/>
        <w:rPr>
          <w:rFonts w:ascii="Arial" w:cs="Arial" w:eastAsia="Arial" w:hAnsi="Arial"/>
          <w:sz w:val="14"/>
          <w:szCs w:val="14"/>
          <w:color w:val="auto"/>
        </w:rPr>
      </w:pPr>
    </w:p>
    <w:p>
      <w:pPr>
        <w:ind w:left="820" w:hanging="407"/>
        <w:spacing w:after="0"/>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49" w:lineRule="exact"/>
        <w:rPr>
          <w:rFonts w:ascii="Arial" w:cs="Arial" w:eastAsia="Arial" w:hAnsi="Arial"/>
          <w:sz w:val="14"/>
          <w:szCs w:val="14"/>
          <w:color w:val="auto"/>
        </w:rPr>
      </w:pPr>
    </w:p>
    <w:p>
      <w:pPr>
        <w:ind w:left="820" w:hanging="407"/>
        <w:spacing w:after="0" w:line="273" w:lineRule="auto"/>
        <w:tabs>
          <w:tab w:leader="none" w:pos="8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47" w:lineRule="exact"/>
        <w:rPr>
          <w:rFonts w:ascii="Arial" w:cs="Arial" w:eastAsia="Arial" w:hAnsi="Arial"/>
          <w:sz w:val="13"/>
          <w:szCs w:val="13"/>
          <w:color w:val="auto"/>
        </w:rPr>
      </w:pPr>
    </w:p>
    <w:p>
      <w:pPr>
        <w:ind w:left="820" w:hanging="407"/>
        <w:spacing w:after="0"/>
        <w:tabs>
          <w:tab w:leader="none" w:pos="8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 June 27, 2019, the Company replaced the existing loan on the property with a new $256,000 loan that bears interest at an effective rate of 4.18% and matures on July 5, 2024.</w:t>
      </w:r>
    </w:p>
    <w:p>
      <w:pPr>
        <w:spacing w:after="0" w:line="161" w:lineRule="exact"/>
        <w:rPr>
          <w:rFonts w:ascii="Arial" w:cs="Arial" w:eastAsia="Arial" w:hAnsi="Arial"/>
          <w:sz w:val="13"/>
          <w:szCs w:val="13"/>
          <w:color w:val="auto"/>
        </w:rPr>
      </w:pPr>
    </w:p>
    <w:p>
      <w:pPr>
        <w:ind w:left="820" w:right="200" w:hanging="407"/>
        <w:spacing w:after="0" w:line="273" w:lineRule="auto"/>
        <w:tabs>
          <w:tab w:leader="none" w:pos="8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January 10, 2019, the Company replaced the existing loan on the property with a new $300,000 loan that bears interest at an effective rate of 4.61% and matures on February 1, 2031.</w:t>
      </w:r>
    </w:p>
    <w:p>
      <w:pPr>
        <w:spacing w:after="0" w:line="106" w:lineRule="exact"/>
        <w:rPr>
          <w:rFonts w:ascii="Arial" w:cs="Arial" w:eastAsia="Arial" w:hAnsi="Arial"/>
          <w:sz w:val="14"/>
          <w:szCs w:val="14"/>
          <w:color w:val="auto"/>
        </w:rPr>
      </w:pPr>
    </w:p>
    <w:p>
      <w:pPr>
        <w:ind w:left="820" w:right="160" w:hanging="407"/>
        <w:spacing w:after="0" w:line="257" w:lineRule="auto"/>
        <w:tabs>
          <w:tab w:leader="none" w:pos="8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loan includes unamortized debt premium of $1,004 and $1,701 at September 30, 2019 and December 31, 2018, respectively. The debt premium represents the excess of the fair value of debt over the principal value of debt assumed at acquisition and is amortized into interest expense over the remaining term of the loan in a manner that approximates the effective interest method.</w:t>
      </w:r>
    </w:p>
    <w:p>
      <w:pPr>
        <w:spacing w:after="0" w:line="104" w:lineRule="exact"/>
        <w:rPr>
          <w:rFonts w:ascii="Arial" w:cs="Arial" w:eastAsia="Arial" w:hAnsi="Arial"/>
          <w:sz w:val="14"/>
          <w:szCs w:val="14"/>
          <w:color w:val="auto"/>
        </w:rPr>
      </w:pPr>
    </w:p>
    <w:p>
      <w:pPr>
        <w:ind w:left="820" w:hanging="407"/>
        <w:spacing w:after="0"/>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loan bears interest at LIBOR plus 2.15%. At September 30, 2019 and December 31, 2018, the total interest rate was 4.81% and 5.06%, respectively.</w:t>
      </w:r>
    </w:p>
    <w:p>
      <w:pPr>
        <w:spacing w:after="0" w:line="149" w:lineRule="exact"/>
        <w:rPr>
          <w:rFonts w:ascii="Arial" w:cs="Arial" w:eastAsia="Arial" w:hAnsi="Arial"/>
          <w:sz w:val="14"/>
          <w:szCs w:val="14"/>
          <w:color w:val="auto"/>
        </w:rPr>
      </w:pPr>
    </w:p>
    <w:p>
      <w:pPr>
        <w:ind w:left="820" w:right="240" w:hanging="407"/>
        <w:spacing w:after="0" w:line="273" w:lineRule="auto"/>
        <w:tabs>
          <w:tab w:leader="none" w:pos="81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October 24, 2019, the Company agreed to terms with a group of lenders to replace the existing loan on the property with a new $555,000 ten-year loan that will bear interest at 3.67%. The loan is expected to close during the three months ended December 31, 2019.</w:t>
      </w:r>
    </w:p>
    <w:p>
      <w:pPr>
        <w:sectPr>
          <w:pgSz w:w="11900" w:h="16838" w:orient="portrait"/>
          <w:cols w:equalWidth="0" w:num="1">
            <w:col w:w="11340"/>
          </w:cols>
          <w:pgMar w:left="240" w:top="26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820" w:right="340" w:hanging="407"/>
        <w:spacing w:after="0" w:line="257" w:lineRule="auto"/>
        <w:tabs>
          <w:tab w:leader="none" w:pos="811"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 during the period ending December 9, 2020 (See Note 5—Derivative Instruments and Hedging Activities). At September 30, 2019 and December 31, 2018, the total interest rate was 3.63% and 4.01%, respectively.</w:t>
      </w:r>
    </w:p>
    <w:p>
      <w:pPr>
        <w:spacing w:after="0" w:line="117" w:lineRule="exact"/>
        <w:rPr>
          <w:rFonts w:ascii="Arial" w:cs="Arial" w:eastAsia="Arial" w:hAnsi="Arial"/>
          <w:sz w:val="14"/>
          <w:szCs w:val="14"/>
          <w:color w:val="auto"/>
        </w:rPr>
      </w:pPr>
    </w:p>
    <w:p>
      <w:pPr>
        <w:ind w:left="820" w:right="40" w:hanging="407"/>
        <w:spacing w:after="0" w:line="273" w:lineRule="auto"/>
        <w:tabs>
          <w:tab w:leader="none" w:pos="817" w:val="left"/>
        </w:tabs>
        <w:numPr>
          <w:ilvl w:val="1"/>
          <w:numId w:val="11"/>
        </w:numPr>
        <w:rPr>
          <w:rFonts w:ascii="Arial" w:cs="Arial" w:eastAsia="Arial" w:hAnsi="Arial"/>
          <w:sz w:val="14"/>
          <w:szCs w:val="14"/>
          <w:color w:val="auto"/>
        </w:rPr>
      </w:pPr>
      <w:r>
        <w:rPr>
          <w:rFonts w:ascii="Arial" w:cs="Arial" w:eastAsia="Arial" w:hAnsi="Arial"/>
          <w:sz w:val="14"/>
          <w:szCs w:val="14"/>
          <w:color w:val="auto"/>
        </w:rPr>
        <w:t>On June 3, 2019, the Company’s joint venture in SanTan Village Regional Center replaced the existing loan on the property with a new $220,000 loan that bears interest at an effective rate of 4.34% and matures on July 1, 2029.</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44"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Company's mortgage notes payable are secured by the properties on which they are placed, and with the exception of $65,000 of the loan on Green Acres Commons, are non-recourse to the Company.</w:t>
      </w:r>
    </w:p>
    <w:p>
      <w:pPr>
        <w:spacing w:after="0" w:line="103" w:lineRule="exact"/>
        <w:rPr>
          <w:sz w:val="20"/>
          <w:szCs w:val="20"/>
          <w:color w:val="auto"/>
        </w:rPr>
      </w:pPr>
    </w:p>
    <w:p>
      <w:pPr>
        <w:ind w:right="640" w:firstLine="446"/>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 off from the Company's line of credit or with cash on hand.</w:t>
      </w:r>
    </w:p>
    <w:p>
      <w:pPr>
        <w:spacing w:after="0" w:line="103"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Total interest expense capitalized was $2,704 and $3,751 for the three months ended September 30, 2019 and 2018, respectively, and $7,557 and $12,752 for the nine months ended September 30, 2019 and 2018, respectively.</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estimated fair value (Level 2 measurement) of mortgage notes payable at September 30, 2019 and December 31, 2018 was $4,357,015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$4,082,448, respectively, based on current interest rates for comparable loans. Fair value was determined using a present value model and an interest rate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a credit value adjustment based on the estimated value of the property that serves as collateral for the underlying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and other notes payable consist of the following:</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15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114"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Based on the Company's leverage level as of September 30, 2019, the borrowing rate on the facility was LIBOR plus 1.45%. The Company has four interest rate swap agreements that effectively convert a total of $400,000 of the outstanding balance from floating rate debt of LIBOR plus 1.45% to fixed rate debt of 4.30% until September 30, 2021 (See Note 5—Derivative Instruments and Hedging Activities). As of September 30, 2019 and December 31, 2018, borrowings under the line of credit were $750,000 and $910,000, respectively, less unamortized deferred finance costs of $3,259 and $5,145, respectively, at a total interest rate of 4.03% and 4.20%, respectively. As of September 30, 2019 and December 31, 2018, the Company's availability under the line of credit for additional borrowings was $749,719 and $589,719, respectively, The estimated fair value (Level 2 measurement) of the line of credit at September 30, 2019 and December 31, 2018 was $759,168 and $912,163, respectively, based on a present value model using a credit interest rate spread offered to the Company for comparable debt.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Prasada Note:</w:t>
      </w:r>
    </w:p>
    <w:p>
      <w:pPr>
        <w:spacing w:after="0" w:line="15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On March 29, 2013, the Company issued a $13,330 note payable that bore interest at 5.25% and was to mature on May 30, 2021. The note payable is collateralized by a portion of a development reimbursement agreement with the City of Surprise, Arizona. At September 30, 2019 and December 31, 2018, the note had a balance of $3,028 and $3,689, respectively. On October 7, 2019, the loan was paid off. The estimated fair value (Level 2 measurement) of the note at September 30, 2019 and December 31, 2018 was $3,058 and $3,690,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2019 and December 31, 2018, the Company was in compliance with all applicable financial loan covenants.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62"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September 30, 2019 and December 31, 2018 was based upon a terminal capitalization rate of 5.0% and 4.8%, respectively, a discount rate of 6.0% and 5.8%, respectively, and market rents per square foot of $35 to $115.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10"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During the three and nine months ended September 30, 2019 and 2018, the Company incurred interest (income) expense in connection with the financing arrangement as follows:</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02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6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6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r>
      <w:tr>
        <w:trPr>
          <w:trHeight w:val="25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of the partner's share of 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3"/>
              </w:rPr>
              <w:t>6,577</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Distributions in excess of the partner's share of net income</w:t>
            </w:r>
          </w:p>
        </w:tc>
        <w:tc>
          <w:tcPr>
            <w:tcW w:w="160" w:type="dxa"/>
            <w:vAlign w:val="bottom"/>
          </w:tcPr>
          <w:p>
            <w:pPr>
              <w:spacing w:after="0"/>
              <w:rPr>
                <w:sz w:val="21"/>
                <w:szCs w:val="21"/>
                <w:color w:val="auto"/>
              </w:rPr>
            </w:pPr>
          </w:p>
        </w:tc>
        <w:tc>
          <w:tcPr>
            <w:tcW w:w="920" w:type="dxa"/>
            <w:vAlign w:val="bottom"/>
          </w:tcPr>
          <w:p>
            <w:pPr>
              <w:jc w:val="right"/>
              <w:ind w:right="78"/>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8"/>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ind w:left="34"/>
              <w:spacing w:after="0"/>
              <w:rPr>
                <w:sz w:val="20"/>
                <w:szCs w:val="20"/>
                <w:color w:val="auto"/>
              </w:rPr>
            </w:pPr>
            <w:r>
              <w:rPr>
                <w:rFonts w:ascii="Arial" w:cs="Arial" w:eastAsia="Arial" w:hAnsi="Arial"/>
                <w:sz w:val="18"/>
                <w:szCs w:val="18"/>
                <w:color w:val="auto"/>
                <w:w w:val="93"/>
              </w:rPr>
              <w:t>4,803</w:t>
            </w: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fair value of financing arrangement obligation</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(39,455)</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(70,977)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(9,279)</w:t>
            </w:r>
          </w:p>
        </w:tc>
      </w:tr>
      <w:tr>
        <w:trPr>
          <w:trHeight w:val="237"/>
        </w:trPr>
        <w:tc>
          <w:tcPr>
            <w:tcW w:w="6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(36,059)</w:t>
            </w:r>
          </w:p>
        </w:tc>
        <w:tc>
          <w:tcPr>
            <w:tcW w:w="16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(59,749)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center"/>
              <w:ind w:left="34"/>
              <w:spacing w:after="0"/>
              <w:rPr>
                <w:sz w:val="20"/>
                <w:szCs w:val="20"/>
                <w:color w:val="auto"/>
              </w:rPr>
            </w:pPr>
            <w:r>
              <w:rPr>
                <w:rFonts w:ascii="Arial" w:cs="Arial" w:eastAsia="Arial" w:hAnsi="Arial"/>
                <w:sz w:val="18"/>
                <w:szCs w:val="18"/>
                <w:color w:val="auto"/>
                <w:w w:val="93"/>
              </w:rPr>
              <w:t>2,101</w:t>
            </w:r>
          </w:p>
        </w:tc>
      </w:tr>
      <w:tr>
        <w:trPr>
          <w:trHeight w:val="27"/>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60" w:firstLine="446"/>
        <w:spacing w:after="0" w:line="264" w:lineRule="auto"/>
        <w:rPr>
          <w:sz w:val="20"/>
          <w:szCs w:val="20"/>
          <w:color w:val="auto"/>
        </w:rPr>
      </w:pPr>
      <w:r>
        <w:rPr>
          <w:rFonts w:ascii="Arial" w:cs="Arial" w:eastAsia="Arial" w:hAnsi="Arial"/>
          <w:sz w:val="18"/>
          <w:szCs w:val="18"/>
          <w:color w:val="auto"/>
        </w:rPr>
        <w:t>On June 27, 2019, the Company replaced the existing mortgage note payable on Chandler Fashion Center with a new $256,000 loan (See Note 10— Mortgage Notes Payable). In connection with the refinancing transaction, the Company distributed $27,945 of the excess loan proceeds to its joint venture partner, which was recorded as a reduction to the financing arrangement obligation.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48"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September 30, 2019 and December 31, 2018. The remaining 7% limited partnership interest as of September 30, 2019 and December 31, 2018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2019 and December 31, 2018, the aggregate redemption value of the then-outstanding OP Units not owned by the Company was $334,845 and $448,116, respectively.</w:t>
      </w:r>
    </w:p>
    <w:p>
      <w:pPr>
        <w:spacing w:after="0" w:line="110"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 (Continued)</w:t>
      </w:r>
    </w:p>
    <w:p>
      <w:pPr>
        <w:spacing w:after="0" w:line="200" w:lineRule="exact"/>
        <w:rPr>
          <w:sz w:val="20"/>
          <w:szCs w:val="20"/>
          <w:color w:val="auto"/>
        </w:rPr>
      </w:pPr>
    </w:p>
    <w:p>
      <w:pPr>
        <w:spacing w:after="0" w:line="340"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62"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"2017 Stock Buyback Program".</w:t>
      </w:r>
    </w:p>
    <w:p>
      <w:pPr>
        <w:spacing w:after="0" w:line="106"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There were no repurchases under the 2017 Stock Buyback Program during the nine months ended September 30, 2019 or 2018. At September 30, 2019, there was $278,707 available under the 2017 Stock Buyback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Collaborative Arrangement:</w:t>
      </w:r>
    </w:p>
    <w:p>
      <w:pPr>
        <w:spacing w:after="0" w:line="162" w:lineRule="exact"/>
        <w:rPr>
          <w:sz w:val="20"/>
          <w:szCs w:val="20"/>
          <w:color w:val="auto"/>
        </w:rPr>
      </w:pPr>
    </w:p>
    <w:p>
      <w:pPr>
        <w:ind w:right="140" w:firstLine="446"/>
        <w:spacing w:after="0" w:line="342" w:lineRule="auto"/>
        <w:rPr>
          <w:sz w:val="20"/>
          <w:szCs w:val="20"/>
          <w:color w:val="auto"/>
        </w:rPr>
      </w:pPr>
      <w:r>
        <w:rPr>
          <w:rFonts w:ascii="Arial" w:cs="Arial" w:eastAsia="Arial" w:hAnsi="Arial"/>
          <w:sz w:val="16"/>
          <w:szCs w:val="16"/>
          <w:color w:val="auto"/>
        </w:rPr>
        <w:t>On March 1, 2018, the Company formed a 25/75 joint venture with a third party, whereby the Company agreed to contribute One Westside, a 680,000 square foot regional shopping center in Los Angeles, California, in exchange for $142,500. The Company completed the transfer on August 31, 2018.</w:t>
      </w:r>
    </w:p>
    <w:p>
      <w:pPr>
        <w:spacing w:after="0" w:line="43"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During the period from March 1, 2018 to August 31, 2018, the Company accounted for the operations of One Westside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leasing revenue,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One Westside under the equity method of accounting (See Note 4—Investments in Unconsolidated Joint Ventures).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w:t>
      </w:r>
    </w:p>
    <w:p>
      <w:pPr>
        <w:spacing w:after="0" w:line="162" w:lineRule="exact"/>
        <w:rPr>
          <w:sz w:val="20"/>
          <w:szCs w:val="20"/>
          <w:color w:val="auto"/>
        </w:rPr>
      </w:pPr>
    </w:p>
    <w:p>
      <w:pPr>
        <w:jc w:val="both"/>
        <w:ind w:right="480" w:firstLine="446"/>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ind w:right="100" w:firstLine="446"/>
        <w:spacing w:after="0" w:line="308" w:lineRule="auto"/>
        <w:rPr>
          <w:sz w:val="20"/>
          <w:szCs w:val="20"/>
          <w:color w:val="auto"/>
        </w:rPr>
      </w:pPr>
      <w:r>
        <w:rPr>
          <w:rFonts w:ascii="Arial" w:cs="Arial" w:eastAsia="Arial" w:hAnsi="Arial"/>
          <w:sz w:val="17"/>
          <w:szCs w:val="17"/>
          <w:color w:val="auto"/>
        </w:rPr>
        <w:t>As of September 30, 2019, the Company was contingently liable for $100,814 in letters of credit guaranteeing performance by the Company of certain obligations relating to the Centers. The Company does not believe that these letters of credit will result in a liability to the Company.</w:t>
      </w:r>
    </w:p>
    <w:p>
      <w:pPr>
        <w:spacing w:after="0" w:line="79"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September 30, 2019, the Company had $12,277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62"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20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92"/>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0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7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14,366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10,895</w:t>
            </w: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37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9,034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24,991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25,261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Certain mortgage notes on the properties are held by NML. NML was considered a related party due to its ownership interest in Broadway Plaza until it sold its ownership interest in the property to a third party on October 12, 2018. Interest expense in connection with these notes, during the period that NML was a related party, was $2,102 and $6,380 for the three and nine months ended September 30, 2018, respectively.</w:t>
      </w:r>
    </w:p>
    <w:p>
      <w:pPr>
        <w:spacing w:after="0" w:line="98" w:lineRule="exact"/>
        <w:rPr>
          <w:sz w:val="20"/>
          <w:szCs w:val="20"/>
          <w:color w:val="auto"/>
        </w:rPr>
      </w:pPr>
    </w:p>
    <w:p>
      <w:pPr>
        <w:ind w:right="380" w:firstLine="446"/>
        <w:spacing w:after="0" w:line="264" w:lineRule="auto"/>
        <w:rPr>
          <w:sz w:val="20"/>
          <w:szCs w:val="20"/>
          <w:color w:val="auto"/>
        </w:rPr>
      </w:pPr>
      <w:r>
        <w:rPr>
          <w:rFonts w:ascii="Arial" w:cs="Arial" w:eastAsia="Arial" w:hAnsi="Arial"/>
          <w:sz w:val="18"/>
          <w:szCs w:val="18"/>
          <w:color w:val="auto"/>
        </w:rPr>
        <w:t>Interest (income) expense from related party transactions also includes $(36,059) and $(1,028) for the three months ended September 30, 2019 and 2018, respectively, and $(59,749) and $2,101 for the nine months ended September 30, 2019 and 2018, respectively, in connection with the Financing Arrangement (See Note 12—Financing Arrangement).</w:t>
      </w:r>
    </w:p>
    <w:p>
      <w:pPr>
        <w:spacing w:after="0" w:line="100"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Due from affiliates includes unreimbursed costs and fees from unconsolidated joint ventures due to the Management Companies. As of September 30, 2019 and December 31, 2018, the amounts due from the unconsolidated joint ventures was $6,599 and $6,385, respectively.</w:t>
      </w:r>
    </w:p>
    <w:p>
      <w:pPr>
        <w:spacing w:after="0" w:line="103" w:lineRule="exact"/>
        <w:rPr>
          <w:sz w:val="20"/>
          <w:szCs w:val="20"/>
          <w:color w:val="auto"/>
        </w:rPr>
      </w:pPr>
    </w:p>
    <w:p>
      <w:pPr>
        <w:ind w:right="100" w:firstLine="446"/>
        <w:spacing w:after="0" w:line="297" w:lineRule="auto"/>
        <w:rPr>
          <w:sz w:val="20"/>
          <w:szCs w:val="20"/>
          <w:color w:val="auto"/>
        </w:rPr>
      </w:pPr>
      <w:r>
        <w:rPr>
          <w:rFonts w:ascii="Arial" w:cs="Arial" w:eastAsia="Arial" w:hAnsi="Arial"/>
          <w:sz w:val="16"/>
          <w:szCs w:val="16"/>
          <w:color w:val="auto"/>
        </w:rPr>
        <w:t>In addition, due from affiliates at September 30, 2019 and December 31, 2018 included a note receivable from RED/303 LLC ("RED") that bore interest at 5.25% and was to mature on May 30, 2021. Interest income earned on this note was $44 and $55 for the three months ended September 30, 2019 and 2018, respectively, and $138 and $172 for the nine months ended September 30, 2019 and 2018, respectively. The balance on this note was $3,028 and $3,689 at September 30, 2019 and December 31, 2018, respectively. On October 7, 2019, the note receivable was paid off. RED is considered a related party because it is a partner in a joint venture development project. The note was collateralized by RED's membership interest in the development project.</w:t>
      </w:r>
    </w:p>
    <w:p>
      <w:pPr>
        <w:spacing w:after="0" w:line="9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Also included in due from affiliates at December 31, 2018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paid off on February 13, 2019. Interest income earned on this note was $808 for the three months ended September 30, 2018, and $1,112 and $2,330 for the nine months ended September 30, 2019 and 2018, respectively. The balance on this note, including interest, was $75,107 at December 31, 2018. Lennar Corporation was considered a related party because it was a joint venture partner in the project.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162" w:lineRule="exact"/>
        <w:rPr>
          <w:sz w:val="20"/>
          <w:szCs w:val="20"/>
          <w:color w:val="auto"/>
        </w:rPr>
      </w:pPr>
    </w:p>
    <w:p>
      <w:pPr>
        <w:ind w:right="180" w:firstLine="446"/>
        <w:spacing w:after="0" w:line="302"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8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2019, the Company granted the following LTIP Units: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Fair Value per</w:t>
            </w:r>
          </w:p>
        </w:tc>
        <w:tc>
          <w:tcPr>
            <w:tcW w:w="1300" w:type="dxa"/>
            <w:vAlign w:val="bottom"/>
          </w:tcPr>
          <w:p>
            <w:pPr>
              <w:spacing w:after="0"/>
              <w:rPr>
                <w:sz w:val="17"/>
                <w:szCs w:val="17"/>
                <w:color w:val="auto"/>
              </w:rPr>
            </w:pPr>
          </w:p>
        </w:tc>
      </w:tr>
      <w:tr>
        <w:trPr>
          <w:trHeight w:val="210"/>
        </w:trPr>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Grant Date</w:t>
            </w:r>
          </w:p>
        </w:tc>
        <w:tc>
          <w:tcPr>
            <w:tcW w:w="1240" w:type="dxa"/>
            <w:vAlign w:val="bottom"/>
          </w:tcPr>
          <w:p>
            <w:pPr>
              <w:jc w:val="right"/>
              <w:ind w:right="351"/>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8"/>
                <w:szCs w:val="18"/>
                <w:color w:val="auto"/>
              </w:rPr>
            </w:pPr>
          </w:p>
        </w:tc>
        <w:tc>
          <w:tcPr>
            <w:tcW w:w="2040" w:type="dxa"/>
            <w:vAlign w:val="bottom"/>
            <w:gridSpan w:val="2"/>
          </w:tcPr>
          <w:p>
            <w:pPr>
              <w:ind w:left="76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LTIP Unit</w:t>
            </w:r>
          </w:p>
        </w:tc>
        <w:tc>
          <w:tcPr>
            <w:tcW w:w="1300" w:type="dxa"/>
            <w:vAlign w:val="bottom"/>
          </w:tcPr>
          <w:p>
            <w:pPr>
              <w:jc w:val="right"/>
              <w:ind w:right="252"/>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1/1/2019</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81,732</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12/31/2021</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1/1/2019</w:t>
            </w:r>
          </w:p>
        </w:tc>
        <w:tc>
          <w:tcPr>
            <w:tcW w:w="1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250,852</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12/31/2021</w:t>
            </w: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9/1/2019</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4,393</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8/31/2022</w:t>
            </w:r>
          </w:p>
        </w:tc>
      </w:tr>
      <w:tr>
        <w:trPr>
          <w:trHeight w:val="243"/>
        </w:trPr>
        <w:tc>
          <w:tcPr>
            <w:tcW w:w="1280" w:type="dxa"/>
            <w:vAlign w:val="bottom"/>
          </w:tcPr>
          <w:p>
            <w:pPr>
              <w:jc w:val="right"/>
              <w:spacing w:after="0"/>
              <w:rPr>
                <w:sz w:val="20"/>
                <w:szCs w:val="20"/>
                <w:color w:val="auto"/>
              </w:rPr>
            </w:pPr>
            <w:r>
              <w:rPr>
                <w:rFonts w:ascii="Arial" w:cs="Arial" w:eastAsia="Arial" w:hAnsi="Arial"/>
                <w:sz w:val="18"/>
                <w:szCs w:val="18"/>
                <w:color w:val="auto"/>
              </w:rPr>
              <w:t>9/1/2019</w:t>
            </w:r>
          </w:p>
        </w:tc>
        <w:tc>
          <w:tcPr>
            <w:tcW w:w="16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6,454</w:t>
            </w:r>
          </w:p>
        </w:tc>
        <w:tc>
          <w:tcPr>
            <w:tcW w:w="16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8/31/2022</w:t>
            </w:r>
          </w:p>
        </w:tc>
      </w:tr>
      <w:tr>
        <w:trPr>
          <w:trHeight w:val="27"/>
        </w:trPr>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9"/>
        </w:trPr>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343,431</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The fair value of the market-indexed LTIP Units (Level 3) granted on January 1, 2019 was estimated on the date of grant using a Monte Carlo Simulation model that assumed a risk free interest rate of 2.46% and an expected volatility of 23.52%. The fair value of the market-indexed LTIP Units (Level</w:t>
      </w:r>
    </w:p>
    <w:p>
      <w:pPr>
        <w:ind w:right="60" w:firstLine="8"/>
        <w:spacing w:after="0" w:line="261"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granted on September 1, 2019 was estimated on the date of grant using a Monte Carlo Simulation model that assumed a risk free interest rate of 1.42% and an expected volatility of 24.91%.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Phantom Stock Units</w:t>
            </w:r>
          </w:p>
        </w:tc>
        <w:tc>
          <w:tcPr>
            <w:tcW w:w="1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Stock Units</w:t>
            </w:r>
          </w:p>
        </w:tc>
      </w:tr>
      <w:tr>
        <w:trPr>
          <w:trHeight w:val="196"/>
        </w:trPr>
        <w:tc>
          <w:tcPr>
            <w:tcW w:w="27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Value(1)</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Value(1)</w:t>
            </w:r>
          </w:p>
        </w:tc>
      </w:tr>
      <w:tr>
        <w:trPr>
          <w:trHeight w:val="20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661,578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129,457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64.21</w:t>
            </w:r>
          </w:p>
        </w:tc>
      </w:tr>
      <w:tr>
        <w:trPr>
          <w:trHeight w:val="197"/>
        </w:trPr>
        <w:tc>
          <w:tcPr>
            <w:tcW w:w="2720" w:type="dxa"/>
            <w:vAlign w:val="bottom"/>
          </w:tcPr>
          <w:p>
            <w:pPr>
              <w:ind w:left="140"/>
              <w:spacing w:after="0"/>
              <w:rPr>
                <w:sz w:val="20"/>
                <w:szCs w:val="20"/>
                <w:color w:val="auto"/>
              </w:rPr>
            </w:pPr>
            <w:r>
              <w:rPr>
                <w:rFonts w:ascii="Arial" w:cs="Arial" w:eastAsia="Arial" w:hAnsi="Arial"/>
                <w:sz w:val="14"/>
                <w:szCs w:val="14"/>
                <w:color w:val="auto"/>
              </w:rPr>
              <w:t>Granted</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343,431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21,580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7"/>
                <w:szCs w:val="17"/>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159,116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37.57</w:t>
            </w:r>
          </w:p>
        </w:tc>
      </w:tr>
      <w:tr>
        <w:trPr>
          <w:trHeight w:val="209"/>
        </w:trPr>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(83,341)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63.63</w:t>
            </w:r>
          </w:p>
        </w:tc>
      </w:tr>
      <w:tr>
        <w:trPr>
          <w:trHeight w:val="197"/>
        </w:trPr>
        <w:tc>
          <w:tcPr>
            <w:tcW w:w="2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34.26</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(5,245)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51.48</w:t>
            </w:r>
          </w:p>
        </w:tc>
      </w:tr>
      <w:tr>
        <w:trPr>
          <w:trHeight w:val="227"/>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982,720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42.91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39.79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199,987</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43.59</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2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 Value represents the weighted average grant date fair value.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the stock options outstanding:</w:t>
      </w:r>
    </w:p>
    <w:p>
      <w:pPr>
        <w:spacing w:after="0" w:line="257" w:lineRule="exact"/>
        <w:rPr>
          <w:sz w:val="20"/>
          <w:szCs w:val="20"/>
          <w:color w:val="auto"/>
        </w:rPr>
      </w:pPr>
    </w:p>
    <w:tbl>
      <w:tblPr>
        <w:tblLayout w:type="fixed"/>
        <w:tblInd w:w="326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Stock Options</w:t>
            </w:r>
          </w:p>
        </w:tc>
      </w:tr>
      <w:tr>
        <w:trPr>
          <w:trHeight w:val="196"/>
        </w:trPr>
        <w:tc>
          <w:tcPr>
            <w:tcW w:w="27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Value(1)</w:t>
            </w:r>
          </w:p>
        </w:tc>
      </w:tr>
      <w:tr>
        <w:trPr>
          <w:trHeight w:val="20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57.32</w:t>
            </w: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Granted</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02"/>
        </w:trPr>
        <w:tc>
          <w:tcPr>
            <w:tcW w:w="276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35,565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57.32</w:t>
            </w:r>
          </w:p>
        </w:tc>
      </w:tr>
      <w:tr>
        <w:trPr>
          <w:trHeight w:val="21"/>
        </w:trPr>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154305</wp:posOffset>
            </wp:positionV>
            <wp:extent cx="1672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94"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(1) Value represents the weighted average exercise price.</w:t>
      </w:r>
    </w:p>
    <w:p>
      <w:pPr>
        <w:sectPr>
          <w:pgSz w:w="11900" w:h="16838" w:orient="portrait"/>
          <w:cols w:equalWidth="0" w:num="1">
            <w:col w:w="11420"/>
          </w:cols>
          <w:pgMar w:left="240" w:top="2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9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9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2,498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21,823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5,717</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Phantom stock units</w:t>
            </w:r>
          </w:p>
        </w:tc>
        <w:tc>
          <w:tcPr>
            <w:tcW w:w="14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585</w:t>
            </w:r>
          </w:p>
        </w:tc>
      </w:tr>
      <w:tr>
        <w:trPr>
          <w:trHeight w:val="27"/>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3,315</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80" w:firstLine="446"/>
        <w:spacing w:after="0" w:line="312" w:lineRule="auto"/>
        <w:rPr>
          <w:sz w:val="20"/>
          <w:szCs w:val="20"/>
          <w:color w:val="auto"/>
        </w:rPr>
      </w:pPr>
      <w:r>
        <w:rPr>
          <w:rFonts w:ascii="Arial" w:cs="Arial" w:eastAsia="Arial" w:hAnsi="Arial"/>
          <w:sz w:val="16"/>
          <w:szCs w:val="16"/>
          <w:color w:val="auto"/>
        </w:rPr>
        <w:t>The Company capitalized share and unit-based compensation costs of $993 and $1,062 for the three months ended September 30, 2019 and 2018, respectively, and $3,598 and $5,575 for the nine months ended September 30, 2019 and 2018, respectively. Unrecognized compensation costs of share and unit-based plans at September 30, 2019 consisted of $4,159 from LTIP Units, $3,657 from stock units and $351 from phantom stock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62"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of the TRSs are as follows: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54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For the Nine Months Ended September</w:t>
            </w:r>
          </w:p>
        </w:tc>
      </w:tr>
      <w:tr>
        <w:trPr>
          <w:trHeight w:val="192"/>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30,</w:t>
            </w:r>
          </w:p>
        </w:tc>
        <w:tc>
          <w:tcPr>
            <w:tcW w:w="920" w:type="dxa"/>
            <w:vAlign w:val="bottom"/>
            <w:tcBorders>
              <w:bottom w:val="single" w:sz="8" w:color="auto"/>
            </w:tcBorders>
          </w:tcPr>
          <w:p>
            <w:pPr>
              <w:spacing w:after="0"/>
              <w:rPr>
                <w:sz w:val="16"/>
                <w:szCs w:val="16"/>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439</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1,360</w:t>
            </w:r>
          </w:p>
        </w:tc>
      </w:tr>
      <w:tr>
        <w:trPr>
          <w:trHeight w:val="27"/>
        </w:trPr>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income tax (expense) benefit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1,799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net operating loss ("NOL") carryforwards generated through the 2017 tax year are scheduled to expire through 2037, beginning in 2025. Pursuant to the Tax Cuts and Jobs Act of 2017, NOLs generated in 2018 and subsequent tax years carryforward indefinitely subject to the 80% of taxable income limitation. Net deferred tax assets of $30,643 and $32,197 were included in deferred charges and other assets, net at September 30, 2019 and December 31, 2018, respectively.</w:t>
      </w:r>
    </w:p>
    <w:p>
      <w:pPr>
        <w:spacing w:after="0" w:line="119"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tax years 2015 through 2018 remain open to examination by the taxing jurisdictions to which the Company is subject. The Company does not expect that the total amount of unrecognized tax benefit will materially change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6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On October 24, 2019, the Company announced a dividend/distribution of $0.75 per share for common stockholders and OP Unit holders of record on November 8, 2019. All dividends/distributions will be paid 100% in cash on December 3, 2019.</w:t>
      </w:r>
    </w:p>
    <w:p>
      <w:pPr>
        <w:spacing w:after="0" w:line="103" w:lineRule="exact"/>
        <w:rPr>
          <w:sz w:val="20"/>
          <w:szCs w:val="20"/>
          <w:color w:val="auto"/>
        </w:rPr>
      </w:pPr>
    </w:p>
    <w:p>
      <w:pPr>
        <w:ind w:right="80" w:firstLine="446"/>
        <w:spacing w:after="0" w:line="308" w:lineRule="auto"/>
        <w:rPr>
          <w:sz w:val="20"/>
          <w:szCs w:val="20"/>
          <w:color w:val="auto"/>
        </w:rPr>
      </w:pPr>
      <w:r>
        <w:rPr>
          <w:rFonts w:ascii="Arial" w:cs="Arial" w:eastAsia="Arial" w:hAnsi="Arial"/>
          <w:sz w:val="17"/>
          <w:szCs w:val="17"/>
          <w:color w:val="auto"/>
        </w:rPr>
        <w:t>On October 24, 2019, the Company agreed to terms with a group of lenders to replace the existing loan on Kings Plaza Shopping Center with a new $555,000 ten-year loan that will bear interest at 3.67%. The loan is expected to close during the three months ended December 31, 2019.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269" w:right="4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980"/>
        <w:spacing w:after="0" w:line="441"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IMPORTANT INFORMATION RELATED TO FORWARD-LOOKING STATEMENTS</w:t>
      </w:r>
    </w:p>
    <w:p>
      <w:pPr>
        <w:spacing w:after="0" w:line="1" w:lineRule="exact"/>
        <w:rPr>
          <w:sz w:val="20"/>
          <w:szCs w:val="20"/>
          <w:color w:val="auto"/>
        </w:rPr>
      </w:pPr>
    </w:p>
    <w:p>
      <w:pPr>
        <w:ind w:right="160" w:firstLine="446"/>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2018,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62"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2019, the Operating Partnership owned or had an ownership interest in 47 regional shopping centers and five community/power shopping centers aggregating approximately 51 million square feet of gross leasable area. These 52 regional and community/power shopping centers are referred to hereinafter as the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nine months ended September 30, 2019 and 2018. It compares the results of operations for the three months ended September 30, 2019 to the results of operations for the three months ended September 30, 2018. It also compares the results of operations and cash flows for the nine months ended September 30, 2019 to the results of operations and cash flows for the nine months ended September 30, 2018.</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Dispositions: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167" w:lineRule="exact"/>
        <w:rPr>
          <w:sz w:val="20"/>
          <w:szCs w:val="20"/>
          <w:color w:val="auto"/>
        </w:rPr>
      </w:pPr>
    </w:p>
    <w:p>
      <w:pPr>
        <w:ind w:right="120" w:firstLine="446"/>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79"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On March 1, 2018, the Company formed a 25/75 joint venture with Hudson Pacific Properties, whereby the Company agreed to contribute Westside Pavilion (referred to hereafter as "One Westside"), a 680,000 square foot regional shopping center in Los Angeles, California, in exchange for $142.5 million. The Company completed the sale of the 75% ownership interest in the property to Hudson Pacific Properties on August 31, 2018, resulting in a gain on sale of assets of $46.2 million. The sales price was funded by a cash payment of $36.9 million and the assumption of a pro rata share of the mortgage note payable on the property of $105.6 million. The Company used the proceeds to fund its share of the cost to defease the mortgage note payable on the property (See "Financing Activities"). From March 1, 2018 to the completion of the sale, the Company accounted for its interest in the property as a collaborative arrangement (See Note 15—Collaborative Arrangement in the Company's Notes to the Consolidated Financial Statements). Upon completion of the sale, the Company has accounted for its ownership interest in the property under the equity method of accounting.</w:t>
      </w:r>
    </w:p>
    <w:p>
      <w:pPr>
        <w:spacing w:after="0" w:line="99"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100"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180" w:firstLine="446"/>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66"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56"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On August 31, 2018, concurrent with the sale of the ownership interest in One Westside (See "Acquisitions and Dispositions"), the Company's joint venture defeased the $140.8 million mortgage note payable on the property by providing a $149.2 million portfolio of marketable securities as replacement collateral in lieu of the property. The Company funded its $37.3 million share of the purchase price of the marketable securities portfolio with the proceeds from the sale of the ownership interest in the property.</w:t>
      </w:r>
    </w:p>
    <w:p>
      <w:pPr>
        <w:spacing w:after="0" w:line="119" w:lineRule="exact"/>
        <w:rPr>
          <w:sz w:val="20"/>
          <w:szCs w:val="20"/>
          <w:color w:val="auto"/>
        </w:rPr>
      </w:pPr>
    </w:p>
    <w:p>
      <w:pPr>
        <w:ind w:right="500" w:firstLine="446"/>
        <w:spacing w:after="0" w:line="342" w:lineRule="auto"/>
        <w:rPr>
          <w:sz w:val="20"/>
          <w:szCs w:val="20"/>
          <w:color w:val="auto"/>
        </w:rPr>
      </w:pPr>
      <w:r>
        <w:rPr>
          <w:rFonts w:ascii="Arial" w:cs="Arial" w:eastAsia="Arial" w:hAnsi="Arial"/>
          <w:sz w:val="16"/>
          <w:szCs w:val="16"/>
          <w:color w:val="auto"/>
        </w:rPr>
        <w:t>On September 14, 2018, the Company entered into four interest rate swap agreements that effectively convert a total of $400.0 million of the outstanding balance of the Company’s line of credit from floating rate debt of LIBOR plus 1.45% to fixed rate debt of 4.30% until September 30, 2021.</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On November 7, 2018, the Company's joint venture in Boulevard Shops replaced the existing loan on the property with a new $18.8 million loan that bears interest at LIBOR plus 1.85% and matures on December 5, 2023. The loan can be expanded, depending on certain conditions, up to $23.0 million. The Company used its share of the proceeds to pay down its line of credit and for general corporate purposes.</w:t>
      </w:r>
    </w:p>
    <w:p>
      <w:pPr>
        <w:spacing w:after="0" w:line="100"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14"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9"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00"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25, 2019, the Company's joint venture in Fashion District Philadelphia amended the existing loan on the joint venture to allow for additional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borrowings up to $100.0 million at LIBOR plus 2.00%. Concurrent with the amendment, the joint venture borrowed an additional $26.0 million.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16, 2019, the joint venture borrowed an additional $25.0 million. The Company used its share of the additional proceeds to pay down its line of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for general corporate purposes.</w:t>
      </w:r>
    </w:p>
    <w:p>
      <w:pPr>
        <w:spacing w:after="0" w:line="143"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On September 12, 2019, the Company’s joint venture in Tysons Tower placed a new $190.0 million loan on the property that bears interest at an effective rate of 3.38% and matures on October 11, 2029. The Company used its share of the proceeds to pay down its line of credit and for general corporate purposes.</w:t>
      </w:r>
    </w:p>
    <w:p>
      <w:pPr>
        <w:spacing w:after="0" w:line="100" w:lineRule="exact"/>
        <w:rPr>
          <w:sz w:val="20"/>
          <w:szCs w:val="20"/>
          <w:color w:val="auto"/>
        </w:rPr>
      </w:pPr>
    </w:p>
    <w:p>
      <w:pPr>
        <w:ind w:right="300" w:firstLine="446"/>
        <w:spacing w:after="0" w:line="342" w:lineRule="auto"/>
        <w:rPr>
          <w:sz w:val="20"/>
          <w:szCs w:val="20"/>
          <w:color w:val="auto"/>
        </w:rPr>
      </w:pPr>
      <w:r>
        <w:rPr>
          <w:rFonts w:ascii="Arial" w:cs="Arial" w:eastAsia="Arial" w:hAnsi="Arial"/>
          <w:sz w:val="16"/>
          <w:szCs w:val="16"/>
          <w:color w:val="auto"/>
        </w:rPr>
        <w:t>On October 24, 2019, the Company agreed to terms with a group of lenders to replace the existing loan on Kings Plaza Shopping Center with a new $555.0 million ten-year loan that will bear interest at 3.67%. The loan is expected to close during the three months ended December 31, 2019.</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58"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On September 19, 2019, the Company's joint venture with Pennsylvania REIT completed the redevelopment of Fashion District Philadelphia, an 850,000 square foot regional shopping center in Philadelphia, Pennsylvania. The project is expected to be 70% occupied by holiday 2019. The total cost of the project is estimated to be between $400.0 million and $420.0 million, with $200.0 million to $210.0 million estimated to be the Company's pro rata share. The Company has funded $175.4 million of the total $350.8 million incurred by the joint venture as of September 30, 2019.</w:t>
      </w:r>
    </w:p>
    <w:p>
      <w:pPr>
        <w:spacing w:after="0" w:line="90" w:lineRule="exact"/>
        <w:rPr>
          <w:sz w:val="20"/>
          <w:szCs w:val="20"/>
          <w:color w:val="auto"/>
        </w:rPr>
      </w:pPr>
    </w:p>
    <w:p>
      <w:pPr>
        <w:jc w:val="both"/>
        <w:ind w:right="80" w:firstLine="446"/>
        <w:spacing w:after="0" w:line="259" w:lineRule="auto"/>
        <w:rPr>
          <w:sz w:val="20"/>
          <w:szCs w:val="20"/>
          <w:color w:val="auto"/>
        </w:rPr>
      </w:pPr>
      <w:r>
        <w:rPr>
          <w:rFonts w:ascii="Arial" w:cs="Arial" w:eastAsia="Arial" w:hAnsi="Arial"/>
          <w:sz w:val="18"/>
          <w:szCs w:val="18"/>
          <w:color w:val="auto"/>
        </w:rPr>
        <w:t>The Company's joint venture in Scottsdale Fashion Square is redeveloping a former Barney's store and an 80,000 square foot exterior expansion. The project is expected to be completed in 2019. The total cost of the project is estimated to be between $140.0 million and $160.0 million, with $70.0 million to $80.0 million estimated to be the Company's pro rata share. The Company has funded $36.0 million of the total $72.0 million incurred by the joint venture as of September 30, 2019.</w:t>
      </w:r>
    </w:p>
    <w:p>
      <w:pPr>
        <w:spacing w:after="0" w:line="119"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$45.7 million of the total $182.9 million incurred by the joint venture as of September 30, 2019.</w:t>
      </w:r>
    </w:p>
    <w:p>
      <w:pPr>
        <w:spacing w:after="0" w:line="104"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On September 6, 2018, the Company formed a 50/50 joint venture with Simon Property Group to develop Los Angeles Premium Outlets, a premium outlet center in Carson, California that is planned to open with approximately 400,000 square feet, followed by an additional 165,000 square feet in the second phase. The first phase of the project is expected to be completed in fall 2021. The Company has funded $28.8 million of the total $57.7 million incurred by the joint venture as of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60" w:firstLine="446"/>
        <w:spacing w:after="0" w:line="259" w:lineRule="auto"/>
        <w:rPr>
          <w:sz w:val="20"/>
          <w:szCs w:val="20"/>
          <w:color w:val="auto"/>
        </w:rPr>
      </w:pPr>
      <w:r>
        <w:rPr>
          <w:rFonts w:ascii="Arial" w:cs="Arial" w:eastAsia="Arial" w:hAnsi="Arial"/>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 to expand the scope of the redevelopments.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Transactions and Events:</w:t>
      </w:r>
    </w:p>
    <w:p>
      <w:pPr>
        <w:spacing w:after="0" w:line="158"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On February 1 and 2, 2018, the Company reduced its workforce by approximately 10 percent. The Company incurred a one-time charge of $12.7 million in connection with the workforce reduction during the three months ended March 31, 2018.</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30, 2018, the Company incurred $19.4 million in costs associated with activities related to shareholder activism.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130"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12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For comparison purposes, the Company has reclassified leasing costs that were included in management companies' operating expenses to leasing expenses for the three and nine months ended September 30, 2018, to conform to the presentation for the three and nine months ended September 30, 2019. Upon adoption of the new standard, the Company has presented all revenues associated with leases as leasing revenue on its consolidated statement of operations. For comparison purposes, the Company has reclassified minimum rents, percentage rents, tenant recoveries and other leasing income to leasing revenue for the three and nine months ended September 30, 2018, to conform to the presentation for the three and nine months ended September 30, 2019. The new standard also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 million upon adoption for the write off of straight-line rent receivables of tenants that were in litigation or bankruptcy. The standard also requires that the provision for bad debts relating to leases be presented as a reduction of leasing revenue. For the three and nine months ended September 30, 2018, the provision for bad debts is included in shopping center and operating expenses.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Inflation:</w:t>
      </w:r>
    </w:p>
    <w:p>
      <w:pPr>
        <w:spacing w:after="0" w:line="144"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Seasonality:</w:t>
      </w:r>
    </w:p>
    <w:p>
      <w:pPr>
        <w:spacing w:after="0" w:line="158" w:lineRule="exact"/>
        <w:rPr>
          <w:sz w:val="20"/>
          <w:szCs w:val="20"/>
          <w:color w:val="auto"/>
        </w:rPr>
      </w:pPr>
    </w:p>
    <w:p>
      <w:pPr>
        <w:ind w:right="120" w:firstLine="446"/>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w:t>
      </w:r>
    </w:p>
    <w:p>
      <w:pPr>
        <w:spacing w:after="0" w:line="144"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101" w:lineRule="exact"/>
        <w:rPr>
          <w:sz w:val="20"/>
          <w:szCs w:val="20"/>
          <w:color w:val="auto"/>
        </w:rPr>
      </w:pPr>
    </w:p>
    <w:p>
      <w:pPr>
        <w:ind w:right="900" w:firstLine="446"/>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103"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Impairment:</w:t>
      </w:r>
    </w:p>
    <w:p>
      <w:pPr>
        <w:spacing w:after="0" w:line="158"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8"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10"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00"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Many of the variations in the results of operations, discussed below, occurred because of the transactions affecting the Company's properties described in Management's Overview and Summary above, including the Redevelopment Properties and the JV Transition Center and the Disposition Property (as defined below).</w:t>
      </w:r>
    </w:p>
    <w:p>
      <w:pPr>
        <w:spacing w:after="0" w:line="100" w:lineRule="exact"/>
        <w:rPr>
          <w:sz w:val="20"/>
          <w:szCs w:val="20"/>
          <w:color w:val="auto"/>
        </w:rPr>
      </w:pPr>
    </w:p>
    <w:p>
      <w:pPr>
        <w:ind w:right="240" w:firstLine="446"/>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 and properties that have been disposed of ("Disposition Property").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 and the Disposition Property, for the periods of comparison.</w:t>
      </w:r>
    </w:p>
    <w:p>
      <w:pPr>
        <w:spacing w:after="0" w:line="110" w:lineRule="exact"/>
        <w:rPr>
          <w:sz w:val="20"/>
          <w:szCs w:val="20"/>
          <w:color w:val="auto"/>
        </w:rPr>
      </w:pPr>
    </w:p>
    <w:p>
      <w:pPr>
        <w:ind w:right="200" w:firstLine="446"/>
        <w:spacing w:after="0" w:line="302" w:lineRule="auto"/>
        <w:rPr>
          <w:sz w:val="20"/>
          <w:szCs w:val="20"/>
          <w:color w:val="auto"/>
        </w:rPr>
      </w:pPr>
      <w:r>
        <w:rPr>
          <w:rFonts w:ascii="Arial" w:cs="Arial" w:eastAsia="Arial" w:hAnsi="Arial"/>
          <w:sz w:val="16"/>
          <w:szCs w:val="16"/>
          <w:color w:val="auto"/>
        </w:rPr>
        <w:t>For the comparison of the three and nine months ended September 30, 2019 to the three and nine months ended September 30, 2018, the Redevelopment Properties are Paradise Valley Mall and certain ground up developments. For the comparison of the three and nine months ended September 30, 2019 to the three and nine months ended September 30, 2018, the JV Transition Center is One Westside. For the comparison of the three and nine months ended September 30, 2019 to the three and nine months ended September 30, 2018, the Disposition Property is Promenade at Casa Grande.</w:t>
      </w:r>
    </w:p>
    <w:p>
      <w:pPr>
        <w:spacing w:after="0" w:line="87"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89"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Tenant sales per square foot increased from $707 for the twelve months ended September 30, 2018 to $800 for the twelve months ended September 30, 2019. Occupancy rate decreased from 95.1% at September 30, 2018 to 93.8% at September 30, 2019. Releasing spreads remained positive as the Company was able to lease available space at higher average rents than the expiring rental rates, resulting in a releasing spread of $4.59 per square foot ($60.04 on new and renewal leases executed compared to $55.45 on leases expiring), representing an 8.3% increase for the trailing twelve months ended September 30, 2019. The Company expects that releasing spreads will continue to be positive for the remainder of 2019 as it renews or relets leases that are scheduled to expire. These leases that are scheduled to expire in the next twelve months represent 0.9 million square feet of the Centers, accounting for 12.5% of the gross leasable area ("GLA") of mall stores and freestanding stores, for spaces 10,000 square feet and under, as of September 30, 2019. These calculations exclude Centers under development or redevelopment and property dispositions (See "Acquisitions and Dispositions" and "Redevelopment and Development Activities" in Management's Overview and Summary).</w:t>
      </w:r>
    </w:p>
    <w:p>
      <w:pPr>
        <w:spacing w:after="0" w:line="101" w:lineRule="exact"/>
        <w:rPr>
          <w:sz w:val="20"/>
          <w:szCs w:val="20"/>
          <w:color w:val="auto"/>
        </w:rPr>
      </w:pPr>
    </w:p>
    <w:p>
      <w:pPr>
        <w:ind w:right="80" w:firstLine="446"/>
        <w:spacing w:after="0" w:line="312" w:lineRule="auto"/>
        <w:rPr>
          <w:sz w:val="20"/>
          <w:szCs w:val="20"/>
          <w:color w:val="auto"/>
        </w:rPr>
      </w:pPr>
      <w:r>
        <w:rPr>
          <w:rFonts w:ascii="Arial" w:cs="Arial" w:eastAsia="Arial" w:hAnsi="Arial"/>
          <w:sz w:val="16"/>
          <w:szCs w:val="16"/>
          <w:color w:val="auto"/>
        </w:rPr>
        <w:t>During the trailing twelve months ended September 30, 2019, the Company signed 271 new leases and 411 renewal leases comprising approximately 1.0 million square feet of GLA, of which 0.7 million square feet related to the consolidated Centers. The annual initial average base rent for new and renewal leases was $60.04 per square foot for the trailing twelve months ended September 30, 2019 with an average tenant allowance of $32.76 per square foot.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2" w:lineRule="exact"/>
        <w:rPr>
          <w:sz w:val="20"/>
          <w:szCs w:val="20"/>
          <w:color w:val="auto"/>
        </w:rPr>
      </w:pPr>
    </w:p>
    <w:p>
      <w:pPr>
        <w:ind w:right="440" w:firstLine="446"/>
        <w:spacing w:after="0" w:line="259"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Shopping Centers. Although the Company believes that overall regional shopping center fundamentals in its markets appear reasonably strong, the Company expects that its results for 2019 will be negatively impacted by rising interest rates and anticipated Anchor closures and tenant bankruptcies, among other factors.</w:t>
      </w:r>
    </w:p>
    <w:p>
      <w:pPr>
        <w:spacing w:after="0" w:line="106"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Rising interest rates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in an increasing interest rate environment the fixed rates the Company can obtain with such replacement fixed-rate cap and swap agreements or the fixed-rate on new debt will also continue to increase.</w:t>
      </w:r>
    </w:p>
    <w:p>
      <w:pPr>
        <w:spacing w:after="0" w:line="105" w:lineRule="exact"/>
        <w:rPr>
          <w:sz w:val="20"/>
          <w:szCs w:val="20"/>
          <w:color w:val="auto"/>
        </w:rPr>
      </w:pPr>
    </w:p>
    <w:p>
      <w:pPr>
        <w:ind w:right="500" w:firstLine="446"/>
        <w:spacing w:after="0" w:line="312" w:lineRule="auto"/>
        <w:rPr>
          <w:sz w:val="20"/>
          <w:szCs w:val="20"/>
          <w:color w:val="auto"/>
        </w:rPr>
      </w:pPr>
      <w:r>
        <w:rPr>
          <w:rFonts w:ascii="Arial" w:cs="Arial" w:eastAsia="Arial" w:hAnsi="Arial"/>
          <w:sz w:val="16"/>
          <w:szCs w:val="16"/>
          <w:color w:val="auto"/>
        </w:rPr>
        <w:t>In recent years, a number of companies in the retail industry, including some of the Company’s Anchors, have declared bankruptcy, gone out of business or significantly reduced the number of their retail stores. Store closures by an Anchor may impact the Company’s Centers more holistically by causing other tenants, including Anchors, to terminate their leases, receive reduced rent or cease operating their stores at the Center.</w:t>
      </w:r>
    </w:p>
    <w:p>
      <w:pPr>
        <w:spacing w:after="0" w:line="79"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On October 15, 2018, Sears filed for bankruptcy and announced additional store closings. At the time of the bankruptcy filing, the Company had twenty-one Sears stores in its portfolio totaling approximately 3.1 million square feet and accounting for less than 1% of the Company’s total leasing revenue. The twenty-one stores included seven owned by the Company, nine owned by the Company’s joint venture with Seritage Growth Properties (“Seritage”), one store that was owned by Sears and four stores that were owned by Seritage. Although, in the short-term, the bankruptcy of an Anchor such as Sears may lead to lost base rent and the triggering of co-tenancy clauses, there is also the potential to create additional future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w:t>
      </w:r>
    </w:p>
    <w:p>
      <w:pPr>
        <w:spacing w:after="0" w:line="97" w:lineRule="exact"/>
        <w:rPr>
          <w:sz w:val="20"/>
          <w:szCs w:val="20"/>
          <w:color w:val="auto"/>
        </w:rPr>
      </w:pPr>
    </w:p>
    <w:p>
      <w:pPr>
        <w:ind w:right="240" w:firstLine="446"/>
        <w:spacing w:after="0" w:line="312" w:lineRule="auto"/>
        <w:rPr>
          <w:sz w:val="20"/>
          <w:szCs w:val="20"/>
          <w:color w:val="auto"/>
        </w:rPr>
      </w:pPr>
      <w:r>
        <w:rPr>
          <w:rFonts w:ascii="Arial" w:cs="Arial" w:eastAsia="Arial" w:hAnsi="Arial"/>
          <w:sz w:val="16"/>
          <w:szCs w:val="16"/>
          <w:color w:val="auto"/>
        </w:rPr>
        <w:t>As of September 30, 2019, the Company recaptured ten Sears locations, including seven through its joint venture with Seritage, through formal lease rejections and lease terminations. The Company currently anticipates aggregate redevelopment investments at these locations of $130.0 million to $160.0 million (at the Company's pro rata share) over the next several years. New tenants are expected to open at several projects in late 2020.</w:t>
      </w:r>
    </w:p>
    <w:p>
      <w:pPr>
        <w:spacing w:after="0" w:line="79"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On September 29, 2019, Forever 21, Inc. filed for Chapter 11 bankruptcy. At the time of the bankruptcy filing, the Company had 29 Forever 21 stores in its portfolio totaling approximately 1.2 million square feet. As of December 31, 2018, Forever 21 stores represented 2.5% of total minimum and percentage rental revenues of the Company. The Company is in ongoing discussion with Forever 21 regarding the status of those stores. Based on a court filing dated October 28, 2019, the Company expects that four of the Forever 21 stores will close, three of which are owned by the Company (Danbury Fair Mall, Arrowhead Towne Center and Pacific View), and one of which is not owned by the Company (Vintage Faire Mall). The Company anticipates that it may provide certain rent concessions in connection with a number of the remaining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2019 and 2018</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Leasing revenue decreased by $10.0 million, or 4.5%, from 2018 to 2019. The decrease in leasing revenue is attributed to decreases of $9.1 million from the Same Centers, $0.6 million from the JV Transition Center and $0.3 million from the Redevelopment Properties. Leasing revenue includes the amortization of above and below-market leases, the amortization of straight-line rents and lease termination income. The amortization of above and below-market leases increased from $0.7 million in 2018 to $2.4 million in 2019. The amortization of straight-line rents decreased from $3.5 million in 2018 to $3.2 million in 2019. Lease termination income decreased from $3.7 million in 2018 to $0.7 million in 2019. Leasing revenue also includes a provision for bad debts of $2.9 million in 2019 (See "Other Transactions and Events" in Management's Overview and Summary). The decrease in leasing revenue at the Same Centers is primarily due to the inclusion of the provision for bad debts in 2019 and decreases in lease termination income and property tax recoveries.</w:t>
      </w:r>
    </w:p>
    <w:p>
      <w:pPr>
        <w:spacing w:after="0" w:line="100"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Management Companies' revenue decreased from $11.1 million in 2018 to $10.0 million in 2019. The decrease in Management Companies' revenue is primarily due to a decrease in development fees from unconsolidated joint ventures.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Shopping center and operating expenses decreased $2.8 million, or 3.8%, from 2018 to 2019. The decrease in shopping center and operating expenses is attributed to decreases of $2.6 million from the Same Centers and $0.2 million from the Redevelopment Properties. The decrease in shopping center and operating expenses at the Same Centers is primarily due to the exclusion of bad debt expense in 2019 (See "Other Transactions and Events" in Management's Overview and Summary).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Leasing Expenses:</w:t>
      </w:r>
    </w:p>
    <w:p>
      <w:pPr>
        <w:spacing w:after="0" w:line="144"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Leasing expenses increased from $2.6 million in 2018 to $7.2 million in 2019. The increase in leasing expenses is due to the Company's adoption of ASC 842 in 2019 (See "Other Transactions and Events" in Management's Overview and Summary).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58"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Management Companies' operating expenses decreased $3.4 million from 2018 to 2019 primarily due to a decrease in payroll and share and unit-based compensation expense.</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REIT general and administrative expenses decreased $0.2 million from 2018 to 2019.</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144"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Depreciation and amortization increased $1.0 million from 2018 to 2019. The increase in depreciation and amortization is attributed to an increase of $1.0 million from the Same Centers and $0.1 million from the Redevelopment Properties offset in part by a decrease of $0.1 million from the JV Transition Center.</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w:t>
      </w:r>
    </w:p>
    <w:p>
      <w:pPr>
        <w:spacing w:after="0" w:line="158"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Interest expense decreased $30.1 million from 2018 to 2019. The decrease in interest expense is attributed to a decrease of $35.0 million from the Financing Arrangement (See "Other Transactions and Events" in Management's Overview and Summary) and $0.1 million from the JV Transition Center offset in part by increases of $4.0 million from the Same Centers and $1.0 million from the borrowings under the Company's line of credit. The decrease in interest expense from the Financing Arrangement is primarily due to the change in fair value of the underlying properties and the mortgage notes payable on the underlying properties.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158"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Equity in income of unconsolidated joint ventures decreased $4.2 million from 2018 to 2019. The decrease in equity in income of unconsolidated joint ventures is primarily due to the gain on the sale of The Market at Estrella Falls in 2018 (See "Acquisitions and Dispositions" in Management's Overview and Summary).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Gain on Sale or Write Down of Assets, net:</w:t>
      </w:r>
    </w:p>
    <w:p>
      <w:pPr>
        <w:spacing w:after="0" w:line="158"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The (loss) gain on sale or write down of assets, net changed to a loss of $0.1 million in 2019 from a gain of $46.5 million in 2018. The change in (loss) gain on sale or write down of assets, net is primarily due to the gain of $46.2 million on the sale of a 75% ownership interest in One Westside in 2018 (See "Acquisitions and Dispositions" in Management's Overview and Summary).</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w:t>
      </w:r>
    </w:p>
    <w:p>
      <w:pPr>
        <w:spacing w:after="0" w:line="14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Net income decreased $31.2 million from 2018 to 2019. The decrease in net income is primarily due the change in (loss) gain on sale or write down of assets, net, as discussed above.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decreased 10.9% from $149.6 million in 2018 to $133.2 million in 2019.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2019 and 2018</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200" w:firstLine="446"/>
        <w:spacing w:after="0" w:line="255" w:lineRule="auto"/>
        <w:rPr>
          <w:sz w:val="20"/>
          <w:szCs w:val="20"/>
          <w:color w:val="auto"/>
        </w:rPr>
      </w:pPr>
      <w:r>
        <w:rPr>
          <w:rFonts w:ascii="Arial" w:cs="Arial" w:eastAsia="Arial" w:hAnsi="Arial"/>
          <w:sz w:val="18"/>
          <w:szCs w:val="18"/>
          <w:color w:val="auto"/>
        </w:rPr>
        <w:t>Leasing revenue decreased by $23.1 million, or 3.5%, from 2018 to 2019. The decrease in leasing revenue is attributed to decreases of $16.3 million from the Same Centers, $3.5 million from the JV Transition Center, $2.3 million from the Disposition Property and $1.0 million from the Redevelopment Properties. The amortization of above and below-market leases increased from $2.5 million in 2018 to $7.0 million in 2019. Straight-line rents decreased from $8.9 million in 2018 to $7.1 million in 2019. Lease termination income decreased from $7.2 million in 2018 to $3.9 million in 2019. Leasing revenue also includes a provision for bad debts of $6.8 million in 2019 (See "Other Transactions and Events" in Management's Overview and Summary). The decrease in leasing revenue at the Same Centers is primarily due to the inclusion of the provision for bad debts in 2019 and a decrease in lease termination income.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revenue decreased from $32.1 million in 2018 to $29.3 million in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Shopping center and operating expenses decreased $11.7 million, or 5.4%, from 2018 to 2019. The decrease in shopping center and operating expenses is attributed to decreases of $8.3 million from the Same Centers, $1.5 million from the JV Transition Center, $1.2 million from the Disposition Property and $0.7 million from the Redevelopment Properties. The decrease in shopping center and operating expenses at the Same Centers is primarily due to the exclusion of bad debt expense in 2019 (See "Other Transactions and Events" in Management's Overview and Summary).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Expenses:</w:t>
      </w:r>
    </w:p>
    <w:p>
      <w:pPr>
        <w:spacing w:after="0" w:line="158"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Leasing expenses increased from $8.6 million in 2018 to $22.3 million in 2019. The increase in leasing expenses is due to the Company's adoption of ASC 842 in 2019 (See "Other Transactions and Events" in Management's Overview and Summary).</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4"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Management Companies' operating expenses decreased $22.0 million from 2018 to 2019. The decrease is attributed to a one-time charge of $12.7 million in connection with the Company's reduction in work force in 2018 (See "Other Transactions and Events" in Management's Overview and Summary) and the subsequent reduction in payroll and share and unit-based compensation costs.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REIT general and administrative expenses decreased $1.6 million from 2018 to 2019 due to a reduction in compensation costs.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158"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Depreciation and amortization increased $6.0 million from 2018 to 2019. The increase in depreciation and amortization is attributed to an increase of $8.1 million from the Same Centers offset in part by decreases of $1.3 million from the JV Transition Center, $0.7 million from the Disposition Property and $0.1 million from the Redevelopment Properties.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 Expense:</w:t>
      </w:r>
    </w:p>
    <w:p>
      <w:pPr>
        <w:spacing w:after="0" w:line="14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Interest expense decreased $46.2 million from 2018 to 2019. The decrease in interest expense was attributed to decreases of $61.9 million from the Financing Arrangement (See "Other Transactions and Events" in Management's Overview and Summary) and $1.0 million from the JV Transition Center offset in part by increases of $10.7 million from the Same Centers, $5.1 million from borrowings under the Company's line of credit and $0.9 million from the Redevelopment Properties. 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loans on Fashion Outlets of Chicago, Chandler Fashion Center and SanTan Village Regional Center in 2019 (See "Financing Activities" in Management's Overview and Summary).</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158"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Equity in income of unconsolidated joint ventures decreased $17.2 million from 2018 to 2019. The decrease in equity in income of unconsolidated joint ventures is primarily due to the write-down of intangible assets as a result of lease terminations at the Company's joint venture with Seritage in 2019, the gain on the sale of The Market at Estrella Falls in 2018 (See "Acquisitions and Dispositions" in Management's Overview and Summary), the gain on the sale of an ownership interest in an office building at Fashion District Philadelphia in 2018 (See "Acquisitions and Dispositions" in Management's Overview and Summary) and interest expense from the loan placed on Broadway Plaza in 2018 (See "Financing Activities" in Management's Overview and Summary).</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on Sale or Write Down of Assets, net:</w:t>
      </w:r>
    </w:p>
    <w:p>
      <w:pPr>
        <w:spacing w:after="0" w:line="158"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Loss on sale or write down of assets, net increased $15.0 million from 2018 to 2019. The increase in loss on sale or write down of assets, net is primarily due to the gain of $46.2 million on the sale of a 75% ownership interest in One Westside in 2018 (See "Acquisitions and Dispositions" in Management's Overview and Summary), an increase in $12.1 million in the write down of development costs in 2019 and the decrease in gain on land sales in 2019, offset in part by the $46.6 million in impairment losses on SouthPark Mall, Promenade at Casa Grande, Southridge Center and two freestanding stores in 2018. The impairment losses were due to the reduction in the estimated holding periods of the properties.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w:t>
      </w:r>
    </w:p>
    <w:p>
      <w:pPr>
        <w:spacing w:after="0" w:line="144"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Net income increased $17.1 million from 2018 to 2019. The increase in net income is primarily due to the $19.4 million in costs related to shareholder activism in 2018, as discussed above.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158"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decreased 2.5% from $398.8 million in 2018 to $388.8 million in 2019. For a reconciliation of net income (loss)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Cash provided by operating activities increased $24.8 million from 2018 to 2019. The increase is primarily due to the changes in assets and liabilities and the results, as discussed above.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Cash provided by investing activities decreased $239.6 million from 2018 to 2019. The decrease in cash provided by investing activities is primarily attributed to decreases in distributions from unconsolidated joint ventures of $305.5 million and proceeds from the sale of assets of $81.8 million, offset in part by an increase in proceeds from notes receivable of $65.0 million, a decrease in contributions to unconsolidated joint ventures of $29.7 million, a decrease in development, redevelopment, expansion and renovations of properties of $28.4 million and a decrease in property improvements of $11.7 million.</w:t>
      </w:r>
    </w:p>
    <w:p>
      <w:pPr>
        <w:spacing w:after="0" w:line="87"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The decrease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an ownership interest in an office building at Fashion District Philadelphia (See "Acquisitions and Dispositions" in Management's Overview and Summary) in 2018, offset in part by the Company's share of loan proceeds from the new loan on Tysons Tower in 2019. The increase in proceeds from notes receivable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is due to the repayment of the note receivable from the Lennar Corporation in 2019 (See Note 18—Related Party Transactions in the Company's Notes to the Consolidated Financial Statements).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Cash used in financing activities decreased $171.7 million from 2018 to 2019. The decrease in cash used in financing activities is primarily due to an increase in proceeds from mortgages, bank and other notes payable of $781.0 million, offset in part by an increase in payments on mortgages, bank and other notes payable of $558.4 million, the payment on the Financing Arrangement of $27.9 million in 2019 and an increase in dividends and distributions of $19.9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1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For the Nine Months Ended September</w:t>
            </w:r>
          </w:p>
        </w:tc>
      </w:tr>
      <w:tr>
        <w:trPr>
          <w:trHeight w:val="192"/>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r>
      <w:tr>
        <w:trPr>
          <w:trHeight w:val="19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19,330</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31,055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128,654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9,059</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13,836</w:t>
            </w:r>
          </w:p>
        </w:tc>
      </w:tr>
      <w:tr>
        <w:trPr>
          <w:trHeight w:val="237"/>
        </w:trPr>
        <w:tc>
          <w:tcPr>
            <w:tcW w:w="628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119,212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182,604</w:t>
            </w:r>
          </w:p>
        </w:tc>
      </w:tr>
      <w:tr>
        <w:trPr>
          <w:trHeight w:val="27"/>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7,793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8,801</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103,581</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4,596</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6,841</w:t>
            </w:r>
          </w:p>
        </w:tc>
      </w:tr>
      <w:tr>
        <w:trPr>
          <w:trHeight w:val="237"/>
        </w:trPr>
        <w:tc>
          <w:tcPr>
            <w:tcW w:w="628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170,321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123,819</w:t>
            </w:r>
          </w:p>
        </w:tc>
      </w:tr>
      <w:tr>
        <w:trPr>
          <w:trHeight w:val="27"/>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The Company expects amounts to be incurred during the next twelve months for tenant allowances and deferred leasing charges to be comparable or less than 2018 and that capital for those expenditures will be available from working capital, cash flow from operations, borrowings on property specific debt or unsecured corporate borrowings. Although the amounts incurred for deferred leasing charges during the next twelve months are expected to be comparable or less than 2018, the Company began expensing a significant portion of its leasing costs in 2019 in accordance with its adoption of ASC 842 (See "Other Transactions and Events" in Management's Overview and Summary). The Company expects to incur between $200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98" w:lineRule="exact"/>
        <w:rPr>
          <w:sz w:val="20"/>
          <w:szCs w:val="20"/>
          <w:color w:val="auto"/>
        </w:rPr>
      </w:pPr>
    </w:p>
    <w:p>
      <w:pPr>
        <w:ind w:right="100" w:firstLine="446"/>
        <w:spacing w:after="0" w:line="270" w:lineRule="auto"/>
        <w:rPr>
          <w:sz w:val="20"/>
          <w:szCs w:val="20"/>
          <w:color w:val="auto"/>
        </w:rPr>
      </w:pPr>
      <w:r>
        <w:rPr>
          <w:rFonts w:ascii="Arial" w:cs="Arial" w:eastAsia="Arial" w:hAnsi="Arial"/>
          <w:sz w:val="17"/>
          <w:szCs w:val="17"/>
          <w:color w:val="auto"/>
        </w:rPr>
        <w:t>The Company has also generated liquidity in the past, and may continue to do so in the future, through equity offerings and issuances, property refinancings, joint venture transactions and the sale of non-core assets. For example, the Company's sales of ownership interests in One Westside and an office building at Fashion District Philadelphia (See "Acquisitions and Dispositions" in Management's Overview and Summary), the sales of The Market at Estrella Falls and Promenade at Casa Grande, and the financing of Fashion Outlets of Chicago, Fashion District Philadelphia, Broadway Plaza, SanTan Village Regional Center, Chandler Fashion Center and Tysons Tower (See "Financing Activities" in Management's Overview and Summary). The Company used the proceeds from these transactions to pay down its line of credit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10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September 30, 2019 was $8.0 billion (consisting of $5.0 billion of consolidated debt, less $360.6 million of noncontrolling interests, plus $3.3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2" w:lineRule="exact"/>
        <w:rPr>
          <w:sz w:val="20"/>
          <w:szCs w:val="20"/>
          <w:color w:val="auto"/>
        </w:rPr>
      </w:pPr>
    </w:p>
    <w:p>
      <w:pPr>
        <w:ind w:right="280" w:firstLine="446"/>
        <w:spacing w:after="0" w:line="291" w:lineRule="auto"/>
        <w:rPr>
          <w:sz w:val="20"/>
          <w:szCs w:val="20"/>
          <w:color w:val="auto"/>
        </w:rPr>
      </w:pPr>
      <w:r>
        <w:rPr>
          <w:rFonts w:ascii="Arial" w:cs="Arial" w:eastAsia="Arial" w:hAnsi="Arial"/>
          <w:sz w:val="16"/>
          <w:szCs w:val="16"/>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September 30, 2019, the borrowing rate on the facility was LIBOR plus 1.45%. The Company has four interest rate swap agreements that effectively convert a total of $400.0 million of the outstanding balance from floating rate debt of LIBOR plus 1.45% to fixed rate debt of 4.30% until September 30, 2021. At September 30, 2019, total borrowings under the line of credit were $750.0 million less unamortized deferred finance costs of $3.3 million with a total interest rate of 4.03%. The Company's availability under the line of credit was $749.7 million at September 30, 2019.</w:t>
      </w:r>
    </w:p>
    <w:p>
      <w:pPr>
        <w:spacing w:after="0" w:line="86" w:lineRule="exact"/>
        <w:rPr>
          <w:sz w:val="20"/>
          <w:szCs w:val="20"/>
          <w:color w:val="auto"/>
        </w:rPr>
      </w:pPr>
    </w:p>
    <w:p>
      <w:pPr>
        <w:ind w:right="440" w:firstLine="446"/>
        <w:spacing w:after="0" w:line="264" w:lineRule="auto"/>
        <w:rPr>
          <w:sz w:val="20"/>
          <w:szCs w:val="20"/>
          <w:color w:val="auto"/>
        </w:rPr>
      </w:pPr>
      <w:r>
        <w:rPr>
          <w:rFonts w:ascii="Arial" w:cs="Arial" w:eastAsia="Arial" w:hAnsi="Arial"/>
          <w:sz w:val="18"/>
          <w:szCs w:val="18"/>
          <w:color w:val="auto"/>
        </w:rPr>
        <w:t>Cash dividends and distributions for the nine months ended September 30, 2019 were $359.4 million. A total of $272.0 million was funded by operations. The remaining $87.4 million was funded from distributions from unconsolidated joint ventures, which were included in the cash flows from investing activities section of the Company's Consolidated Statement of Cash Flows.</w:t>
      </w:r>
    </w:p>
    <w:p>
      <w:pPr>
        <w:spacing w:after="0" w:line="114" w:lineRule="exact"/>
        <w:rPr>
          <w:sz w:val="20"/>
          <w:szCs w:val="20"/>
          <w:color w:val="auto"/>
        </w:rPr>
      </w:pPr>
    </w:p>
    <w:p>
      <w:pPr>
        <w:ind w:left="420" w:right="2740" w:firstLine="41"/>
        <w:spacing w:after="0" w:line="417" w:lineRule="auto"/>
        <w:rPr>
          <w:sz w:val="20"/>
          <w:szCs w:val="20"/>
          <w:color w:val="auto"/>
        </w:rPr>
      </w:pPr>
      <w:r>
        <w:rPr>
          <w:rFonts w:ascii="Arial" w:cs="Arial" w:eastAsia="Arial" w:hAnsi="Arial"/>
          <w:sz w:val="18"/>
          <w:szCs w:val="18"/>
          <w:color w:val="auto"/>
        </w:rPr>
        <w:t xml:space="preserve">At September 30, 2019, the Company was in compliance with all applicable loan covenants under its agreements. At September 30, 2019, the Company had cash and cash equivalents of $98.3 million. </w:t>
      </w:r>
      <w:r>
        <w:rPr>
          <w:rFonts w:ascii="Arial" w:cs="Arial" w:eastAsia="Arial" w:hAnsi="Arial"/>
          <w:sz w:val="18"/>
          <w:szCs w:val="18"/>
          <w:i w:val="1"/>
          <w:iCs w:val="1"/>
          <w:color w:val="auto"/>
        </w:rPr>
        <w:t>Off-Balance Sheet Arrangements:</w:t>
      </w:r>
    </w:p>
    <w:p>
      <w:pPr>
        <w:spacing w:after="0" w:line="2"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56"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As of September 30, 2019, one of the Company's joint ventures has $150.5 million of debt that could become recourse to the Company, should the joint venture be unable to discharge the obligation of the related debt.</w:t>
      </w:r>
    </w:p>
    <w:p>
      <w:pPr>
        <w:spacing w:after="0" w:line="89" w:lineRule="exact"/>
        <w:rPr>
          <w:sz w:val="20"/>
          <w:szCs w:val="20"/>
          <w:color w:val="auto"/>
        </w:rPr>
      </w:pPr>
    </w:p>
    <w:p>
      <w:pPr>
        <w:ind w:right="240" w:firstLine="446"/>
        <w:spacing w:after="0" w:line="342" w:lineRule="auto"/>
        <w:rPr>
          <w:sz w:val="20"/>
          <w:szCs w:val="20"/>
          <w:color w:val="auto"/>
        </w:rPr>
      </w:pPr>
      <w:r>
        <w:rPr>
          <w:rFonts w:ascii="Arial" w:cs="Arial" w:eastAsia="Arial" w:hAnsi="Arial"/>
          <w:sz w:val="16"/>
          <w:szCs w:val="16"/>
          <w:color w:val="auto"/>
        </w:rPr>
        <w:t>Additionally, as of September 30, 2019, the Company was contingently liable for $100.8 million in letters of credit guaranteeing performance by the Company of certain obligations relating to the Centers. The Company does not believe that these letters of credit will result in a liability to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44"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The following is a schedule of contractual obligations as of September 30, 2019 for the consolidated Centers over the periods in which they are expected to be paid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1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Long-term debt obligations (includes expected</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payments)(1)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5,941,557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622,742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2,098,558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895,174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2,325,083</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Lease liabilities(2)</w:t>
            </w:r>
          </w:p>
        </w:tc>
        <w:tc>
          <w:tcPr>
            <w:tcW w:w="2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222,480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46,699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30,340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140,415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obligations(3)</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266,855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207,982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33,284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6,443,169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848,027</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2,159,388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936,972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2,498,782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September 30,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Note 8—</w:t>
      </w:r>
      <w:r>
        <w:rPr>
          <w:rFonts w:ascii="Arial" w:cs="Arial" w:eastAsia="Arial" w:hAnsi="Arial"/>
          <w:sz w:val="18"/>
          <w:szCs w:val="18"/>
          <w:color w:val="auto"/>
        </w:rPr>
        <w:t>Leases</w:t>
      </w:r>
      <w:r>
        <w:rPr>
          <w:rFonts w:ascii="Arial" w:cs="Arial" w:eastAsia="Arial" w:hAnsi="Arial"/>
          <w:sz w:val="16"/>
          <w:szCs w:val="16"/>
          <w:color w:val="auto"/>
        </w:rPr>
        <w:t xml:space="preserve"> in the Company's Notes to the Consolidated Financial Statements.</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Note 17—Commitments and Contingencies in the Company's Notes to the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6"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Beginning during the first quarter 2018, the Company revised its definition of FFO so that FFO excluded the impact of the financing expense in connection with Chandler Freehold. Beginning in the third quarter of 2019, the Company now presents a separate non-GAAP measure - FFO excluding financing expense in connection with Chandler Freehold. The Company has revised the FFO presentation for the three and nine months ended September 30, 2018 to conform to the current presentation.</w:t>
      </w:r>
    </w:p>
    <w:p>
      <w:pPr>
        <w:spacing w:after="0" w:line="119"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7"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Company also presents FFO excluding financing expense in connection with Chandler Freehold, loss on extinguishment of debt, net and costs related to shareholder activism.</w:t>
      </w:r>
    </w:p>
    <w:p>
      <w:pPr>
        <w:spacing w:after="0" w:line="10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non-routine costs associated with extinguishment of debt and costs related to shareholder activism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1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Funds From Operations ("FFO") (Continued)</w:t>
      </w:r>
    </w:p>
    <w:p>
      <w:pPr>
        <w:spacing w:after="0" w:line="148" w:lineRule="exact"/>
        <w:rPr>
          <w:sz w:val="20"/>
          <w:szCs w:val="20"/>
          <w:color w:val="auto"/>
        </w:rPr>
      </w:pPr>
    </w:p>
    <w:p>
      <w:pPr>
        <w:ind w:right="340" w:firstLine="446"/>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119"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The following reconciles net income attributable to the Company to FFO and FFO-diluted attributable to common stockholders and unit holders-basic and diluted, excluding financing expense in connection with Chandler Freehold, loss on extinguishment of debt, net and costs related to shareholder activism, for the three and nine months ended September 30, 2019 and 2018 (dollars and shares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10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8"/>
              </w:rPr>
              <w:t>For the Nine Months Ended</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the Company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46,371</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74,028</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48,271</w:t>
            </w:r>
          </w:p>
        </w:tc>
        <w:tc>
          <w:tcPr>
            <w:tcW w:w="0" w:type="dxa"/>
            <w:vAlign w:val="bottom"/>
          </w:tcPr>
          <w:p>
            <w:pPr>
              <w:spacing w:after="0"/>
              <w:rPr>
                <w:sz w:val="1"/>
                <w:szCs w:val="1"/>
                <w:color w:val="auto"/>
              </w:rPr>
            </w:pPr>
          </w:p>
        </w:tc>
      </w:tr>
      <w:tr>
        <w:trPr>
          <w:trHeight w:val="220"/>
        </w:trPr>
        <w:tc>
          <w:tcPr>
            <w:tcW w:w="6460" w:type="dxa"/>
            <w:vAlign w:val="bottom"/>
          </w:tcPr>
          <w:p>
            <w:pPr>
              <w:spacing w:after="0"/>
              <w:rPr>
                <w:sz w:val="20"/>
                <w:szCs w:val="20"/>
                <w:color w:val="auto"/>
              </w:rPr>
            </w:pPr>
            <w:r>
              <w:rPr>
                <w:rFonts w:ascii="Arial" w:cs="Arial" w:eastAsia="Arial" w:hAnsi="Arial"/>
                <w:sz w:val="16"/>
                <w:szCs w:val="16"/>
                <w:color w:val="auto"/>
                <w:w w:val="94"/>
              </w:rPr>
              <w:t>Adjustments to reconcile net income attributable to the Company to FFO attributable to common</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60" w:type="dxa"/>
            <w:vAlign w:val="bottom"/>
          </w:tcPr>
          <w:p>
            <w:pPr>
              <w:spacing w:after="0"/>
              <w:rPr>
                <w:sz w:val="20"/>
                <w:szCs w:val="20"/>
                <w:color w:val="auto"/>
              </w:rPr>
            </w:pPr>
            <w:r>
              <w:rPr>
                <w:rFonts w:ascii="Arial" w:cs="Arial" w:eastAsia="Arial" w:hAnsi="Arial"/>
                <w:sz w:val="16"/>
                <w:szCs w:val="16"/>
                <w:color w:val="auto"/>
              </w:rPr>
              <w:t>stockholders and unit holders—basic and diluted: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Noncontrolling interests in the Operating Partnership</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3,427</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5,432</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Loss (gain) on sale or write down of assets, net—consolidated assets</w:t>
            </w:r>
          </w:p>
        </w:tc>
        <w:tc>
          <w:tcPr>
            <w:tcW w:w="2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(46,516)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 noncontrolling interests share of (loss) gain on sale or write down of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consolidated assets</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Add: gain on sale of undepreciated assets—consolidated assets</w:t>
            </w:r>
          </w:p>
        </w:tc>
        <w:tc>
          <w:tcPr>
            <w:tcW w:w="2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2,060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3,415</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(Gain) loss on sale or write down of assets—unconsolidated joint ventures, net(1)</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(2,968)</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Add: gain on sale of undepreciated assets—unconsolidated joint ventures(1)</w:t>
            </w:r>
          </w:p>
        </w:tc>
        <w:tc>
          <w:tcPr>
            <w:tcW w:w="2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2,151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amortization—consolidated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82,787</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81,803</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246,640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240,608</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Less: noncontrolling interests in depreciation and amortization—consolidated assets</w:t>
            </w:r>
          </w:p>
        </w:tc>
        <w:tc>
          <w:tcPr>
            <w:tcW w:w="2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(3,746)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(10,946)</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amortization—unconsolidated joint ventures(1)</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45,465</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43,850</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141,670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130,030</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Less: depreciation on personal property</w:t>
            </w:r>
          </w:p>
        </w:tc>
        <w:tc>
          <w:tcPr>
            <w:tcW w:w="2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(3,934)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(10,120)</w:t>
            </w:r>
          </w:p>
        </w:tc>
        <w:tc>
          <w:tcPr>
            <w:tcW w:w="0" w:type="dxa"/>
            <w:vAlign w:val="bottom"/>
          </w:tcPr>
          <w:p>
            <w:pPr>
              <w:spacing w:after="0"/>
              <w:rPr>
                <w:sz w:val="1"/>
                <w:szCs w:val="1"/>
                <w:color w:val="auto"/>
              </w:rPr>
            </w:pPr>
          </w:p>
        </w:tc>
      </w:tr>
      <w:tr>
        <w:trPr>
          <w:trHeight w:val="3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FFO attributable to common stockholders and unit holders—basic and diluted</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170,579</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152,717</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453,723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403,255</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Financing expense in connection with Chandler Freehold</w:t>
            </w:r>
          </w:p>
        </w:tc>
        <w:tc>
          <w:tcPr>
            <w:tcW w:w="2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(37,337)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(4,476)</w:t>
            </w:r>
          </w:p>
        </w:tc>
        <w:tc>
          <w:tcPr>
            <w:tcW w:w="0" w:type="dxa"/>
            <w:vAlign w:val="bottom"/>
          </w:tcPr>
          <w:p>
            <w:pPr>
              <w:spacing w:after="0"/>
              <w:rPr>
                <w:sz w:val="1"/>
                <w:szCs w:val="1"/>
                <w:color w:val="auto"/>
              </w:rPr>
            </w:pPr>
          </w:p>
        </w:tc>
      </w:tr>
      <w:tr>
        <w:trPr>
          <w:trHeight w:val="3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connection with Chandler Freehold—basic and diluted</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133,242</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149,578</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388,817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398,779</w:t>
            </w:r>
          </w:p>
        </w:tc>
        <w:tc>
          <w:tcPr>
            <w:tcW w:w="0" w:type="dxa"/>
            <w:vAlign w:val="bottom"/>
          </w:tcPr>
          <w:p>
            <w:pPr>
              <w:spacing w:after="0"/>
              <w:rPr>
                <w:sz w:val="1"/>
                <w:szCs w:val="1"/>
                <w:color w:val="auto"/>
              </w:rPr>
            </w:pPr>
          </w:p>
        </w:tc>
      </w:tr>
      <w:tr>
        <w:trPr>
          <w:trHeight w:val="224"/>
        </w:trPr>
        <w:tc>
          <w:tcPr>
            <w:tcW w:w="6460" w:type="dxa"/>
            <w:vAlign w:val="bottom"/>
          </w:tcPr>
          <w:p>
            <w:pPr>
              <w:ind w:left="100"/>
              <w:spacing w:after="0"/>
              <w:rPr>
                <w:sz w:val="20"/>
                <w:szCs w:val="20"/>
                <w:color w:val="auto"/>
              </w:rPr>
            </w:pPr>
            <w:r>
              <w:rPr>
                <w:rFonts w:ascii="Arial" w:cs="Arial" w:eastAsia="Arial" w:hAnsi="Arial"/>
                <w:sz w:val="16"/>
                <w:szCs w:val="16"/>
                <w:color w:val="auto"/>
              </w:rPr>
              <w:t>Loss on extinguishment of debt, net—consolidated assets</w:t>
            </w:r>
          </w:p>
        </w:tc>
        <w:tc>
          <w:tcPr>
            <w:tcW w:w="2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Costs related to shareholder activism</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19,369</w:t>
            </w:r>
          </w:p>
        </w:tc>
        <w:tc>
          <w:tcPr>
            <w:tcW w:w="0" w:type="dxa"/>
            <w:vAlign w:val="bottom"/>
          </w:tcPr>
          <w:p>
            <w:pPr>
              <w:spacing w:after="0"/>
              <w:rPr>
                <w:sz w:val="1"/>
                <w:szCs w:val="1"/>
                <w:color w:val="auto"/>
              </w:rPr>
            </w:pP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w w:val="99"/>
              </w:rPr>
              <w:t>connection with Chandler Freehold, loss on extinguishment of debt, net and costs related to</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133,242</w:t>
            </w:r>
          </w:p>
        </w:tc>
        <w:tc>
          <w:tcPr>
            <w:tcW w:w="180" w:type="dxa"/>
            <w:vAlign w:val="bottom"/>
          </w:tcPr>
          <w:p>
            <w:pPr>
              <w:spacing w:after="0"/>
              <w:rPr>
                <w:sz w:val="17"/>
                <w:szCs w:val="17"/>
                <w:color w:val="auto"/>
              </w:rPr>
            </w:pPr>
          </w:p>
        </w:tc>
        <w:tc>
          <w:tcPr>
            <w:tcW w:w="380" w:type="dxa"/>
            <w:vAlign w:val="bottom"/>
            <w:vMerge w:val="restart"/>
          </w:tcPr>
          <w:p>
            <w:pPr>
              <w:jc w:val="right"/>
              <w:ind w:right="224"/>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color w:val="auto"/>
              </w:rPr>
              <w:t>149,578</w:t>
            </w:r>
          </w:p>
        </w:tc>
        <w:tc>
          <w:tcPr>
            <w:tcW w:w="1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color w:val="auto"/>
              </w:rPr>
              <w:t>389,168</w:t>
            </w:r>
          </w:p>
        </w:tc>
        <w:tc>
          <w:tcPr>
            <w:tcW w:w="100" w:type="dxa"/>
            <w:vAlign w:val="bottom"/>
          </w:tcPr>
          <w:p>
            <w:pPr>
              <w:spacing w:after="0"/>
              <w:rPr>
                <w:sz w:val="17"/>
                <w:szCs w:val="17"/>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418,148</w:t>
            </w:r>
          </w:p>
        </w:tc>
        <w:tc>
          <w:tcPr>
            <w:tcW w:w="0" w:type="dxa"/>
            <w:vAlign w:val="bottom"/>
          </w:tcPr>
          <w:p>
            <w:pPr>
              <w:spacing w:after="0"/>
              <w:rPr>
                <w:sz w:val="1"/>
                <w:szCs w:val="1"/>
                <w:color w:val="auto"/>
              </w:rPr>
            </w:pPr>
          </w:p>
        </w:tc>
      </w:tr>
      <w:tr>
        <w:trPr>
          <w:trHeight w:val="214"/>
        </w:trPr>
        <w:tc>
          <w:tcPr>
            <w:tcW w:w="6460" w:type="dxa"/>
            <w:vAlign w:val="bottom"/>
          </w:tcPr>
          <w:p>
            <w:pPr>
              <w:spacing w:after="0"/>
              <w:rPr>
                <w:sz w:val="20"/>
                <w:szCs w:val="20"/>
                <w:color w:val="auto"/>
              </w:rPr>
            </w:pPr>
            <w:r>
              <w:rPr>
                <w:rFonts w:ascii="Arial" w:cs="Arial" w:eastAsia="Arial" w:hAnsi="Arial"/>
                <w:sz w:val="16"/>
                <w:szCs w:val="16"/>
                <w:color w:val="auto"/>
              </w:rPr>
              <w:t>shareholder activism—basic and diluted</w:t>
            </w: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FFO shares outstanding for:</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60" w:type="dxa"/>
            <w:vAlign w:val="bottom"/>
          </w:tcPr>
          <w:p>
            <w:pPr>
              <w:spacing w:after="0"/>
              <w:rPr>
                <w:sz w:val="20"/>
                <w:szCs w:val="20"/>
                <w:color w:val="auto"/>
              </w:rPr>
            </w:pPr>
            <w:r>
              <w:rPr>
                <w:rFonts w:ascii="Arial" w:cs="Arial" w:eastAsia="Arial" w:hAnsi="Arial"/>
                <w:sz w:val="16"/>
                <w:szCs w:val="16"/>
                <w:color w:val="auto"/>
              </w:rPr>
              <w:t>FFO attributable to common stockholders and unit holders—basic(2)</w:t>
            </w:r>
          </w:p>
        </w:tc>
        <w:tc>
          <w:tcPr>
            <w:tcW w:w="2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151,784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151,574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151,740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151,476</w:t>
            </w:r>
          </w:p>
        </w:tc>
        <w:tc>
          <w:tcPr>
            <w:tcW w:w="0" w:type="dxa"/>
            <w:vAlign w:val="bottom"/>
          </w:tcPr>
          <w:p>
            <w:pPr>
              <w:spacing w:after="0"/>
              <w:rPr>
                <w:sz w:val="1"/>
                <w:szCs w:val="1"/>
                <w:color w:val="auto"/>
              </w:rPr>
            </w:pPr>
          </w:p>
        </w:tc>
      </w:tr>
      <w:tr>
        <w:trPr>
          <w:trHeight w:val="33"/>
        </w:trPr>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Adjustments for impact of dilutive securities in computing FFO—diluted:</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60" w:type="dxa"/>
            <w:vAlign w:val="bottom"/>
          </w:tcPr>
          <w:p>
            <w:pPr>
              <w:ind w:left="120"/>
              <w:spacing w:after="0"/>
              <w:rPr>
                <w:sz w:val="20"/>
                <w:szCs w:val="20"/>
                <w:color w:val="auto"/>
              </w:rPr>
            </w:pPr>
            <w:r>
              <w:rPr>
                <w:rFonts w:ascii="Arial" w:cs="Arial" w:eastAsia="Arial" w:hAnsi="Arial"/>
                <w:sz w:val="16"/>
                <w:szCs w:val="16"/>
                <w:color w:val="auto"/>
              </w:rPr>
              <w:t>Share and unit based compensation plans</w:t>
            </w:r>
          </w:p>
        </w:tc>
        <w:tc>
          <w:tcPr>
            <w:tcW w:w="2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FFO attributable to common stockholders and unit holders—diluted(3)</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151,784</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151,574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151,740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151,481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153" w:lineRule="exact"/>
        <w:rPr>
          <w:rFonts w:ascii="Arial" w:cs="Arial" w:eastAsia="Arial" w:hAnsi="Arial"/>
          <w:sz w:val="16"/>
          <w:szCs w:val="16"/>
          <w:color w:val="auto"/>
        </w:rPr>
      </w:pPr>
    </w:p>
    <w:p>
      <w:pPr>
        <w:ind w:left="420" w:right="280" w:hanging="412"/>
        <w:spacing w:after="0" w:line="275" w:lineRule="auto"/>
        <w:tabs>
          <w:tab w:leader="none" w:pos="4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10.4 million OP Units for the three and nine months ended September 30, 2019 and 2018, respectively.</w:t>
      </w:r>
    </w:p>
    <w:p>
      <w:pPr>
        <w:spacing w:after="0" w:line="105" w:lineRule="exact"/>
        <w:rPr>
          <w:rFonts w:ascii="Arial" w:cs="Arial" w:eastAsia="Arial" w:hAnsi="Arial"/>
          <w:sz w:val="16"/>
          <w:szCs w:val="16"/>
          <w:color w:val="auto"/>
        </w:rPr>
      </w:pPr>
    </w:p>
    <w:p>
      <w:pPr>
        <w:ind w:left="420" w:right="40" w:hanging="412"/>
        <w:spacing w:after="0" w:line="275" w:lineRule="auto"/>
        <w:tabs>
          <w:tab w:leader="none" w:pos="4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100"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2"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The following table sets forth information as of September 30, 2019 concerning the Company's long-term debt obligations, including principal cash flows by scheduled maturity, weighted average interest rates and estimated fair value (dollars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Expected Maturity Date</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9"/>
          </w:tcPr>
          <w:p>
            <w:pPr>
              <w:jc w:val="right"/>
              <w:ind w:right="208"/>
              <w:spacing w:after="0"/>
              <w:rPr>
                <w:sz w:val="20"/>
                <w:szCs w:val="20"/>
                <w:color w:val="auto"/>
              </w:rPr>
            </w:pPr>
            <w:r>
              <w:rPr>
                <w:rFonts w:ascii="Arial" w:cs="Arial" w:eastAsia="Arial" w:hAnsi="Arial"/>
                <w:sz w:val="14"/>
                <w:szCs w:val="14"/>
                <w:b w:val="1"/>
                <w:bCs w:val="1"/>
                <w:color w:val="auto"/>
                <w:w w:val="98"/>
              </w:rPr>
              <w:t>For the twelve months ended September 30,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ind w:left="120"/>
              <w:spacing w:after="0"/>
              <w:rPr>
                <w:sz w:val="20"/>
                <w:szCs w:val="20"/>
                <w:color w:val="auto"/>
              </w:rPr>
            </w:pPr>
            <w:r>
              <w:rPr>
                <w:rFonts w:ascii="Arial" w:cs="Arial" w:eastAsia="Arial" w:hAnsi="Arial"/>
                <w:sz w:val="14"/>
                <w:szCs w:val="14"/>
                <w:color w:val="auto"/>
              </w:rPr>
              <w:t>Fixed rate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465,056</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584,819</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358,203</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25,768</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378,058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2,066,955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3,878,859</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3,929,788</w:t>
            </w: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ind w:left="120"/>
              <w:spacing w:after="0"/>
              <w:rPr>
                <w:sz w:val="20"/>
                <w:szCs w:val="20"/>
                <w:color w:val="auto"/>
              </w:rPr>
            </w:pPr>
            <w:r>
              <w:rPr>
                <w:rFonts w:ascii="Arial" w:cs="Arial" w:eastAsia="Arial" w:hAnsi="Arial"/>
                <w:sz w:val="14"/>
                <w:szCs w:val="14"/>
                <w:color w:val="auto"/>
              </w:rPr>
              <w:t>Floating rate</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1,189,453</w:t>
            </w: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80" w:type="dxa"/>
            <w:vAlign w:val="bottom"/>
          </w:tcPr>
          <w:p>
            <w:pPr>
              <w:ind w:left="20"/>
              <w:spacing w:after="0" w:line="137" w:lineRule="exact"/>
              <w:rPr>
                <w:sz w:val="20"/>
                <w:szCs w:val="20"/>
                <w:color w:val="auto"/>
              </w:rPr>
            </w:pPr>
            <w:r>
              <w:rPr>
                <w:rFonts w:ascii="Arial" w:cs="Arial" w:eastAsia="Arial" w:hAnsi="Arial"/>
                <w:sz w:val="14"/>
                <w:szCs w:val="14"/>
                <w:color w:val="auto"/>
              </w:rPr>
              <w:t>Total debt—Consolidated</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465,056</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1,464,819</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358,203</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325,768</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378,058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2,066,955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5,058,859</w:t>
            </w:r>
          </w:p>
        </w:tc>
        <w:tc>
          <w:tcPr>
            <w:tcW w:w="4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5,119,241</w:t>
            </w:r>
          </w:p>
        </w:tc>
        <w:tc>
          <w:tcPr>
            <w:tcW w:w="0" w:type="dxa"/>
            <w:vAlign w:val="bottom"/>
          </w:tcPr>
          <w:p>
            <w:pPr>
              <w:spacing w:after="0"/>
              <w:rPr>
                <w:sz w:val="1"/>
                <w:szCs w:val="1"/>
                <w:color w:val="auto"/>
              </w:rPr>
            </w:pPr>
          </w:p>
        </w:tc>
      </w:tr>
      <w:tr>
        <w:trPr>
          <w:trHeight w:val="167"/>
        </w:trPr>
        <w:tc>
          <w:tcPr>
            <w:tcW w:w="1780" w:type="dxa"/>
            <w:vAlign w:val="bottom"/>
          </w:tcPr>
          <w:p>
            <w:pPr>
              <w:ind w:left="20"/>
              <w:spacing w:after="0"/>
              <w:rPr>
                <w:sz w:val="20"/>
                <w:szCs w:val="20"/>
                <w:color w:val="auto"/>
              </w:rPr>
            </w:pPr>
            <w:r>
              <w:rPr>
                <w:rFonts w:ascii="Arial" w:cs="Arial" w:eastAsia="Arial" w:hAnsi="Arial"/>
                <w:sz w:val="14"/>
                <w:szCs w:val="14"/>
                <w:color w:val="auto"/>
              </w:rPr>
              <w:t>Centers</w:t>
            </w:r>
          </w:p>
        </w:tc>
        <w:tc>
          <w:tcPr>
            <w:tcW w:w="2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UNCONSOLIDATED</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tcPr>
          <w:p>
            <w:pPr>
              <w:ind w:left="20"/>
              <w:spacing w:after="0"/>
              <w:rPr>
                <w:sz w:val="20"/>
                <w:szCs w:val="20"/>
                <w:color w:val="auto"/>
              </w:rPr>
            </w:pPr>
            <w:r>
              <w:rPr>
                <w:rFonts w:ascii="Arial" w:cs="Arial" w:eastAsia="Arial" w:hAnsi="Arial"/>
                <w:sz w:val="14"/>
                <w:szCs w:val="14"/>
                <w:color w:val="auto"/>
              </w:rPr>
              <w:t>Company's pro rata share):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149,986</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51,402</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643,397</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1,765,091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3,048,855</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3,070,943</w:t>
            </w:r>
          </w:p>
        </w:tc>
        <w:tc>
          <w:tcPr>
            <w:tcW w:w="0" w:type="dxa"/>
            <w:vAlign w:val="bottom"/>
          </w:tcPr>
          <w:p>
            <w:pPr>
              <w:spacing w:after="0"/>
              <w:rPr>
                <w:sz w:val="1"/>
                <w:szCs w:val="1"/>
                <w:color w:val="auto"/>
              </w:rPr>
            </w:pPr>
          </w:p>
        </w:tc>
      </w:tr>
      <w:tr>
        <w:trPr>
          <w:trHeight w:val="197"/>
        </w:trPr>
        <w:tc>
          <w:tcPr>
            <w:tcW w:w="1780" w:type="dxa"/>
            <w:vAlign w:val="bottom"/>
          </w:tcPr>
          <w:p>
            <w:pPr>
              <w:ind w:left="1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Floating rate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258,718</w:t>
            </w:r>
          </w:p>
        </w:tc>
        <w:tc>
          <w:tcPr>
            <w:tcW w:w="0" w:type="dxa"/>
            <w:vAlign w:val="bottom"/>
          </w:tcPr>
          <w:p>
            <w:pPr>
              <w:spacing w:after="0"/>
              <w:rPr>
                <w:sz w:val="1"/>
                <w:szCs w:val="1"/>
                <w:color w:val="auto"/>
              </w:rPr>
            </w:pPr>
          </w:p>
        </w:tc>
      </w:tr>
      <w:tr>
        <w:trPr>
          <w:trHeight w:val="197"/>
        </w:trPr>
        <w:tc>
          <w:tcPr>
            <w:tcW w:w="1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Average interest rate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Total debt—Unconsolidated</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38,463</w:t>
            </w:r>
          </w:p>
        </w:tc>
        <w:tc>
          <w:tcPr>
            <w:tcW w:w="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164,986</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102,585</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823,897</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409,916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1,765,091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3,304,938</w:t>
            </w:r>
          </w:p>
        </w:tc>
        <w:tc>
          <w:tcPr>
            <w:tcW w:w="4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3,329,661</w:t>
            </w:r>
          </w:p>
        </w:tc>
        <w:tc>
          <w:tcPr>
            <w:tcW w:w="0" w:type="dxa"/>
            <w:vAlign w:val="bottom"/>
          </w:tcPr>
          <w:p>
            <w:pPr>
              <w:spacing w:after="0"/>
              <w:rPr>
                <w:sz w:val="1"/>
                <w:szCs w:val="1"/>
                <w:color w:val="auto"/>
              </w:rPr>
            </w:pPr>
          </w:p>
        </w:tc>
      </w:tr>
      <w:tr>
        <w:trPr>
          <w:trHeight w:val="187"/>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Joint Venture Centers</w:t>
            </w:r>
          </w:p>
        </w:tc>
        <w:tc>
          <w:tcPr>
            <w:tcW w:w="2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The consolidated Centers' total fixed rate debt at September 30, 2019 and December 31, 2018 was $3.9 billion and $3.5 billion, respectively. The average interest rate on such fixed rate debt at September 30, 2019 and December 31, 2018 was 3.95% and 3.82%, respectively. The consolidated Centers' total floating rate debt at September 30, 2019 and December 31, 2018 was $1.2 billion and $1.5 billion, respectively. The average interest rate on such floating rate debt at September 30, 2019 and December 31, 2018 was 3.89% and 4.00%, respectively.</w:t>
      </w:r>
    </w:p>
    <w:p>
      <w:pPr>
        <w:spacing w:after="0" w:line="104"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The Company's pro rata share of the unconsolidated joint venture Centers' fixed rate debt at September 30, 2019 and December 31, 2018 was $3.0 billion. The average interest rate on such fixed rate debt at September 30, 2019 and December 31, 2018 was 3.81% and 3.83%, respectively. The Company's pro rata share of the unconsolidated joint venture Centers' floating rate debt at September 30, 2019 and December 31, 2018 was $256.1 million and $221.4 million, respectively. The average interest rate on such floating rate debt at September 30, 2019 and December 31, 2018 was 3.90% and 4.13%, respectively.</w:t>
      </w:r>
    </w:p>
    <w:p>
      <w:pPr>
        <w:spacing w:after="0" w:line="8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2019, the Company has one interest rate cap agreement and four interest rate swap agreements in place (See Note 5—Derivative Instruments and Hedging Activities in the Company's Notes to the Consolidated Financial Statements).</w:t>
      </w:r>
    </w:p>
    <w:p>
      <w:pPr>
        <w:spacing w:after="0" w:line="91" w:lineRule="exact"/>
        <w:rPr>
          <w:sz w:val="20"/>
          <w:szCs w:val="20"/>
          <w:color w:val="auto"/>
        </w:rPr>
      </w:pPr>
    </w:p>
    <w:p>
      <w:pPr>
        <w:ind w:right="220" w:firstLine="446"/>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$14.4 million per year based on $1.4 billion of floating rate debt outstanding at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0"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2019,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85" w:lineRule="exact"/>
        <w:rPr>
          <w:sz w:val="20"/>
          <w:szCs w:val="20"/>
          <w:color w:val="auto"/>
        </w:rPr>
      </w:pPr>
    </w:p>
    <w:p>
      <w:pPr>
        <w:ind w:right="440" w:firstLine="446"/>
        <w:spacing w:after="0" w:line="264"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ind w:right="27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ind w:right="279"/>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37"/>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ind w:right="279"/>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80" w:type="dxa"/>
            <w:vAlign w:val="bottom"/>
          </w:tcPr>
          <w:p>
            <w:pPr>
              <w:jc w:val="right"/>
              <w:ind w:right="97"/>
              <w:spacing w:after="0"/>
              <w:rPr>
                <w:sz w:val="20"/>
                <w:szCs w:val="20"/>
                <w:color w:val="auto"/>
              </w:rPr>
            </w:pPr>
            <w:r>
              <w:rPr>
                <w:rFonts w:ascii="Arial" w:cs="Arial" w:eastAsia="Arial" w:hAnsi="Arial"/>
                <w:sz w:val="16"/>
                <w:szCs w:val="16"/>
                <w:b w:val="1"/>
                <w:bCs w:val="1"/>
                <w:color w:val="auto"/>
                <w:w w:val="98"/>
              </w:rPr>
              <w:t>Shares Purchased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Programs (1)</w:t>
            </w:r>
          </w:p>
        </w:tc>
      </w:tr>
      <w:tr>
        <w:trPr>
          <w:trHeight w:val="33"/>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July 1, 2019 to July 31, 2019</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278,707,048</w:t>
            </w:r>
          </w:p>
        </w:tc>
      </w:tr>
      <w:tr>
        <w:trPr>
          <w:trHeight w:val="24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August 1, 2019 to August 31, 2019</w:t>
            </w:r>
          </w:p>
        </w:tc>
        <w:tc>
          <w:tcPr>
            <w:tcW w:w="158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278,707,048</w:t>
            </w: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September 1, 2019 to September 30, 2019</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278,707,048</w:t>
            </w:r>
          </w:p>
        </w:tc>
      </w:tr>
      <w:tr>
        <w:trPr>
          <w:trHeight w:val="250"/>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w:t>
            </w:r>
          </w:p>
        </w:tc>
        <w:tc>
          <w:tcPr>
            <w:tcW w:w="5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1"/>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39" w:lineRule="exact"/>
        <w:rPr>
          <w:sz w:val="20"/>
          <w:szCs w:val="20"/>
          <w:color w:val="auto"/>
        </w:rPr>
      </w:pPr>
    </w:p>
    <w:p>
      <w:pPr>
        <w:ind w:left="1220" w:right="100" w:hanging="564"/>
        <w:spacing w:after="0" w:line="275" w:lineRule="auto"/>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80" w:type="dxa"/>
            <w:vAlign w:val="bottom"/>
            <w:gridSpan w:val="28"/>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8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top w:val="single" w:sz="8" w:color="auto"/>
            </w:tcBorders>
            <w:gridSpan w:val="7"/>
          </w:tcPr>
          <w:p>
            <w:pPr>
              <w:jc w:val="right"/>
              <w:spacing w:after="0" w:line="189" w:lineRule="exact"/>
              <w:rPr>
                <w:rFonts w:ascii="Arial" w:cs="Arial" w:eastAsia="Arial" w:hAnsi="Arial"/>
                <w:sz w:val="18"/>
                <w:szCs w:val="18"/>
                <w:color w:val="0000FF"/>
              </w:rPr>
            </w:pPr>
            <w:hyperlink r:id="rId6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60" w:type="dxa"/>
            <w:vAlign w:val="bottom"/>
            <w:tcBorders>
              <w:top w:val="single" w:sz="8" w:color="auto"/>
            </w:tcBorders>
            <w:gridSpan w:val="36"/>
          </w:tcPr>
          <w:p>
            <w:pPr>
              <w:spacing w:after="0" w:line="189"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LP, Macerich Queens JV LP, Queens JV GP LLC, 1700480 Ontario Inc. and the Company (incorporated by reference as an exhibit to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Company’s Current Report on Form 8-K, event date November 14, 2014).</w:t>
              </w:r>
            </w:hyperlink>
          </w:p>
        </w:tc>
        <w:tc>
          <w:tcPr>
            <w:tcW w:w="4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00" w:type="dxa"/>
            <w:vAlign w:val="bottom"/>
            <w:gridSpan w:val="7"/>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w w:val="92"/>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00" w:type="dxa"/>
            <w:vAlign w:val="bottom"/>
            <w:gridSpan w:val="7"/>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w w:val="92"/>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16"/>
        </w:trPr>
        <w:tc>
          <w:tcPr>
            <w:tcW w:w="1000" w:type="dxa"/>
            <w:vAlign w:val="bottom"/>
            <w:gridSpan w:val="7"/>
          </w:tcPr>
          <w:p>
            <w:pPr>
              <w:jc w:val="right"/>
              <w:spacing w:after="0"/>
              <w:rPr>
                <w:rFonts w:ascii="Arial" w:cs="Arial" w:eastAsia="Arial" w:hAnsi="Arial"/>
                <w:sz w:val="18"/>
                <w:szCs w:val="18"/>
                <w:color w:val="0000FF"/>
              </w:rPr>
            </w:pPr>
            <w:hyperlink r:id="rId66">
              <w:r>
                <w:rPr>
                  <w:rFonts w:ascii="Arial" w:cs="Arial" w:eastAsia="Arial" w:hAnsi="Arial"/>
                  <w:sz w:val="18"/>
                  <w:szCs w:val="18"/>
                  <w:color w:val="0000FF"/>
                </w:rPr>
                <w:t>3.</w:t>
              </w:r>
              <w:r>
                <w:rPr>
                  <w:rFonts w:ascii="Arial" w:cs="Arial" w:eastAsia="Arial" w:hAnsi="Arial"/>
                  <w:sz w:val="18"/>
                  <w:szCs w:val="18"/>
                  <w:u w:val="single" w:color="auto"/>
                  <w:color w:val="0000FF"/>
                </w:rPr>
                <w:t>1.2</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Articles Supplementary of the Company (with respect to the first paragraph) (incorporated by reference as an exhibit to the Company's 1998</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Form 10-K).</w:t>
              </w:r>
            </w:hyperlink>
          </w:p>
        </w:tc>
        <w:tc>
          <w:tcPr>
            <w:tcW w:w="9200" w:type="dxa"/>
            <w:vAlign w:val="bottom"/>
            <w:tcBorders>
              <w:top w:val="single" w:sz="8" w:color="0000FF"/>
            </w:tcBorders>
            <w:gridSpan w:val="2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67">
              <w:r>
                <w:rPr>
                  <w:rFonts w:ascii="Arial" w:cs="Arial" w:eastAsia="Arial" w:hAnsi="Arial"/>
                  <w:sz w:val="18"/>
                  <w:szCs w:val="18"/>
                  <w:color w:val="0000FF"/>
                </w:rPr>
                <w:t>3.</w:t>
              </w:r>
              <w:r>
                <w:rPr>
                  <w:rFonts w:ascii="Arial" w:cs="Arial" w:eastAsia="Arial" w:hAnsi="Arial"/>
                  <w:sz w:val="18"/>
                  <w:szCs w:val="18"/>
                  <w:u w:val="single" w:color="auto"/>
                  <w:color w:val="0000FF"/>
                </w:rPr>
                <w:t>1.3</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Articles Supplementary of the Company (Series D Preferred Stock) (incorporated by reference as an exhibit to the Company's Current Report</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on Form 8-K, event date July 26, 2002).</w:t>
              </w:r>
            </w:hyperlink>
          </w:p>
        </w:tc>
        <w:tc>
          <w:tcPr>
            <w:tcW w:w="73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68">
              <w:r>
                <w:rPr>
                  <w:rFonts w:ascii="Arial" w:cs="Arial" w:eastAsia="Arial" w:hAnsi="Arial"/>
                  <w:sz w:val="18"/>
                  <w:szCs w:val="18"/>
                  <w:color w:val="0000FF"/>
                </w:rPr>
                <w:t>3.</w:t>
              </w:r>
              <w:r>
                <w:rPr>
                  <w:rFonts w:ascii="Arial" w:cs="Arial" w:eastAsia="Arial" w:hAnsi="Arial"/>
                  <w:sz w:val="18"/>
                  <w:szCs w:val="18"/>
                  <w:u w:val="single" w:color="auto"/>
                  <w:color w:val="0000FF"/>
                </w:rPr>
                <w:t>1.4</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amended (No. 333-88718)).</w:t>
              </w:r>
            </w:hyperlink>
          </w:p>
        </w:tc>
        <w:tc>
          <w:tcPr>
            <w:tcW w:w="802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69">
              <w:r>
                <w:rPr>
                  <w:rFonts w:ascii="Arial" w:cs="Arial" w:eastAsia="Arial" w:hAnsi="Arial"/>
                  <w:sz w:val="18"/>
                  <w:szCs w:val="18"/>
                  <w:color w:val="0000FF"/>
                </w:rPr>
                <w:t>3.</w:t>
              </w:r>
              <w:r>
                <w:rPr>
                  <w:rFonts w:ascii="Arial" w:cs="Arial" w:eastAsia="Arial" w:hAnsi="Arial"/>
                  <w:sz w:val="18"/>
                  <w:szCs w:val="18"/>
                  <w:u w:val="single" w:color="auto"/>
                  <w:color w:val="0000FF"/>
                </w:rPr>
                <w:t>1.5</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Articles of Amendment of the Company (declassification of Board) (incorporated by reference as an exhibit to the Company's 2008 Form 10-</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0">
              <w:r>
                <w:rPr>
                  <w:rFonts w:ascii="Arial" w:cs="Arial" w:eastAsia="Arial" w:hAnsi="Arial"/>
                  <w:sz w:val="18"/>
                  <w:szCs w:val="18"/>
                  <w:color w:val="0000FF"/>
                </w:rPr>
                <w:t>3.</w:t>
              </w:r>
              <w:r>
                <w:rPr>
                  <w:rFonts w:ascii="Arial" w:cs="Arial" w:eastAsia="Arial" w:hAnsi="Arial"/>
                  <w:sz w:val="18"/>
                  <w:szCs w:val="18"/>
                  <w:u w:val="single" w:color="auto"/>
                  <w:color w:val="0000FF"/>
                </w:rPr>
                <w:t>1.6</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Articles Supplementary of the Company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February 5, 2009).</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1">
              <w:r>
                <w:rPr>
                  <w:rFonts w:ascii="Arial" w:cs="Arial" w:eastAsia="Arial" w:hAnsi="Arial"/>
                  <w:sz w:val="18"/>
                  <w:szCs w:val="18"/>
                  <w:color w:val="0000FF"/>
                </w:rPr>
                <w:t>3.</w:t>
              </w:r>
              <w:r>
                <w:rPr>
                  <w:rFonts w:ascii="Arial" w:cs="Arial" w:eastAsia="Arial" w:hAnsi="Arial"/>
                  <w:sz w:val="18"/>
                  <w:szCs w:val="18"/>
                  <w:u w:val="single" w:color="auto"/>
                  <w:color w:val="0000FF"/>
                </w:rPr>
                <w:t>1.7</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Report on Form 10-Q for the quarter ended June 30, 2009).</w:t>
              </w:r>
            </w:hyperlink>
          </w:p>
        </w:tc>
        <w:tc>
          <w:tcPr>
            <w:tcW w:w="57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2">
              <w:r>
                <w:rPr>
                  <w:rFonts w:ascii="Arial" w:cs="Arial" w:eastAsia="Arial" w:hAnsi="Arial"/>
                  <w:sz w:val="18"/>
                  <w:szCs w:val="18"/>
                  <w:color w:val="0000FF"/>
                </w:rPr>
                <w:t>3.</w:t>
              </w:r>
              <w:r>
                <w:rPr>
                  <w:rFonts w:ascii="Arial" w:cs="Arial" w:eastAsia="Arial" w:hAnsi="Arial"/>
                  <w:sz w:val="18"/>
                  <w:szCs w:val="18"/>
                  <w:u w:val="single" w:color="auto"/>
                  <w:color w:val="0000FF"/>
                </w:rPr>
                <w:t>1.8</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72">
              <w:r>
                <w:rPr>
                  <w:rFonts w:ascii="Arial" w:cs="Arial" w:eastAsia="Arial" w:hAnsi="Arial"/>
                  <w:sz w:val="18"/>
                  <w:szCs w:val="18"/>
                  <w:color w:val="0000FF"/>
                  <w:w w:val="96"/>
                </w:rPr>
                <w:t>Article NINTH) (incorporated by reference as an exhibit to the Company’s Current Report on Form 8-K, event date May 30, 2014).</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3">
              <w:r>
                <w:rPr>
                  <w:rFonts w:ascii="Arial" w:cs="Arial" w:eastAsia="Arial" w:hAnsi="Arial"/>
                  <w:sz w:val="18"/>
                  <w:szCs w:val="18"/>
                  <w:color w:val="0000FF"/>
                </w:rPr>
                <w:t>3.</w:t>
              </w:r>
              <w:r>
                <w:rPr>
                  <w:rFonts w:ascii="Arial" w:cs="Arial" w:eastAsia="Arial" w:hAnsi="Arial"/>
                  <w:sz w:val="18"/>
                  <w:szCs w:val="18"/>
                  <w:u w:val="single" w:color="auto"/>
                  <w:color w:val="0000FF"/>
                </w:rPr>
                <w:t>1.9</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Articles Supplementary of the Company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reference as an exhibit to the Company’s Current Report on Form 8-K, event date March 17, 2015).</w:t>
              </w:r>
            </w:hyperlink>
          </w:p>
        </w:tc>
        <w:tc>
          <w:tcPr>
            <w:tcW w:w="30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4">
              <w:r>
                <w:rPr>
                  <w:rFonts w:ascii="Arial" w:cs="Arial" w:eastAsia="Arial" w:hAnsi="Arial"/>
                  <w:sz w:val="18"/>
                  <w:szCs w:val="18"/>
                  <w:color w:val="0000FF"/>
                </w:rPr>
                <w:t>3.</w:t>
              </w:r>
              <w:r>
                <w:rPr>
                  <w:rFonts w:ascii="Arial" w:cs="Arial" w:eastAsia="Arial" w:hAnsi="Arial"/>
                  <w:sz w:val="18"/>
                  <w:szCs w:val="18"/>
                  <w:u w:val="single" w:color="auto"/>
                  <w:color w:val="0000FF"/>
                </w:rPr>
                <w:t>1.10</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Articles Supplementary of the Company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on Form 8-K, event date March 18,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5">
              <w:r>
                <w:rPr>
                  <w:rFonts w:ascii="Arial" w:cs="Arial" w:eastAsia="Arial" w:hAnsi="Arial"/>
                  <w:sz w:val="18"/>
                  <w:szCs w:val="18"/>
                  <w:color w:val="0000FF"/>
                </w:rPr>
                <w:t>3.</w:t>
              </w:r>
              <w:r>
                <w:rPr>
                  <w:rFonts w:ascii="Arial" w:cs="Arial" w:eastAsia="Arial" w:hAnsi="Arial"/>
                  <w:sz w:val="18"/>
                  <w:szCs w:val="18"/>
                  <w:u w:val="single" w:color="auto"/>
                  <w:color w:val="0000FF"/>
                </w:rPr>
                <w:t>1.11</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exhibit to the Company’s Current Report on Form 8-K, event date May 7, 2015).</w:t>
              </w:r>
            </w:hyperlink>
          </w:p>
        </w:tc>
        <w:tc>
          <w:tcPr>
            <w:tcW w:w="60" w:type="dxa"/>
            <w:vAlign w:val="bottom"/>
          </w:tcPr>
          <w:p>
            <w:pPr>
              <w:spacing w:after="0"/>
              <w:rPr>
                <w:sz w:val="13"/>
                <w:szCs w:val="13"/>
                <w:color w:val="auto"/>
              </w:rPr>
            </w:pP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6">
              <w:r>
                <w:rPr>
                  <w:rFonts w:ascii="Arial" w:cs="Arial" w:eastAsia="Arial" w:hAnsi="Arial"/>
                  <w:sz w:val="18"/>
                  <w:szCs w:val="18"/>
                  <w:color w:val="0000FF"/>
                </w:rPr>
                <w:t>3.</w:t>
              </w:r>
              <w:r>
                <w:rPr>
                  <w:rFonts w:ascii="Arial" w:cs="Arial" w:eastAsia="Arial" w:hAnsi="Arial"/>
                  <w:sz w:val="18"/>
                  <w:szCs w:val="18"/>
                  <w:u w:val="single" w:color="auto"/>
                  <w:color w:val="0000FF"/>
                </w:rPr>
                <w:t>1.12</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7"/>
              </w:rPr>
            </w:pPr>
            <w:hyperlink r:id="rId76">
              <w:r>
                <w:rPr>
                  <w:rFonts w:ascii="Arial" w:cs="Arial" w:eastAsia="Arial" w:hAnsi="Arial"/>
                  <w:sz w:val="18"/>
                  <w:szCs w:val="18"/>
                  <w:color w:val="0000FF"/>
                  <w:w w:val="97"/>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(incorporated by reference as an exhibit to the Company’s Current Report on Form 8-K, event date May 28, 2015).</w:t>
              </w:r>
            </w:hyperlink>
          </w:p>
        </w:tc>
        <w:tc>
          <w:tcPr>
            <w:tcW w:w="1340" w:type="dxa"/>
            <w:vAlign w:val="bottom"/>
            <w:tcBorders>
              <w:top w:val="single" w:sz="8" w:color="0000FF"/>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7">
              <w:r>
                <w:rPr>
                  <w:rFonts w:ascii="Arial" w:cs="Arial" w:eastAsia="Arial" w:hAnsi="Arial"/>
                  <w:sz w:val="18"/>
                  <w:szCs w:val="18"/>
                  <w:color w:val="0000FF"/>
                </w:rPr>
                <w:t>3.</w:t>
              </w:r>
              <w:r>
                <w:rPr>
                  <w:rFonts w:ascii="Arial" w:cs="Arial" w:eastAsia="Arial" w:hAnsi="Arial"/>
                  <w:sz w:val="18"/>
                  <w:szCs w:val="18"/>
                  <w:u w:val="single" w:color="auto"/>
                  <w:color w:val="0000FF"/>
                </w:rPr>
                <w:t>1.13</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Articles Supplementary of the Company (opting out of provisions of Subtitle 8 of Title 3 of the Maryland General Corporate Law (MUTA</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provisions)) (incorporated by reference as an exhibit to the Company’s Current Report on Form 8-K, event date April 24, 2019).</w:t>
              </w:r>
            </w:hyperlink>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r:id="rId7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event date April 24, 2019).</w:t>
              </w:r>
            </w:hyperlink>
          </w:p>
        </w:tc>
        <w:tc>
          <w:tcPr>
            <w:tcW w:w="4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10.</w:t>
              </w:r>
            </w:hyperlink>
            <w:r>
              <w:rPr>
                <w:rFonts w:ascii="Arial" w:cs="Arial" w:eastAsia="Arial" w:hAnsi="Arial"/>
                <w:sz w:val="18"/>
                <w:szCs w:val="18"/>
                <w:u w:val="single" w:color="auto"/>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Employment Agreement between the Company and William P. Voegele, effective September 1,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Amendment to Employment Agreement between the Company and Thomas E. O’Hern, effective January 1,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7"/>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gridSpan w:val="3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Amendment to Employment Agreement between the Company and Ann C. Menard, effective January 1, 2020.</w:t>
              </w:r>
            </w:hyperlink>
          </w:p>
        </w:tc>
        <w:tc>
          <w:tcPr>
            <w:tcW w:w="0" w:type="dxa"/>
            <w:vAlign w:val="bottom"/>
          </w:tcPr>
          <w:p>
            <w:pPr>
              <w:spacing w:after="0"/>
              <w:rPr>
                <w:sz w:val="1"/>
                <w:szCs w:val="1"/>
                <w:color w:val="auto"/>
              </w:rPr>
            </w:pPr>
          </w:p>
        </w:tc>
      </w:tr>
      <w:tr>
        <w:trPr>
          <w:trHeight w:val="210"/>
        </w:trPr>
        <w:tc>
          <w:tcPr>
            <w:tcW w:w="680" w:type="dxa"/>
            <w:vAlign w:val="bottom"/>
            <w:gridSpan w:val="5"/>
          </w:tcPr>
          <w:p>
            <w:pPr>
              <w:spacing w:after="0"/>
              <w:rPr>
                <w:sz w:val="18"/>
                <w:szCs w:val="18"/>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Section 302 Certification of Thomas O'Hern, Chief Executive Officer</w:t>
              </w:r>
            </w:hyperlink>
          </w:p>
        </w:tc>
        <w:tc>
          <w:tcPr>
            <w:tcW w:w="2960" w:type="dxa"/>
            <w:vAlign w:val="bottom"/>
            <w:tcBorders>
              <w:top w:val="single" w:sz="8" w:color="0000FF"/>
            </w:tcBorders>
            <w:gridSpan w:val="6"/>
          </w:tcPr>
          <w:p>
            <w:pPr>
              <w:spacing w:after="0"/>
              <w:rPr>
                <w:sz w:val="18"/>
                <w:szCs w:val="18"/>
                <w:color w:val="auto"/>
              </w:rPr>
            </w:pPr>
          </w:p>
        </w:tc>
        <w:tc>
          <w:tcPr>
            <w:tcW w:w="22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gridSpan w:val="5"/>
          </w:tcPr>
          <w:p>
            <w:pPr>
              <w:spacing w:after="0"/>
              <w:rPr>
                <w:sz w:val="18"/>
                <w:szCs w:val="18"/>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Borders>
              <w:bottom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Section 302 Certification of Scott Kingsmore, Chief Financial Officer</w:t>
              </w:r>
            </w:hyperlink>
          </w:p>
        </w:tc>
        <w:tc>
          <w:tcPr>
            <w:tcW w:w="522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00" w:type="dxa"/>
            <w:vAlign w:val="bottom"/>
            <w:tcBorders>
              <w:bottom w:val="single" w:sz="8" w:color="0000FF"/>
            </w:tcBorders>
            <w:gridSpan w:val="6"/>
          </w:tcPr>
          <w:p>
            <w:pPr>
              <w:jc w:val="right"/>
              <w:spacing w:after="0"/>
              <w:rPr>
                <w:rFonts w:ascii="Arial" w:cs="Arial" w:eastAsia="Arial" w:hAnsi="Arial"/>
                <w:sz w:val="18"/>
                <w:szCs w:val="18"/>
                <w:color w:val="0000FF"/>
                <w:w w:val="97"/>
              </w:rPr>
            </w:pPr>
            <w:hyperlink w:anchor="page79">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Section 906 Certifications of Thomas O'Hern and Scott Kingsmore</w:t>
              </w:r>
            </w:hyperlink>
          </w:p>
        </w:tc>
        <w:tc>
          <w:tcPr>
            <w:tcW w:w="542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120" w:type="dxa"/>
            <w:vAlign w:val="bottom"/>
            <w:gridSpan w:val="9"/>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120" w:type="dxa"/>
            <w:vAlign w:val="bottom"/>
            <w:gridSpan w:val="9"/>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120" w:type="dxa"/>
            <w:vAlign w:val="bottom"/>
            <w:gridSpan w:val="9"/>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120" w:type="dxa"/>
            <w:vAlign w:val="bottom"/>
            <w:gridSpan w:val="9"/>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120" w:type="dxa"/>
            <w:vAlign w:val="bottom"/>
            <w:gridSpan w:val="9"/>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260" w:type="dxa"/>
            <w:vAlign w:val="bottom"/>
            <w:gridSpan w:val="3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2"/>
        </w:trPr>
        <w:tc>
          <w:tcPr>
            <w:tcW w:w="3460" w:type="dxa"/>
            <w:vAlign w:val="bottom"/>
          </w:tcPr>
          <w:p>
            <w:pPr>
              <w:jc w:val="center"/>
              <w:ind w:right="2368"/>
              <w:spacing w:after="0"/>
              <w:rPr>
                <w:rFonts w:ascii="Arial" w:cs="Arial" w:eastAsia="Arial" w:hAnsi="Arial"/>
                <w:sz w:val="14"/>
                <w:szCs w:val="14"/>
                <w:u w:val="single" w:color="auto"/>
                <w:color w:val="0000FF"/>
                <w:w w:val="92"/>
              </w:rPr>
            </w:pPr>
            <w:hyperlink w:anchor="page1">
              <w:r>
                <w:rPr>
                  <w:rFonts w:ascii="Arial" w:cs="Arial" w:eastAsia="Arial" w:hAnsi="Arial"/>
                  <w:sz w:val="14"/>
                  <w:szCs w:val="14"/>
                  <w:u w:val="single" w:color="auto"/>
                  <w:color w:val="0000FF"/>
                  <w:w w:val="92"/>
                </w:rPr>
                <w:t>Table of Contents</w:t>
              </w:r>
            </w:hyperlink>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6"/>
        </w:trPr>
        <w:tc>
          <w:tcPr>
            <w:tcW w:w="3460" w:type="dxa"/>
            <w:vAlign w:val="bottom"/>
          </w:tcPr>
          <w:p>
            <w:pPr>
              <w:jc w:val="center"/>
              <w:ind w:right="2368"/>
              <w:spacing w:after="0"/>
              <w:rPr>
                <w:sz w:val="20"/>
                <w:szCs w:val="20"/>
                <w:color w:val="auto"/>
              </w:rPr>
            </w:pPr>
            <w:r>
              <w:rPr>
                <w:rFonts w:ascii="Arial" w:cs="Arial" w:eastAsia="Arial" w:hAnsi="Arial"/>
                <w:sz w:val="14"/>
                <w:szCs w:val="14"/>
                <w:b w:val="1"/>
                <w:bCs w:val="1"/>
                <w:color w:val="auto"/>
                <w:w w:val="98"/>
              </w:rPr>
              <w:t>Exhibit</w:t>
            </w:r>
          </w:p>
        </w:tc>
        <w:tc>
          <w:tcPr>
            <w:tcW w:w="3160" w:type="dxa"/>
            <w:vAlign w:val="bottom"/>
            <w:vMerge w:val="restart"/>
          </w:tcPr>
          <w:p>
            <w:pPr>
              <w:ind w:left="24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46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Number</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0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8" w:lineRule="exact"/>
        <w:rPr>
          <w:sz w:val="20"/>
          <w:szCs w:val="20"/>
          <w:color w:val="auto"/>
        </w:rPr>
      </w:pPr>
    </w:p>
    <w:p>
      <w:pPr>
        <w:ind w:left="74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55" w:lineRule="exact"/>
        <w:rPr>
          <w:sz w:val="20"/>
          <w:szCs w:val="20"/>
          <w:color w:val="auto"/>
        </w:rPr>
      </w:pPr>
    </w:p>
    <w:p>
      <w:pPr>
        <w:ind w:right="1660"/>
        <w:spacing w:after="0" w:line="434" w:lineRule="auto"/>
        <w:rPr>
          <w:sz w:val="20"/>
          <w:szCs w:val="20"/>
          <w:color w:val="auto"/>
        </w:rPr>
      </w:pPr>
      <w:r>
        <w:rPr>
          <w:rFonts w:ascii="Arial" w:cs="Arial" w:eastAsia="Arial" w:hAnsi="Arial"/>
          <w:sz w:val="18"/>
          <w:szCs w:val="18"/>
          <w:color w:val="auto"/>
        </w:rPr>
        <w:t>*Represents a management contract, or compensatory plan, contract or arrangement required to be filed pursuant to Regulation S-K ** Furnished herewith.</w:t>
      </w: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84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7649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Scott W. Kingsmore</w:t>
      </w:r>
    </w:p>
    <w:p>
      <w:pPr>
        <w:spacing w:after="0" w:line="63" w:lineRule="exact"/>
        <w:rPr>
          <w:sz w:val="20"/>
          <w:szCs w:val="20"/>
          <w:color w:val="auto"/>
        </w:rPr>
      </w:pPr>
    </w:p>
    <w:p>
      <w:pPr>
        <w:jc w:val="center"/>
        <w:ind w:left="4860"/>
        <w:spacing w:after="0"/>
        <w:rPr>
          <w:sz w:val="20"/>
          <w:szCs w:val="20"/>
          <w:color w:val="auto"/>
        </w:rPr>
      </w:pPr>
      <w:r>
        <w:rPr>
          <w:rFonts w:ascii="Arial" w:cs="Arial" w:eastAsia="Arial" w:hAnsi="Arial"/>
          <w:sz w:val="18"/>
          <w:szCs w:val="18"/>
          <w:i w:val="1"/>
          <w:iCs w:val="1"/>
          <w:color w:val="auto"/>
        </w:rPr>
        <w:t>Executive Vice President, Treasurer and Chief Financial Officer</w:t>
      </w:r>
    </w:p>
    <w:p>
      <w:pPr>
        <w:spacing w:after="0" w:line="63" w:lineRule="exact"/>
        <w:rPr>
          <w:sz w:val="20"/>
          <w:szCs w:val="20"/>
          <w:color w:val="auto"/>
        </w:rPr>
      </w:pPr>
    </w:p>
    <w:p>
      <w:pPr>
        <w:ind w:left="20"/>
        <w:spacing w:after="0"/>
        <w:tabs>
          <w:tab w:leader="none" w:pos="640" w:val="left"/>
          <w:tab w:leader="none" w:pos="7040" w:val="left"/>
        </w:tabs>
        <w:rPr>
          <w:sz w:val="20"/>
          <w:szCs w:val="20"/>
          <w:color w:val="auto"/>
        </w:rPr>
      </w:pPr>
      <w:r>
        <w:rPr>
          <w:rFonts w:ascii="Arial" w:cs="Arial" w:eastAsia="Arial" w:hAnsi="Arial"/>
          <w:sz w:val="18"/>
          <w:szCs w:val="18"/>
          <w:color w:val="auto"/>
        </w:rPr>
        <w:t>Date:</w:t>
        <w:tab/>
        <w:t>November 5, 2019</w:t>
      </w:r>
      <w:r>
        <w:rPr>
          <w:sz w:val="20"/>
          <w:szCs w:val="20"/>
          <w:color w:val="auto"/>
        </w:rPr>
        <w:tab/>
      </w: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40"/>
          </w:cols>
          <w:pgMar w:left="240" w:top="122" w:right="919" w:bottom="1440" w:gutter="0" w:footer="0" w:header="0"/>
        </w:sectPr>
      </w:pPr>
    </w:p>
    <w:bookmarkStart w:id="51" w:name="page52"/>
    <w:bookmarkEnd w:id="51"/>
    <w:p>
      <w:pPr>
        <w:ind w:left="10240"/>
        <w:spacing w:after="0"/>
        <w:rPr>
          <w:sz w:val="20"/>
          <w:szCs w:val="20"/>
          <w:color w:val="auto"/>
        </w:rPr>
      </w:pPr>
      <w:r>
        <w:rPr>
          <w:rFonts w:ascii="Arial" w:cs="Arial" w:eastAsia="Arial" w:hAnsi="Arial"/>
          <w:sz w:val="21"/>
          <w:szCs w:val="21"/>
          <w:b w:val="1"/>
          <w:bCs w:val="1"/>
          <w:color w:val="auto"/>
        </w:rPr>
        <w:t>Exhibit 10.1</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EMPLOYMENT AGREEMENT</w:t>
      </w:r>
    </w:p>
    <w:p>
      <w:pPr>
        <w:spacing w:after="0" w:line="253" w:lineRule="exact"/>
        <w:rPr>
          <w:sz w:val="20"/>
          <w:szCs w:val="20"/>
          <w:color w:val="auto"/>
        </w:rPr>
      </w:pPr>
    </w:p>
    <w:p>
      <w:pPr>
        <w:ind w:right="300" w:firstLine="1297"/>
        <w:spacing w:after="0" w:line="265"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by and among THE MACERICH COMPANY, a Maryland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MACERICH PARTNERSHIP, L.P., a Delaware limited partnership (the "</w:t>
      </w:r>
      <w:r>
        <w:rPr>
          <w:rFonts w:ascii="Arial" w:cs="Arial" w:eastAsia="Arial" w:hAnsi="Arial"/>
          <w:sz w:val="21"/>
          <w:szCs w:val="21"/>
          <w:u w:val="single" w:color="auto"/>
          <w:color w:val="auto"/>
        </w:rPr>
        <w:t>Partnership</w:t>
      </w:r>
      <w:r>
        <w:rPr>
          <w:rFonts w:ascii="Arial" w:cs="Arial" w:eastAsia="Arial" w:hAnsi="Arial"/>
          <w:sz w:val="21"/>
          <w:szCs w:val="21"/>
          <w:color w:val="auto"/>
        </w:rPr>
        <w:t>") and William Voegele (the "Executive"), effective as of September 1, 2019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(but binding on the Company, the Partnership and the Executive (the "</w:t>
      </w:r>
      <w:r>
        <w:rPr>
          <w:rFonts w:ascii="Arial" w:cs="Arial" w:eastAsia="Arial" w:hAnsi="Arial"/>
          <w:sz w:val="21"/>
          <w:szCs w:val="21"/>
          <w:u w:val="single" w:color="auto"/>
          <w:color w:val="auto"/>
        </w:rPr>
        <w:t>Parties</w:t>
      </w:r>
      <w:r>
        <w:rPr>
          <w:rFonts w:ascii="Arial" w:cs="Arial" w:eastAsia="Arial" w:hAnsi="Arial"/>
          <w:sz w:val="21"/>
          <w:szCs w:val="21"/>
          <w:color w:val="auto"/>
        </w:rPr>
        <w:t>") immediately upon execution).</w:t>
      </w:r>
    </w:p>
    <w:p>
      <w:pPr>
        <w:spacing w:after="0" w:line="197" w:lineRule="exact"/>
        <w:rPr>
          <w:sz w:val="20"/>
          <w:szCs w:val="20"/>
          <w:color w:val="auto"/>
        </w:rPr>
      </w:pPr>
    </w:p>
    <w:p>
      <w:pPr>
        <w:ind w:right="420" w:firstLine="1297"/>
        <w:spacing w:after="0" w:line="287"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desire to enter into this Agreement in connection with Executive's appointment as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Vice President, Chief Development Officer of the Company as of the Effective Date and with respect to his full-time employment with the Company in such positions, on the terms and conditions provided herein.</w:t>
      </w:r>
    </w:p>
    <w:p>
      <w:pPr>
        <w:spacing w:after="0" w:line="201" w:lineRule="exact"/>
        <w:rPr>
          <w:sz w:val="20"/>
          <w:szCs w:val="20"/>
          <w:color w:val="auto"/>
        </w:rPr>
      </w:pPr>
    </w:p>
    <w:p>
      <w:pPr>
        <w:ind w:right="1400" w:firstLine="1297"/>
        <w:spacing w:after="0" w:line="29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acknowledged, the Parties hereby agree as follows:</w:t>
      </w:r>
    </w:p>
    <w:p>
      <w:pPr>
        <w:spacing w:after="0" w:line="181" w:lineRule="exact"/>
        <w:rPr>
          <w:sz w:val="20"/>
          <w:szCs w:val="20"/>
          <w:color w:val="auto"/>
        </w:rPr>
      </w:pPr>
    </w:p>
    <w:p>
      <w:pPr>
        <w:ind w:right="100" w:firstLine="1305"/>
        <w:spacing w:after="0" w:line="288" w:lineRule="auto"/>
        <w:tabs>
          <w:tab w:leader="none" w:pos="194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satisfactory completion of a background check and standard onboarding materials for executive officers of the Company, the Company hereby agrees to employ the Executive, and the Executive hereby agrees to serve the Company and the Partnership, subject to the terms and conditions of this Agreement, for the period commencing on the Effective Date and ending on the third anniversary of the Effective Date (the "</w:t>
      </w:r>
      <w:r>
        <w:rPr>
          <w:rFonts w:ascii="Arial" w:cs="Arial" w:eastAsia="Arial" w:hAnsi="Arial"/>
          <w:sz w:val="19"/>
          <w:szCs w:val="19"/>
          <w:u w:val="single" w:color="auto"/>
          <w:color w:val="auto"/>
        </w:rPr>
        <w:t>Employment Period</w:t>
      </w:r>
      <w:r>
        <w:rPr>
          <w:rFonts w:ascii="Arial" w:cs="Arial" w:eastAsia="Arial" w:hAnsi="Arial"/>
          <w:sz w:val="19"/>
          <w:szCs w:val="19"/>
          <w:color w:val="auto"/>
        </w:rPr>
        <w:t>"). Upon the expiration of the Employment Period, this Agreement will lapse and have no further force or effect (other than as specifically stated herein), and the Executive shall become an "at-will" employee in accordance with the Company's customary practices. Without altering the “at will” nature of the employment relationship, upon the expiration of the Employment Period and provided that the Executive remains employed by the Company following such expiration, it is the expectation that the structure of the Executive’s compensation will remain consistent with the Executive’s compensation structure for the prior year, except as modified by changes generally applicable to Executive Vice Presidents of the Company.</w:t>
      </w:r>
    </w:p>
    <w:p>
      <w:pPr>
        <w:spacing w:after="0" w:line="187" w:lineRule="exact"/>
        <w:rPr>
          <w:rFonts w:ascii="Arial" w:cs="Arial" w:eastAsia="Arial" w:hAnsi="Arial"/>
          <w:sz w:val="19"/>
          <w:szCs w:val="19"/>
          <w:color w:val="auto"/>
        </w:rPr>
      </w:pPr>
    </w:p>
    <w:p>
      <w:pPr>
        <w:ind w:left="1960" w:hanging="655"/>
        <w:spacing w:after="0"/>
        <w:tabs>
          <w:tab w:leader="none" w:pos="19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Grant of Equity Awards on the Effective Date; Make Whole Payment</w:t>
      </w:r>
      <w:r>
        <w:rPr>
          <w:rFonts w:ascii="Arial" w:cs="Arial" w:eastAsia="Arial" w:hAnsi="Arial"/>
          <w:sz w:val="22"/>
          <w:szCs w:val="22"/>
          <w:color w:val="auto"/>
        </w:rPr>
        <w:t>.</w:t>
      </w:r>
    </w:p>
    <w:p>
      <w:pPr>
        <w:spacing w:after="0" w:line="247" w:lineRule="exact"/>
        <w:rPr>
          <w:sz w:val="20"/>
          <w:szCs w:val="20"/>
          <w:color w:val="auto"/>
        </w:rPr>
      </w:pPr>
    </w:p>
    <w:p>
      <w:pPr>
        <w:jc w:val="both"/>
        <w:ind w:firstLine="1305"/>
        <w:spacing w:after="0" w:line="261" w:lineRule="auto"/>
        <w:tabs>
          <w:tab w:leader="none" w:pos="1623"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Executive shall be granted, pursuant to and subject to the terms and conditions of the Company's 2003 Equity Incentive Plan, as amended, and as it may subsequently be amended, restated or replaced (the "</w:t>
      </w:r>
      <w:r>
        <w:rPr>
          <w:rFonts w:ascii="Arial" w:cs="Arial" w:eastAsia="Arial" w:hAnsi="Arial"/>
          <w:sz w:val="21"/>
          <w:szCs w:val="21"/>
          <w:u w:val="single" w:color="auto"/>
          <w:color w:val="auto"/>
        </w:rPr>
        <w:t>Equity Incentive Plan</w:t>
      </w:r>
      <w:r>
        <w:rPr>
          <w:rFonts w:ascii="Arial" w:cs="Arial" w:eastAsia="Arial" w:hAnsi="Arial"/>
          <w:sz w:val="21"/>
          <w:szCs w:val="21"/>
          <w:color w:val="auto"/>
        </w:rPr>
        <w:t>"), restricted stock units relating to shares of the Company's common stock, which shall (i) have an aggregate grant date fair value (as determined by the Company based on its standard equity award valuation methodology) of $1,000,0000 and (ii) vest in equal annual installments on the first, second, third and fourth anniversaries of the Effective Date, subject to the Executive’s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22" w:right="239" w:bottom="1440" w:gutter="0" w:footer="0" w:header="0"/>
        </w:sectPr>
      </w:pPr>
    </w:p>
    <w:bookmarkStart w:id="52" w:name="page53"/>
    <w:bookmarkEnd w:id="52"/>
    <w:p>
      <w:pPr>
        <w:jc w:val="both"/>
        <w:ind w:firstLine="1305"/>
        <w:spacing w:after="0" w:line="312" w:lineRule="auto"/>
        <w:tabs>
          <w:tab w:leader="none" w:pos="1622"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Concurrent with payment of the Executive’s Annual Bonus (as defined below) for the 2019 calendar year, the Company will pay the Executive an amount, in cash, equal to the amount obtained by multiplying $500,000 by a fraction, the numerator of which is the number of days from January 1, 2019, to the Effective Date, and the denominator of which is 365.</w:t>
      </w:r>
    </w:p>
    <w:p>
      <w:pPr>
        <w:spacing w:after="0" w:line="161"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Terms of Employment</w:t>
      </w:r>
      <w:r>
        <w:rPr>
          <w:rFonts w:ascii="Arial" w:cs="Arial" w:eastAsia="Arial" w:hAnsi="Arial"/>
          <w:sz w:val="22"/>
          <w:szCs w:val="22"/>
          <w:color w:val="auto"/>
        </w:rPr>
        <w:t>.</w:t>
      </w:r>
    </w:p>
    <w:p>
      <w:pPr>
        <w:spacing w:after="0" w:line="247" w:lineRule="exact"/>
        <w:rPr>
          <w:sz w:val="20"/>
          <w:szCs w:val="20"/>
          <w:color w:val="auto"/>
        </w:rPr>
      </w:pPr>
    </w:p>
    <w:p>
      <w:pPr>
        <w:ind w:right="60" w:firstLine="1305"/>
        <w:spacing w:after="0" w:line="289" w:lineRule="auto"/>
        <w:tabs>
          <w:tab w:leader="none" w:pos="194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(i) Commencing on the Effective Date and thereafter during the Employment Period the Executive shall be the Executive Vice President, Chief Development Officer of the Company, and shall serve the Company and the Partnership in such capacities by performing customary and appropriate duties as may be reasonably assigned to the Executive from time to time by the Chief Executive Officer (the "CEO") or President of the Company. The Executive shall report to the President of the Company. The Executive's primary office will be at the Company’s Santa Monica, California offices, and the Executive will be expected to travel as reasonably required in order to perform his duties. During the Employment Period, the Executive agrees to devote substantially all of his attention and time during normal business hours to the business and affairs of the Company and the Partnership and, to the extent necessary to discharge the responsibilities assigned to the Executive hereunder, to use the Executive's reasonable best efforts to perform faithfully and efficiently such responsibilities.</w:t>
      </w:r>
    </w:p>
    <w:p>
      <w:pPr>
        <w:spacing w:after="0" w:line="184" w:lineRule="exact"/>
        <w:rPr>
          <w:rFonts w:ascii="Arial" w:cs="Arial" w:eastAsia="Arial" w:hAnsi="Arial"/>
          <w:sz w:val="19"/>
          <w:szCs w:val="19"/>
          <w:color w:val="auto"/>
        </w:rPr>
      </w:pPr>
    </w:p>
    <w:p>
      <w:pPr>
        <w:ind w:right="160" w:firstLine="1305"/>
        <w:spacing w:after="0" w:line="259" w:lineRule="auto"/>
        <w:tabs>
          <w:tab w:leader="none" w:pos="19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During the Employment Period, the Executive shall not be permitted to participate or invest in or manage any for-profit business activity or venture not arising in connection with the performance of his duties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it shall not be a violation of this Agreement for the Executive (A) with the prior written approval of the CEO, to serve on the boards of directors of for-profit companies, and (B) to serve on civic or charitable boards or committees, so long as, in the case of activities described in the preceding clauses (A) and (B), (x) such activities do not materially interfere with the performance of the Executive's responsibilities in accordance with this Agreement or otherwise create a conflict of interest or breach of this Agreement, and (y) the Executive complies with applicable provisions of the Company's policies and procedures regarding such matters, if any.</w:t>
      </w:r>
    </w:p>
    <w:p>
      <w:pPr>
        <w:spacing w:after="0" w:line="211" w:lineRule="exact"/>
        <w:rPr>
          <w:rFonts w:ascii="Arial" w:cs="Arial" w:eastAsia="Arial" w:hAnsi="Arial"/>
          <w:sz w:val="21"/>
          <w:szCs w:val="21"/>
          <w:color w:val="auto"/>
        </w:rPr>
      </w:pPr>
    </w:p>
    <w:p>
      <w:pPr>
        <w:ind w:left="1940" w:hanging="635"/>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47" w:lineRule="exact"/>
        <w:rPr>
          <w:sz w:val="20"/>
          <w:szCs w:val="20"/>
          <w:color w:val="auto"/>
        </w:rPr>
      </w:pPr>
    </w:p>
    <w:p>
      <w:pPr>
        <w:ind w:right="340" w:firstLine="1741"/>
        <w:spacing w:after="0" w:line="253"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Base Salary</w:t>
      </w:r>
      <w:r>
        <w:rPr>
          <w:rFonts w:ascii="Arial" w:cs="Arial" w:eastAsia="Arial" w:hAnsi="Arial"/>
          <w:sz w:val="22"/>
          <w:szCs w:val="22"/>
          <w:color w:val="auto"/>
        </w:rPr>
        <w:t>. During the Employment Period, the Executive shall receive an annual base salary of not less than $500,000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 The Annual Base Salary shall be payable in installments in accordance with the Company's payroll policies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28" w:right="239" w:bottom="1440" w:gutter="0" w:footer="0" w:header="0"/>
        </w:sectPr>
      </w:pPr>
    </w:p>
    <w:bookmarkStart w:id="53" w:name="page54"/>
    <w:bookmarkEnd w:id="53"/>
    <w:p>
      <w:pPr>
        <w:ind w:firstLine="1741"/>
        <w:spacing w:after="0" w:line="286"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Annual Bonus</w:t>
      </w:r>
      <w:r>
        <w:rPr>
          <w:rFonts w:ascii="Arial" w:cs="Arial" w:eastAsia="Arial" w:hAnsi="Arial"/>
          <w:sz w:val="19"/>
          <w:szCs w:val="19"/>
          <w:color w:val="auto"/>
        </w:rPr>
        <w:t>. For each complete fiscal year of the Company during the Employment Period, the Executive shall be eligible to be awarded an annual incentive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target Annual Bonus for each such fiscal year during the Employment Period shall be equal to 100% of the Annual Base Salary (the "</w:t>
      </w:r>
      <w:r>
        <w:rPr>
          <w:rFonts w:ascii="Arial" w:cs="Arial" w:eastAsia="Arial" w:hAnsi="Arial"/>
          <w:sz w:val="19"/>
          <w:szCs w:val="19"/>
          <w:u w:val="single" w:color="auto"/>
          <w:color w:val="auto"/>
        </w:rPr>
        <w:t>Target Bonus</w:t>
      </w:r>
      <w:r>
        <w:rPr>
          <w:rFonts w:ascii="Arial" w:cs="Arial" w:eastAsia="Arial" w:hAnsi="Arial"/>
          <w:sz w:val="19"/>
          <w:szCs w:val="19"/>
          <w:color w:val="auto"/>
        </w:rPr>
        <w:t>"). The Compensation Committee of the Board of Directors will determine if the Annual Bonus, which is discretionary, will be paid, the amount thereof and whether the amount will be paid in cash or equity. Each Annual Bonus will be based upon the attainment of performance metrics set forth in an annual scorecard established by the Compensation Committee in consultation with the CEO (including a component for achievement of certain personal goals which personal goals will be determined by the CEO in consultation with the Executive). Notwithstanding the foregoing, the Executive’s Annual Bonus for the 2019 calendar year shall be equal to the Target Bonus multiplied by a fraction, the numerator of which is the number of days in 2019 starting with the Effective Date through and including December 31, 2019, and the denominator of which is 365. Each Annual Bonus shall be paid on the date on which annual bonuses are paid to executives of the Company generally, but not later than two and one-half (2 1/2) months after the end of the fiscal year for which the Annual Bonus is awarded, unless the Executive shall elect to defer the receipt of such Annual Bonus pursuant to an arrangement that meets the requirements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The Annual Bonus shall be paid in cash, or fully vested equity at the discretion of the Compensation Committee.</w:t>
      </w:r>
    </w:p>
    <w:p>
      <w:pPr>
        <w:spacing w:after="0" w:line="190" w:lineRule="exact"/>
        <w:rPr>
          <w:sz w:val="20"/>
          <w:szCs w:val="20"/>
          <w:color w:val="auto"/>
        </w:rPr>
      </w:pPr>
    </w:p>
    <w:p>
      <w:pPr>
        <w:ind w:right="60" w:firstLine="1681"/>
        <w:spacing w:after="0" w:line="288"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Annual Equity Awards</w:t>
      </w:r>
      <w:r>
        <w:rPr>
          <w:rFonts w:ascii="Arial" w:cs="Arial" w:eastAsia="Arial" w:hAnsi="Arial"/>
          <w:sz w:val="19"/>
          <w:szCs w:val="19"/>
          <w:color w:val="auto"/>
        </w:rPr>
        <w:t>. During the Employment Period and commencing with an annual grant of long-term awards for 2019, the Executive shall participate in long-term cash and equity incentive plans, practices, policies and programs of the Company, on a level commensurate with the Executive's position. The aggregate grant date fair value (as determined by the Company based on its standard equity award valuation methodology) of Executive’s equity awards granted for 2019 shall be the amount obtained by multiplying $750,000 by a fraction, the numerator of which is the number of days in 2019 starting with the Effective Date through and including December 31, 2019, and the denominator of which is 365. The Executive’s equity awards granted for 2019 shall be granted effective as of the first day of the calendar month coinciding with or, if the Effective Date is not on the first day of a calendar month, next following the Effective Date. Equity awards and any other incentive arrangements shall be subject to the terms and conditions of the applicable equity or incentive plan and any applicable award agreement, including provisions for time vesting and performance vesting (the 2019 equity award shall be 50% time based and 50% performance based as more particularly described in the applicable award agreements).</w:t>
      </w:r>
    </w:p>
    <w:p>
      <w:pPr>
        <w:spacing w:after="0" w:line="182" w:lineRule="exact"/>
        <w:rPr>
          <w:sz w:val="20"/>
          <w:szCs w:val="20"/>
          <w:color w:val="auto"/>
        </w:rPr>
      </w:pPr>
    </w:p>
    <w:p>
      <w:pPr>
        <w:ind w:right="40" w:firstLine="1741"/>
        <w:spacing w:after="0" w:line="263" w:lineRule="auto"/>
        <w:rPr>
          <w:sz w:val="20"/>
          <w:szCs w:val="20"/>
          <w:color w:val="auto"/>
        </w:rPr>
      </w:pPr>
      <w:r>
        <w:rPr>
          <w:rFonts w:ascii="Arial" w:cs="Arial" w:eastAsia="Arial" w:hAnsi="Arial"/>
          <w:sz w:val="21"/>
          <w:szCs w:val="21"/>
          <w:color w:val="auto"/>
        </w:rPr>
        <w:t>(i)</w:t>
      </w:r>
      <w:r>
        <w:rPr>
          <w:rFonts w:ascii="Arial" w:cs="Arial" w:eastAsia="Arial" w:hAnsi="Arial"/>
          <w:sz w:val="21"/>
          <w:szCs w:val="21"/>
          <w:u w:val="single" w:color="auto"/>
          <w:color w:val="auto"/>
        </w:rPr>
        <w:t>Health and Other Benefits</w:t>
      </w:r>
      <w:r>
        <w:rPr>
          <w:rFonts w:ascii="Arial" w:cs="Arial" w:eastAsia="Arial" w:hAnsi="Arial"/>
          <w:sz w:val="21"/>
          <w:szCs w:val="21"/>
          <w:color w:val="auto"/>
        </w:rPr>
        <w:t>. During the Employment Period, the Executive (and/or the Executive's family) shall be eligible for participation in, and receive benefits under, health plans, practices, policies and programs, and other employee benefit arrangements, provided by the Company to the same extent as provided generally to similarly situated executives of the Company during the Employment Period. In addition to health benefits, such arrangements include as of the Effective Date a 40l(k) plan, deferred compensation plan, and disability and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20"/>
          </w:cols>
          <w:pgMar w:left="240" w:top="1428" w:right="339" w:bottom="1440" w:gutter="0" w:footer="0" w:header="0"/>
        </w:sectPr>
      </w:pPr>
    </w:p>
    <w:bookmarkStart w:id="54" w:name="page55"/>
    <w:bookmarkEnd w:id="54"/>
    <w:p>
      <w:pPr>
        <w:ind w:right="200" w:firstLine="1681"/>
        <w:spacing w:after="0" w:line="302"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Fringe Benefits</w:t>
      </w:r>
      <w:r>
        <w:rPr>
          <w:rFonts w:ascii="Arial" w:cs="Arial" w:eastAsia="Arial" w:hAnsi="Arial"/>
          <w:sz w:val="19"/>
          <w:szCs w:val="19"/>
          <w:color w:val="auto"/>
        </w:rPr>
        <w:t>. During the Employment Period, the Executive shall be entitled to fringe benefits in accordance with the plans, practices, programs and policies of the Company in effect from time to time on a level commensurate with the Executive's position . The Company reserves the right to amend or cancel any such plan, practice, policy or program in its sole discretion, subject to the terms of such plan, practice, policy or program and applicable law.</w:t>
      </w:r>
    </w:p>
    <w:p>
      <w:pPr>
        <w:spacing w:after="0" w:line="170" w:lineRule="exact"/>
        <w:rPr>
          <w:sz w:val="20"/>
          <w:szCs w:val="20"/>
          <w:color w:val="auto"/>
        </w:rPr>
      </w:pPr>
    </w:p>
    <w:p>
      <w:pPr>
        <w:ind w:firstLine="1621"/>
        <w:spacing w:after="0" w:line="286"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Expenses; Moving Expenses</w:t>
      </w:r>
      <w:r>
        <w:rPr>
          <w:rFonts w:ascii="Arial" w:cs="Arial" w:eastAsia="Arial" w:hAnsi="Arial"/>
          <w:sz w:val="19"/>
          <w:szCs w:val="19"/>
          <w:color w:val="auto"/>
        </w:rPr>
        <w:t xml:space="preserve">. The Company shall reimburse the Executive for (i) any reasonable travel and entertainment expenses incurred by the Executive in connection with the performance of the Executive's services under this Agreement, (ii) brokerage costs incurred by the Executive in selling the Executive’s home in Ohio, (iii) actual and reasonable travel and lodging expenses incurred by the Executive in searching for a home in California (for a period of time not to exceed one hundred and twenty (120) days) and (iv) actual and reasonable moving expenses incurred by the Executive in moving the Executive’s residence from Ohio to California, in each case subject and pursuant to the Company's reimbursement policies, if any,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all circumstances the Executive shall document or substantiate such expenses to the reasonable satisfaction of the Company;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all reimbursements provided under this Agreement shall be made or provided in accordance with the requirements of Section 409A of the Code to the extent that such reimbursements are subject to Section 409A of the Code, including, where applicable, the requirements that (A) any reimbursement is for expenses incurred during the Employment Period,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set off or liquidation or exchange for any other benefit.</w:t>
      </w:r>
    </w:p>
    <w:p>
      <w:pPr>
        <w:spacing w:after="0" w:line="190" w:lineRule="exact"/>
        <w:rPr>
          <w:sz w:val="20"/>
          <w:szCs w:val="20"/>
          <w:color w:val="auto"/>
        </w:rPr>
      </w:pPr>
    </w:p>
    <w:p>
      <w:pPr>
        <w:ind w:right="320" w:firstLine="1633"/>
        <w:spacing w:after="0" w:line="297"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Employment Period, the Executive shall be entitled to participate in all executive and employee benefit plans and programs of the Company, including without limitation the Company’s Change in Control Severance Pay Plan for Executive Vice Presidents, on the same basis as provided generally to other similarly situated executives of the Company from time to time. The Company reserves the right to amend or cancel any such plan or program in its sole discretion, subject to the terms of such plan or program and applicable law.</w:t>
      </w:r>
    </w:p>
    <w:p>
      <w:pPr>
        <w:spacing w:after="0" w:line="188" w:lineRule="exact"/>
        <w:rPr>
          <w:sz w:val="20"/>
          <w:szCs w:val="20"/>
          <w:color w:val="auto"/>
        </w:rPr>
      </w:pPr>
    </w:p>
    <w:p>
      <w:pPr>
        <w:ind w:left="1520" w:hanging="215"/>
        <w:spacing w:after="0"/>
        <w:tabs>
          <w:tab w:leader="none" w:pos="15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20"/>
          </w:cols>
          <w:pgMar w:left="240" w:top="1428" w:right="339" w:bottom="1440" w:gutter="0" w:footer="0" w:header="0"/>
        </w:sectPr>
      </w:pPr>
    </w:p>
    <w:bookmarkStart w:id="55" w:name="page56"/>
    <w:bookmarkEnd w:id="55"/>
    <w:p>
      <w:pPr>
        <w:ind w:firstLine="1305"/>
        <w:spacing w:after="0" w:line="289" w:lineRule="auto"/>
        <w:tabs>
          <w:tab w:leader="none" w:pos="1941"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The Executive's employment shall terminate automatically upon the Executive's death during the Employment Period. If a Disability (as defined below) of the Executive has occurred during the Employment Period, the Company may provide the Executive with written notice in accordance with Section 4(d) of its intention to terminate the Executive's employment. In such event, the Executive's employment with the Company shall terminate effective on the thirtieth (30th) calendar day after receipt of such notice by the Executive (the "</w:t>
      </w:r>
      <w:r>
        <w:rPr>
          <w:rFonts w:ascii="Arial" w:cs="Arial" w:eastAsia="Arial" w:hAnsi="Arial"/>
          <w:sz w:val="19"/>
          <w:szCs w:val="19"/>
          <w:u w:val="single" w:color="auto"/>
          <w:color w:val="auto"/>
        </w:rPr>
        <w:t>Disability Effective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within thirty (30) calendar days after such receipt, the Executive shall not have returned to full-time performance of the Executive's duties.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absence of the Executive from the Executive's duties with the Company on a full-time basis for one hundred eighty (180) consecutive calendar days or two hundred forty (240) calendar days within any twelve (12)-month period as a result of incapacity due to mental or physical illness.</w:t>
      </w:r>
    </w:p>
    <w:p>
      <w:pPr>
        <w:spacing w:after="0" w:line="184" w:lineRule="exact"/>
        <w:rPr>
          <w:rFonts w:ascii="Arial" w:cs="Arial" w:eastAsia="Arial" w:hAnsi="Arial"/>
          <w:sz w:val="19"/>
          <w:szCs w:val="19"/>
          <w:color w:val="auto"/>
        </w:rPr>
      </w:pPr>
    </w:p>
    <w:p>
      <w:pPr>
        <w:ind w:left="1940" w:hanging="635"/>
        <w:spacing w:after="0"/>
        <w:tabs>
          <w:tab w:leader="none" w:pos="194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the Executive's employment during the Employment Period either</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with or without Cause. For purposes of this Agreement, "</w:t>
      </w:r>
      <w:r>
        <w:rPr>
          <w:rFonts w:ascii="Arial" w:cs="Arial" w:eastAsia="Arial" w:hAnsi="Arial"/>
          <w:sz w:val="21"/>
          <w:szCs w:val="21"/>
          <w:u w:val="single" w:color="auto"/>
          <w:color w:val="auto"/>
        </w:rPr>
        <w:t>Cause</w:t>
      </w:r>
      <w:r>
        <w:rPr>
          <w:rFonts w:ascii="Arial" w:cs="Arial" w:eastAsia="Arial" w:hAnsi="Arial"/>
          <w:sz w:val="21"/>
          <w:szCs w:val="21"/>
          <w:color w:val="auto"/>
        </w:rPr>
        <w:t>" shall mean, as reasonably determined by the Board, the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Executive's:</w:t>
      </w:r>
    </w:p>
    <w:p>
      <w:pPr>
        <w:spacing w:after="0" w:line="256" w:lineRule="exact"/>
        <w:rPr>
          <w:sz w:val="20"/>
          <w:szCs w:val="20"/>
          <w:color w:val="auto"/>
        </w:rPr>
      </w:pPr>
    </w:p>
    <w:p>
      <w:pPr>
        <w:jc w:val="both"/>
        <w:ind w:right="260" w:firstLine="1953"/>
        <w:spacing w:after="0" w:line="253" w:lineRule="auto"/>
        <w:tabs>
          <w:tab w:leader="none" w:pos="2194" w:val="left"/>
        </w:tabs>
        <w:numPr>
          <w:ilvl w:val="0"/>
          <w:numId w:val="25"/>
        </w:numPr>
        <w:rPr>
          <w:rFonts w:ascii="Arial" w:cs="Arial" w:eastAsia="Arial" w:hAnsi="Arial"/>
          <w:sz w:val="22"/>
          <w:szCs w:val="22"/>
          <w:color w:val="auto"/>
        </w:rPr>
      </w:pPr>
      <w:r>
        <w:rPr>
          <w:rFonts w:ascii="Arial" w:cs="Arial" w:eastAsia="Arial" w:hAnsi="Arial"/>
          <w:sz w:val="22"/>
          <w:szCs w:val="22"/>
          <w:color w:val="auto"/>
        </w:rPr>
        <w:t>failure to substantially perform his duties with the Company or the Partnership or to follow the lawful instructions of the Board or the CEO, unless the Executive has cured such failure within thirty (30) days following his receipt of written notice from the Board specifying with particularity the alleged failure;</w:t>
      </w:r>
    </w:p>
    <w:p>
      <w:pPr>
        <w:spacing w:after="0" w:line="212" w:lineRule="exact"/>
        <w:rPr>
          <w:rFonts w:ascii="Arial" w:cs="Arial" w:eastAsia="Arial" w:hAnsi="Arial"/>
          <w:sz w:val="22"/>
          <w:szCs w:val="22"/>
          <w:color w:val="auto"/>
        </w:rPr>
      </w:pPr>
    </w:p>
    <w:p>
      <w:pPr>
        <w:ind w:left="2260" w:hanging="307"/>
        <w:spacing w:after="0"/>
        <w:tabs>
          <w:tab w:leader="none" w:pos="2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illegal conduct or gross misconduct that is materially injurious to the Company;</w:t>
      </w:r>
    </w:p>
    <w:p>
      <w:pPr>
        <w:spacing w:after="0" w:line="246" w:lineRule="exact"/>
        <w:rPr>
          <w:rFonts w:ascii="Arial" w:cs="Arial" w:eastAsia="Arial" w:hAnsi="Arial"/>
          <w:sz w:val="22"/>
          <w:szCs w:val="22"/>
          <w:color w:val="auto"/>
        </w:rPr>
      </w:pPr>
    </w:p>
    <w:p>
      <w:pPr>
        <w:ind w:right="140" w:firstLine="1953"/>
        <w:spacing w:after="0" w:line="253" w:lineRule="auto"/>
        <w:tabs>
          <w:tab w:leader="none" w:pos="2314" w:val="left"/>
        </w:tabs>
        <w:numPr>
          <w:ilvl w:val="0"/>
          <w:numId w:val="25"/>
        </w:numPr>
        <w:rPr>
          <w:rFonts w:ascii="Arial" w:cs="Arial" w:eastAsia="Arial" w:hAnsi="Arial"/>
          <w:sz w:val="22"/>
          <w:szCs w:val="22"/>
          <w:color w:val="auto"/>
        </w:rPr>
      </w:pPr>
      <w:r>
        <w:rPr>
          <w:rFonts w:ascii="Arial" w:cs="Arial" w:eastAsia="Arial" w:hAnsi="Arial"/>
          <w:sz w:val="22"/>
          <w:szCs w:val="22"/>
          <w:color w:val="auto"/>
        </w:rPr>
        <w:t>material breach of his obligations under this Agreement, unless the Executive has cured such failure (if curable) within thirty (30) days following his receipt of written notice, including without limitation the confidentiality provisions and restrictive covenants set forth in Sections 8 and 9;</w:t>
      </w:r>
    </w:p>
    <w:p>
      <w:pPr>
        <w:spacing w:after="0" w:line="226" w:lineRule="exact"/>
        <w:rPr>
          <w:rFonts w:ascii="Arial" w:cs="Arial" w:eastAsia="Arial" w:hAnsi="Arial"/>
          <w:sz w:val="22"/>
          <w:szCs w:val="22"/>
          <w:color w:val="auto"/>
        </w:rPr>
      </w:pPr>
    </w:p>
    <w:p>
      <w:pPr>
        <w:ind w:right="700" w:firstLine="1953"/>
        <w:spacing w:after="0" w:line="264" w:lineRule="auto"/>
        <w:tabs>
          <w:tab w:leader="none" w:pos="2302"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commission of or entry of 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with respect to, a felony or a crime involving fraud, forgery, embezzlement, or similar conduct;</w:t>
      </w:r>
    </w:p>
    <w:p>
      <w:pPr>
        <w:spacing w:after="0" w:line="1" w:lineRule="exact"/>
        <w:rPr>
          <w:rFonts w:ascii="Arial" w:cs="Arial" w:eastAsia="Arial" w:hAnsi="Arial"/>
          <w:sz w:val="22"/>
          <w:szCs w:val="22"/>
          <w:color w:val="auto"/>
        </w:rPr>
      </w:pPr>
    </w:p>
    <w:p>
      <w:pPr>
        <w:jc w:val="both"/>
        <w:ind w:right="200" w:firstLine="1953"/>
        <w:spacing w:after="0" w:line="248" w:lineRule="auto"/>
        <w:tabs>
          <w:tab w:leader="none" w:pos="2242"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willful and knowing material violation of any (A) material rules or regulations of any governmental or regulatory body that are material to the business of the Company or the Partnership or (B) U.S.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a violation shall not be considered as willful or knowing where the Executive has acted in a manner consistent with specific advice of outside counsel to the Company;</w:t>
      </w:r>
    </w:p>
    <w:p>
      <w:pPr>
        <w:spacing w:after="0" w:line="219" w:lineRule="exact"/>
        <w:rPr>
          <w:rFonts w:ascii="Arial" w:cs="Arial" w:eastAsia="Arial" w:hAnsi="Arial"/>
          <w:sz w:val="22"/>
          <w:szCs w:val="22"/>
          <w:color w:val="auto"/>
        </w:rPr>
      </w:pPr>
    </w:p>
    <w:p>
      <w:pPr>
        <w:ind w:left="80" w:right="360" w:firstLine="1873"/>
        <w:spacing w:after="0" w:line="265" w:lineRule="auto"/>
        <w:tabs>
          <w:tab w:leader="none" w:pos="2301" w:val="left"/>
        </w:tabs>
        <w:numPr>
          <w:ilvl w:val="0"/>
          <w:numId w:val="25"/>
        </w:numPr>
        <w:rPr>
          <w:rFonts w:ascii="Arial" w:cs="Arial" w:eastAsia="Arial" w:hAnsi="Arial"/>
          <w:sz w:val="21"/>
          <w:szCs w:val="21"/>
          <w:color w:val="auto"/>
        </w:rPr>
      </w:pPr>
      <w:r>
        <w:rPr>
          <w:rFonts w:ascii="Arial" w:cs="Arial" w:eastAsia="Arial" w:hAnsi="Arial"/>
          <w:sz w:val="21"/>
          <w:szCs w:val="21"/>
          <w:color w:val="auto"/>
        </w:rPr>
        <w:t>failure to cooperate, if requested by the Board or the CEO, with any investigation or inquiry by the Company or the Partnership, the Securities and Exchange Commission or another governmental body into the Executive's, the Company's or the Partnership's business practices, whether internal or external, including, but not limited to, the Executive's refusal to be deposed or to provide testimony at any trial or inquiry; or</w:t>
      </w:r>
    </w:p>
    <w:p>
      <w:pPr>
        <w:spacing w:after="0" w:line="20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(i)any material inaccuracy in any representation made by the Executive in Section 12.</w:t>
      </w:r>
    </w:p>
    <w:p>
      <w:pPr>
        <w:spacing w:after="0" w:line="247" w:lineRule="exact"/>
        <w:rPr>
          <w:sz w:val="20"/>
          <w:szCs w:val="20"/>
          <w:color w:val="auto"/>
        </w:rPr>
      </w:pPr>
    </w:p>
    <w:p>
      <w:pPr>
        <w:ind w:right="300" w:firstLine="1305"/>
        <w:spacing w:after="0" w:line="253" w:lineRule="auto"/>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Executive's employment may be terminated during the Employment Period by the Executive for Good Reason or by the Executive voluntarily without Good Reason. "</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of any one of the following events without the prior written consent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60"/>
          </w:cols>
          <w:pgMar w:left="240" w:top="1428" w:right="299" w:bottom="1440" w:gutter="0" w:footer="0" w:header="0"/>
        </w:sectPr>
      </w:pPr>
    </w:p>
    <w:bookmarkStart w:id="56" w:name="page57"/>
    <w:bookmarkEnd w:id="56"/>
    <w:p>
      <w:pPr>
        <w:spacing w:after="0" w:line="2" w:lineRule="exact"/>
        <w:rPr>
          <w:sz w:val="20"/>
          <w:szCs w:val="20"/>
          <w:color w:val="auto"/>
        </w:rPr>
      </w:pPr>
    </w:p>
    <w:p>
      <w:pPr>
        <w:ind w:left="2180" w:hanging="247"/>
        <w:spacing w:after="0"/>
        <w:tabs>
          <w:tab w:leader="none" w:pos="2180" w:val="left"/>
        </w:tabs>
        <w:numPr>
          <w:ilvl w:val="1"/>
          <w:numId w:val="27"/>
        </w:numPr>
        <w:rPr>
          <w:rFonts w:ascii="Arial" w:cs="Arial" w:eastAsia="Arial" w:hAnsi="Arial"/>
          <w:sz w:val="21"/>
          <w:szCs w:val="21"/>
          <w:color w:val="auto"/>
        </w:rPr>
      </w:pPr>
      <w:r>
        <w:rPr>
          <w:rFonts w:ascii="Arial" w:cs="Arial" w:eastAsia="Arial" w:hAnsi="Arial"/>
          <w:sz w:val="21"/>
          <w:szCs w:val="21"/>
          <w:color w:val="auto"/>
        </w:rPr>
        <w:t>a material diminution of the Executive's duties, responsibilities, authorities, powers, or functions;</w:t>
      </w:r>
    </w:p>
    <w:p>
      <w:pPr>
        <w:spacing w:after="0" w:line="271" w:lineRule="exact"/>
        <w:rPr>
          <w:rFonts w:ascii="Arial" w:cs="Arial" w:eastAsia="Arial" w:hAnsi="Arial"/>
          <w:sz w:val="21"/>
          <w:szCs w:val="21"/>
          <w:color w:val="auto"/>
        </w:rPr>
      </w:pPr>
    </w:p>
    <w:p>
      <w:pPr>
        <w:ind w:left="-20" w:right="380" w:firstLine="1953"/>
        <w:spacing w:after="0" w:line="266" w:lineRule="auto"/>
        <w:tabs>
          <w:tab w:leader="none" w:pos="2234" w:val="left"/>
        </w:tabs>
        <w:numPr>
          <w:ilvl w:val="1"/>
          <w:numId w:val="27"/>
        </w:numPr>
        <w:rPr>
          <w:rFonts w:ascii="Arial" w:cs="Arial" w:eastAsia="Arial" w:hAnsi="Arial"/>
          <w:sz w:val="22"/>
          <w:szCs w:val="22"/>
          <w:color w:val="auto"/>
        </w:rPr>
      </w:pPr>
      <w:r>
        <w:rPr>
          <w:rFonts w:ascii="Arial" w:cs="Arial" w:eastAsia="Arial" w:hAnsi="Arial"/>
          <w:sz w:val="22"/>
          <w:szCs w:val="22"/>
          <w:color w:val="auto"/>
        </w:rPr>
        <w:t>a relocation from Santa Monica that would result in the Executive's principal location of employment being moved thirty (30) miles or more away from his current principal location and, as a result, the Executive's commute increasing by thirty (30) miles or more;</w:t>
      </w:r>
    </w:p>
    <w:p>
      <w:pPr>
        <w:spacing w:after="0" w:line="212" w:lineRule="exact"/>
        <w:rPr>
          <w:rFonts w:ascii="Arial" w:cs="Arial" w:eastAsia="Arial" w:hAnsi="Arial"/>
          <w:sz w:val="22"/>
          <w:szCs w:val="22"/>
          <w:color w:val="auto"/>
        </w:rPr>
      </w:pPr>
    </w:p>
    <w:p>
      <w:pPr>
        <w:ind w:left="-20" w:right="240" w:firstLine="1953"/>
        <w:spacing w:after="0" w:line="301" w:lineRule="auto"/>
        <w:tabs>
          <w:tab w:leader="none" w:pos="2294" w:val="left"/>
        </w:tabs>
        <w:numPr>
          <w:ilvl w:val="1"/>
          <w:numId w:val="27"/>
        </w:numPr>
        <w:rPr>
          <w:rFonts w:ascii="Arial" w:cs="Arial" w:eastAsia="Arial" w:hAnsi="Arial"/>
          <w:sz w:val="21"/>
          <w:szCs w:val="21"/>
          <w:color w:val="auto"/>
        </w:rPr>
      </w:pPr>
      <w:r>
        <w:rPr>
          <w:rFonts w:ascii="Arial" w:cs="Arial" w:eastAsia="Arial" w:hAnsi="Arial"/>
          <w:sz w:val="21"/>
          <w:szCs w:val="21"/>
          <w:color w:val="auto"/>
        </w:rPr>
        <w:t>any one or more reductions in the Executive’s Base Salary and/or Target Bonus that, individually or in the aggregate, exceed 10% of the Executive’s Base Salary and/or Target Bonus, in the aggregate; or</w:t>
      </w:r>
    </w:p>
    <w:p>
      <w:pPr>
        <w:spacing w:after="0" w:line="177" w:lineRule="exact"/>
        <w:rPr>
          <w:rFonts w:ascii="Arial" w:cs="Arial" w:eastAsia="Arial" w:hAnsi="Arial"/>
          <w:sz w:val="21"/>
          <w:szCs w:val="21"/>
          <w:color w:val="auto"/>
        </w:rPr>
      </w:pPr>
    </w:p>
    <w:p>
      <w:pPr>
        <w:ind w:left="-20" w:right="140" w:firstLine="1953"/>
        <w:spacing w:after="0" w:line="288" w:lineRule="auto"/>
        <w:tabs>
          <w:tab w:leader="none" w:pos="2282"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a material breach of this Agreement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actions in each of (i), (ii), and (iii) above will not be considered Good Reason unless the Executive describes the basis for the events, circumstances, or conditions alleged by the Executive to constitute grounds for Good Reason in reasonable detail in a Notice of Termination (as defined below) provided to the Company in writing within ninety (90) calendar days following the Executive's knowledge of such events, circumstances, or conditions alleged to constitute Good Reason, and the Company has failed to cure such events, circumstances, or conditions within thirty (30) calendar days of receiving such Notice of Termination (and if the Company does effect a cure within that period, such Notice of Termination shall be ineffective). Unless the Executive gives the Company notice within ninety (90) calendar days of the Executive first becoming aware of any event, circumstance, or condition that, after any applicable notice and the lapse of any applicable thirty (30)-calendar-day grace period, would constitute Good Reason, such event will cease to be an event, circumstance, or condition constituting Good Reason.</w:t>
      </w:r>
    </w:p>
    <w:p>
      <w:pPr>
        <w:spacing w:after="0" w:line="187" w:lineRule="exact"/>
        <w:rPr>
          <w:rFonts w:ascii="Arial" w:cs="Arial" w:eastAsia="Arial" w:hAnsi="Arial"/>
          <w:sz w:val="19"/>
          <w:szCs w:val="19"/>
          <w:color w:val="auto"/>
        </w:rPr>
      </w:pPr>
    </w:p>
    <w:p>
      <w:pPr>
        <w:ind w:left="-20" w:firstLine="1305"/>
        <w:spacing w:after="0" w:line="259" w:lineRule="auto"/>
        <w:tabs>
          <w:tab w:leader="none" w:pos="192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employment by the Company or the Executive shall be communicated by a Notice of Termination (as defined below) to the other party hereto given in accordance with Section 15(e).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shall mean a written notice that (i) indicates the termination provision in this Agreement relied upon and (ii) specifies the Date of Termination (as defined below) if such date is other than the date of receipt of such notice. The failure by the Company or the Executive to set forth in the Notice of Termination any fact or circumstance that contributes to a showing of Cause or Good Reason shall not waive any right of the Company or the Executive, respectively, hereunder or preclude the Company or the Executive, respectively, from asserting such fact or circumstance in enforcing the Company's or the Executive's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80"/>
          </w:cols>
          <w:pgMar w:left="260" w:top="1440" w:right="259" w:bottom="1440" w:gutter="0" w:footer="0" w:header="0"/>
        </w:sectPr>
      </w:pPr>
    </w:p>
    <w:bookmarkStart w:id="57" w:name="page58"/>
    <w:bookmarkEnd w:id="57"/>
    <w:p>
      <w:pPr>
        <w:ind w:left="-20" w:right="140" w:firstLine="1305"/>
        <w:spacing w:after="0" w:line="288" w:lineRule="auto"/>
        <w:tabs>
          <w:tab w:leader="none" w:pos="192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mean (i) if the Executive's employment is terminated by the Company for Cause or other than for Cause or death or Disability, the date of receipt of the Notice of Termination or any later date specified therein (which date shall not be more than thirty (30) calendar days after the giving of such notice), (ii) if the Executive's employment is terminated by reason of death or by the Company for Disability, the date of death of the Executive or the Disability Effective Date, as the case may be, and (iii) if the Executive resigns with or without Good Reason, thirty (30) calendar days from the date of the Company's receipt of the Notice of Termination, or such other date as is mutually agreed by the Company and the Executive (subject to the Company's right to cure in the case of a resignation for Good Reason). Notwithstanding the foregoing, in no event shall the Date of Termination occur until the Executive experiences a "separation from service" within the meaning of Section 409A of the Code and, notwithstanding anything contained herein to the contrary, the date on which such separation from service takes place shall be the "Date of Termination."</w:t>
      </w:r>
    </w:p>
    <w:p>
      <w:pPr>
        <w:spacing w:after="0" w:line="187" w:lineRule="exact"/>
        <w:rPr>
          <w:sz w:val="20"/>
          <w:szCs w:val="20"/>
          <w:color w:val="auto"/>
        </w:rPr>
      </w:pPr>
    </w:p>
    <w:p>
      <w:pPr>
        <w:ind w:left="1940" w:hanging="655"/>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47" w:lineRule="exact"/>
        <w:rPr>
          <w:sz w:val="20"/>
          <w:szCs w:val="20"/>
          <w:color w:val="auto"/>
        </w:rPr>
      </w:pPr>
    </w:p>
    <w:p>
      <w:pPr>
        <w:ind w:left="-20" w:right="180" w:firstLine="1305"/>
        <w:spacing w:after="0" w:line="284" w:lineRule="auto"/>
        <w:tabs>
          <w:tab w:leader="none" w:pos="1921"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By the Company Other Than for Cause, Death or Disability; By the Executive for Good Reason</w:t>
      </w:r>
      <w:r>
        <w:rPr>
          <w:rFonts w:ascii="Arial" w:cs="Arial" w:eastAsia="Arial" w:hAnsi="Arial"/>
          <w:sz w:val="21"/>
          <w:szCs w:val="21"/>
          <w:color w:val="auto"/>
        </w:rPr>
        <w:t>. Subject to Section 6, if, during the Employment Period, (x) the Company shall terminate the Executive's employment other than for Cause, death or Disability or (y) the Executive shall terminate employment for Good Reason:</w:t>
      </w:r>
    </w:p>
    <w:p>
      <w:pPr>
        <w:spacing w:after="0" w:line="196" w:lineRule="exact"/>
        <w:rPr>
          <w:rFonts w:ascii="Arial" w:cs="Arial" w:eastAsia="Arial" w:hAnsi="Arial"/>
          <w:sz w:val="21"/>
          <w:szCs w:val="21"/>
          <w:color w:val="auto"/>
        </w:rPr>
      </w:pPr>
    </w:p>
    <w:p>
      <w:pPr>
        <w:ind w:left="2180" w:hanging="247"/>
        <w:spacing w:after="0"/>
        <w:tabs>
          <w:tab w:leader="none" w:pos="21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shall pay to the Executive the following amounts:</w:t>
      </w:r>
    </w:p>
    <w:p>
      <w:pPr>
        <w:spacing w:after="0" w:line="246" w:lineRule="exact"/>
        <w:rPr>
          <w:rFonts w:ascii="Arial" w:cs="Arial" w:eastAsia="Arial" w:hAnsi="Arial"/>
          <w:sz w:val="22"/>
          <w:szCs w:val="22"/>
          <w:color w:val="auto"/>
        </w:rPr>
      </w:pPr>
    </w:p>
    <w:p>
      <w:pPr>
        <w:ind w:left="-20" w:right="220" w:firstLine="2601"/>
        <w:spacing w:after="0" w:line="290" w:lineRule="auto"/>
        <w:tabs>
          <w:tab w:leader="none" w:pos="2918" w:val="left"/>
        </w:tabs>
        <w:numPr>
          <w:ilvl w:val="2"/>
          <w:numId w:val="31"/>
        </w:numPr>
        <w:rPr>
          <w:rFonts w:ascii="Arial" w:cs="Arial" w:eastAsia="Arial" w:hAnsi="Arial"/>
          <w:sz w:val="19"/>
          <w:szCs w:val="19"/>
          <w:color w:val="auto"/>
        </w:rPr>
      </w:pPr>
      <w:r>
        <w:rPr>
          <w:rFonts w:ascii="Arial" w:cs="Arial" w:eastAsia="Arial" w:hAnsi="Arial"/>
          <w:sz w:val="19"/>
          <w:szCs w:val="19"/>
          <w:color w:val="auto"/>
        </w:rPr>
        <w:t>a lump sum payment within thirty (30) days following the Date of Termination equal to the aggregate of the following amounts: (1) the Executive's Annual Base Salary accrued through the Date of Termination; (2) the Executive's accrued Annual Bonus for the fiscal year immediately preceding the fiscal year in which the Date of Termination occurs (other than any portion of such Annual Bonus that was previously deferred, which portion shall instead be paid in accordance with the applicable deferral election); and (3) the Executive's business expenses that have not been reimbursed by the Company as of the Date of Termination and were incurred by the Executive prior to the Date of Termination in accordance with the applicable Company policy, in the case of each of clauses (1), (2), and (3), to the extent not previously paid (the sum of the amounts described in clauses (1), (2), and (3) shall be hereinafter referred to as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and</w:t>
      </w:r>
    </w:p>
    <w:p>
      <w:pPr>
        <w:spacing w:after="0" w:line="183" w:lineRule="exact"/>
        <w:rPr>
          <w:rFonts w:ascii="Arial" w:cs="Arial" w:eastAsia="Arial" w:hAnsi="Arial"/>
          <w:sz w:val="19"/>
          <w:szCs w:val="19"/>
          <w:color w:val="auto"/>
        </w:rPr>
      </w:pPr>
    </w:p>
    <w:p>
      <w:pPr>
        <w:ind w:left="-20" w:firstLine="2601"/>
        <w:spacing w:after="0" w:line="246" w:lineRule="auto"/>
        <w:tabs>
          <w:tab w:leader="none" w:pos="2906" w:val="left"/>
        </w:tabs>
        <w:numPr>
          <w:ilvl w:val="2"/>
          <w:numId w:val="31"/>
        </w:numPr>
        <w:rPr>
          <w:rFonts w:ascii="Arial" w:cs="Arial" w:eastAsia="Arial" w:hAnsi="Arial"/>
          <w:sz w:val="22"/>
          <w:szCs w:val="22"/>
          <w:color w:val="auto"/>
        </w:rPr>
      </w:pPr>
      <w:r>
        <w:rPr>
          <w:rFonts w:ascii="Arial" w:cs="Arial" w:eastAsia="Arial" w:hAnsi="Arial"/>
          <w:sz w:val="22"/>
          <w:szCs w:val="22"/>
          <w:color w:val="auto"/>
        </w:rPr>
        <w:t xml:space="preserve">subject to the Executive's delivery (and non-revocation) of an executed release of claims against the Company and its officers, directors, employees and affiliates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Release</w:t>
      </w:r>
      <w:r>
        <w:rPr>
          <w:rFonts w:ascii="Arial" w:cs="Arial" w:eastAsia="Arial" w:hAnsi="Arial"/>
          <w:sz w:val="22"/>
          <w:szCs w:val="22"/>
          <w:color w:val="auto"/>
        </w:rPr>
        <w:t>"), which Release must be delivered to the Company not later than twenty-one (21) calendar days after the later of the Date of Termination or the date the Company provides the final form of Release to the Executive (or such longer period as required to make the Release maximally enforceable under applicable law) (the "</w:t>
      </w:r>
      <w:r>
        <w:rPr>
          <w:rFonts w:ascii="Arial" w:cs="Arial" w:eastAsia="Arial" w:hAnsi="Arial"/>
          <w:sz w:val="22"/>
          <w:szCs w:val="22"/>
          <w:u w:val="single" w:color="auto"/>
          <w:color w:val="auto"/>
        </w:rPr>
        <w:t>Release Deadline</w:t>
      </w:r>
      <w:r>
        <w:rPr>
          <w:rFonts w:ascii="Arial" w:cs="Arial" w:eastAsia="Arial" w:hAnsi="Arial"/>
          <w:sz w:val="22"/>
          <w:szCs w:val="22"/>
          <w:color w:val="auto"/>
        </w:rPr>
        <w:t>") and not revoked (as to the waiver of age discrimination claims contained therein) in accordance with the terms thereof, a lump sum payment of an amount equal to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80"/>
          </w:cols>
          <w:pgMar w:left="260" w:top="1428" w:right="259" w:bottom="1440" w:gutter="0" w:footer="0" w:header="0"/>
        </w:sectPr>
      </w:pPr>
    </w:p>
    <w:bookmarkStart w:id="58" w:name="page59"/>
    <w:bookmarkEnd w:id="58"/>
    <w:p>
      <w:pPr>
        <w:ind w:left="1300" w:right="400" w:hanging="203"/>
        <w:spacing w:after="0" w:line="263" w:lineRule="auto"/>
        <w:rPr>
          <w:sz w:val="20"/>
          <w:szCs w:val="20"/>
          <w:color w:val="auto"/>
        </w:rPr>
      </w:pPr>
      <w:r>
        <w:rPr>
          <w:rFonts w:ascii="Arial" w:cs="Arial" w:eastAsia="Arial" w:hAnsi="Arial"/>
          <w:sz w:val="22"/>
          <w:szCs w:val="22"/>
          <w:color w:val="auto"/>
        </w:rPr>
        <w:t>(i)the amount of the Annual Base Salary (at the rate in effect on the Date of Termination) that would have been payable to the Executive for the period from the Date of Termination through the last day of the Employment Period identified in Section 1 hereof had his employment with the Company continued through the end of such period, and</w:t>
      </w:r>
    </w:p>
    <w:p>
      <w:pPr>
        <w:spacing w:after="0" w:line="215" w:lineRule="exact"/>
        <w:rPr>
          <w:sz w:val="20"/>
          <w:szCs w:val="20"/>
          <w:color w:val="auto"/>
        </w:rPr>
      </w:pPr>
    </w:p>
    <w:p>
      <w:pPr>
        <w:ind w:left="1300" w:right="60" w:firstLine="5"/>
        <w:spacing w:after="0" w:line="290" w:lineRule="auto"/>
        <w:tabs>
          <w:tab w:leader="none" w:pos="194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 amount determined by multiplying the Target Bonus amount by a fraction, the numerator of which is the number of days in the period of time beginning with the first day in fiscal year in which the Date of Termination occurs through the last day of the Employment Period identified in Section 1 hereof (or, if the Date of Termination occurs in 2019, the number of days in the period of time beginning with the Effective Date through the last day of the Employment Period identified in Section 1 hereof), and the denominator of which is 365, such amount to be paid on the first business day which is more than sixty (60) days following the Date of Termination (for clarity, the amount contemplated by this clause (y) to be in lieu of any bonus for the fiscal year in which the Date of Termination occurs and any subsequent fiscal year).</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In addition, each of the Executive’s equity-based awards granted by the Company, to the extent such award is outstanding and unvested on the Date of Termination, shall: (i) in the case of any such award that is a stock option, be fully vested as of the Date of Termination; and (ii) in the case of any other award, be treated as though the termination of the Executive’s employment was a “Qualifying Termination” under the applicable award agreement. The Company shall provide the final form of Release to the Executive not later than seven (7) days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00"/>
          </w:cols>
          <w:pgMar w:left="240" w:top="1428" w:right="359" w:bottom="1440" w:gutter="0" w:footer="0" w:header="0"/>
        </w:sectPr>
      </w:pPr>
    </w:p>
    <w:bookmarkStart w:id="59" w:name="page60"/>
    <w:bookmarkEnd w:id="59"/>
    <w:p>
      <w:pPr>
        <w:ind w:firstLine="1741"/>
        <w:spacing w:after="0" w:line="265" w:lineRule="auto"/>
        <w:rPr>
          <w:sz w:val="20"/>
          <w:szCs w:val="20"/>
          <w:color w:val="auto"/>
        </w:rPr>
      </w:pPr>
      <w:r>
        <w:rPr>
          <w:rFonts w:ascii="Arial" w:cs="Arial" w:eastAsia="Arial" w:hAnsi="Arial"/>
          <w:sz w:val="20"/>
          <w:szCs w:val="20"/>
          <w:color w:val="auto"/>
        </w:rPr>
        <w:t>(i)the Company will pay or reimburse the Executive for his premiums charged to continue medical coverage pursuant to the Consolidated Omnibus Budget Reconciliation Act (“</w:t>
      </w:r>
      <w:r>
        <w:rPr>
          <w:rFonts w:ascii="Arial" w:cs="Arial" w:eastAsia="Arial" w:hAnsi="Arial"/>
          <w:sz w:val="20"/>
          <w:szCs w:val="20"/>
          <w:u w:val="single" w:color="auto"/>
          <w:color w:val="auto"/>
        </w:rPr>
        <w:t>COBRA</w:t>
      </w:r>
      <w:r>
        <w:rPr>
          <w:rFonts w:ascii="Arial" w:cs="Arial" w:eastAsia="Arial" w:hAnsi="Arial"/>
          <w:sz w:val="20"/>
          <w:szCs w:val="20"/>
          <w:color w:val="auto"/>
        </w:rPr>
        <w:t>”), at the same or reasonably equivalent medical coverage for the Executive (and, if applicable, the Executive’s eligible dependents) as in effect immediately prior to the Date of Termination, to the extent that the Executive elects such continued coverage; provided that the Company’s obligation to make any payment or reimbursement pursuant to this clause (ii) shall commence with continuation coverage for the month following the month in which the Date of Termination occurs and shall cease with continuation coverage for the month in which the Employment Period identified in Section 1 was scheduled to end (or, if the Date of Termination occurs within ninety (90) days prior to the end of such Employment Period, the Company’s obligation to make any payment or reimbursement pursuant to this clause (ii) shall end with continuation coverage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month following the month in which the Date of Termination occurs); provided, however, that the Company’s obligation to make any payment or reimbursement pursuant to this clause (ii) shall end, if earlier, with first to occur of the Executive’s death, the date the Executive becomes eligible for coverage under the health plan of a future employer, or the date the Company ceases to offer group medical coverage to its active executive employees or the Company is otherwise under no obligation to offer COBRA continuation coverage to the Executive. To the extent the Executive elects COBRA coverage, he shall notify the Company in writing of such election prior to such coverage taking effect and complete any other continuation coverage enrollment procedures the Company may then have in place. The Company’s obligations pursuant to this clause (ii) are subject to the Company’s ability to comply with applicable law and provide such benefit without resulting in adverse tax consequences.</w:t>
      </w:r>
    </w:p>
    <w:p>
      <w:pPr>
        <w:spacing w:after="0" w:line="212" w:lineRule="exact"/>
        <w:rPr>
          <w:sz w:val="20"/>
          <w:szCs w:val="20"/>
          <w:color w:val="auto"/>
        </w:rPr>
      </w:pPr>
    </w:p>
    <w:p>
      <w:pPr>
        <w:ind w:right="220" w:firstLine="1681"/>
        <w:spacing w:after="0" w:line="250" w:lineRule="auto"/>
        <w:rPr>
          <w:sz w:val="20"/>
          <w:szCs w:val="20"/>
          <w:color w:val="auto"/>
        </w:rPr>
      </w:pPr>
      <w:r>
        <w:rPr>
          <w:rFonts w:ascii="Arial" w:cs="Arial" w:eastAsia="Arial" w:hAnsi="Arial"/>
          <w:sz w:val="22"/>
          <w:szCs w:val="22"/>
          <w:color w:val="auto"/>
        </w:rPr>
        <w:t>(ii)to the extent not theretofore paid or provided, the Company shall timely pay or provide to the Executive any other amounts or benefits required to be paid or provided or that the Executive is eligible to receive under any plan, program, policy or practice or contract or agreement of the Company through the Date of Termination (such other amounts and benefits shall be hereinafter referred to as the "</w:t>
      </w:r>
      <w:r>
        <w:rPr>
          <w:rFonts w:ascii="Arial" w:cs="Arial" w:eastAsia="Arial" w:hAnsi="Arial"/>
          <w:sz w:val="22"/>
          <w:szCs w:val="22"/>
          <w:u w:val="single" w:color="auto"/>
          <w:color w:val="auto"/>
        </w:rPr>
        <w:t>Other Benefits</w:t>
      </w:r>
      <w:r>
        <w:rPr>
          <w:rFonts w:ascii="Arial" w:cs="Arial" w:eastAsia="Arial" w:hAnsi="Arial"/>
          <w:sz w:val="22"/>
          <w:szCs w:val="22"/>
          <w:color w:val="auto"/>
        </w:rPr>
        <w:t>").</w:t>
      </w:r>
    </w:p>
    <w:p>
      <w:pPr>
        <w:spacing w:after="0" w:line="215"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Notwithstanding the foregoing provisions of Sections 5(a)(i) and 5(a)(iii), in the event that the Executive is a "specified employee" (within the meaning of Section 409A of the Code and with such classification to be determined in accordance with the methodology established by the applicable employer) (a "</w:t>
      </w:r>
      <w:r>
        <w:rPr>
          <w:rFonts w:ascii="Arial" w:cs="Arial" w:eastAsia="Arial" w:hAnsi="Arial"/>
          <w:sz w:val="22"/>
          <w:szCs w:val="22"/>
          <w:u w:val="single" w:color="auto"/>
          <w:color w:val="auto"/>
        </w:rPr>
        <w:t>Specified Employee</w:t>
      </w:r>
      <w:r>
        <w:rPr>
          <w:rFonts w:ascii="Arial" w:cs="Arial" w:eastAsia="Arial" w:hAnsi="Arial"/>
          <w:sz w:val="22"/>
          <w:szCs w:val="22"/>
          <w:color w:val="auto"/>
        </w:rPr>
        <w:t>"), amounts and benefits (other than the Accrued Obligations) that are deferred compensation (within the meaning of Section 409A of the Code) that would otherwise be payable or provided under Section 5(a)(i) or 5(a)(iii), as applicable, during the six (6)-month period immediately following the Date of Termination shall instead be paid, with interest on any delayed payment at the applicable federal rate provided for in Section 7872(f)(2)(A) of the Code ("</w:t>
      </w:r>
      <w:r>
        <w:rPr>
          <w:rFonts w:ascii="Arial" w:cs="Arial" w:eastAsia="Arial" w:hAnsi="Arial"/>
          <w:sz w:val="22"/>
          <w:szCs w:val="22"/>
          <w:u w:val="single" w:color="auto"/>
          <w:color w:val="auto"/>
        </w:rPr>
        <w:t>Interest</w:t>
      </w:r>
      <w:r>
        <w:rPr>
          <w:rFonts w:ascii="Arial" w:cs="Arial" w:eastAsia="Arial" w:hAnsi="Arial"/>
          <w:sz w:val="22"/>
          <w:szCs w:val="22"/>
          <w:color w:val="auto"/>
        </w:rPr>
        <w:t>"), on the first business day which is more than six (6) months following the Date of Termination.</w:t>
      </w:r>
    </w:p>
    <w:p>
      <w:pPr>
        <w:spacing w:after="0" w:line="222" w:lineRule="exact"/>
        <w:rPr>
          <w:sz w:val="20"/>
          <w:szCs w:val="20"/>
          <w:color w:val="auto"/>
        </w:rPr>
      </w:pPr>
    </w:p>
    <w:p>
      <w:pPr>
        <w:ind w:right="220" w:firstLine="1305"/>
        <w:spacing w:after="0" w:line="261" w:lineRule="auto"/>
        <w:tabs>
          <w:tab w:leader="none" w:pos="1941"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the Executive's employment is terminated by reason of the Executive's death during the Employment Period, this Agreement shall terminate without further obligations to the Executive's legal representatives under this Agreement, other than payment of the Accrued Obligations and the Other Benefits. The Accrued Obligations shall be paid to the Executive's estate or beneficiary, as applicable, in a lump sum in cash within thirty (30) calendar days following the Date of Termination. The term "Other Benefits" as utilized in this Section 5(b) shall include death benefits as in effect on the date of the Executive's death with respect to similarly situated executives of the Company.</w:t>
      </w:r>
    </w:p>
    <w:p>
      <w:pPr>
        <w:spacing w:after="0" w:line="207" w:lineRule="exact"/>
        <w:rPr>
          <w:rFonts w:ascii="Arial" w:cs="Arial" w:eastAsia="Arial" w:hAnsi="Arial"/>
          <w:sz w:val="21"/>
          <w:szCs w:val="21"/>
          <w:color w:val="auto"/>
        </w:rPr>
      </w:pPr>
    </w:p>
    <w:p>
      <w:pPr>
        <w:ind w:right="120" w:firstLine="1305"/>
        <w:spacing w:after="0" w:line="297" w:lineRule="auto"/>
        <w:tabs>
          <w:tab w:leader="none" w:pos="194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the Executive's employment is terminated by reason of the Executive's Disability during the Employment Period, the Company shall provide the Executive with the Accrued Obligations and the Other Benefits. The Accrued Obligations shall be paid to the Executive in a lump sum in cash within thirty (30) calendar days following the Date of Termination. The term "Other Benefits" as utilized in this Section 5(c) shall include short-term and long-term disability benefits as in effect on the date of the Executive's Disability with respect to similarly situated executives of the Company.</w:t>
      </w:r>
    </w:p>
    <w:p>
      <w:pPr>
        <w:sectPr>
          <w:pgSz w:w="11900" w:h="16838" w:orient="portrait"/>
          <w:cols w:equalWidth="0" w:num="1">
            <w:col w:w="11420"/>
          </w:cols>
          <w:pgMar w:left="240" w:top="14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28" w:right="239" w:bottom="1440" w:gutter="0" w:footer="0" w:header="0"/>
          <w:type w:val="continuous"/>
        </w:sectPr>
      </w:pPr>
    </w:p>
    <w:bookmarkStart w:id="60" w:name="page61"/>
    <w:bookmarkEnd w:id="60"/>
    <w:p>
      <w:pPr>
        <w:ind w:left="-80" w:right="20" w:firstLine="1305"/>
        <w:spacing w:after="0" w:line="292" w:lineRule="auto"/>
        <w:tabs>
          <w:tab w:leader="none" w:pos="1861"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Cause; By the Executive Other Than for Good Reason</w:t>
      </w:r>
      <w:r>
        <w:rPr>
          <w:rFonts w:ascii="Arial" w:cs="Arial" w:eastAsia="Arial" w:hAnsi="Arial"/>
          <w:sz w:val="19"/>
          <w:szCs w:val="19"/>
          <w:color w:val="auto"/>
        </w:rPr>
        <w:t xml:space="preserve">. If the Executive's employment shall be terminated for Cause or the Executive's employment shall be terminated by the Executive other than for Good Reason during the Employment Period, this Agreement shall terminate without further obligations to the Executive other than the obligation to provide the Executive with the Accrued Obligations and the Other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Executive's employment shall be terminated for Cause, the term "Accrued Obligations" shall not be deemed to include the Executive's unpaid Annual Bonus, if any, for the fiscal year immediately preceding the fiscal year in which the Date of Termination occurs. The Accrued Obligations shall be paid to the Executive in a lump sum in cash within thirty (30) calendar days following the Date of Termination.</w:t>
      </w:r>
    </w:p>
    <w:p>
      <w:pPr>
        <w:spacing w:after="0" w:line="192" w:lineRule="exact"/>
        <w:rPr>
          <w:sz w:val="20"/>
          <w:szCs w:val="20"/>
          <w:color w:val="auto"/>
        </w:rPr>
      </w:pPr>
    </w:p>
    <w:p>
      <w:pPr>
        <w:ind w:left="-80" w:right="40" w:firstLine="1305"/>
        <w:spacing w:after="0" w:line="271" w:lineRule="auto"/>
        <w:tabs>
          <w:tab w:leader="none" w:pos="186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Except as specifically set forth herein, nothing in this Agreement shall prevent or limit the Executive's continuing or future participation in any plan, program, policy or practice provided by the Company and for which the Executive qualifies pursuant to its terms, nor shall anything herein limit or otherwise affect such rights as the Executive may have under any contract or agreement with the Company or any of its affiliated companies. Amounts that are vested benefits or that the Executive is otherwise entitled to receive pursuant to the terms of any plan, program, policy or practice of or any contract or agreement with the Company or any of its affiliated companies at or subsequent to the Date of Termination shall be payable in accordance with such plan, program, policy or practice or contract or agreement, except as explicitly modified by this Agreement.</w:t>
      </w:r>
    </w:p>
    <w:p>
      <w:pPr>
        <w:spacing w:after="0" w:line="213" w:lineRule="exact"/>
        <w:rPr>
          <w:sz w:val="20"/>
          <w:szCs w:val="20"/>
          <w:color w:val="auto"/>
        </w:rPr>
      </w:pPr>
    </w:p>
    <w:p>
      <w:pPr>
        <w:jc w:val="both"/>
        <w:ind w:left="-80" w:firstLine="1305"/>
        <w:spacing w:after="0" w:line="271" w:lineRule="auto"/>
        <w:tabs>
          <w:tab w:leader="none" w:pos="1865"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No Mitigation; No Offset</w:t>
      </w:r>
      <w:r>
        <w:rPr>
          <w:rFonts w:ascii="Arial" w:cs="Arial" w:eastAsia="Arial" w:hAnsi="Arial"/>
          <w:sz w:val="21"/>
          <w:szCs w:val="21"/>
          <w:color w:val="auto"/>
        </w:rPr>
        <w:t>. 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w:t>
      </w:r>
    </w:p>
    <w:p>
      <w:pPr>
        <w:spacing w:after="0" w:line="194" w:lineRule="exact"/>
        <w:rPr>
          <w:rFonts w:ascii="Arial" w:cs="Arial" w:eastAsia="Arial" w:hAnsi="Arial"/>
          <w:sz w:val="21"/>
          <w:szCs w:val="21"/>
          <w:color w:val="auto"/>
        </w:rPr>
      </w:pPr>
    </w:p>
    <w:p>
      <w:pPr>
        <w:ind w:left="-80" w:right="60" w:firstLine="1305"/>
        <w:spacing w:after="0" w:line="302" w:lineRule="auto"/>
        <w:tabs>
          <w:tab w:leader="none" w:pos="186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Trade Secrets</w:t>
      </w:r>
      <w:r>
        <w:rPr>
          <w:rFonts w:ascii="Arial" w:cs="Arial" w:eastAsia="Arial" w:hAnsi="Arial"/>
          <w:sz w:val="19"/>
          <w:szCs w:val="19"/>
          <w:color w:val="auto"/>
        </w:rPr>
        <w:t>. (a) The Executive acknowledges that the term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as used in this Agreement means all items, materials and information (whether or not reduced to writing and whether or not patentable or copyrightable) which belong to the Company or which the Company's suppliers or customers or clients have communicated to the Company in the course of the Company's business, and which reflect, consist of or refer to:</w:t>
      </w:r>
    </w:p>
    <w:p>
      <w:pPr>
        <w:spacing w:after="0" w:line="170" w:lineRule="exact"/>
        <w:rPr>
          <w:sz w:val="20"/>
          <w:szCs w:val="20"/>
          <w:color w:val="auto"/>
        </w:rPr>
      </w:pPr>
    </w:p>
    <w:p>
      <w:pPr>
        <w:ind w:left="-80" w:right="320" w:firstLine="1953"/>
        <w:spacing w:after="0" w:line="297" w:lineRule="auto"/>
        <w:tabs>
          <w:tab w:leader="none" w:pos="2114"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information technology; methods and processes; designs and formulations; the content or composition of goods or services; techniques; business strategies or operations; formulas; compilations of data or reports; plans; tools or equipment; inventions; know-how; technical disclosures, patent applications, blueprints or specifications; financial, marketing, sales, personnel or salary information; forms, legal documents or memoranda; software, computer programs or databases; any documents prepared by or on behalf of the Company or Company suppliers, customers or clients;</w:t>
      </w:r>
    </w:p>
    <w:p>
      <w:pPr>
        <w:spacing w:after="0" w:line="174" w:lineRule="exact"/>
        <w:rPr>
          <w:rFonts w:ascii="Arial" w:cs="Arial" w:eastAsia="Arial" w:hAnsi="Arial"/>
          <w:sz w:val="19"/>
          <w:szCs w:val="19"/>
          <w:color w:val="auto"/>
        </w:rPr>
      </w:pPr>
    </w:p>
    <w:p>
      <w:pPr>
        <w:ind w:left="-80" w:firstLine="1953"/>
        <w:spacing w:after="0" w:line="261" w:lineRule="auto"/>
        <w:tabs>
          <w:tab w:leader="none" w:pos="2174" w:val="left"/>
        </w:tabs>
        <w:numPr>
          <w:ilvl w:val="0"/>
          <w:numId w:val="37"/>
        </w:numPr>
        <w:rPr>
          <w:rFonts w:ascii="Arial" w:cs="Arial" w:eastAsia="Arial" w:hAnsi="Arial"/>
          <w:sz w:val="21"/>
          <w:szCs w:val="21"/>
          <w:color w:val="auto"/>
        </w:rPr>
      </w:pPr>
      <w:r>
        <w:rPr>
          <w:rFonts w:ascii="Arial" w:cs="Arial" w:eastAsia="Arial" w:hAnsi="Arial"/>
          <w:sz w:val="21"/>
          <w:szCs w:val="21"/>
          <w:color w:val="auto"/>
        </w:rPr>
        <w:t>information compiled, collected or developed by the Company reflecting the identities of those customers and clients of the Company which are not generally known outside the Company or whose relationship with the Company as a customer or client is not generally known outside the Company; characteristics of any customers or clients of the Company or of customer or client representatives, including without limitation product or service preferences or requirements, cost or price information for goods or services offered or sold, credit terms or credit performance, actual or likely order cycles, the nature of goods delivered or services performed, or research or development plans or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80"/>
          </w:cols>
          <w:pgMar w:left="320" w:top="1428" w:right="299" w:bottom="1440" w:gutter="0" w:footer="0" w:header="0"/>
        </w:sectPr>
      </w:pPr>
    </w:p>
    <w:bookmarkStart w:id="61" w:name="page62"/>
    <w:bookmarkEnd w:id="61"/>
    <w:p>
      <w:pPr>
        <w:ind w:right="220" w:firstLine="1953"/>
        <w:spacing w:after="0" w:line="297" w:lineRule="auto"/>
        <w:tabs>
          <w:tab w:leader="none" w:pos="2314"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information compiled, collected, or developed by the Company reflecting identities of any suppliers of the Company which are not generally known outside the Company or whose relationship with the Company as a supplier is not generally known outside the Company; characteristics of any supplier of the Company, or supplier representatives, including without limitation cost or price information for goods or services offered or purchased, audit terms, the nature of goods delivered or services performed, product or service quality and reliability, delivery terms, or research or development plans or activities;</w:t>
      </w:r>
    </w:p>
    <w:p>
      <w:pPr>
        <w:spacing w:after="0" w:line="174" w:lineRule="exact"/>
        <w:rPr>
          <w:rFonts w:ascii="Arial" w:cs="Arial" w:eastAsia="Arial" w:hAnsi="Arial"/>
          <w:sz w:val="19"/>
          <w:szCs w:val="19"/>
          <w:color w:val="auto"/>
        </w:rPr>
      </w:pPr>
    </w:p>
    <w:p>
      <w:pPr>
        <w:ind w:right="380" w:firstLine="1953"/>
        <w:spacing w:after="0" w:line="263" w:lineRule="auto"/>
        <w:tabs>
          <w:tab w:leader="none" w:pos="2302" w:val="left"/>
        </w:tabs>
        <w:numPr>
          <w:ilvl w:val="0"/>
          <w:numId w:val="38"/>
        </w:numPr>
        <w:rPr>
          <w:rFonts w:ascii="Arial" w:cs="Arial" w:eastAsia="Arial" w:hAnsi="Arial"/>
          <w:sz w:val="22"/>
          <w:szCs w:val="22"/>
          <w:color w:val="auto"/>
        </w:rPr>
      </w:pPr>
      <w:r>
        <w:rPr>
          <w:rFonts w:ascii="Arial" w:cs="Arial" w:eastAsia="Arial" w:hAnsi="Arial"/>
          <w:sz w:val="22"/>
          <w:szCs w:val="22"/>
          <w:color w:val="auto"/>
        </w:rPr>
        <w:t>prices, fees, discounts, selling techniques or distribution methods used by the Company; or any other confidential or proprietary information obtained directly or indirectly while employed by the Company.</w:t>
      </w:r>
    </w:p>
    <w:p>
      <w:pPr>
        <w:spacing w:after="0" w:line="202" w:lineRule="exact"/>
        <w:rPr>
          <w:sz w:val="20"/>
          <w:szCs w:val="20"/>
          <w:color w:val="auto"/>
        </w:rPr>
      </w:pPr>
    </w:p>
    <w:p>
      <w:pPr>
        <w:ind w:right="40" w:firstLine="1953"/>
        <w:spacing w:after="0" w:line="261" w:lineRule="auto"/>
        <w:tabs>
          <w:tab w:leader="none" w:pos="259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Executive acknowledges that the term "</w:t>
      </w:r>
      <w:r>
        <w:rPr>
          <w:rFonts w:ascii="Arial" w:cs="Arial" w:eastAsia="Arial" w:hAnsi="Arial"/>
          <w:sz w:val="21"/>
          <w:szCs w:val="21"/>
          <w:u w:val="single" w:color="auto"/>
          <w:color w:val="auto"/>
        </w:rPr>
        <w:t>Trade Secret</w:t>
      </w:r>
      <w:r>
        <w:rPr>
          <w:rFonts w:ascii="Arial" w:cs="Arial" w:eastAsia="Arial" w:hAnsi="Arial"/>
          <w:sz w:val="21"/>
          <w:szCs w:val="21"/>
          <w:color w:val="auto"/>
        </w:rPr>
        <w:t>" as used in this Agreement means the whole or any portion or phase of any scientific or technical or business information, including, but not limited to, any design, process, procedure or system, formula, improvement, or invention that (i) derives independent economic value, actual or potential, from not being generally known to the public or to other persons who can obtain economic value from its disclosure or use, and (ii) is the subject of the Company's reasonable efforts to maintain its secrecy. In addition to information belonging to the Company, information furnished to the Company by other parties can be a Trade Secret.</w:t>
      </w:r>
    </w:p>
    <w:p>
      <w:pPr>
        <w:spacing w:after="0" w:line="207" w:lineRule="exact"/>
        <w:rPr>
          <w:rFonts w:ascii="Arial" w:cs="Arial" w:eastAsia="Arial" w:hAnsi="Arial"/>
          <w:sz w:val="21"/>
          <w:szCs w:val="21"/>
          <w:color w:val="auto"/>
        </w:rPr>
      </w:pPr>
    </w:p>
    <w:p>
      <w:pPr>
        <w:ind w:right="440" w:firstLine="1953"/>
        <w:spacing w:after="0" w:line="327" w:lineRule="auto"/>
        <w:tabs>
          <w:tab w:leader="none" w:pos="258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includes information which may also be a Trade Secret, but does not include anything described above which is now generally known by parties other than the Company, its affiliates and employees, or becomes generally known, through no breach of this Section 8 on the part of the Executive.</w:t>
      </w:r>
    </w:p>
    <w:p>
      <w:pPr>
        <w:spacing w:after="0" w:line="160" w:lineRule="exact"/>
        <w:rPr>
          <w:rFonts w:ascii="Arial" w:cs="Arial" w:eastAsia="Arial" w:hAnsi="Arial"/>
          <w:sz w:val="19"/>
          <w:szCs w:val="19"/>
          <w:color w:val="auto"/>
        </w:rPr>
      </w:pPr>
    </w:p>
    <w:p>
      <w:pPr>
        <w:ind w:left="2600" w:hanging="647"/>
        <w:spacing w:after="0"/>
        <w:tabs>
          <w:tab w:leader="none" w:pos="26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Executive acknowledges that Confidential Information is and remains confidential regardless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whether or not any Company report or form or other document contains any statement regarding confidentiality.</w:t>
      </w:r>
    </w:p>
    <w:p>
      <w:pPr>
        <w:spacing w:after="0" w:line="256" w:lineRule="exact"/>
        <w:rPr>
          <w:sz w:val="20"/>
          <w:szCs w:val="20"/>
          <w:color w:val="auto"/>
        </w:rPr>
      </w:pPr>
    </w:p>
    <w:p>
      <w:pPr>
        <w:ind w:firstLine="1953"/>
        <w:spacing w:after="0" w:line="248" w:lineRule="auto"/>
        <w:tabs>
          <w:tab w:leader="none" w:pos="25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Executive agrees to hold all Confidential Information in confidence and to not use directly or indirectly, for Executive's own benefit or the benefit of any other party, corporate or otherwise, or publish or cause to be published or otherwise disclose to anyone other than the Company or its designee, any Confidential Information or Trade Secrets except as compelled by law and except as required to conduct the Company's business. This provision shall survive for five (5) years after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428" w:right="239" w:bottom="1440" w:gutter="0" w:footer="0" w:header="0"/>
        </w:sectPr>
      </w:pPr>
    </w:p>
    <w:bookmarkStart w:id="62" w:name="page63"/>
    <w:bookmarkEnd w:id="62"/>
    <w:p>
      <w:pPr>
        <w:ind w:left="-20" w:right="220" w:firstLine="1953"/>
        <w:spacing w:after="0" w:line="261" w:lineRule="auto"/>
        <w:tabs>
          <w:tab w:leader="none" w:pos="257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Executive will, upon demand, and without demand immediately upon the termination of the Executive's employment, surrender to the Company any and all documents, including without limitation computer memory, reports and forms containing Confidential Information and any and all other business records, prototypes and materials which the Executive may have created or received from the Company during the Executive's employment, or which pertain to the Company's business, and all copies thereof, which are in the Executive's possession or control at the time of the demand or the termination of the Executive's employment, however made or obtained.</w:t>
      </w:r>
    </w:p>
    <w:p>
      <w:pPr>
        <w:spacing w:after="0" w:line="207" w:lineRule="exact"/>
        <w:rPr>
          <w:rFonts w:ascii="Arial" w:cs="Arial" w:eastAsia="Arial" w:hAnsi="Arial"/>
          <w:sz w:val="21"/>
          <w:szCs w:val="21"/>
          <w:color w:val="auto"/>
        </w:rPr>
      </w:pPr>
    </w:p>
    <w:p>
      <w:pPr>
        <w:ind w:left="-20" w:firstLine="1953"/>
        <w:spacing w:after="0" w:line="285" w:lineRule="auto"/>
        <w:tabs>
          <w:tab w:leader="none" w:pos="25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Notwithstanding the foregoing, the Executive may truthfully respond to a lawful and valid subpoena or other legal process, but shall give the Company the earliest possible notice thereof, shall, as much in advance of the return date as possible, make available to the Company and its counsel the documents and other information sought, and shall assist the Company and such counsel in resisting or otherwise responding to such process. The Executive understands that nothing in this Agreement is intended to limit the Executive’s right (i) to discuss the terms, wages, and working conditions of the Executive’s employment to the extent permitted and/or protected by applicable labor laws, (ii) to report Confidential Information in a confidential manner either to a federal, state or local government official or to an attorney where such disclosure is </w:t>
      </w:r>
      <w:r>
        <w:rPr>
          <w:rFonts w:ascii="Arial" w:cs="Arial" w:eastAsia="Arial" w:hAnsi="Arial"/>
          <w:sz w:val="19"/>
          <w:szCs w:val="19"/>
          <w:b w:val="1"/>
          <w:bCs w:val="1"/>
          <w:i w:val="1"/>
          <w:iCs w:val="1"/>
          <w:color w:val="auto"/>
        </w:rPr>
        <w:t>solely</w:t>
      </w:r>
      <w:r>
        <w:rPr>
          <w:rFonts w:ascii="Arial" w:cs="Arial" w:eastAsia="Arial" w:hAnsi="Arial"/>
          <w:sz w:val="19"/>
          <w:szCs w:val="19"/>
          <w:color w:val="auto"/>
        </w:rPr>
        <w:t xml:space="preserve"> for the purpose of reporting or investigating a suspected violation of law, or (iii) to disclose Confidential Information in an anti-retaliation lawsuit or other legal proceeding, so long as that disclosure or filing is made under seal and the Executive does not otherwise disclose such Confidential Information, except pursuant to court order. The Company encourages the Executive, to the extent legally permitted, to give the Company the earliest possible notice of any such report or disclosure. Pursuant to the Defend Trade Secrets Act of 2016, the Executive acknowledges that he may not be held criminally or civilly liable under any federal or state trade secret law for the disclosure of Confidential Information that: (a) is made in confidence to a federal, state, or local government official, either directly or indirectly, or to an attorney solely for the purpose of reporting or investigating a suspected violation of law; or (b) is made in a complaint or other document that is filed in a lawsuit or other proceeding, provided that such filing is made under seal. Further, the Executive understands that the Company will not retaliate against him in any way for any such disclosure made in accordance with the law. In the event a disclosure is made, and the Executive files any type of proceeding against the Company alleging that the Company retaliated against him because of his disclosure, the Executive may disclose the relevant Confidential Information to his attorney and may use the Confidential Information in the proceeding if (i) the Executive files any document containing the Confidential Information under seal, and (ii) the Executive does not otherwise disclose the Confidential Information except pursuant to court or arbitral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60" w:top="1428" w:right="239" w:bottom="1440" w:gutter="0" w:footer="0" w:header="0"/>
        </w:sectPr>
      </w:pPr>
    </w:p>
    <w:bookmarkStart w:id="63" w:name="page64"/>
    <w:bookmarkEnd w:id="63"/>
    <w:p>
      <w:pPr>
        <w:ind w:left="-8" w:right="40" w:firstLine="1305"/>
        <w:spacing w:after="0" w:line="288" w:lineRule="auto"/>
        <w:tabs>
          <w:tab w:leader="none" w:pos="1937"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Executive's employment with the Company, and for a period of twelve (12) months immediately following the Date of Termination, (a) Executive shall not induce, or aid others to induce, any individual who is, or was during the six (6) months preceding the time of the aid or inducement, employed by the Company or any of its subsidiaries to terminate his or her employment with the Company or any of its subsidiaries or do anything which violates any written employment agreement he or she may have with the Company or any of its subsidiaries, and (b) in recognition of the status of information regarding compensation and other personnel information of Company employees as Confidential Information, the Executive shall not solicit or aid others to solicit an individual who is, or was during the six (6) months preceding the time of the solicitation, employed by the Company or any of its subsidiaries for, or offer to any such individual, competitive employment; provided, however, that the provisions of this Section 9 shall not apply to the Executive's secretary or executive assistant. For purposes of the preceding sentence, the term "Company" includes the Company and its affiliates, and the personnel and directors of any of them, or any product or service offered by the Company or any of its affiliates.</w:t>
      </w:r>
    </w:p>
    <w:p>
      <w:pPr>
        <w:spacing w:after="0" w:line="181" w:lineRule="exact"/>
        <w:rPr>
          <w:rFonts w:ascii="Arial" w:cs="Arial" w:eastAsia="Arial" w:hAnsi="Arial"/>
          <w:sz w:val="19"/>
          <w:szCs w:val="19"/>
          <w:color w:val="auto"/>
        </w:rPr>
      </w:pPr>
    </w:p>
    <w:p>
      <w:pPr>
        <w:ind w:left="1952" w:hanging="655"/>
        <w:spacing w:after="0"/>
        <w:tabs>
          <w:tab w:leader="none" w:pos="1952"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Provisions Generally Applicable to Sections 8, 9 and 10</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 w:right="620" w:firstLine="1953"/>
        <w:spacing w:after="0" w:line="358" w:lineRule="auto"/>
        <w:tabs>
          <w:tab w:leader="none" w:pos="2221"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term "Company," when used in Sections 8, 9 and 10, refer collectively to the Company, the Partnership, and each other entity directly or directly controlling, controlled by, or under common control with, any of them.</w:t>
      </w:r>
    </w:p>
    <w:p>
      <w:pPr>
        <w:spacing w:after="0" w:line="131" w:lineRule="exact"/>
        <w:rPr>
          <w:rFonts w:ascii="Arial" w:cs="Arial" w:eastAsia="Arial" w:hAnsi="Arial"/>
          <w:sz w:val="19"/>
          <w:szCs w:val="19"/>
          <w:color w:val="auto"/>
        </w:rPr>
      </w:pPr>
    </w:p>
    <w:p>
      <w:pPr>
        <w:ind w:left="-8" w:right="360" w:firstLine="1953"/>
        <w:spacing w:after="0" w:line="291" w:lineRule="auto"/>
        <w:tabs>
          <w:tab w:leader="none" w:pos="2234"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Executive understands that the provisions of Sections 8 and 9 may limit his ability to earn a livelihood in a business similar to the Company’s business but the Executive nevertheless agrees and hereby acknowledges that</w:t>
      </w:r>
    </w:p>
    <w:p>
      <w:pPr>
        <w:spacing w:after="0" w:line="1" w:lineRule="exact"/>
        <w:rPr>
          <w:rFonts w:ascii="Arial" w:cs="Arial" w:eastAsia="Arial" w:hAnsi="Arial"/>
          <w:sz w:val="19"/>
          <w:szCs w:val="19"/>
          <w:color w:val="auto"/>
        </w:rPr>
      </w:pPr>
    </w:p>
    <w:p>
      <w:pPr>
        <w:ind w:left="-8" w:right="200" w:firstLine="8"/>
        <w:spacing w:after="0" w:line="284" w:lineRule="auto"/>
        <w:tabs>
          <w:tab w:leader="none" w:pos="25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such provisions do not impose a greater restraint than is necessary to protect the goodwill or other business interests of the Company and its members, principals and directors, (ii) such provisions contain reasonable limitations as to time and scope of activity to be restrained, (iii) such provisions are not harmful to the general public, (iv) such provisions are not unduly burdensome to the Executive, and (v) the consideration provided hereunder is sufficient to compensate the Executive for the restrictions contained in Sections 8 and 9. If any court determines that any of the covenants of Sections 8 and 9, or any part thereof, is invalid or unenforceable, the remainder of the covenants shall not thereby be affected and shall be given full effect, without regard to the invalid portions. In the event any covenant made in this Agreement shall be more restrictive than permitted by applicable law, it shall be limited to the extent which is so permitted and, in its reduced form, such provision shall then be enforceable. Nothing in this Agreement shall be construed as preventing the Company from pursuing any and all other remedies available to it for the breach or threatened breach of covenants made in this Agreement, including recovery of money damages or temporary or permanent injunctive relief. Accordingly, the Executive acknowledges that the remedy at law for breach of the provisions of this Agreement may be inadequate and that, in addition to any other remedy the Company may have, it shall be entitled to an injunction restraining any breach or threatened breach, without any bond or other security being required and without the necessity of showing actual damages. Notwithstanding anything in this Agreement to the contrary, Sections 8 and 9 shall survive the early termination of the Employment Period and the termination of this Agreement and remain in effect in accordance with their respective terms.</w:t>
      </w:r>
    </w:p>
    <w:p>
      <w:pPr>
        <w:spacing w:after="0" w:line="200" w:lineRule="exact"/>
        <w:rPr>
          <w:sz w:val="20"/>
          <w:szCs w:val="20"/>
          <w:color w:val="auto"/>
        </w:rPr>
      </w:pPr>
    </w:p>
    <w:p>
      <w:pPr>
        <w:spacing w:after="0" w:line="253" w:lineRule="exact"/>
        <w:rPr>
          <w:sz w:val="20"/>
          <w:szCs w:val="20"/>
          <w:color w:val="auto"/>
        </w:rPr>
      </w:pPr>
    </w:p>
    <w:p>
      <w:pPr>
        <w:ind w:left="-8" w:firstLine="1305"/>
        <w:spacing w:after="0" w:line="302" w:lineRule="auto"/>
        <w:tabs>
          <w:tab w:leader="none" w:pos="192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inure to the benefit of and be binding upon the Company and its successors and assigns as long as the Company remains liable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72"/>
          </w:cols>
          <w:pgMar w:left="248" w:top="1428" w:right="279" w:bottom="1440" w:gutter="0" w:footer="0" w:header="0"/>
        </w:sectPr>
      </w:pPr>
    </w:p>
    <w:bookmarkStart w:id="64" w:name="page65"/>
    <w:bookmarkEnd w:id="64"/>
    <w:p>
      <w:pPr>
        <w:ind w:left="-20" w:right="100" w:firstLine="1305"/>
        <w:spacing w:after="0" w:line="286" w:lineRule="auto"/>
        <w:tabs>
          <w:tab w:leader="none" w:pos="192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Executive's Representations</w:t>
      </w:r>
      <w:r>
        <w:rPr>
          <w:rFonts w:ascii="Arial" w:cs="Arial" w:eastAsia="Arial" w:hAnsi="Arial"/>
          <w:sz w:val="19"/>
          <w:szCs w:val="19"/>
          <w:color w:val="auto"/>
        </w:rPr>
        <w:t>. The Executive hereby represents and warrants to each of the Company and the Partnership, and the Executive agrees, that: (i) he has the full authority to execute and enter into this Agreement, (ii) the execution and delivery of this Agreement by the Executive, the Company and the Partnership, and the performance by the Executive of the Executive’s duties hereunder do not and shall not constitute a breach of, conflict with, or otherwise contravene or cause a default under, the terms of any other agreement or policy to which the Executive is a party or otherwise bound or any judgment, order or decree to which the Executive is subject; (iii) the Executive will not enter into any new agreement that would or reasonably could contravene or cause a default by the Executive under this Agreement; (iv) the Executive has disclosed to the Company all provisions in any agreements with his current and previous employers, if any, that purport to restrict his activities following employment with each such employer and he is subject to no agreement or restriction that would limit his ability to serve in the capacities and fully perform the services contemplated in this Agreement, (v) to the extent the Executive has any confidential or similar information that he is not free to disclose to the Company and the Partnership, he will not disclose such information to the extent such disclosure would violate applicable law or any other agreement or policy to which the Executive is a party or by which the Executive is otherwise bound; and (vi) the Executive understands that both the Company and the Partnership will rely upon the accuracy and truth of the representations and warranties of the Executive set forth herein and the Executive consents to such reliance.</w:t>
      </w:r>
    </w:p>
    <w:p>
      <w:pPr>
        <w:spacing w:after="0" w:line="200" w:lineRule="exact"/>
        <w:rPr>
          <w:sz w:val="20"/>
          <w:szCs w:val="20"/>
          <w:color w:val="auto"/>
        </w:rPr>
      </w:pPr>
    </w:p>
    <w:p>
      <w:pPr>
        <w:spacing w:after="0" w:line="260" w:lineRule="exact"/>
        <w:rPr>
          <w:sz w:val="20"/>
          <w:szCs w:val="20"/>
          <w:color w:val="auto"/>
        </w:rPr>
      </w:pPr>
    </w:p>
    <w:p>
      <w:pPr>
        <w:ind w:left="-20" w:right="580" w:firstLine="1305"/>
        <w:spacing w:after="0" w:line="289" w:lineRule="auto"/>
        <w:tabs>
          <w:tab w:leader="none" w:pos="191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Recoupment</w:t>
      </w:r>
      <w:r>
        <w:rPr>
          <w:rFonts w:ascii="Arial" w:cs="Arial" w:eastAsia="Arial" w:hAnsi="Arial"/>
          <w:sz w:val="22"/>
          <w:szCs w:val="22"/>
          <w:color w:val="auto"/>
        </w:rPr>
        <w:t>. The Executive agrees to comply with any recoupment policy adopted by the Company in respect of its executives generally.</w:t>
      </w:r>
    </w:p>
    <w:p>
      <w:pPr>
        <w:spacing w:after="0" w:line="187" w:lineRule="exact"/>
        <w:rPr>
          <w:rFonts w:ascii="Arial" w:cs="Arial" w:eastAsia="Arial" w:hAnsi="Arial"/>
          <w:sz w:val="22"/>
          <w:szCs w:val="22"/>
          <w:color w:val="auto"/>
        </w:rPr>
      </w:pPr>
    </w:p>
    <w:p>
      <w:pPr>
        <w:ind w:left="1940" w:hanging="655"/>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Reduction of Certain Payments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0" w:firstLine="1953"/>
        <w:spacing w:after="0" w:line="288" w:lineRule="auto"/>
        <w:tabs>
          <w:tab w:leader="none" w:pos="2209"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receipt of all payments or distributions by the Company in the nature of compensation to or for the Executive's benefit, whether paid or payable pursuant to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would subject the Executive to the excise tax under Section 4999 of the Code, the accounting firm which audited the Company prior to the corporate transaction which results in the application of such excise tax, or another nationally known accounting or employee benefits consulting firm selected by the Company prior to the corporate transaction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shall determine whether to reduce any of the Payments to the Reduced Amount (as defined below). The Payments shall be reduced to the Reduced Amount only if the Accounting Firm determines that the Executive would have a greater Net After-Tax Receipt (as defined below) of aggregate Payments if the Executive's Agreement Payments were reduced to the Reduced Amount. If such a determination is not made by the Accounting Firm, the Executive shall receive all Payments to which the Executive is entitled under this Agreement.</w:t>
      </w:r>
    </w:p>
    <w:p>
      <w:pPr>
        <w:spacing w:after="0" w:line="187" w:lineRule="exact"/>
        <w:rPr>
          <w:rFonts w:ascii="Arial" w:cs="Arial" w:eastAsia="Arial" w:hAnsi="Arial"/>
          <w:sz w:val="19"/>
          <w:szCs w:val="19"/>
          <w:color w:val="auto"/>
        </w:rPr>
      </w:pPr>
    </w:p>
    <w:p>
      <w:pPr>
        <w:ind w:left="-20" w:right="60" w:firstLine="1953"/>
        <w:spacing w:after="0" w:line="279" w:lineRule="auto"/>
        <w:tabs>
          <w:tab w:leader="none" w:pos="2222" w:val="left"/>
        </w:tabs>
        <w:numPr>
          <w:ilvl w:val="1"/>
          <w:numId w:val="46"/>
        </w:numPr>
        <w:rPr>
          <w:rFonts w:ascii="Arial" w:cs="Arial" w:eastAsia="Arial" w:hAnsi="Arial"/>
          <w:sz w:val="21"/>
          <w:szCs w:val="21"/>
          <w:color w:val="auto"/>
        </w:rPr>
      </w:pPr>
      <w:r>
        <w:rPr>
          <w:rFonts w:ascii="Arial" w:cs="Arial" w:eastAsia="Arial" w:hAnsi="Arial"/>
          <w:sz w:val="21"/>
          <w:szCs w:val="21"/>
          <w:color w:val="auto"/>
        </w:rPr>
        <w:t>If the Accounting Firm determines that aggregate Payments should be reduced to the Reduced Amount, the Company shall promptly give the Executive notice to that effect and a copy of the detailed calculation thereof. All determinations made by the Accounting Firm under this Section 14 shall be made as soon as reasonably practicable and in no event later than sixty (60) days following the date of termination or such earlier date as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00"/>
          </w:cols>
          <w:pgMar w:left="260" w:top="1428" w:right="23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requested by the Company and the Executive. All fees and expenses of the Accounting Firm shall be borne solely by the Company.</w:t>
      </w:r>
    </w:p>
    <w:p>
      <w:pPr>
        <w:spacing w:after="0" w:line="29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(i)As a result of the uncertainty in the application of Section 4999 of the Code at the time of the initial</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determination by the Accounting Firm hereunder, it is possible that amounts will have been paid or distributed by the Company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or for the benefit of the Executive pursuant to this Agreement which should not have been so paid or distributed (the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Overpayment</w:t>
      </w:r>
      <w:r>
        <w:rPr>
          <w:rFonts w:ascii="Arial" w:cs="Arial" w:eastAsia="Arial" w:hAnsi="Arial"/>
          <w:sz w:val="19"/>
          <w:szCs w:val="19"/>
          <w:color w:val="auto"/>
        </w:rPr>
        <w:t>") or that additional amounts which will have not been paid or distributed by the Company to or for the benefit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Executive pursuant to this Agreement could have been so paid or distributed (the "</w:t>
      </w:r>
      <w:r>
        <w:rPr>
          <w:rFonts w:ascii="Arial" w:cs="Arial" w:eastAsia="Arial" w:hAnsi="Arial"/>
          <w:sz w:val="19"/>
          <w:szCs w:val="19"/>
          <w:u w:val="single" w:color="auto"/>
          <w:color w:val="auto"/>
        </w:rPr>
        <w:t>Underpayment</w:t>
      </w:r>
      <w:r>
        <w:rPr>
          <w:rFonts w:ascii="Arial" w:cs="Arial" w:eastAsia="Arial" w:hAnsi="Arial"/>
          <w:sz w:val="19"/>
          <w:szCs w:val="19"/>
          <w:color w:val="auto"/>
        </w:rPr>
        <w:t>"), in each case, consistent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with the calculation of the Reduced Amount hereunder. In the event that the Accounting Firm, based upon the assertion of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deficiency by the Internal Revenue Service against either the Company or the Executive which the Accounting Firm believes has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high probability of success, determines that an Overpayment has been made, the Executive shall pay any such Overpayment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Company, together with interest at the applicable federal rate provided for in Section 7872(f)(2)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that no amount shall be payable by the Executive to the Company if and to the extent such payment would not either reduce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amount on which the Executive is subject to tax under Section 1 and Section 4999 of the Code or generate a refund of such taxes.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 the event that the Accounting Firm, based upon controlling precedent or substantial authority, determines that an Underpayment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has occurred, any such Underpayment shall be paid promptly (and in no event later than sixty (60) days following the date 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which the Underpayment is determined) by the Company to or for the benefit of the Executive together with interest at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applicable federal rate provided for in Section 7872(f)(2) of the Code.</w:t>
      </w:r>
    </w:p>
    <w:p>
      <w:pPr>
        <w:spacing w:after="0" w:line="229" w:lineRule="exact"/>
        <w:rPr>
          <w:sz w:val="20"/>
          <w:szCs w:val="20"/>
          <w:color w:val="auto"/>
        </w:rPr>
      </w:pPr>
    </w:p>
    <w:p>
      <w:pPr>
        <w:ind w:right="20" w:firstLine="1953"/>
        <w:spacing w:after="0" w:line="290" w:lineRule="auto"/>
        <w:tabs>
          <w:tab w:leader="none" w:pos="2590" w:val="left"/>
        </w:tabs>
        <w:numPr>
          <w:ilvl w:val="1"/>
          <w:numId w:val="47"/>
        </w:numPr>
        <w:rPr>
          <w:rFonts w:ascii="Arial" w:cs="Arial" w:eastAsia="Arial" w:hAnsi="Arial"/>
          <w:sz w:val="19"/>
          <w:szCs w:val="19"/>
          <w:color w:val="auto"/>
        </w:rPr>
      </w:pPr>
      <w:r>
        <w:rPr>
          <w:rFonts w:ascii="Arial" w:cs="Arial" w:eastAsia="Arial" w:hAnsi="Arial"/>
          <w:sz w:val="19"/>
          <w:szCs w:val="19"/>
          <w:color w:val="auto"/>
        </w:rPr>
        <w:t>For purposes hereof, the following terms have the meanings set forth below: (i) "</w:t>
      </w:r>
      <w:r>
        <w:rPr>
          <w:rFonts w:ascii="Arial" w:cs="Arial" w:eastAsia="Arial" w:hAnsi="Arial"/>
          <w:sz w:val="19"/>
          <w:szCs w:val="19"/>
          <w:u w:val="single" w:color="auto"/>
          <w:color w:val="auto"/>
        </w:rPr>
        <w:t>Reduced Amount</w:t>
      </w:r>
      <w:r>
        <w:rPr>
          <w:rFonts w:ascii="Arial" w:cs="Arial" w:eastAsia="Arial" w:hAnsi="Arial"/>
          <w:sz w:val="19"/>
          <w:szCs w:val="19"/>
          <w:color w:val="auto"/>
        </w:rPr>
        <w:t>" shall mean the greatest amount of Payments that can be paid that would not result in the imposition of the excise tax under Section 4999 of the Code if the Accounting Firm determines to reduce Payments pursuant to this Section 14 and (ii) "</w:t>
      </w:r>
      <w:r>
        <w:rPr>
          <w:rFonts w:ascii="Arial" w:cs="Arial" w:eastAsia="Arial" w:hAnsi="Arial"/>
          <w:sz w:val="19"/>
          <w:szCs w:val="19"/>
          <w:u w:val="single" w:color="auto"/>
          <w:color w:val="auto"/>
        </w:rPr>
        <w:t>Net After-Tax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Receipt</w:t>
      </w:r>
      <w:r>
        <w:rPr>
          <w:rFonts w:ascii="Arial" w:cs="Arial" w:eastAsia="Arial" w:hAnsi="Arial"/>
          <w:sz w:val="19"/>
          <w:szCs w:val="19"/>
          <w:color w:val="auto"/>
        </w:rPr>
        <w:t>" shall mean the present value (as determined in accordance with Section 280G(b)(2)(A)(ii) and Section 280G(d)(4) of the Code) of a Payment net of all taxes imposed on Executive with respect thereto under Section 1 and Section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Executive certifies, in the Executive's sole discretion, as likely to apply to him in the relevant tax year(s).</w:t>
      </w:r>
    </w:p>
    <w:p>
      <w:pPr>
        <w:spacing w:after="0" w:line="183" w:lineRule="exact"/>
        <w:rPr>
          <w:rFonts w:ascii="Arial" w:cs="Arial" w:eastAsia="Arial" w:hAnsi="Arial"/>
          <w:sz w:val="19"/>
          <w:szCs w:val="19"/>
          <w:color w:val="auto"/>
        </w:rPr>
      </w:pPr>
    </w:p>
    <w:p>
      <w:pPr>
        <w:ind w:left="1960" w:hanging="655"/>
        <w:spacing w:after="0"/>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953"/>
        <w:spacing w:after="0" w:line="248" w:lineRule="auto"/>
        <w:tabs>
          <w:tab w:leader="none" w:pos="2229"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 This Agreement shall be governed by and construed in accordance with the laws of the State of California, without regard to principles of conflict of laws. Any dispute or controversy arising under or in connection with this Agreement shall be settled by arbitration before a sole arbitrator in accordance with the commercial arbitration rules of the Judicial Arbitration and Mediation Service then in effect. Judgment may be entered on the arbitral award in any court having jurisdiction. The place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80"/>
          </w:cols>
          <w:pgMar w:left="240" w:top="1428" w:right="279" w:bottom="1440" w:gutter="0" w:footer="0" w:header="0"/>
        </w:sectPr>
      </w:pPr>
    </w:p>
    <w:bookmarkStart w:id="66" w:name="page67"/>
    <w:bookmarkEnd w:id="66"/>
    <w:p>
      <w:pPr>
        <w:spacing w:after="0" w:line="294" w:lineRule="auto"/>
        <w:rPr>
          <w:sz w:val="20"/>
          <w:szCs w:val="20"/>
          <w:color w:val="auto"/>
        </w:rPr>
      </w:pPr>
      <w:r>
        <w:rPr>
          <w:rFonts w:ascii="Arial" w:cs="Arial" w:eastAsia="Arial" w:hAnsi="Arial"/>
          <w:sz w:val="19"/>
          <w:szCs w:val="19"/>
          <w:color w:val="auto"/>
        </w:rPr>
        <w:t xml:space="preserve">arbitration shall be Santa Monica or Los Angeles, California. The arbitral award shall be final and binding. The provisions of this Section 15(a) shall provide the sole jurisdiction and venue for resolving any disputes arising under or in connection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party retains the right to seek judicial assistance: (i) to compel arbitration; (ii) to obtain interim measures of protection prior to or pending arbitration; (iii) to seek injunctive relief in the courts of any jurisdiction as may be necessary and appropriate; and (iv) to enforce any decision of the arbitrator, including the final award. The arbitration proceedings contemplated by this Agreement shall be as confidential and private as permitted by law.</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Headings</w:t>
      </w:r>
      <w:r>
        <w:rPr>
          <w:rFonts w:ascii="Arial" w:cs="Arial" w:eastAsia="Arial" w:hAnsi="Arial"/>
          <w:sz w:val="19"/>
          <w:szCs w:val="19"/>
          <w:color w:val="auto"/>
        </w:rPr>
        <w:t>. The captions of this Agreement are not part of the provisions hereof and shall have no</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force or effect.</w:t>
      </w:r>
    </w:p>
    <w:p>
      <w:pPr>
        <w:spacing w:after="0" w:line="260" w:lineRule="exact"/>
        <w:rPr>
          <w:sz w:val="20"/>
          <w:szCs w:val="20"/>
          <w:color w:val="auto"/>
        </w:rPr>
      </w:pPr>
    </w:p>
    <w:p>
      <w:pPr>
        <w:ind w:right="160" w:firstLine="1953"/>
        <w:spacing w:after="0" w:line="276" w:lineRule="auto"/>
        <w:tabs>
          <w:tab w:leader="none" w:pos="222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 modified otherwise than by a written agreement executed by the parties hereto or their respective successors and legal representatives.</w:t>
      </w:r>
    </w:p>
    <w:p>
      <w:pPr>
        <w:spacing w:after="0" w:line="201" w:lineRule="exact"/>
        <w:rPr>
          <w:rFonts w:ascii="Arial" w:cs="Arial" w:eastAsia="Arial" w:hAnsi="Arial"/>
          <w:sz w:val="22"/>
          <w:szCs w:val="22"/>
          <w:color w:val="auto"/>
        </w:rPr>
      </w:pPr>
    </w:p>
    <w:p>
      <w:pPr>
        <w:jc w:val="both"/>
        <w:ind w:right="400" w:firstLine="1953"/>
        <w:spacing w:after="0" w:line="253" w:lineRule="auto"/>
        <w:tabs>
          <w:tab w:leader="none" w:pos="224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Merger</w:t>
      </w:r>
      <w:r>
        <w:rPr>
          <w:rFonts w:ascii="Arial" w:cs="Arial" w:eastAsia="Arial" w:hAnsi="Arial"/>
          <w:sz w:val="22"/>
          <w:szCs w:val="22"/>
          <w:color w:val="auto"/>
        </w:rPr>
        <w:t>. From and after the date of this Agreement, this Agreement shall supersede and replace any other written or oral employment agreement or understanding between the parties with respect to the subject matter hereof in effect immediately prior to the execution of this Agreement.</w:t>
      </w:r>
    </w:p>
    <w:p>
      <w:pPr>
        <w:spacing w:after="0" w:line="213" w:lineRule="exact"/>
        <w:rPr>
          <w:sz w:val="20"/>
          <w:szCs w:val="20"/>
          <w:color w:val="auto"/>
        </w:rPr>
      </w:pPr>
    </w:p>
    <w:p>
      <w:pPr>
        <w:ind w:right="80" w:firstLine="1953"/>
        <w:spacing w:after="0" w:line="358" w:lineRule="auto"/>
        <w:tabs>
          <w:tab w:leader="none" w:pos="259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the Executive</w:t>
      </w:r>
      <w:r>
        <w:rPr>
          <w:rFonts w:ascii="Arial" w:cs="Arial" w:eastAsia="Arial" w:hAnsi="Arial"/>
          <w:sz w:val="22"/>
          <w:szCs w:val="22"/>
          <w:color w:val="auto"/>
        </w:rPr>
        <w:t>: At the most recent address</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on file at the Company</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 The Macerich Company</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401 Wilshire Boulevard, Suite 700</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Santa Monica, California 90401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Attention</w:t>
      </w:r>
      <w:r>
        <w:rPr>
          <w:rFonts w:ascii="Arial" w:cs="Arial" w:eastAsia="Arial" w:hAnsi="Arial"/>
          <w:sz w:val="22"/>
          <w:szCs w:val="22"/>
          <w:color w:val="auto"/>
        </w:rPr>
        <w:t>: Chief Executive Officer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The Macerich Company</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401 Wilshire Boulevard, Suite 700</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Santa Monica, California 90401</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Attention</w:t>
      </w:r>
      <w:r>
        <w:rPr>
          <w:rFonts w:ascii="Arial" w:cs="Arial" w:eastAsia="Arial" w:hAnsi="Arial"/>
          <w:sz w:val="22"/>
          <w:szCs w:val="22"/>
          <w:color w:val="auto"/>
        </w:rPr>
        <w:t>: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240" w:top="1428" w:right="419" w:bottom="1440" w:gutter="0" w:footer="0" w:header="0"/>
        </w:sectPr>
      </w:pPr>
    </w:p>
    <w:bookmarkStart w:id="67" w:name="page68"/>
    <w:bookmarkEnd w:id="67"/>
    <w:p>
      <w:pPr>
        <w:ind w:right="920"/>
        <w:spacing w:after="0" w:line="263"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202" w:lineRule="exact"/>
        <w:rPr>
          <w:sz w:val="20"/>
          <w:szCs w:val="20"/>
          <w:color w:val="auto"/>
        </w:rPr>
      </w:pPr>
    </w:p>
    <w:p>
      <w:pPr>
        <w:ind w:firstLine="1953"/>
        <w:spacing w:after="0" w:line="263" w:lineRule="auto"/>
        <w:tabs>
          <w:tab w:leader="none" w:pos="259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201" w:lineRule="exact"/>
        <w:rPr>
          <w:rFonts w:ascii="Arial" w:cs="Arial" w:eastAsia="Arial" w:hAnsi="Arial"/>
          <w:sz w:val="22"/>
          <w:szCs w:val="22"/>
          <w:color w:val="auto"/>
        </w:rPr>
      </w:pPr>
    </w:p>
    <w:p>
      <w:pPr>
        <w:ind w:right="480" w:firstLine="1953"/>
        <w:spacing w:after="0" w:line="266" w:lineRule="auto"/>
        <w:tabs>
          <w:tab w:leader="none" w:pos="258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Withholding of Amounts</w:t>
      </w:r>
      <w:r>
        <w:rPr>
          <w:rFonts w:ascii="Arial" w:cs="Arial" w:eastAsia="Arial" w:hAnsi="Arial"/>
          <w:sz w:val="22"/>
          <w:szCs w:val="22"/>
          <w:color w:val="auto"/>
        </w:rPr>
        <w:t>. The Company may withhold from any amounts payable under this Agreement such federal, state, local or foreign taxes as shall be required to be withheld pursuant to any applicable law or regulation.</w:t>
      </w:r>
    </w:p>
    <w:p>
      <w:pPr>
        <w:spacing w:after="0" w:line="212" w:lineRule="exact"/>
        <w:rPr>
          <w:rFonts w:ascii="Arial" w:cs="Arial" w:eastAsia="Arial" w:hAnsi="Arial"/>
          <w:sz w:val="22"/>
          <w:szCs w:val="22"/>
          <w:color w:val="auto"/>
        </w:rPr>
      </w:pPr>
    </w:p>
    <w:p>
      <w:pPr>
        <w:jc w:val="both"/>
        <w:ind w:right="340" w:firstLine="1953"/>
        <w:spacing w:after="0" w:line="312" w:lineRule="auto"/>
        <w:tabs>
          <w:tab w:leader="none" w:pos="259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Executive's or the Company's failure to insist upon strict compliance with any provision of this Agreement or the failure to assert any right the Executive or the Company may have hereunder shall not be deemed to be a waiver of such provision or right or any other provision or right of this Agreement.</w:t>
      </w:r>
    </w:p>
    <w:p>
      <w:pPr>
        <w:spacing w:after="0" w:line="160" w:lineRule="exact"/>
        <w:rPr>
          <w:rFonts w:ascii="Arial" w:cs="Arial" w:eastAsia="Arial" w:hAnsi="Arial"/>
          <w:sz w:val="19"/>
          <w:szCs w:val="19"/>
          <w:color w:val="auto"/>
        </w:rPr>
      </w:pPr>
    </w:p>
    <w:p>
      <w:pPr>
        <w:ind w:left="2600" w:hanging="647"/>
        <w:spacing w:after="0"/>
        <w:tabs>
          <w:tab w:leader="none" w:pos="260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Survivability</w:t>
      </w:r>
      <w:r>
        <w:rPr>
          <w:rFonts w:ascii="Arial" w:cs="Arial" w:eastAsia="Arial" w:hAnsi="Arial"/>
          <w:sz w:val="21"/>
          <w:szCs w:val="21"/>
          <w:color w:val="auto"/>
        </w:rPr>
        <w:t>. Any provision of this Agreement that by its terms continues after the expiration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of the Employment Period or the termination of the Executive's employment shall survive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00"/>
          </w:cols>
          <w:pgMar w:left="240" w:top="1428" w:right="559" w:bottom="1440" w:gutter="0" w:footer="0" w:header="0"/>
        </w:sectPr>
      </w:pPr>
    </w:p>
    <w:bookmarkStart w:id="68" w:name="page69"/>
    <w:bookmarkEnd w:id="68"/>
    <w:p>
      <w:pPr>
        <w:ind w:left="-8" w:firstLine="1953"/>
        <w:spacing w:after="0" w:line="283" w:lineRule="auto"/>
        <w:tabs>
          <w:tab w:leader="none" w:pos="2582"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This Agreement is intended to comply with the requirements of Section 409A of the Code or an exemption or exclusion therefrom and shall in all respects be administered in accordance with Section 409A of the Code. The Company and the Executive mutually intend to structure the payments and benefits described in this Agreement, and the Executive's other compensation, to be exempt from or to comply with the requirements of Section 409 A of the Code to the extent applicable. Each payment under this Agreement shall be treated as a separate payment for purposes of Section 409A of the Code. In no event may the Executive, directly or indirectly, designate the calendar year of any payment to be made under this Agreement. If the Executive dies following the Date of Termination and prior to the payment of any amounts delayed on account of Section 409A of the Code, such amounts shall be paid to the personal representative of the Executive's estate within thirty (30) calendar days after the date of the Executive's death. All reimbursements and in-kind benefits provided under this Agreement that constitute deferred compensation within the meaning of Section 409A of the Code shall be made or provided in accordance with the requirements of Section 409A of the Code, including, without limitation, that (i) in no event shall reimbursements by the Company under this Agreement be made later than the end of the calendar year next following the calendar year in which the applicable fees and expenses were incurred; provided that the Executive shall have submitted an invoice for such fees and expenses at least ten (10) calendar days before the end of the calendar year next following the calendar year in which such fees and expenses were incurred;</w:t>
      </w:r>
    </w:p>
    <w:p>
      <w:pPr>
        <w:spacing w:after="0" w:line="3" w:lineRule="exact"/>
        <w:rPr>
          <w:rFonts w:ascii="Arial" w:cs="Arial" w:eastAsia="Arial" w:hAnsi="Arial"/>
          <w:sz w:val="19"/>
          <w:szCs w:val="19"/>
          <w:color w:val="auto"/>
        </w:rPr>
      </w:pPr>
    </w:p>
    <w:p>
      <w:pPr>
        <w:ind w:left="-8" w:right="20" w:firstLine="8"/>
        <w:spacing w:after="0" w:line="281" w:lineRule="auto"/>
        <w:tabs>
          <w:tab w:leader="none" w:pos="31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amount of in-kind benefits that the Company is obligated to pay or provide in any given calendar year shall not affect the in-kind benefits that the Company is obligated to pay or provide in any other calendar year; (iii) the Executive's right to have the Company pay or provide such reimbursements and in-kind benefits may not be liquidated or exchanged for any other benefit; and</w:t>
      </w:r>
    </w:p>
    <w:p>
      <w:pPr>
        <w:spacing w:after="0" w:line="2" w:lineRule="exact"/>
        <w:rPr>
          <w:rFonts w:ascii="Arial" w:cs="Arial" w:eastAsia="Arial" w:hAnsi="Arial"/>
          <w:sz w:val="19"/>
          <w:szCs w:val="19"/>
          <w:color w:val="auto"/>
        </w:rPr>
      </w:pPr>
    </w:p>
    <w:p>
      <w:pPr>
        <w:ind w:left="-8" w:right="40" w:firstLine="8"/>
        <w:spacing w:after="0" w:line="290" w:lineRule="auto"/>
        <w:tabs>
          <w:tab w:leader="none" w:pos="358"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no event shall the Company's obligations to make such reimbursements or to provide such in-kind benefits apply later than the Executive's remaining lifetime (or if longer, through the twentieth (20th) anniversary of the Effective Date). Prior to a "change of control" but within the time period permitted by the applicable Treasury Regulations, the Company may, in consultation with the Executive, modify this Agreement in the least restrictive manner necessary and without any diminution in the value of the payments to the Executive, in order to cause the provisions of this Agreement to comply with the requirements of Section 409A of the Code, so as to avoid the imposition of taxes and penalties on the Executive pursuant to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12"/>
          </w:cols>
          <w:pgMar w:left="248" w:top="1428" w:right="239" w:bottom="1440" w:gutter="0" w:footer="0" w:header="0"/>
        </w:sectPr>
      </w:pPr>
    </w:p>
    <w:bookmarkStart w:id="69" w:name="page70"/>
    <w:bookmarkEnd w:id="69"/>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WILLIAM VOEGELE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William Voegele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THE MACERICH COMPANY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E. O’Hern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0280"/>
          </w:cols>
          <w:pgMar w:left="240" w:top="1440" w:right="13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General Release of all Claims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on ______________, 20__, by ________________</w:t>
      </w:r>
    </w:p>
    <w:p>
      <w:pPr>
        <w:spacing w:after="0" w:line="56" w:lineRule="exact"/>
        <w:rPr>
          <w:sz w:val="20"/>
          <w:szCs w:val="20"/>
          <w:color w:val="auto"/>
        </w:rPr>
      </w:pPr>
    </w:p>
    <w:p>
      <w:pPr>
        <w:ind w:right="640"/>
        <w:spacing w:after="0" w:line="246" w:lineRule="auto"/>
        <w:rPr>
          <w:sz w:val="20"/>
          <w:szCs w:val="20"/>
          <w:color w:val="auto"/>
        </w:rPr>
      </w:pPr>
      <w:r>
        <w:rPr>
          <w:rFonts w:ascii="Arial" w:cs="Arial" w:eastAsia="Arial" w:hAnsi="Arial"/>
          <w:sz w:val="22"/>
          <w:szCs w:val="22"/>
          <w:color w:val="auto"/>
        </w:rPr>
        <w:t>(the "E</w:t>
      </w:r>
      <w:r>
        <w:rPr>
          <w:rFonts w:ascii="Arial" w:cs="Arial" w:eastAsia="Arial" w:hAnsi="Arial"/>
          <w:sz w:val="22"/>
          <w:szCs w:val="22"/>
          <w:u w:val="single" w:color="auto"/>
          <w:color w:val="auto"/>
        </w:rPr>
        <w:t>xecutive</w:t>
      </w:r>
      <w:r>
        <w:rPr>
          <w:rFonts w:ascii="Arial" w:cs="Arial" w:eastAsia="Arial" w:hAnsi="Arial"/>
          <w:sz w:val="22"/>
          <w:szCs w:val="22"/>
          <w:color w:val="auto"/>
        </w:rPr>
        <w:t>"), The Macerich Company, a Maryland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Macerich Partnership, L.P., a Delaware limited partnership (the "</w:t>
      </w:r>
      <w:r>
        <w:rPr>
          <w:rFonts w:ascii="Arial" w:cs="Arial" w:eastAsia="Arial" w:hAnsi="Arial"/>
          <w:sz w:val="22"/>
          <w:szCs w:val="22"/>
          <w:u w:val="single" w:color="auto"/>
          <w:color w:val="auto"/>
        </w:rPr>
        <w:t>Partnership</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promises set forth in the Employment Agreement among the Executive, the Company and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Partnership, effective as of ________________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the Executive agrees as follows:</w:t>
      </w:r>
    </w:p>
    <w:p>
      <w:pPr>
        <w:spacing w:after="0" w:line="25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General Release and Waiver of Claims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953"/>
        <w:spacing w:after="0" w:line="284" w:lineRule="auto"/>
        <w:tabs>
          <w:tab w:leader="none" w:pos="2229"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In consideration of the payments and benefits provided to the Executive under the Employment Agreement and after consultation with counsel, the Executive and each of the Executive's respective heirs, executors, administrators, representatives, agents,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hereby irrevocably and unconditionally release and forever discharge the Company, the Partnership and each of their respective subsidiaries and affiliates and each of their respective officers, employees, directors, shareholders and agents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including, without limitation, any Claims under any federal, state, local or foreign law, that the Releasors may have or in the future may possess, arising out (i) of the Executive's employment relationship with and service as an employee, officer or director of the Company and the Partnership, and the termination of such relationship or service and (ii) any event, condition, circumstance or obligation that occurred, existed or arose on or prior to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else herein to the contrary, this Agreement shall not affect: the obligations of the Company, the Partnership or the Executive set forth in the Employment Agreement or other obligations that, in each case, by their terms, are to be performed after the date hereof by the Company, the Partnership or the Executive (including, without limitation, obligations to the Executive under the Employment Agreement for any severance or similar payments or benefits, under any stock option, stock or equity-based award, plan or agreements, or payments or obligations under any pension plan or other benefit or deferred compensation plan, all of which shall remain in effect in accordance with their terms); any indemnification or similar rights the Executive has as a current or former officer or director of the Company or the Partnership, including, without limitation, any and all rights thereto referenced in the Employment Agreement, the Company's bylaws, the Partnership's partnership agreement, other governance documents or any rights with respect to directors' and officers' insurance policies; the Executive's right to reimbursement of business expenses; and any Claims the Releasors may have against the Releasees in the event that the Company or any member of the Releasees brings any Claims against the Executive or any member of the Releasors. In addition, this release does not cover any Claim that cannot be so released as a matter of applicable law. Notwithstanding anything to the contrary herein, nothing in this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00"/>
          </w:cols>
          <w:pgMar w:left="240" w:top="1422" w:right="259" w:bottom="1440" w:gutter="0" w:footer="0" w:header="0"/>
        </w:sectPr>
      </w:pPr>
    </w:p>
    <w:bookmarkStart w:id="71" w:name="page72"/>
    <w:bookmarkEnd w:id="71"/>
    <w:p>
      <w:pPr>
        <w:ind w:right="160"/>
        <w:spacing w:after="0" w:line="247" w:lineRule="auto"/>
        <w:rPr>
          <w:sz w:val="20"/>
          <w:szCs w:val="20"/>
          <w:color w:val="auto"/>
        </w:rPr>
      </w:pPr>
      <w:r>
        <w:rPr>
          <w:rFonts w:ascii="Arial" w:cs="Arial" w:eastAsia="Arial" w:hAnsi="Arial"/>
          <w:sz w:val="22"/>
          <w:szCs w:val="22"/>
          <w:color w:val="auto"/>
        </w:rPr>
        <w:t>Agreement prohibits the Executive from filing a charge with or participating in an investigation conducted by any state or federal government agencies. However, the Executive does waive, to the maximum extent permitted by law, the right to receive any monetary or other recovery, should any agency or any other person pursue any claims on the Executive’s behalf arising out of any claim released pursuant to this Agreement. For clarity, and as required by law, such waiver does not prevent the Executive from accepting a whistleblower award from the Securities and Exchange Commission pursuant to Section 21F of the Securities Exchange Act of 1934, as amended.</w:t>
      </w:r>
    </w:p>
    <w:p>
      <w:pPr>
        <w:spacing w:after="0" w:line="221" w:lineRule="exact"/>
        <w:rPr>
          <w:sz w:val="20"/>
          <w:szCs w:val="20"/>
          <w:color w:val="auto"/>
        </w:rPr>
      </w:pPr>
    </w:p>
    <w:p>
      <w:pPr>
        <w:ind w:firstLine="1953"/>
        <w:spacing w:after="0" w:line="287" w:lineRule="auto"/>
        <w:tabs>
          <w:tab w:leader="none" w:pos="259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Specific Release of ADEA Claims</w:t>
      </w:r>
      <w:r>
        <w:rPr>
          <w:rFonts w:ascii="Arial" w:cs="Arial" w:eastAsia="Arial" w:hAnsi="Arial"/>
          <w:sz w:val="19"/>
          <w:szCs w:val="19"/>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and the applicable rules and regulations promulgated thereunder ("</w:t>
      </w:r>
      <w:r>
        <w:rPr>
          <w:rFonts w:ascii="Arial" w:cs="Arial" w:eastAsia="Arial" w:hAnsi="Arial"/>
          <w:sz w:val="19"/>
          <w:szCs w:val="19"/>
          <w:u w:val="single" w:color="auto"/>
          <w:color w:val="auto"/>
        </w:rPr>
        <w:t>ADEA</w:t>
      </w:r>
      <w:r>
        <w:rPr>
          <w:rFonts w:ascii="Arial" w:cs="Arial" w:eastAsia="Arial" w:hAnsi="Arial"/>
          <w:sz w:val="19"/>
          <w:szCs w:val="19"/>
          <w:color w:val="auto"/>
        </w:rPr>
        <w:t>''). By signing this Agreement, the Executive hereby acknowledges and confirms the following: (i) the Executive was advised by the Company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twenty-one (21) calendar days to consider the terms of this Agreement and to consult with an attorney of his choosing with respect thereto; and (iii) the Executive knowingly and voluntarily accepts the terms of this Agreement. The Executive also understands that he has seven (7) calendar days following the date on which he signs this Agreement within which to revoke the release contained in this paragraph, by providing the Company a written notice of his revocation of the release and waiver contained in this paragraph.</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left="2600" w:hanging="647"/>
        <w:spacing w:after="0"/>
        <w:tabs>
          <w:tab w:leader="none" w:pos="26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The Executive represents and warrants that he has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not assigned any of the Claims being released under this Agreement.</w:t>
      </w:r>
    </w:p>
    <w:p>
      <w:pPr>
        <w:spacing w:after="0" w:line="247" w:lineRule="exact"/>
        <w:rPr>
          <w:sz w:val="20"/>
          <w:szCs w:val="20"/>
          <w:color w:val="auto"/>
        </w:rPr>
      </w:pPr>
    </w:p>
    <w:p>
      <w:pPr>
        <w:ind w:right="300" w:firstLine="8"/>
        <w:spacing w:after="0" w:line="261" w:lineRule="auto"/>
        <w:tabs>
          <w:tab w:leader="none" w:pos="64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Proceedings</w:t>
      </w:r>
      <w:r>
        <w:rPr>
          <w:rFonts w:ascii="Arial" w:cs="Arial" w:eastAsia="Arial" w:hAnsi="Arial"/>
          <w:sz w:val="21"/>
          <w:szCs w:val="21"/>
          <w:color w:val="auto"/>
        </w:rPr>
        <w:t>. The Executive has not filed, and agrees not to initiate or cause to be initiated on his behalf, any complaint, charge, claim or proceeding against the Releasees before any local, state or federal agency, court or other body, other than with respect to the obligations of the Company or the Partnership to the Executive under the Employment Agreement or in respect of any other matter described in the proviso to Section l(a) (each, individually, a "</w:t>
      </w:r>
      <w:r>
        <w:rPr>
          <w:rFonts w:ascii="Arial" w:cs="Arial" w:eastAsia="Arial" w:hAnsi="Arial"/>
          <w:sz w:val="21"/>
          <w:szCs w:val="21"/>
          <w:u w:val="single" w:color="auto"/>
          <w:color w:val="auto"/>
        </w:rPr>
        <w:t>Proceeding</w:t>
      </w:r>
      <w:r>
        <w:rPr>
          <w:rFonts w:ascii="Arial" w:cs="Arial" w:eastAsia="Arial" w:hAnsi="Arial"/>
          <w:sz w:val="21"/>
          <w:szCs w:val="21"/>
          <w:color w:val="auto"/>
        </w:rPr>
        <w:t>"), and agrees not to participate voluntarily in any Proceeding. The Executive waives any right he may have to benefit in any manner from any relief (whether monetary or otherwise) arising out of any Proceeding.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1428" w:right="279" w:bottom="1440" w:gutter="0" w:footer="0" w:header="0"/>
        </w:sectPr>
      </w:pPr>
    </w:p>
    <w:bookmarkStart w:id="72" w:name="page73"/>
    <w:bookmarkEnd w:id="72"/>
    <w:p>
      <w:pPr>
        <w:ind w:right="20" w:firstLine="8"/>
        <w:spacing w:after="0" w:line="290" w:lineRule="auto"/>
        <w:tabs>
          <w:tab w:leader="none" w:pos="64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the Executive initiates or voluntarily participates in any Proceeding following his receipt of written notice from the Company and a failure to cease such participation within thirty (30) calendar days following receipt of such notice, or if he revokes the ADEA release contained in Section 1(b) of this Agreement within the seven (7)-calendar-day period provided under Section 1(b), the Company may, in addition to any other remedies it may have, reclaim any amounts paid to him under the termination provisions of the Employment Agreement or terminate any benefits or payments that are subsequently due under the Employment Agreement, without waiving the release granted herein. The Executive understands that by entering into this Agreement he will be limiting the availability of certain remedies that he may have against the Company and the Partnership and limiting also his ability to pursue certain claims against the Company and the Partnership.</w:t>
      </w:r>
    </w:p>
    <w:p>
      <w:pPr>
        <w:spacing w:after="0" w:line="184" w:lineRule="exact"/>
        <w:rPr>
          <w:sz w:val="20"/>
          <w:szCs w:val="20"/>
          <w:color w:val="auto"/>
        </w:rPr>
      </w:pPr>
    </w:p>
    <w:p>
      <w:pPr>
        <w:ind w:right="80" w:firstLine="8"/>
        <w:spacing w:after="0" w:line="292" w:lineRule="auto"/>
        <w:tabs>
          <w:tab w:leader="none" w:pos="648"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Section 1542 of the Civil Code of the State of California Waiver</w:t>
      </w:r>
      <w:r>
        <w:rPr>
          <w:rFonts w:ascii="Arial" w:cs="Arial" w:eastAsia="Arial" w:hAnsi="Arial"/>
          <w:sz w:val="19"/>
          <w:szCs w:val="19"/>
          <w:color w:val="auto"/>
        </w:rPr>
        <w:t>. The Executive acknowledges that he may hereafter discover Claims or facts in addition to or different from those which the Executive knows or believes to exist with respect to the subject matter of this Agreement and which, if now or suspected at the time of executing this Agreement, may have materially affected this release contained in this Agreement or the Executive's decision to enter into this Agreement. Nevertheless, the Releasors hereby waive any right or Claim that might arise as a result of such different or additional Claims or facts and the Releasors hereby expressly waive any and all rights and benefits conferred upon the Releasors by the provision of Section 1542 of the Civil Code of the State of California, which provides as follows:</w:t>
      </w:r>
    </w:p>
    <w:p>
      <w:pPr>
        <w:spacing w:after="0" w:line="179" w:lineRule="exact"/>
        <w:rPr>
          <w:sz w:val="20"/>
          <w:szCs w:val="20"/>
          <w:color w:val="auto"/>
        </w:rPr>
      </w:pPr>
    </w:p>
    <w:p>
      <w:pPr>
        <w:ind w:left="780" w:right="960"/>
        <w:spacing w:after="0" w:line="265" w:lineRule="auto"/>
        <w:rPr>
          <w:sz w:val="20"/>
          <w:szCs w:val="20"/>
          <w:color w:val="auto"/>
        </w:rPr>
      </w:pPr>
      <w:r>
        <w:rPr>
          <w:rFonts w:ascii="Arial" w:cs="Arial" w:eastAsia="Arial" w:hAnsi="Arial"/>
          <w:sz w:val="21"/>
          <w:szCs w:val="21"/>
          <w:color w:val="auto"/>
        </w:rPr>
        <w:t>A 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46" w:lineRule="exact"/>
        <w:rPr>
          <w:sz w:val="20"/>
          <w:szCs w:val="20"/>
          <w:color w:val="auto"/>
        </w:rPr>
      </w:pPr>
    </w:p>
    <w:p>
      <w:pPr>
        <w:ind w:right="520" w:firstLine="8"/>
        <w:spacing w:after="0" w:line="276" w:lineRule="auto"/>
        <w:tabs>
          <w:tab w:leader="none" w:pos="64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Severability Clause</w:t>
      </w:r>
      <w:r>
        <w:rPr>
          <w:rFonts w:ascii="Arial" w:cs="Arial" w:eastAsia="Arial" w:hAnsi="Arial"/>
          <w:sz w:val="22"/>
          <w:szCs w:val="22"/>
          <w:color w:val="auto"/>
        </w:rPr>
        <w:t>. In the event any provision or part of this Agreement is found to be invalid or unenforceable, only that particular provision or part so found, and not the entire Agreement, will be inoperative.</w:t>
      </w:r>
    </w:p>
    <w:p>
      <w:pPr>
        <w:spacing w:after="0" w:line="214" w:lineRule="exact"/>
        <w:rPr>
          <w:rFonts w:ascii="Arial" w:cs="Arial" w:eastAsia="Arial" w:hAnsi="Arial"/>
          <w:sz w:val="22"/>
          <w:szCs w:val="22"/>
          <w:color w:val="auto"/>
        </w:rPr>
      </w:pPr>
    </w:p>
    <w:p>
      <w:pPr>
        <w:ind w:right="660" w:firstLine="8"/>
        <w:spacing w:after="0" w:line="289" w:lineRule="auto"/>
        <w:tabs>
          <w:tab w:leader="none" w:pos="64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Nonadmission</w:t>
      </w:r>
      <w:r>
        <w:rPr>
          <w:rFonts w:ascii="Arial" w:cs="Arial" w:eastAsia="Arial" w:hAnsi="Arial"/>
          <w:sz w:val="22"/>
          <w:szCs w:val="22"/>
          <w:color w:val="auto"/>
        </w:rPr>
        <w:t>. Nothing contained in this Agreement will be deemed or construed as an admission of wrongdoing or liability on the part of the Company or the Partnership.</w:t>
      </w:r>
    </w:p>
    <w:p>
      <w:pPr>
        <w:spacing w:after="0" w:line="187" w:lineRule="exact"/>
        <w:rPr>
          <w:rFonts w:ascii="Arial" w:cs="Arial" w:eastAsia="Arial" w:hAnsi="Arial"/>
          <w:sz w:val="22"/>
          <w:szCs w:val="22"/>
          <w:color w:val="auto"/>
        </w:rPr>
      </w:pPr>
    </w:p>
    <w:p>
      <w:pPr>
        <w:ind w:firstLine="8"/>
        <w:spacing w:after="0" w:line="266" w:lineRule="auto"/>
        <w:tabs>
          <w:tab w:leader="none" w:pos="64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matters affecting this Agreement, including the validity thereof, are to be governed by, and interpreted and construed in accordance with, the laws of the State of California applicable to contracts executed in and to be performed in that State.</w:t>
      </w:r>
    </w:p>
    <w:p>
      <w:pPr>
        <w:spacing w:after="0" w:line="225" w:lineRule="exact"/>
        <w:rPr>
          <w:rFonts w:ascii="Arial" w:cs="Arial" w:eastAsia="Arial" w:hAnsi="Arial"/>
          <w:sz w:val="22"/>
          <w:szCs w:val="22"/>
          <w:color w:val="auto"/>
        </w:rPr>
      </w:pPr>
    </w:p>
    <w:p>
      <w:pPr>
        <w:ind w:right="740" w:firstLine="8"/>
        <w:spacing w:after="0" w:line="289" w:lineRule="auto"/>
        <w:tabs>
          <w:tab w:leader="none" w:pos="64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communications hereunder shall be in writing, addressed as provided in Section 15(e) of the Employment Agreement.</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22"/>
          <w:szCs w:val="22"/>
          <w:b w:val="1"/>
          <w:bCs w:val="1"/>
          <w:color w:val="auto"/>
        </w:rPr>
        <w:t>THE EXECUTIVE ACKNOWLEDGES THAT HE HAS READ THIS AGREEMENT AND THAT HE FULLY KNOWS, UNDERSTANDS AND APPRECIATES ITS CONTENTS, AND THAT HE HEREBY EXECUTES THE SAME AND MAKES THIS AGREEMENT AND THE RELEASE AGREEMENTS PROVIDED HEREIN VOLUNTARILY AND OF HIS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60"/>
          </w:cols>
          <w:pgMar w:left="240" w:top="1428" w:right="299" w:bottom="1440" w:gutter="0" w:footer="0" w:header="0"/>
        </w:sectPr>
      </w:pPr>
    </w:p>
    <w:bookmarkStart w:id="73" w:name="page74"/>
    <w:bookmarkEnd w:id="73"/>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Executive has executed this Agreement on the date first set forth below.</w:t>
      </w:r>
    </w:p>
    <w:p>
      <w:pPr>
        <w:sectPr>
          <w:pgSz w:w="11900" w:h="16838" w:orient="portrait"/>
          <w:cols w:equalWidth="0" w:num="1">
            <w:col w:w="9559"/>
          </w:cols>
          <w:pgMar w:left="900" w:top="1440" w:right="1440" w:bottom="1440" w:gutter="0" w:footer="0" w:header="0"/>
        </w:sectPr>
      </w:pPr>
    </w:p>
    <w:p>
      <w:pPr>
        <w:spacing w:after="0" w:line="289"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THE EXECUTIVE</w:t>
      </w:r>
    </w:p>
    <w:p>
      <w:pPr>
        <w:spacing w:after="0" w:line="25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_______________________________</w:t>
      </w:r>
    </w:p>
    <w:p>
      <w:pPr>
        <w:spacing w:after="0" w:line="24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247"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Date of Execution: ____________________</w:t>
      </w:r>
    </w:p>
    <w:p>
      <w:pPr>
        <w:sectPr>
          <w:pgSz w:w="11900" w:h="16838" w:orient="portrait"/>
          <w:cols w:equalWidth="0" w:num="1">
            <w:col w:w="9559"/>
          </w:cols>
          <w:pgMar w:left="900" w:top="1440" w:right="1440" w:bottom="1440" w:gutter="0" w:footer="0" w:header="0"/>
          <w:type w:val="continuous"/>
        </w:sectPr>
      </w:pPr>
    </w:p>
    <w:bookmarkStart w:id="74" w:name="page75"/>
    <w:bookmarkEnd w:id="74"/>
    <w:p>
      <w:pPr>
        <w:ind w:left="10240"/>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MACERICH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FIRST AMENDMENT TO EMPLOYMENT AGREEMENT</w:t>
      </w:r>
    </w:p>
    <w:p>
      <w:pPr>
        <w:spacing w:after="0" w:line="181" w:lineRule="exact"/>
        <w:rPr>
          <w:sz w:val="20"/>
          <w:szCs w:val="20"/>
          <w:color w:val="auto"/>
        </w:rPr>
      </w:pPr>
    </w:p>
    <w:p>
      <w:pPr>
        <w:ind w:right="280" w:firstLine="648"/>
        <w:spacing w:after="0" w:line="289" w:lineRule="auto"/>
        <w:rPr>
          <w:sz w:val="20"/>
          <w:szCs w:val="20"/>
          <w:color w:val="auto"/>
        </w:rPr>
      </w:pPr>
      <w:r>
        <w:rPr>
          <w:rFonts w:ascii="Arial" w:cs="Arial" w:eastAsia="Arial" w:hAnsi="Arial"/>
          <w:sz w:val="20"/>
          <w:szCs w:val="20"/>
          <w:color w:val="auto"/>
        </w:rPr>
        <w:t>This First Amendment to the Employment Agreement, effective as of January 1, 2020 (this “Amendment”), is made by and between The Macerich Company, a Maryland corporation (the “Company”), and Thomas E. O’Hern (the “Executive”).</w:t>
      </w:r>
    </w:p>
    <w:p>
      <w:pPr>
        <w:spacing w:after="0" w:line="108" w:lineRule="exact"/>
        <w:rPr>
          <w:sz w:val="20"/>
          <w:szCs w:val="20"/>
          <w:color w:val="auto"/>
        </w:rPr>
      </w:pPr>
    </w:p>
    <w:p>
      <w:pPr>
        <w:ind w:right="780" w:firstLine="648"/>
        <w:spacing w:after="0" w:line="289" w:lineRule="auto"/>
        <w:rPr>
          <w:sz w:val="20"/>
          <w:szCs w:val="20"/>
          <w:color w:val="auto"/>
        </w:rPr>
      </w:pPr>
      <w:r>
        <w:rPr>
          <w:rFonts w:ascii="Arial" w:cs="Arial" w:eastAsia="Arial" w:hAnsi="Arial"/>
          <w:sz w:val="20"/>
          <w:szCs w:val="20"/>
          <w:color w:val="auto"/>
        </w:rPr>
        <w:t>WHEREAS, the Company and the Executive entered into that certain Employment Agreement dated as of April 26, 2018 (the “Employment Agreement”); and</w:t>
      </w:r>
    </w:p>
    <w:p>
      <w:pPr>
        <w:spacing w:after="0" w:line="94" w:lineRule="exact"/>
        <w:rPr>
          <w:sz w:val="20"/>
          <w:szCs w:val="20"/>
          <w:color w:val="auto"/>
        </w:rPr>
      </w:pPr>
    </w:p>
    <w:p>
      <w:pPr>
        <w:ind w:right="840" w:firstLine="648"/>
        <w:spacing w:after="0" w:line="289" w:lineRule="auto"/>
        <w:rPr>
          <w:sz w:val="20"/>
          <w:szCs w:val="20"/>
          <w:color w:val="auto"/>
        </w:rPr>
      </w:pPr>
      <w:r>
        <w:rPr>
          <w:rFonts w:ascii="Arial" w:cs="Arial" w:eastAsia="Arial" w:hAnsi="Arial"/>
          <w:sz w:val="20"/>
          <w:szCs w:val="20"/>
          <w:color w:val="auto"/>
        </w:rPr>
        <w:t>WHEREAS, the Company and the Executive desire to amend certain terms of the Employment Agreement as set forth in this Amendment.</w:t>
      </w:r>
    </w:p>
    <w:p>
      <w:pPr>
        <w:spacing w:after="0" w:line="108" w:lineRule="exact"/>
        <w:rPr>
          <w:sz w:val="20"/>
          <w:szCs w:val="20"/>
          <w:color w:val="auto"/>
        </w:rPr>
      </w:pPr>
    </w:p>
    <w:p>
      <w:pPr>
        <w:ind w:right="720" w:firstLine="648"/>
        <w:spacing w:after="0" w:line="316" w:lineRule="auto"/>
        <w:rPr>
          <w:sz w:val="20"/>
          <w:szCs w:val="20"/>
          <w:color w:val="auto"/>
        </w:rPr>
      </w:pPr>
      <w:r>
        <w:rPr>
          <w:rFonts w:ascii="Arial" w:cs="Arial" w:eastAsia="Arial" w:hAnsi="Arial"/>
          <w:sz w:val="19"/>
          <w:szCs w:val="19"/>
          <w:color w:val="auto"/>
        </w:rPr>
        <w:t>NOW, THEREFORE, in consideration of the premises and mutual covenants contained herein and for other good and valuable consideration, the receipt of which is mutually acknowledged, the Company and the Executive agree as follows:</w:t>
      </w:r>
    </w:p>
    <w:p>
      <w:pPr>
        <w:spacing w:after="0" w:line="86" w:lineRule="exact"/>
        <w:rPr>
          <w:sz w:val="20"/>
          <w:szCs w:val="20"/>
          <w:color w:val="auto"/>
        </w:rPr>
      </w:pPr>
    </w:p>
    <w:p>
      <w:pPr>
        <w:ind w:left="980" w:right="180" w:hanging="324"/>
        <w:spacing w:after="0" w:line="289" w:lineRule="auto"/>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sections of the Employment Agreement titled “Vacation” and “Personal Days” shall be deleted in their entirety in accordance with the Company’s Routine Time Off Policy, effective as of January 1, 2020.</w:t>
      </w:r>
    </w:p>
    <w:p>
      <w:pPr>
        <w:spacing w:after="0" w:line="202"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Except as expressly amended hereby, the Employment Agreement shall be and remain in full force and effect in accordance with its terms.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capitalized undefined terms used in this Amendment shall have the meanings assigned to them in the Employment Agreement.</w:t>
      </w:r>
    </w:p>
    <w:p>
      <w:pPr>
        <w:spacing w:after="0" w:line="292" w:lineRule="exact"/>
        <w:rPr>
          <w:rFonts w:ascii="Arial" w:cs="Arial" w:eastAsia="Arial" w:hAnsi="Arial"/>
          <w:sz w:val="18"/>
          <w:szCs w:val="18"/>
          <w:color w:val="auto"/>
        </w:rPr>
      </w:pPr>
    </w:p>
    <w:p>
      <w:pPr>
        <w:ind w:left="980" w:right="460" w:hanging="324"/>
        <w:spacing w:after="0" w:line="289" w:lineRule="auto"/>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when executed and delivered is an original, but all of which taken together constitute one and same instrument.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Amendment to be duly executed effective as of the date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MACERICH COMPANY, a Maryland corporation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By: /s/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541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Steven R. Hash, Chairman of the Board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668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Thomas E. O’Hern</w:t>
      </w:r>
    </w:p>
    <w:p>
      <w:pPr>
        <w:sectPr>
          <w:pgSz w:w="11900" w:h="16838" w:orient="portrait"/>
          <w:cols w:equalWidth="0" w:num="1">
            <w:col w:w="11420"/>
          </w:cols>
          <w:pgMar w:left="240" w:top="1422" w:right="239" w:bottom="1440" w:gutter="0" w:footer="0" w:header="0"/>
        </w:sectPr>
      </w:pPr>
    </w:p>
    <w:bookmarkStart w:id="75" w:name="page76"/>
    <w:bookmarkEnd w:id="75"/>
    <w:p>
      <w:pPr>
        <w:ind w:left="10240"/>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MACERICH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FIRST AMENDMENT TO AMENDED AND RESTATED OFFER OF EMPLOYMENT</w:t>
      </w:r>
    </w:p>
    <w:p>
      <w:pPr>
        <w:spacing w:after="0" w:line="181" w:lineRule="exact"/>
        <w:rPr>
          <w:sz w:val="20"/>
          <w:szCs w:val="20"/>
          <w:color w:val="auto"/>
        </w:rPr>
      </w:pPr>
    </w:p>
    <w:p>
      <w:pPr>
        <w:ind w:right="400" w:firstLine="648"/>
        <w:spacing w:after="0" w:line="347" w:lineRule="auto"/>
        <w:rPr>
          <w:sz w:val="20"/>
          <w:szCs w:val="20"/>
          <w:color w:val="auto"/>
        </w:rPr>
      </w:pPr>
      <w:r>
        <w:rPr>
          <w:rFonts w:ascii="Arial" w:cs="Arial" w:eastAsia="Arial" w:hAnsi="Arial"/>
          <w:sz w:val="18"/>
          <w:szCs w:val="18"/>
          <w:color w:val="auto"/>
        </w:rPr>
        <w:t>This First Amendment to the Amended and Restated Offer of Employment, effective as of January 1, 2020 (this “Amendment”), is made by and between The Macerich Company, a Maryland corporation (the “Company”), and Ann C. Menard (the “Executive”).</w:t>
      </w:r>
    </w:p>
    <w:p>
      <w:pPr>
        <w:spacing w:after="0" w:line="63" w:lineRule="exact"/>
        <w:rPr>
          <w:sz w:val="20"/>
          <w:szCs w:val="20"/>
          <w:color w:val="auto"/>
        </w:rPr>
      </w:pPr>
    </w:p>
    <w:p>
      <w:pPr>
        <w:ind w:right="240" w:firstLine="648"/>
        <w:spacing w:after="0" w:line="289" w:lineRule="auto"/>
        <w:rPr>
          <w:sz w:val="20"/>
          <w:szCs w:val="20"/>
          <w:color w:val="auto"/>
        </w:rPr>
      </w:pPr>
      <w:r>
        <w:rPr>
          <w:rFonts w:ascii="Arial" w:cs="Arial" w:eastAsia="Arial" w:hAnsi="Arial"/>
          <w:sz w:val="20"/>
          <w:szCs w:val="20"/>
          <w:color w:val="auto"/>
        </w:rPr>
        <w:t>WHEREAS, the Company and the Executive entered into that certain Amended and Restated Offer of Employment dated as of April 30, 2018 (the “Employment Agreement”); and</w:t>
      </w:r>
    </w:p>
    <w:p>
      <w:pPr>
        <w:spacing w:after="0" w:line="94" w:lineRule="exact"/>
        <w:rPr>
          <w:sz w:val="20"/>
          <w:szCs w:val="20"/>
          <w:color w:val="auto"/>
        </w:rPr>
      </w:pPr>
    </w:p>
    <w:p>
      <w:pPr>
        <w:ind w:right="840" w:firstLine="648"/>
        <w:spacing w:after="0" w:line="289" w:lineRule="auto"/>
        <w:rPr>
          <w:sz w:val="20"/>
          <w:szCs w:val="20"/>
          <w:color w:val="auto"/>
        </w:rPr>
      </w:pPr>
      <w:r>
        <w:rPr>
          <w:rFonts w:ascii="Arial" w:cs="Arial" w:eastAsia="Arial" w:hAnsi="Arial"/>
          <w:sz w:val="20"/>
          <w:szCs w:val="20"/>
          <w:color w:val="auto"/>
        </w:rPr>
        <w:t>WHEREAS, the Company and the Executive desire to amend certain terms of the Employment Agreement as set forth in this Amendment.</w:t>
      </w:r>
    </w:p>
    <w:p>
      <w:pPr>
        <w:spacing w:after="0" w:line="108" w:lineRule="exact"/>
        <w:rPr>
          <w:sz w:val="20"/>
          <w:szCs w:val="20"/>
          <w:color w:val="auto"/>
        </w:rPr>
      </w:pPr>
    </w:p>
    <w:p>
      <w:pPr>
        <w:ind w:right="720" w:firstLine="648"/>
        <w:spacing w:after="0" w:line="316" w:lineRule="auto"/>
        <w:rPr>
          <w:sz w:val="20"/>
          <w:szCs w:val="20"/>
          <w:color w:val="auto"/>
        </w:rPr>
      </w:pPr>
      <w:r>
        <w:rPr>
          <w:rFonts w:ascii="Arial" w:cs="Arial" w:eastAsia="Arial" w:hAnsi="Arial"/>
          <w:sz w:val="19"/>
          <w:szCs w:val="19"/>
          <w:color w:val="auto"/>
        </w:rPr>
        <w:t>NOW, THEREFORE, in consideration of the premises and mutual covenants contained herein and for other good and valuable consideration, the receipt of which is mutually acknowledged, the Company and the Executive agree as follows:</w:t>
      </w:r>
    </w:p>
    <w:p>
      <w:pPr>
        <w:spacing w:after="0" w:line="86" w:lineRule="exact"/>
        <w:rPr>
          <w:sz w:val="20"/>
          <w:szCs w:val="20"/>
          <w:color w:val="auto"/>
        </w:rPr>
      </w:pPr>
    </w:p>
    <w:p>
      <w:pPr>
        <w:ind w:left="980" w:right="180" w:hanging="324"/>
        <w:spacing w:after="0" w:line="289"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sections of the Employment Agreement titled “Vacation” and “Personal Days” shall be deleted in their entirety in accordance with the Company’s Routine Time Off Policy, effective as of January 1, 2020.</w:t>
      </w:r>
    </w:p>
    <w:p>
      <w:pPr>
        <w:spacing w:after="0" w:line="202"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Except as expressly amended hereby, the Employment Agreement shall be and remain in full force and effect in accordance with its terms.</w:t>
      </w:r>
    </w:p>
    <w:p>
      <w:pPr>
        <w:spacing w:after="0" w:line="202" w:lineRule="exact"/>
        <w:rPr>
          <w:rFonts w:ascii="Arial" w:cs="Arial" w:eastAsia="Arial" w:hAnsi="Arial"/>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capitalized undefined terms used in this Amendment shall have the meanings assigned to them in the Employment Agreement.</w:t>
      </w:r>
    </w:p>
    <w:p>
      <w:pPr>
        <w:spacing w:after="0" w:line="292" w:lineRule="exact"/>
        <w:rPr>
          <w:rFonts w:ascii="Arial" w:cs="Arial" w:eastAsia="Arial" w:hAnsi="Arial"/>
          <w:sz w:val="18"/>
          <w:szCs w:val="18"/>
          <w:color w:val="auto"/>
        </w:rPr>
      </w:pPr>
    </w:p>
    <w:p>
      <w:pPr>
        <w:ind w:left="980" w:right="460" w:hanging="324"/>
        <w:spacing w:after="0" w:line="289"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when executed and delivered is an original, but all of which taken together constitute one and same instrument.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Amendment to be duly executed effective as of the date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MACERICH COMPANY, a Maryland corporation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By: /s/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357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Thomas E. O’Hern, Chief Executive Officer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Executive: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2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Ann C. Menard</w:t>
      </w:r>
    </w:p>
    <w:p>
      <w:pPr>
        <w:sectPr>
          <w:pgSz w:w="11900" w:h="16838" w:orient="portrait"/>
          <w:cols w:equalWidth="0" w:num="1">
            <w:col w:w="11420"/>
          </w:cols>
          <w:pgMar w:left="240" w:top="142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2019 of The Macerich Company;</w:t>
      </w:r>
    </w:p>
    <w:p>
      <w:pPr>
        <w:spacing w:after="0" w:line="15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980" w:right="240" w:hanging="324"/>
        <w:spacing w:after="0" w:line="264" w:lineRule="auto"/>
        <w:tabs>
          <w:tab w:leader="none" w:pos="9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980" w:right="720" w:hanging="324"/>
        <w:spacing w:after="0" w:line="342" w:lineRule="auto"/>
        <w:tabs>
          <w:tab w:leader="none" w:pos="977"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260" w:hanging="324"/>
        <w:spacing w:after="0" w:line="264"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80" w:right="140" w:hanging="324"/>
        <w:spacing w:after="0" w:line="277" w:lineRule="auto"/>
        <w:tabs>
          <w:tab w:leader="none" w:pos="9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80" w:right="120" w:hanging="324"/>
        <w:spacing w:after="0" w:line="277"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1045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28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98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2019 of The Macerich Company;</w:t>
      </w:r>
    </w:p>
    <w:p>
      <w:pPr>
        <w:spacing w:after="0" w:line="15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980" w:right="240" w:hanging="324"/>
        <w:spacing w:after="0" w:line="264" w:lineRule="auto"/>
        <w:tabs>
          <w:tab w:leader="none" w:pos="9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980" w:right="720" w:hanging="324"/>
        <w:spacing w:after="0" w:line="342" w:lineRule="auto"/>
        <w:tabs>
          <w:tab w:leader="none" w:pos="97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260" w:hanging="324"/>
        <w:spacing w:after="0" w:line="264" w:lineRule="auto"/>
        <w:tabs>
          <w:tab w:leader="none" w:pos="9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980" w:right="140" w:hanging="324"/>
        <w:spacing w:after="0" w:line="277" w:lineRule="auto"/>
        <w:tabs>
          <w:tab w:leader="none" w:pos="9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80" w:right="120" w:hanging="324"/>
        <w:spacing w:after="0" w:line="277" w:lineRule="auto"/>
        <w:tabs>
          <w:tab w:leader="none" w:pos="9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380"/>
        <w:spacing w:after="0"/>
        <w:tabs>
          <w:tab w:leader="none" w:pos="1200" w:val="left"/>
          <w:tab w:leader="none" w:pos="5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r>
        <w:rPr>
          <w:sz w:val="20"/>
          <w:szCs w:val="20"/>
          <w:color w:val="auto"/>
        </w:rPr>
        <w:tab/>
      </w:r>
      <w:r>
        <w:rPr>
          <w:rFonts w:ascii="Arial" w:cs="Arial" w:eastAsia="Arial" w:hAnsi="Arial"/>
          <w:sz w:val="16"/>
          <w:szCs w:val="16"/>
          <w:i w:val="1"/>
          <w:iCs w:val="1"/>
          <w:color w:val="auto"/>
        </w:rPr>
        <w:t>Executive Vice President and Chief Financial Officer</w:t>
      </w:r>
    </w:p>
    <w:p>
      <w:pPr>
        <w:sectPr>
          <w:pgSz w:w="11900" w:h="16838" w:orient="portrait"/>
          <w:cols w:equalWidth="0" w:num="1">
            <w:col w:w="11420"/>
          </w:cols>
          <w:pgMar w:left="240" w:top="98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35" w:lineRule="exact"/>
        <w:rPr>
          <w:sz w:val="20"/>
          <w:szCs w:val="20"/>
          <w:color w:val="auto"/>
        </w:rPr>
      </w:pPr>
    </w:p>
    <w:p>
      <w:pPr>
        <w:ind w:left="980" w:right="860" w:hanging="493"/>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2019 of the Company (the "Report") fully complies with the requirements of Section 13(a) and 15(d) of the Securities Exchange Act of 1934, as amended; and</w:t>
      </w:r>
    </w:p>
    <w:p>
      <w:pPr>
        <w:spacing w:after="0" w:line="48" w:lineRule="exact"/>
        <w:rPr>
          <w:rFonts w:ascii="Arial" w:cs="Arial" w:eastAsia="Arial" w:hAnsi="Arial"/>
          <w:sz w:val="18"/>
          <w:szCs w:val="18"/>
          <w:color w:val="auto"/>
        </w:rPr>
      </w:pPr>
    </w:p>
    <w:p>
      <w:pPr>
        <w:ind w:left="980" w:hanging="543"/>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9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2"/>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0"/>
    </w:lvl>
    <w:lvl w:ilvl="1">
      <w:lvlJc w:val="left"/>
      <w:lvlText w:val="(%2)"/>
      <w:numFmt w:val="decimal"/>
      <w:start w:val="11"/>
    </w:lvl>
  </w:abstractNum>
  <w:abstractNum w:abstractNumId="11">
    <w:nsid w:val="2463B9EA"/>
    <w:multiLevelType w:val="hybridMultilevel"/>
    <w:lvl w:ilvl="0">
      <w:lvlJc w:val="left"/>
      <w:lvlText w:val="%1)"/>
      <w:numFmt w:val="decimal"/>
      <w:start w:val="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2"/>
    </w:lvl>
  </w:abstractNum>
  <w:abstractNum w:abstractNumId="20">
    <w:nsid w:val="2A487CB0"/>
    <w:multiLevelType w:val="hybridMultilevel"/>
    <w:lvl w:ilvl="0">
      <w:lvlJc w:val="left"/>
      <w:lvlText w:val="%1."/>
      <w:numFmt w:val="decimal"/>
      <w:start w:val="3"/>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decimal"/>
      <w:start w:val="4"/>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Roman"/>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lvl w:ilvl="1">
      <w:lvlJc w:val="left"/>
      <w:lvlText w:val="(%2)"/>
      <w:numFmt w:val="lowerRoman"/>
      <w:start w:val="1"/>
    </w:lvl>
  </w:abstractNum>
  <w:abstractNum w:abstractNumId="27">
    <w:nsid w:val="542289EC"/>
    <w:multiLevelType w:val="hybridMultilevel"/>
    <w:lvl w:ilvl="0">
      <w:lvlJc w:val="left"/>
      <w:lvlText w:val="(%1)"/>
      <w:numFmt w:val="decimal"/>
      <w:start w:val="1"/>
    </w:lvl>
    <w:lvl w:ilvl="1">
      <w:lvlJc w:val="left"/>
      <w:lvlText w:val="%2"/>
      <w:numFmt w:val="lowerRoman"/>
      <w:start w:val="1"/>
    </w:lvl>
  </w:abstractNum>
  <w:abstractNum w:abstractNumId="28">
    <w:nsid w:val="6DE91B18"/>
    <w:multiLevelType w:val="hybridMultilevel"/>
    <w:lvl w:ilvl="0">
      <w:lvlJc w:val="left"/>
      <w:lvlText w:val="(%1)"/>
      <w:numFmt w:val="decimal"/>
      <w:start w:val="2"/>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3"/>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lowerRoman"/>
      <w:start w:val="1"/>
    </w:lvl>
  </w:abstractNum>
  <w:abstractNum w:abstractNumId="37">
    <w:nsid w:val="79A1DEAA"/>
    <w:multiLevelType w:val="hybridMultilevel"/>
    <w:lvl w:ilvl="0">
      <w:lvlJc w:val="left"/>
      <w:lvlText w:val="(%1)"/>
      <w:numFmt w:val="lowerRoman"/>
      <w:start w:val="3"/>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4"/>
    </w:lvl>
  </w:abstractNum>
  <w:abstractNum w:abstractNumId="40">
    <w:nsid w:val="70C6A529"/>
    <w:multiLevelType w:val="hybridMultilevel"/>
    <w:lvl w:ilvl="0">
      <w:lvlJc w:val="left"/>
      <w:lvlText w:val="(%1)"/>
      <w:numFmt w:val="lowerLetter"/>
      <w:start w:val="5"/>
    </w:lvl>
  </w:abstractNum>
  <w:abstractNum w:abstractNumId="41">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2">
    <w:nsid w:val="374A3FE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2"/>
    </w:lvl>
  </w:abstractNum>
  <w:abstractNum w:abstractNumId="45">
    <w:nsid w:val="649BB77C"/>
    <w:multiLevelType w:val="hybridMultilevel"/>
    <w:lvl w:ilvl="0">
      <w:lvlJc w:val="left"/>
      <w:lvlText w:val="%1."/>
      <w:numFmt w:val="lowerLetter"/>
      <w:start w:val="1"/>
    </w:lvl>
    <w:lvl w:ilvl="1">
      <w:lvlJc w:val="left"/>
      <w:lvlText w:val="(%2)"/>
      <w:numFmt w:val="lowerLetter"/>
      <w:start w:val="1"/>
    </w:lvl>
  </w:abstractNum>
  <w:abstractNum w:abstractNumId="46">
    <w:nsid w:val="275AC794"/>
    <w:multiLevelType w:val="hybridMultilevel"/>
    <w:lvl w:ilvl="0">
      <w:lvlJc w:val="left"/>
      <w:lvlText w:val="%1"/>
      <w:numFmt w:val="decimal"/>
      <w:start w:val="1"/>
    </w:lvl>
    <w:lvl w:ilvl="1">
      <w:lvlJc w:val="left"/>
      <w:lvlText w:val="(%2)"/>
      <w:numFmt w:val="lowerLetter"/>
      <w:start w:val="1"/>
    </w:lvl>
  </w:abstractNum>
  <w:abstractNum w:abstractNumId="47">
    <w:nsid w:val="39386575"/>
    <w:multiLevelType w:val="hybridMultilevel"/>
    <w:lvl w:ilvl="0">
      <w:lvlJc w:val="left"/>
      <w:lvlText w:val="%1."/>
      <w:numFmt w:val="decimal"/>
      <w:start w:val="1"/>
    </w:lvl>
    <w:lvl w:ilvl="1">
      <w:lvlJc w:val="left"/>
      <w:lvlText w:val="(%2)"/>
      <w:numFmt w:val="lowerLetter"/>
      <w:start w:val="1"/>
    </w:lvl>
  </w:abstractNum>
  <w:abstractNum w:abstractNumId="48">
    <w:nsid w:val="1CF10FD8"/>
    <w:multiLevelType w:val="hybridMultilevel"/>
    <w:lvl w:ilvl="0">
      <w:lvlJc w:val="left"/>
      <w:lvlText w:val="(%1)"/>
      <w:numFmt w:val="lowerLetter"/>
      <w:start w:val="3"/>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Roman"/>
      <w:start w:val="1"/>
    </w:lvl>
    <w:lvl w:ilvl="1">
      <w:lvlJc w:val="left"/>
      <w:lvlText w:val="(%2)"/>
      <w:numFmt w:val="lowerLetter"/>
      <w:start w:val="5"/>
    </w:lvl>
  </w:abstractNum>
  <w:abstractNum w:abstractNumId="52">
    <w:nsid w:val="354FE9F9"/>
    <w:multiLevelType w:val="hybridMultilevel"/>
    <w:lvl w:ilvl="0">
      <w:lvlJc w:val="left"/>
      <w:lvlText w:val="(%1)"/>
      <w:numFmt w:val="lowerRoman"/>
      <w:start w:val="2"/>
    </w:lvl>
    <w:lvl w:ilvl="1">
      <w:lvlJc w:val="left"/>
      <w:lvlText w:val="%2"/>
      <w:numFmt w:val="lowerLetter"/>
      <w:start w:val="1"/>
    </w:lvl>
  </w:abstractNum>
  <w:abstractNum w:abstractNumId="53">
    <w:nsid w:val="15B5AF5C"/>
    <w:multiLevelType w:val="hybridMultilevel"/>
    <w:lvl w:ilvl="0">
      <w:lvlJc w:val="left"/>
      <w:lvlText w:val="(%1)"/>
      <w:numFmt w:val="lowerRoman"/>
      <w:start w:val="4"/>
    </w:lvl>
    <w:lvl w:ilvl="1">
      <w:lvlJc w:val="left"/>
      <w:lvlText w:val="%2"/>
      <w:numFmt w:val="lowerLetter"/>
      <w:start w:val="1"/>
    </w:lvl>
  </w:abstractNum>
  <w:abstractNum w:abstractNumId="54">
    <w:nsid w:val="741226BB"/>
    <w:multiLevelType w:val="hybridMultilevel"/>
    <w:lvl w:ilvl="0">
      <w:lvlJc w:val="left"/>
      <w:lvlText w:val="%1."/>
      <w:numFmt w:val="decimal"/>
      <w:start w:val="1"/>
    </w:lvl>
    <w:lvl w:ilvl="1">
      <w:lvlJc w:val="left"/>
      <w:lvlText w:val="(%2)"/>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65" Type="http://schemas.openxmlformats.org/officeDocument/2006/relationships/hyperlink" Target="http://www.sec.gov/Archives/edgar/data/912242/000110465914081468/a14-24669_1ex2d1.htm" TargetMode="External"/><Relationship Id="rId66" Type="http://schemas.openxmlformats.org/officeDocument/2006/relationships/hyperlink" Target="http://www.sec.gov/Archives/edgar/data/912242/0001047469-99-012492.txt" TargetMode="External"/><Relationship Id="rId67" Type="http://schemas.openxmlformats.org/officeDocument/2006/relationships/hyperlink" Target="http://www.sec.gov/Archives/edgar/data/912242/000091205702030706/a2086079zex-3_1.htm" TargetMode="External"/><Relationship Id="rId68" Type="http://schemas.openxmlformats.org/officeDocument/2006/relationships/hyperlink" Target="http://www.sec.gov/Archives/edgar/data/912242/000091205702021417/a2080342zex-4_6.htm" TargetMode="External"/><Relationship Id="rId69" Type="http://schemas.openxmlformats.org/officeDocument/2006/relationships/hyperlink" Target="http://www.sec.gov/Archives/edgar/data/912242/000104746909001981/a2189901zex-3_15.htm" TargetMode="External"/><Relationship Id="rId70" Type="http://schemas.openxmlformats.org/officeDocument/2006/relationships/hyperlink" Target="http://www.sec.gov/Archives/edgar/data/912242/000110465909008348/a09-5253_1ex3d1.htm" TargetMode="External"/><Relationship Id="rId71" Type="http://schemas.openxmlformats.org/officeDocument/2006/relationships/hyperlink" Target="http://www.sec.gov/Archives/edgar/data/912242/000104746909007391/a2193924zex-3_17.htm" TargetMode="External"/><Relationship Id="rId72" Type="http://schemas.openxmlformats.org/officeDocument/2006/relationships/hyperlink" Target="http://www.sec.gov/Archives/edgar/data/912242/000110465914043330/a14-14485_1ex3d1.htm" TargetMode="External"/><Relationship Id="rId73" Type="http://schemas.openxmlformats.org/officeDocument/2006/relationships/hyperlink" Target="http://www.sec.gov/Archives/edgar/data/912242/000110465915020412/a15-6870_1ex3d1.htm" TargetMode="External"/><Relationship Id="rId74" Type="http://schemas.openxmlformats.org/officeDocument/2006/relationships/hyperlink" Target="http://www.sec.gov/Archives/edgar/data/912242/000110465915020810/a15-6873_1ex3d1.htm" TargetMode="External"/><Relationship Id="rId75" Type="http://schemas.openxmlformats.org/officeDocument/2006/relationships/hyperlink" Target="http://www.sec.gov/Archives/edgar/data/912242/000110465915037228/a15-11185_1ex3d1.htm" TargetMode="External"/><Relationship Id="rId76" Type="http://schemas.openxmlformats.org/officeDocument/2006/relationships/hyperlink" Target="http://www.sec.gov/Archives/edgar/data/912242/000110465915042631/a15-13305_1ex3d1.htm" TargetMode="External"/><Relationship Id="rId77" Type="http://schemas.openxmlformats.org/officeDocument/2006/relationships/hyperlink" Target="http://www.sec.gov/Archives/edgar/data/912242/000119312519129272/d731295dex31.htm" TargetMode="External"/><Relationship Id="rId78"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2019-12-28T03:10:48Z</dcterms:created>
  <dcterms:modified xsi:type="dcterms:W3CDTF">2019-12-28T03:10:48Z</dcterms:modified>
</cp:coreProperties>
</file>