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1426210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13"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143" w:lineRule="exact"/>
        <w:rPr>
          <w:rFonts w:ascii="MS PGothic" w:cs="MS PGothic" w:eastAsia="MS PGothic" w:hAnsi="MS PGothic"/>
          <w:sz w:val="21"/>
          <w:szCs w:val="21"/>
          <w:color w:val="auto"/>
        </w:rPr>
      </w:pPr>
    </w:p>
    <w:p>
      <w:pPr>
        <w:ind w:left="660"/>
        <w:spacing w:after="0"/>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202"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00" w:lineRule="exact"/>
        <w:rPr>
          <w:sz w:val="24"/>
          <w:szCs w:val="24"/>
          <w:color w:val="auto"/>
        </w:rPr>
      </w:pPr>
    </w:p>
    <w:p>
      <w:pPr>
        <w:spacing w:after="0" w:line="298"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Commission File No.: 1-12504</w:t>
      </w:r>
    </w:p>
    <w:p>
      <w:pPr>
        <w:spacing w:after="0" w:line="15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80"/>
          </w:cols>
          <w:pgMar w:left="320" w:top="1440" w:right="399" w:bottom="1440" w:gutter="0" w:footer="0" w:header="0"/>
        </w:sectPr>
      </w:pPr>
    </w:p>
    <w:p>
      <w:pPr>
        <w:spacing w:after="0" w:line="36"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6"/>
          <w:szCs w:val="16"/>
          <w:color w:val="auto"/>
        </w:rPr>
        <w:t>Maryland</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95-4448705</w:t>
      </w:r>
    </w:p>
    <w:p>
      <w:pPr>
        <w:spacing w:after="0" w:line="28" w:lineRule="exact"/>
        <w:rPr>
          <w:sz w:val="24"/>
          <w:szCs w:val="24"/>
          <w:color w:val="auto"/>
        </w:rPr>
      </w:pPr>
    </w:p>
    <w:p>
      <w:pPr>
        <w:sectPr>
          <w:pgSz w:w="11900" w:h="16838" w:orient="portrait"/>
          <w:cols w:equalWidth="0" w:num="2">
            <w:col w:w="7320" w:space="720"/>
            <w:col w:w="3140"/>
          </w:cols>
          <w:pgMar w:left="320" w:top="1440" w:right="39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6"/>
          <w:szCs w:val="16"/>
          <w:color w:val="auto"/>
        </w:rPr>
        <w:t>(State or other jurisdiction of</w:t>
      </w:r>
    </w:p>
    <w:p>
      <w:pPr>
        <w:ind w:left="188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Number)</w:t>
      </w:r>
    </w:p>
    <w:p>
      <w:pPr>
        <w:spacing w:after="0" w:line="193" w:lineRule="exact"/>
        <w:rPr>
          <w:sz w:val="24"/>
          <w:szCs w:val="24"/>
          <w:color w:val="auto"/>
        </w:rPr>
      </w:pPr>
    </w:p>
    <w:p>
      <w:pPr>
        <w:sectPr>
          <w:pgSz w:w="11900" w:h="16838" w:orient="portrait"/>
          <w:cols w:equalWidth="0" w:num="2">
            <w:col w:w="6380" w:space="720"/>
            <w:col w:w="4080"/>
          </w:cols>
          <w:pgMar w:left="320" w:top="1440" w:right="399" w:bottom="1440" w:gutter="0" w:footer="0" w:header="0"/>
          <w:type w:val="continuous"/>
        </w:sectPr>
      </w:pPr>
    </w:p>
    <w:p>
      <w:pPr>
        <w:jc w:val="center"/>
        <w:ind w:left="400"/>
        <w:spacing w:after="0"/>
        <w:rPr>
          <w:sz w:val="20"/>
          <w:szCs w:val="20"/>
          <w:color w:val="auto"/>
        </w:rPr>
      </w:pPr>
      <w:r>
        <w:rPr>
          <w:rFonts w:ascii="Times New Roman" w:cs="Times New Roman" w:eastAsia="Times New Roman" w:hAnsi="Times New Roman"/>
          <w:sz w:val="16"/>
          <w:szCs w:val="16"/>
          <w:color w:val="auto"/>
        </w:rPr>
        <w:t>401 Wilshire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Santa Monica,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California</w:t>
      </w:r>
    </w:p>
    <w:p>
      <w:pPr>
        <w:spacing w:after="0" w:line="20" w:lineRule="exact"/>
        <w:rPr>
          <w:sz w:val="24"/>
          <w:szCs w:val="24"/>
          <w:color w:val="auto"/>
        </w:rPr>
      </w:pPr>
      <w:r>
        <w:rPr>
          <w:sz w:val="24"/>
          <w:szCs w:val="24"/>
          <w:color w:val="auto"/>
        </w:rPr>
        <w:br w:type="column"/>
      </w:r>
    </w:p>
    <w:p>
      <w:pPr>
        <w:jc w:val="center"/>
        <w:ind w:right="2560"/>
        <w:spacing w:after="0"/>
        <w:rPr>
          <w:sz w:val="20"/>
          <w:szCs w:val="20"/>
          <w:color w:val="auto"/>
        </w:rPr>
      </w:pPr>
      <w:r>
        <w:rPr>
          <w:rFonts w:ascii="Times New Roman" w:cs="Times New Roman" w:eastAsia="Times New Roman" w:hAnsi="Times New Roman"/>
          <w:sz w:val="16"/>
          <w:szCs w:val="16"/>
          <w:color w:val="auto"/>
        </w:rPr>
        <w:t>90401</w:t>
      </w:r>
    </w:p>
    <w:p>
      <w:pPr>
        <w:spacing w:after="0" w:line="32" w:lineRule="exact"/>
        <w:rPr>
          <w:sz w:val="24"/>
          <w:szCs w:val="24"/>
          <w:color w:val="auto"/>
        </w:rPr>
      </w:pPr>
    </w:p>
    <w:p>
      <w:pPr>
        <w:sectPr>
          <w:pgSz w:w="11900" w:h="16838" w:orient="portrait"/>
          <w:cols w:equalWidth="0" w:num="5">
            <w:col w:w="2000" w:space="420"/>
            <w:col w:w="660" w:space="340"/>
            <w:col w:w="940" w:space="400"/>
            <w:col w:w="2740" w:space="720"/>
            <w:col w:w="2960"/>
          </w:cols>
          <w:pgMar w:left="320" w:top="1440" w:right="399"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32" w:lineRule="exact"/>
        <w:rPr>
          <w:sz w:val="24"/>
          <w:szCs w:val="24"/>
          <w:color w:val="auto"/>
        </w:rPr>
      </w:pPr>
    </w:p>
    <w:p>
      <w:pPr>
        <w:sectPr>
          <w:pgSz w:w="11900" w:h="16838" w:orient="portrait"/>
          <w:cols w:equalWidth="0" w:num="2">
            <w:col w:w="7340" w:space="720"/>
            <w:col w:w="3120"/>
          </w:cols>
          <w:pgMar w:left="320" w:top="1440" w:right="399" w:bottom="1440" w:gutter="0" w:footer="0" w:header="0"/>
          <w:type w:val="continuous"/>
        </w:sectPr>
      </w:pPr>
    </w:p>
    <w:p>
      <w:pPr>
        <w:jc w:val="center"/>
        <w:ind w:right="-339"/>
        <w:spacing w:after="0"/>
        <w:rPr>
          <w:sz w:val="20"/>
          <w:szCs w:val="20"/>
          <w:color w:val="auto"/>
        </w:rPr>
      </w:pPr>
      <w:r>
        <w:rPr>
          <w:rFonts w:ascii="Times New Roman" w:cs="Times New Roman" w:eastAsia="Times New Roman" w:hAnsi="Times New Roman"/>
          <w:sz w:val="16"/>
          <w:szCs w:val="16"/>
          <w:color w:val="auto"/>
        </w:rPr>
        <w:t>(310) 394-6000</w:t>
      </w:r>
    </w:p>
    <w:p>
      <w:pPr>
        <w:sectPr>
          <w:pgSz w:w="11900" w:h="16838" w:orient="portrait"/>
          <w:cols w:equalWidth="0" w:num="1">
            <w:col w:w="11180"/>
          </w:cols>
          <w:pgMar w:left="320" w:top="1440" w:right="399" w:bottom="1440" w:gutter="0" w:footer="0" w:header="0"/>
          <w:type w:val="continuous"/>
        </w:sectPr>
      </w:pPr>
    </w:p>
    <w:p>
      <w:pPr>
        <w:spacing w:after="0" w:line="3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8"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6"/>
          <w:szCs w:val="16"/>
          <w:color w:val="auto"/>
        </w:rPr>
        <w:t>N/A</w:t>
      </w:r>
    </w:p>
    <w:p>
      <w:pPr>
        <w:ind w:left="298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2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Act:</w:t>
      </w:r>
    </w:p>
    <w:p>
      <w:pPr>
        <w:sectPr>
          <w:pgSz w:w="11900" w:h="16838" w:orient="portrait"/>
          <w:cols w:equalWidth="0" w:num="1">
            <w:col w:w="11180"/>
          </w:cols>
          <w:pgMar w:left="320" w:top="1440" w:right="399" w:bottom="1440" w:gutter="0" w:footer="0" w:header="0"/>
          <w:type w:val="continuous"/>
        </w:sectPr>
      </w:pPr>
    </w:p>
    <w:p>
      <w:pPr>
        <w:spacing w:after="0" w:line="50"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color w:val="auto"/>
        </w:rPr>
        <w:t>Trading symbol</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MAC</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3">
            <w:col w:w="4040" w:space="720"/>
            <w:col w:w="2000" w:space="720"/>
            <w:col w:w="3700"/>
          </w:cols>
          <w:pgMar w:left="320" w:top="1440" w:right="399" w:bottom="1440" w:gutter="0" w:footer="0" w:header="0"/>
          <w:type w:val="continuous"/>
        </w:sectPr>
      </w:pPr>
    </w:p>
    <w:p>
      <w:pPr>
        <w:spacing w:after="0" w:line="52" w:lineRule="exact"/>
        <w:rPr>
          <w:sz w:val="24"/>
          <w:szCs w:val="24"/>
          <w:color w:val="auto"/>
        </w:rPr>
      </w:pPr>
    </w:p>
    <w:p>
      <w:pPr>
        <w:jc w:val="both"/>
        <w:ind w:right="180" w:firstLine="445"/>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1" w:lineRule="exact"/>
        <w:rPr>
          <w:sz w:val="24"/>
          <w:szCs w:val="24"/>
          <w:color w:val="auto"/>
        </w:rPr>
      </w:pPr>
    </w:p>
    <w:p>
      <w:pPr>
        <w:ind w:firstLine="445"/>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twelve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76" w:lineRule="exact"/>
        <w:rPr>
          <w:sz w:val="24"/>
          <w:szCs w:val="24"/>
          <w:color w:val="auto"/>
        </w:rPr>
      </w:pPr>
    </w:p>
    <w:p>
      <w:pPr>
        <w:ind w:right="280" w:firstLine="445"/>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80"/>
          </w:cols>
          <w:pgMar w:left="320" w:top="1440" w:right="399" w:bottom="1440" w:gutter="0" w:footer="0" w:header="0"/>
          <w:type w:val="continuous"/>
        </w:sectPr>
      </w:pPr>
    </w:p>
    <w:p>
      <w:pPr>
        <w:spacing w:after="0" w:line="2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both"/>
        <w:ind w:hanging="20"/>
        <w:spacing w:after="0" w:line="316" w:lineRule="auto"/>
        <w:rPr>
          <w:sz w:val="20"/>
          <w:szCs w:val="20"/>
          <w:color w:val="auto"/>
        </w:rPr>
      </w:pPr>
      <w:r>
        <w:rPr>
          <w:rFonts w:ascii="Times New Roman" w:cs="Times New Roman" w:eastAsia="Times New Roman" w:hAnsi="Times New Roman"/>
          <w:sz w:val="16"/>
          <w:szCs w:val="16"/>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0" w:lineRule="exact"/>
        <w:rPr>
          <w:sz w:val="24"/>
          <w:szCs w:val="24"/>
          <w:color w:val="auto"/>
        </w:rPr>
      </w:pPr>
    </w:p>
    <w:p>
      <w:pPr>
        <w:sectPr>
          <w:pgSz w:w="11900" w:h="16838" w:orient="portrait"/>
          <w:cols w:equalWidth="0" w:num="8">
            <w:col w:w="1920" w:space="480"/>
            <w:col w:w="80" w:space="520"/>
            <w:col w:w="1120" w:space="440"/>
            <w:col w:w="140" w:space="560"/>
            <w:col w:w="1440" w:space="560"/>
            <w:col w:w="540" w:space="720"/>
            <w:col w:w="1860" w:space="120"/>
            <w:col w:w="680"/>
          </w:cols>
          <w:pgMar w:left="320" w:top="1440" w:right="399" w:bottom="1440" w:gutter="0" w:footer="0" w:header="0"/>
          <w:type w:val="continuous"/>
        </w:sectPr>
      </w:pPr>
    </w:p>
    <w:p>
      <w:pPr>
        <w:ind w:right="80" w:firstLine="445"/>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2" w:lineRule="exact"/>
        <w:rPr>
          <w:sz w:val="24"/>
          <w:szCs w:val="24"/>
          <w:color w:val="auto"/>
        </w:rPr>
      </w:pPr>
    </w:p>
    <w:p>
      <w:pPr>
        <w:ind w:left="460"/>
        <w:spacing w:after="0" w:line="196" w:lineRule="exact"/>
        <w:tabs>
          <w:tab w:leader="none" w:pos="85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Number of shares outstanding as of May 9, 2022 of the registrant's common stock, par value $0.01 per share: 214,645,240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753745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60" w:type="dxa"/>
            <w:vAlign w:val="bottom"/>
            <w:gridSpan w:val="7"/>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THE MACERICH COMPANY</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60" w:type="dxa"/>
            <w:vAlign w:val="bottom"/>
            <w:gridSpan w:val="7"/>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60" w:type="dxa"/>
            <w:vAlign w:val="bottom"/>
            <w:gridSpan w:val="7"/>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7"/>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4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00" w:type="dxa"/>
            <w:vAlign w:val="bottom"/>
            <w:gridSpan w:val="3"/>
          </w:tcPr>
          <w:p>
            <w:pPr>
              <w:spacing w:after="0"/>
              <w:rPr>
                <w:sz w:val="21"/>
                <w:szCs w:val="21"/>
                <w:color w:val="auto"/>
              </w:rPr>
            </w:pPr>
          </w:p>
        </w:tc>
        <w:tc>
          <w:tcPr>
            <w:tcW w:w="2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4980" w:type="dxa"/>
            <w:vAlign w:val="bottom"/>
            <w:gridSpan w:val="8"/>
          </w:tcPr>
          <w:p>
            <w:pPr>
              <w:spacing w:after="0"/>
              <w:rPr>
                <w:sz w:val="21"/>
                <w:szCs w:val="21"/>
                <w:color w:val="auto"/>
              </w:rPr>
            </w:pP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Balance Sheets as of March 31, 2022 and December 31, 2021</w:t>
            </w: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months ended March 31, 2022 and 2021</w:t>
            </w: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for the three months ended March 31, 2022 and 2021</w:t>
            </w: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3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Equity for the three months ended March 31, 2022 and 2021</w:t>
            </w:r>
          </w:p>
        </w:tc>
        <w:tc>
          <w:tcPr>
            <w:tcW w:w="1020" w:type="dxa"/>
            <w:vAlign w:val="bottom"/>
            <w:gridSpan w:val="3"/>
          </w:tcPr>
          <w:p>
            <w:pPr>
              <w:spacing w:after="0"/>
              <w:rPr>
                <w:sz w:val="22"/>
                <w:szCs w:val="22"/>
                <w:color w:val="auto"/>
              </w:rPr>
            </w:pP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for the three months ended March 31, 2022 and 2021</w:t>
            </w:r>
          </w:p>
        </w:tc>
        <w:tc>
          <w:tcPr>
            <w:tcW w:w="720" w:type="dxa"/>
            <w:vAlign w:val="bottom"/>
          </w:tcPr>
          <w:p>
            <w:pPr>
              <w:spacing w:after="0"/>
              <w:rPr>
                <w:sz w:val="22"/>
                <w:szCs w:val="22"/>
                <w:color w:val="auto"/>
              </w:rPr>
            </w:pP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20" w:type="dxa"/>
            <w:vAlign w:val="bottom"/>
          </w:tcPr>
          <w:p>
            <w:pPr>
              <w:spacing w:after="0"/>
              <w:rPr>
                <w:sz w:val="22"/>
                <w:szCs w:val="22"/>
                <w:color w:val="auto"/>
              </w:rPr>
            </w:pP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500" w:type="dxa"/>
            <w:vAlign w:val="bottom"/>
            <w:gridSpan w:val="3"/>
          </w:tcPr>
          <w:p>
            <w:pPr>
              <w:spacing w:after="0"/>
              <w:rPr>
                <w:sz w:val="22"/>
                <w:szCs w:val="22"/>
                <w:color w:val="auto"/>
              </w:rPr>
            </w:pPr>
          </w:p>
        </w:tc>
        <w:tc>
          <w:tcPr>
            <w:tcW w:w="64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960" w:type="dxa"/>
            <w:vAlign w:val="bottom"/>
            <w:gridSpan w:val="2"/>
          </w:tcPr>
          <w:p>
            <w:pPr>
              <w:spacing w:after="0"/>
              <w:rPr>
                <w:sz w:val="22"/>
                <w:szCs w:val="22"/>
                <w:color w:val="auto"/>
              </w:rPr>
            </w:pPr>
          </w:p>
        </w:tc>
        <w:tc>
          <w:tcPr>
            <w:tcW w:w="26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r>
      <w:tr>
        <w:trPr>
          <w:trHeight w:val="264"/>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500" w:type="dxa"/>
            <w:vAlign w:val="bottom"/>
            <w:gridSpan w:val="3"/>
          </w:tcPr>
          <w:p>
            <w:pPr>
              <w:spacing w:after="0"/>
              <w:rPr>
                <w:sz w:val="22"/>
                <w:szCs w:val="22"/>
                <w:color w:val="auto"/>
              </w:rPr>
            </w:pPr>
          </w:p>
        </w:tc>
        <w:tc>
          <w:tcPr>
            <w:tcW w:w="4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040" w:type="dxa"/>
            <w:vAlign w:val="bottom"/>
            <w:gridSpan w:val="5"/>
          </w:tcPr>
          <w:p>
            <w:pPr>
              <w:spacing w:after="0"/>
              <w:rPr>
                <w:sz w:val="22"/>
                <w:szCs w:val="22"/>
                <w:color w:val="auto"/>
              </w:rPr>
            </w:pPr>
          </w:p>
        </w:tc>
        <w:tc>
          <w:tcPr>
            <w:tcW w:w="26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00" w:type="dxa"/>
            <w:vAlign w:val="bottom"/>
            <w:gridSpan w:val="3"/>
          </w:tcPr>
          <w:p>
            <w:pPr>
              <w:spacing w:after="0"/>
              <w:rPr>
                <w:sz w:val="22"/>
                <w:szCs w:val="22"/>
                <w:color w:val="auto"/>
              </w:rPr>
            </w:pPr>
          </w:p>
        </w:tc>
        <w:tc>
          <w:tcPr>
            <w:tcW w:w="7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04"/>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4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00" w:type="dxa"/>
            <w:vAlign w:val="bottom"/>
            <w:gridSpan w:val="3"/>
          </w:tcPr>
          <w:p>
            <w:pPr>
              <w:spacing w:after="0"/>
              <w:rPr>
                <w:sz w:val="21"/>
                <w:szCs w:val="21"/>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060" w:type="dxa"/>
            <w:vAlign w:val="bottom"/>
            <w:gridSpan w:val="11"/>
          </w:tcPr>
          <w:p>
            <w:pPr>
              <w:spacing w:after="0"/>
              <w:rPr>
                <w:sz w:val="21"/>
                <w:szCs w:val="21"/>
                <w:color w:val="auto"/>
              </w:rPr>
            </w:pPr>
          </w:p>
        </w:tc>
        <w:tc>
          <w:tcPr>
            <w:tcW w:w="260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63"/>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7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2"/>
                <w:szCs w:val="22"/>
                <w:color w:val="auto"/>
              </w:rPr>
            </w:pPr>
          </w:p>
        </w:tc>
        <w:tc>
          <w:tcPr>
            <w:tcW w:w="380" w:type="dxa"/>
            <w:vAlign w:val="bottom"/>
            <w:gridSpan w:val="2"/>
          </w:tcPr>
          <w:p>
            <w:pPr>
              <w:spacing w:after="0"/>
              <w:rPr>
                <w:sz w:val="22"/>
                <w:szCs w:val="22"/>
                <w:color w:val="auto"/>
              </w:rPr>
            </w:pPr>
          </w:p>
        </w:tc>
        <w:tc>
          <w:tcPr>
            <w:tcW w:w="7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r>
      <w:tr>
        <w:trPr>
          <w:trHeight w:val="263"/>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500" w:type="dxa"/>
            <w:vAlign w:val="bottom"/>
            <w:gridSpan w:val="3"/>
          </w:tcPr>
          <w:p>
            <w:pPr>
              <w:spacing w:after="0"/>
              <w:rPr>
                <w:sz w:val="22"/>
                <w:szCs w:val="22"/>
                <w:color w:val="auto"/>
              </w:rPr>
            </w:pPr>
          </w:p>
        </w:tc>
        <w:tc>
          <w:tcPr>
            <w:tcW w:w="43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060" w:type="dxa"/>
            <w:vAlign w:val="bottom"/>
            <w:gridSpan w:val="6"/>
          </w:tcPr>
          <w:p>
            <w:pPr>
              <w:spacing w:after="0"/>
              <w:rPr>
                <w:sz w:val="22"/>
                <w:szCs w:val="22"/>
                <w:color w:val="auto"/>
              </w:rPr>
            </w:pPr>
          </w:p>
        </w:tc>
        <w:tc>
          <w:tcPr>
            <w:tcW w:w="260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63"/>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00" w:type="dxa"/>
            <w:vAlign w:val="bottom"/>
            <w:gridSpan w:val="3"/>
          </w:tcPr>
          <w:p>
            <w:pPr>
              <w:spacing w:after="0"/>
              <w:rPr>
                <w:sz w:val="22"/>
                <w:szCs w:val="22"/>
                <w:color w:val="auto"/>
              </w:rPr>
            </w:pPr>
          </w:p>
        </w:tc>
        <w:tc>
          <w:tcPr>
            <w:tcW w:w="2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080" w:type="dxa"/>
            <w:vAlign w:val="bottom"/>
            <w:gridSpan w:val="9"/>
          </w:tcPr>
          <w:p>
            <w:pPr>
              <w:spacing w:after="0"/>
              <w:rPr>
                <w:sz w:val="22"/>
                <w:szCs w:val="22"/>
                <w:color w:val="auto"/>
              </w:rPr>
            </w:pPr>
          </w:p>
        </w:tc>
        <w:tc>
          <w:tcPr>
            <w:tcW w:w="260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64"/>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500" w:type="dxa"/>
            <w:vAlign w:val="bottom"/>
            <w:gridSpan w:val="3"/>
          </w:tcPr>
          <w:p>
            <w:pPr>
              <w:spacing w:after="0"/>
              <w:rPr>
                <w:sz w:val="22"/>
                <w:szCs w:val="22"/>
                <w:color w:val="auto"/>
              </w:rPr>
            </w:pP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2"/>
                <w:szCs w:val="22"/>
                <w:color w:val="auto"/>
              </w:rPr>
            </w:pPr>
          </w:p>
        </w:tc>
        <w:tc>
          <w:tcPr>
            <w:tcW w:w="5640" w:type="dxa"/>
            <w:vAlign w:val="bottom"/>
            <w:gridSpan w:val="10"/>
          </w:tcPr>
          <w:p>
            <w:pPr>
              <w:spacing w:after="0"/>
              <w:rPr>
                <w:sz w:val="22"/>
                <w:szCs w:val="22"/>
                <w:color w:val="auto"/>
              </w:rPr>
            </w:pPr>
          </w:p>
        </w:tc>
        <w:tc>
          <w:tcPr>
            <w:tcW w:w="260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63"/>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500" w:type="dxa"/>
            <w:vAlign w:val="bottom"/>
            <w:gridSpan w:val="3"/>
          </w:tcPr>
          <w:p>
            <w:pPr>
              <w:spacing w:after="0"/>
              <w:rPr>
                <w:sz w:val="22"/>
                <w:szCs w:val="22"/>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6800" w:type="dxa"/>
            <w:vAlign w:val="bottom"/>
            <w:gridSpan w:val="14"/>
          </w:tcPr>
          <w:p>
            <w:pPr>
              <w:spacing w:after="0"/>
              <w:rPr>
                <w:sz w:val="22"/>
                <w:szCs w:val="22"/>
                <w:color w:val="auto"/>
              </w:rPr>
            </w:pPr>
          </w:p>
        </w:tc>
        <w:tc>
          <w:tcPr>
            <w:tcW w:w="26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63"/>
        </w:trPr>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Signature</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5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(Dollars in thousands, except par value)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6,223,984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6,284,206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112,454</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54,517</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and other receivables,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211,361</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110,638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254,908</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1,263,252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1,317,571</w:t>
            </w:r>
          </w:p>
        </w:tc>
      </w:tr>
      <w:tr>
        <w:trPr>
          <w:trHeight w:val="223"/>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8,209,680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8,345,655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notes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4,414,557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4,423,554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and other notes payable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104,811</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affiliates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80,711</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254,279</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in excess of investments in unconsolidated joint ventures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arrangement obligation</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121,531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118,988</w:t>
            </w:r>
          </w:p>
        </w:tc>
      </w:tr>
      <w:tr>
        <w:trPr>
          <w:trHeight w:val="223"/>
        </w:trPr>
        <w:tc>
          <w:tcPr>
            <w:tcW w:w="82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5,106,176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5,169,506</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5"/>
        </w:trPr>
        <w:tc>
          <w:tcPr>
            <w:tcW w:w="82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$0.01 par value, 500,000,000 shares authorized at March 31, 2022 and December 31, 2021,</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82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and 214,901,377 and 214,797,057 shares issued and outstanding at March 31, 2022 and December 31, 2021,</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5,493,662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5,488,440</w:t>
            </w: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(2,513,179)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(2,443,696)</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2,982,638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3,046,867</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129,282</w:t>
            </w:r>
          </w:p>
        </w:tc>
      </w:tr>
      <w:tr>
        <w:trPr>
          <w:trHeight w:val="223"/>
        </w:trPr>
        <w:tc>
          <w:tcPr>
            <w:tcW w:w="82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3,103,504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3,176,149</w:t>
            </w:r>
          </w:p>
        </w:tc>
      </w:tr>
      <w:tr>
        <w:trPr>
          <w:trHeight w:val="248"/>
        </w:trPr>
        <w:tc>
          <w:tcPr>
            <w:tcW w:w="82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8,209,680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8,345,655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9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1700" w:type="dxa"/>
        <w:tblCellMar>
          <w:top w:w="0" w:type="dxa"/>
          <w:left w:w="0" w:type="dxa"/>
          <w:bottom w:w="0" w:type="dxa"/>
          <w:right w:w="0" w:type="dxa"/>
        </w:tblCellMar>
      </w:tblPr>
      <w:tr>
        <w:trPr>
          <w:trHeight w:val="200"/>
        </w:trPr>
        <w:tc>
          <w:tcPr>
            <w:tcW w:w="57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2"/>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Leasing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203,412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179,535</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5,321</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Management Companies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5,568</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216,144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190,424</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76,155</w:t>
            </w:r>
          </w:p>
        </w:tc>
        <w:tc>
          <w:tcPr>
            <w:tcW w:w="0" w:type="dxa"/>
            <w:vAlign w:val="bottom"/>
          </w:tcPr>
          <w:p>
            <w:pPr>
              <w:spacing w:after="0"/>
              <w:rPr>
                <w:sz w:val="1"/>
                <w:szCs w:val="1"/>
                <w:color w:val="auto"/>
              </w:rPr>
            </w:pPr>
          </w:p>
        </w:tc>
      </w:tr>
      <w:tr>
        <w:trPr>
          <w:trHeight w:val="195"/>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Leasing expenses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5,166</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Management Companies' operating expenses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14,843</w:t>
            </w:r>
          </w:p>
        </w:tc>
        <w:tc>
          <w:tcPr>
            <w:tcW w:w="0" w:type="dxa"/>
            <w:vAlign w:val="bottom"/>
          </w:tcPr>
          <w:p>
            <w:pPr>
              <w:spacing w:after="0"/>
              <w:rPr>
                <w:sz w:val="1"/>
                <w:szCs w:val="1"/>
                <w:color w:val="auto"/>
              </w:rPr>
            </w:pPr>
          </w:p>
        </w:tc>
      </w:tr>
      <w:tr>
        <w:trPr>
          <w:trHeight w:val="195"/>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REIT general and administrative expenses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8,087</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72,856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78,396</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177,194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182,647</w:t>
            </w:r>
          </w:p>
        </w:tc>
        <w:tc>
          <w:tcPr>
            <w:tcW w:w="0" w:type="dxa"/>
            <w:vAlign w:val="bottom"/>
          </w:tcPr>
          <w:p>
            <w:pPr>
              <w:spacing w:after="0"/>
              <w:rPr>
                <w:sz w:val="1"/>
                <w:szCs w:val="1"/>
                <w:color w:val="auto"/>
              </w:rPr>
            </w:pPr>
          </w:p>
        </w:tc>
      </w:tr>
      <w:tr>
        <w:trPr>
          <w:trHeight w:val="183"/>
        </w:trPr>
        <w:tc>
          <w:tcPr>
            <w:tcW w:w="5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Related parties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43,859</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52,577</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51,861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53,896</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expenses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229,055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236,543</w:t>
            </w:r>
          </w:p>
        </w:tc>
        <w:tc>
          <w:tcPr>
            <w:tcW w:w="0" w:type="dxa"/>
            <w:vAlign w:val="bottom"/>
          </w:tcPr>
          <w:p>
            <w:pPr>
              <w:spacing w:after="0"/>
              <w:rPr>
                <w:sz w:val="1"/>
                <w:szCs w:val="1"/>
                <w:color w:val="auto"/>
              </w:rPr>
            </w:pPr>
          </w:p>
        </w:tc>
      </w:tr>
      <w:tr>
        <w:trPr>
          <w:trHeight w:val="195"/>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Equity in (loss) income of unconsolidated joint ventures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(2,238)</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Gain (loss) on sale or write down of assets, net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(21,283)</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(37,354)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(67,730)</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0" w:type="dxa"/>
            <w:vAlign w:val="bottom"/>
          </w:tcPr>
          <w:p>
            <w:pPr>
              <w:spacing w:after="0"/>
              <w:rPr>
                <w:sz w:val="1"/>
                <w:szCs w:val="1"/>
                <w:color w:val="auto"/>
              </w:rPr>
            </w:pPr>
          </w:p>
        </w:tc>
      </w:tr>
      <w:tr>
        <w:trPr>
          <w:trHeight w:val="228"/>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attributable to the Company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(37,182)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(63,604)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Loss per common share—attributable to common stockholders: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214,819,000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158,580,000</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214,819,000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158,580,000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1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96"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1680" w:type="dxa"/>
        <w:tblCellMar>
          <w:top w:w="0" w:type="dxa"/>
          <w:left w:w="0" w:type="dxa"/>
          <w:bottom w:w="0" w:type="dxa"/>
          <w:right w:w="0" w:type="dxa"/>
        </w:tblCellMar>
      </w:tblPr>
      <w:tr>
        <w:trPr>
          <w:trHeight w:val="200"/>
        </w:trPr>
        <w:tc>
          <w:tcPr>
            <w:tcW w:w="57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(37,354)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(67,730)</w:t>
            </w:r>
          </w:p>
        </w:tc>
      </w:tr>
      <w:tr>
        <w:trPr>
          <w:trHeight w:val="195"/>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cap/swap agreements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2,694</w:t>
            </w:r>
          </w:p>
        </w:tc>
      </w:tr>
      <w:tr>
        <w:trPr>
          <w:trHeight w:val="189"/>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(65,036)</w:t>
            </w:r>
          </w:p>
        </w:tc>
      </w:tr>
      <w:tr>
        <w:trPr>
          <w:trHeight w:val="20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(4,126)</w:t>
            </w:r>
          </w:p>
        </w:tc>
      </w:t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the Company</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(37,151)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(60,910)</w:t>
            </w:r>
          </w:p>
        </w:tc>
      </w:tr>
      <w:tr>
        <w:trPr>
          <w:trHeight w:val="20"/>
        </w:trPr>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w:t>
      </w:r>
    </w:p>
    <w:p>
      <w:pPr>
        <w:spacing w:after="0" w:line="52"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restart"/>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8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Par</w:t>
            </w: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rPr>
                <w:sz w:val="4"/>
                <w:szCs w:val="4"/>
                <w:color w:val="auto"/>
              </w:rPr>
            </w:pPr>
          </w:p>
        </w:tc>
        <w:tc>
          <w:tcPr>
            <w:tcW w:w="74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0"/>
                <w:szCs w:val="10"/>
                <w:color w:val="auto"/>
              </w:rPr>
            </w:pPr>
          </w:p>
        </w:tc>
        <w:tc>
          <w:tcPr>
            <w:tcW w:w="11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5"/>
                <w:szCs w:val="15"/>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80" w:type="dxa"/>
            <w:vAlign w:val="bottom"/>
          </w:tcPr>
          <w:p>
            <w:pPr>
              <w:spacing w:after="0"/>
              <w:rPr>
                <w:sz w:val="15"/>
                <w:szCs w:val="15"/>
                <w:color w:val="auto"/>
              </w:rPr>
            </w:pPr>
          </w:p>
        </w:tc>
        <w:tc>
          <w:tcPr>
            <w:tcW w:w="7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6"/>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January 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214,797,057</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5,488,440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(2,443,696)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3,046,867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129,282</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3,176,149</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(37,182)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(37,182)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(37,354)</w:t>
            </w: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cap agreement</w:t>
            </w: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Amortization of share and unit-</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based plans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104,320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4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6,062</w:t>
            </w: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offerings, net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Distributions paid ($0.15 per share)</w:t>
            </w: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(32,301)</w:t>
            </w:r>
          </w:p>
        </w:tc>
        <w:tc>
          <w:tcPr>
            <w:tcW w:w="0" w:type="dxa"/>
            <w:vAlign w:val="bottom"/>
          </w:tcPr>
          <w:p>
            <w:pPr>
              <w:spacing w:after="0"/>
              <w:rPr>
                <w:sz w:val="1"/>
                <w:szCs w:val="1"/>
                <w:color w:val="auto"/>
              </w:rPr>
            </w:pPr>
          </w:p>
        </w:tc>
      </w:tr>
      <w:tr>
        <w:trPr>
          <w:trHeight w:val="127"/>
        </w:trPr>
        <w:tc>
          <w:tcPr>
            <w:tcW w:w="18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(9,013)</w:t>
            </w: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 in Operating Partnership</w:t>
            </w: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4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1"/>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March 31, 2022</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214,901,377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5,493,662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(2,513,179)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2,982,638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120,866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3,103,504</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8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restart"/>
          </w:tcPr>
          <w:p>
            <w:pPr>
              <w:jc w:val="center"/>
              <w:ind w:right="280"/>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880" w:type="dxa"/>
            <w:vAlign w:val="bottom"/>
          </w:tcPr>
          <w:p>
            <w:pPr>
              <w:spacing w:after="0"/>
              <w:rPr>
                <w:sz w:val="11"/>
                <w:szCs w:val="11"/>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1"/>
                <w:szCs w:val="11"/>
                <w:color w:val="auto"/>
              </w:rPr>
            </w:pPr>
          </w:p>
        </w:tc>
        <w:tc>
          <w:tcPr>
            <w:tcW w:w="6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1"/>
                <w:szCs w:val="11"/>
                <w:color w:val="auto"/>
              </w:rPr>
            </w:pPr>
          </w:p>
        </w:tc>
        <w:tc>
          <w:tcPr>
            <w:tcW w:w="11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rPr>
                <w:sz w:val="11"/>
                <w:szCs w:val="11"/>
                <w:color w:val="auto"/>
              </w:rPr>
            </w:pPr>
          </w:p>
        </w:tc>
        <w:tc>
          <w:tcPr>
            <w:tcW w:w="74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80" w:type="dxa"/>
            <w:vAlign w:val="bottom"/>
          </w:tcPr>
          <w:p>
            <w:pPr>
              <w:spacing w:after="0"/>
              <w:rPr>
                <w:sz w:val="14"/>
                <w:szCs w:val="14"/>
                <w:color w:val="auto"/>
              </w:rPr>
            </w:pPr>
          </w:p>
        </w:tc>
        <w:tc>
          <w:tcPr>
            <w:tcW w:w="7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January 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149,770,575</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4,603,378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(2,339,619)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2,257,049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188,211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2,445,260</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(67,730)</w:t>
            </w: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cap/swap agreements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2,694</w:t>
            </w: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Amortization of share and unit-</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based plans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94,753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5,031</w:t>
            </w: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offerings, net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45,992,318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637,684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638,144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638,144</w:t>
            </w:r>
          </w:p>
        </w:tc>
        <w:tc>
          <w:tcPr>
            <w:tcW w:w="0" w:type="dxa"/>
            <w:vAlign w:val="bottom"/>
          </w:tcPr>
          <w:p>
            <w:pPr>
              <w:spacing w:after="0"/>
              <w:rPr>
                <w:sz w:val="1"/>
                <w:szCs w:val="1"/>
                <w:color w:val="auto"/>
              </w:rPr>
            </w:pPr>
          </w:p>
        </w:tc>
      </w:tr>
      <w:tr>
        <w:trPr>
          <w:trHeight w:val="170"/>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Distributions paid ($0.15 per share)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(23,332)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(23,332)</w:t>
            </w:r>
          </w:p>
        </w:tc>
        <w:tc>
          <w:tcPr>
            <w:tcW w:w="0" w:type="dxa"/>
            <w:vAlign w:val="bottom"/>
          </w:tcPr>
          <w:p>
            <w:pPr>
              <w:spacing w:after="0"/>
              <w:rPr>
                <w:sz w:val="1"/>
                <w:szCs w:val="1"/>
                <w:color w:val="auto"/>
              </w:rPr>
            </w:pPr>
          </w:p>
        </w:tc>
      </w:tr>
      <w:tr>
        <w:trPr>
          <w:trHeight w:val="127"/>
        </w:trPr>
        <w:tc>
          <w:tcPr>
            <w:tcW w:w="18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(3,338)</w:t>
            </w:r>
          </w:p>
        </w:tc>
        <w:tc>
          <w:tcPr>
            <w:tcW w:w="0" w:type="dxa"/>
            <w:vAlign w:val="bottom"/>
          </w:tcPr>
          <w:p>
            <w:pPr>
              <w:spacing w:after="0"/>
              <w:rPr>
                <w:sz w:val="1"/>
                <w:szCs w:val="1"/>
                <w:color w:val="auto"/>
              </w:rPr>
            </w:pPr>
          </w:p>
        </w:tc>
      </w:tr>
      <w:tr>
        <w:trPr>
          <w:trHeight w:val="121"/>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Contributions from noncontrolling</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0" w:type="dxa"/>
            <w:vAlign w:val="bottom"/>
          </w:tcPr>
          <w:p>
            <w:pPr>
              <w:spacing w:after="0"/>
              <w:rPr>
                <w:sz w:val="1"/>
                <w:szCs w:val="1"/>
                <w:color w:val="auto"/>
              </w:rPr>
            </w:pPr>
          </w:p>
        </w:tc>
      </w:tr>
      <w:tr>
        <w:trPr>
          <w:trHeight w:val="130"/>
        </w:trPr>
        <w:tc>
          <w:tcPr>
            <w:tcW w:w="18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Conversion of noncontrolling</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 to common shares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1,178,530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22,218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(22,218)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Redemption of noncontrolling</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0"/>
        </w:trPr>
        <w:tc>
          <w:tcPr>
            <w:tcW w:w="18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 in Operating Partnership</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March 31, 2021</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197,036,176</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5,263,994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(2,426,555)</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2,833,896</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163,409</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2,997,305</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8220" w:type="dxa"/>
            <w:vAlign w:val="bottom"/>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2"/>
        </w:trPr>
        <w:tc>
          <w:tcPr>
            <w:tcW w:w="26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5"/>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1"/>
        </w:trPr>
        <w:tc>
          <w:tcPr>
            <w:tcW w:w="26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5"/>
        </w:trPr>
        <w:tc>
          <w:tcPr>
            <w:tcW w:w="260" w:type="dxa"/>
            <w:vAlign w:val="bottom"/>
          </w:tcPr>
          <w:p>
            <w:pPr>
              <w:spacing w:after="0"/>
              <w:rPr>
                <w:sz w:val="19"/>
                <w:szCs w:val="19"/>
                <w:color w:val="auto"/>
              </w:rPr>
            </w:pPr>
          </w:p>
        </w:tc>
        <w:tc>
          <w:tcPr>
            <w:tcW w:w="8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(67,730)</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loss on sale or write down of assets, net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21,283</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80,812</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share and unit-based plans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Straight-line rent and amortization of above and below market leases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loss (income) of unconsolidated joint ventures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financing arrangement obligation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 net of dispositions: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Tenant and other receivables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52,684</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Due from affiliates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(31,596)</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52,219</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Development, redevelopment, expansion and renovation of properties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(14,819)</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improvements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repayment of notes receivable</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leasing costs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from unconsolidated joint ventures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21,341</w:t>
            </w:r>
          </w:p>
        </w:tc>
        <w:tc>
          <w:tcPr>
            <w:tcW w:w="24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 to unconsolidated joint ventures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(25,673)</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collection of receivable in connection with sale of joint venture property</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100,334</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73,739</w:t>
            </w:r>
          </w:p>
        </w:tc>
        <w:tc>
          <w:tcPr>
            <w:tcW w:w="240" w:type="dxa"/>
            <w:vAlign w:val="bottom"/>
          </w:tcPr>
          <w:p>
            <w:pPr>
              <w:spacing w:after="0"/>
              <w:rPr>
                <w:sz w:val="19"/>
                <w:szCs w:val="19"/>
                <w:color w:val="auto"/>
              </w:rPr>
            </w:pPr>
          </w:p>
        </w:tc>
      </w:tr>
      <w:tr>
        <w:trPr>
          <w:trHeight w:val="898"/>
        </w:trPr>
        <w:tc>
          <w:tcPr>
            <w:tcW w:w="8480" w:type="dxa"/>
            <w:vAlign w:val="bottom"/>
            <w:gridSpan w:val="2"/>
          </w:tcPr>
          <w:p>
            <w:pPr>
              <w:jc w:val="right"/>
              <w:ind w:right="27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8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0"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822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89"/>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tcPr>
          <w:p>
            <w:pPr>
              <w:jc w:val="center"/>
              <w:ind w:right="31"/>
              <w:spacing w:after="0" w:line="189" w:lineRule="exact"/>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1"/>
        </w:trPr>
        <w:tc>
          <w:tcPr>
            <w:tcW w:w="8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40" w:type="dxa"/>
            <w:vAlign w:val="bottom"/>
            <w:tcBorders>
              <w:bottom w:val="single" w:sz="8" w:color="auto"/>
            </w:tcBorders>
          </w:tcPr>
          <w:p>
            <w:pPr>
              <w:spacing w:after="0"/>
              <w:rPr>
                <w:sz w:val="20"/>
                <w:szCs w:val="20"/>
                <w:color w:val="auto"/>
              </w:rPr>
            </w:pPr>
          </w:p>
        </w:tc>
      </w:tr>
      <w:tr>
        <w:trPr>
          <w:trHeight w:val="225"/>
        </w:trPr>
        <w:tc>
          <w:tcPr>
            <w:tcW w:w="8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mortgages, bank and other notes payable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(23,986)</w:t>
            </w:r>
          </w:p>
        </w:tc>
      </w:tr>
      <w:tr>
        <w:trPr>
          <w:trHeight w:val="23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(costs) proceeds from stock offerings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597,007</w:t>
            </w: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 of noncontrolling interests</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 from noncontrolling interests</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Dividends and distributions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(26,670)</w:t>
            </w:r>
          </w:p>
        </w:tc>
      </w:tr>
      <w:tr>
        <w:trPr>
          <w:trHeight w:val="22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542,451</w:t>
            </w:r>
          </w:p>
        </w:tc>
      </w:tr>
      <w:tr>
        <w:trPr>
          <w:trHeight w:val="22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668,409</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482,659</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184,177</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1,151,068</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payments for interest, net of amounts capitalized</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46,463</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61,041</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3"/>
        </w:trPr>
        <w:tc>
          <w:tcPr>
            <w:tcW w:w="82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Accrued development costs included in accounts payable and accrued expenses and other accrued liabilities</w:t>
            </w:r>
          </w:p>
        </w:tc>
        <w:tc>
          <w:tcPr>
            <w:tcW w:w="120" w:type="dxa"/>
            <w:vAlign w:val="bottom"/>
            <w:tcBorders>
              <w:bottom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18,881</w:t>
            </w:r>
          </w:p>
        </w:tc>
        <w:tc>
          <w:tcPr>
            <w:tcW w:w="100" w:type="dxa"/>
            <w:vAlign w:val="bottom"/>
          </w:tcPr>
          <w:p>
            <w:pPr>
              <w:spacing w:after="0"/>
              <w:rPr>
                <w:sz w:val="17"/>
                <w:szCs w:val="17"/>
                <w:color w:val="auto"/>
              </w:rPr>
            </w:pPr>
          </w:p>
        </w:tc>
        <w:tc>
          <w:tcPr>
            <w:tcW w:w="380" w:type="dxa"/>
            <w:vAlign w:val="bottom"/>
            <w:tcBorders>
              <w:bottom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25,248</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9"/>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Conversion of Operating Partnership Units to common stock</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r>
        <w:trPr>
          <w:trHeight w:val="203"/>
        </w:trPr>
        <w:tc>
          <w:tcPr>
            <w:tcW w:w="822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Accrued receivable of net proceeds from stock offering</w:t>
            </w:r>
          </w:p>
        </w:tc>
        <w:tc>
          <w:tcPr>
            <w:tcW w:w="12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41,137</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5"/>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 recorded in connection with right-of-use assets</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8" w:right="5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62" w:lineRule="exact"/>
        <w:rPr>
          <w:sz w:val="20"/>
          <w:szCs w:val="20"/>
          <w:color w:val="auto"/>
        </w:rPr>
      </w:pPr>
    </w:p>
    <w:p>
      <w:pPr>
        <w:ind w:right="540" w:firstLine="445"/>
        <w:spacing w:after="0" w:line="282" w:lineRule="auto"/>
        <w:rPr>
          <w:sz w:val="20"/>
          <w:szCs w:val="20"/>
          <w:color w:val="auto"/>
        </w:rPr>
      </w:pPr>
      <w:r>
        <w:rPr>
          <w:rFonts w:ascii="Times New Roman" w:cs="Times New Roman" w:eastAsia="Times New Roman" w:hAnsi="Times New Roman"/>
          <w:sz w:val="18"/>
          <w:szCs w:val="18"/>
          <w:color w:val="auto"/>
        </w:rPr>
        <w:t>The Macerich Company (the "Company") is involved in the acquisition, ownership, development, redevelopment, management and leasing of regional town centers and community/power shopping centers (the "Centers") located throughout the United States.</w:t>
      </w:r>
    </w:p>
    <w:p>
      <w:pPr>
        <w:spacing w:after="0" w:line="8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commenced operations effective with the completion of its initial public offering on March 16, 1994. As of March 31, 2022, the Company was the sole general partner of and held a 96% ownership interest in The Macerich Partnership, L.P. (the "Operating Partnership"). The Company was organized to qualify as a real estate investment trust ("REIT") under the Internal Revenue Code of 1986, as amended (the "Code").</w:t>
      </w:r>
    </w:p>
    <w:p>
      <w:pPr>
        <w:spacing w:after="0" w:line="108"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120"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All references to the Company in this Quarterly Report on Form 10-Q include the Company, those entities owned or controlled by the Company and predecessors of the Company, unless the context indicates otherwise.</w:t>
      </w:r>
    </w:p>
    <w:p>
      <w:pPr>
        <w:spacing w:after="0" w:line="77" w:lineRule="exact"/>
        <w:rPr>
          <w:sz w:val="20"/>
          <w:szCs w:val="20"/>
          <w:color w:val="auto"/>
        </w:rPr>
      </w:pPr>
    </w:p>
    <w:p>
      <w:pPr>
        <w:ind w:left="420" w:right="7600" w:hanging="412"/>
        <w:spacing w:after="0" w:line="424" w:lineRule="auto"/>
        <w:tabs>
          <w:tab w:leader="none" w:pos="19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Basis of Presentation:</w:t>
      </w:r>
    </w:p>
    <w:p>
      <w:pPr>
        <w:spacing w:after="0" w:line="2"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spacing w:after="0" w:line="99" w:lineRule="exact"/>
        <w:rPr>
          <w:sz w:val="20"/>
          <w:szCs w:val="20"/>
          <w:color w:val="auto"/>
        </w:rPr>
      </w:pPr>
    </w:p>
    <w:p>
      <w:pPr>
        <w:ind w:right="440" w:firstLine="445"/>
        <w:spacing w:after="0" w:line="266" w:lineRule="auto"/>
        <w:rPr>
          <w:sz w:val="20"/>
          <w:szCs w:val="20"/>
          <w:color w:val="auto"/>
        </w:rPr>
      </w:pPr>
      <w:r>
        <w:rPr>
          <w:rFonts w:ascii="Times New Roman" w:cs="Times New Roman" w:eastAsia="Times New Roman" w:hAnsi="Times New Roman"/>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 including Fashion District Philadelphia and SanTan Village Regional Center.</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Operating Partnership's consolidated VIEs included the following assets and liabilities: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453,841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458,964</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83,685</w:t>
            </w:r>
          </w:p>
        </w:tc>
      </w:tr>
      <w:tr>
        <w:trPr>
          <w:trHeight w:val="22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542,649</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notes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413,948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413,925</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56,947</w:t>
            </w:r>
          </w:p>
        </w:tc>
      </w:tr>
      <w:tr>
        <w:trPr>
          <w:trHeight w:val="22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470,872</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the consolidated financial statements.</w:t>
      </w:r>
    </w:p>
    <w:p>
      <w:pPr>
        <w:sectPr>
          <w:pgSz w:w="11900" w:h="16838" w:orient="portrait"/>
          <w:cols w:equalWidth="0" w:num="1">
            <w:col w:w="11220"/>
          </w:cols>
          <w:pgMar w:left="320" w:top="64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56"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unaudited interim consolidated financial statements should be read in conjunction with the Company's audited consolidated financial statements and notes thereto included in the Company's Annual Report on Form 10-K for the year ended December 31, 2021.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2021 has been derived from the audited financial statements but does not include all disclosures required by GAAP. The following table presents a reconciliation of the beginning of period and end of period cash, cash equivalents and restricted cash reported on the Company's consolidated balance sheets to the totals shown on its consolidated statements of cash flows: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8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5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112,454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465,297</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w:t>
            </w:r>
          </w:p>
        </w:tc>
      </w:tr>
      <w:tr>
        <w:trPr>
          <w:trHeight w:val="223"/>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482,659</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8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End of period</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128,244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1,083,813</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67,255</w:t>
            </w:r>
          </w:p>
        </w:tc>
      </w:tr>
      <w:tr>
        <w:trPr>
          <w:trHeight w:val="223"/>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184,177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1,151,068</w:t>
            </w:r>
          </w:p>
        </w:tc>
      </w:tr>
      <w:tr>
        <w:trPr>
          <w:trHeight w:val="21"/>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160"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March 2020, the COVID-19 outbreak was declared a pandemic by the World Health Organization. As a result, all of the markets that the Company operates in were subject to stay-at-home orders, and the majority of its properties were temporarily closed in part or completely. Following staggered re-openings during 2020, all Centers have been open and operating since October 7, 2020 and government-imposed capacity restrictions resulting from COVID-19 have been essentially eliminated across the Company’s markets.</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COVID-19 Lease Accounting:</w:t>
      </w:r>
    </w:p>
    <w:p>
      <w:pPr>
        <w:spacing w:after="0" w:line="146"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In April 2020, the Financial Accounting Standards Board issued a Staff Question-and-Answer (“Q&amp;A”) to clarify whether lease concessions related to the effects of COVID-19 require the application of the lease modification guidance under Accounting Standards Codification ("ASC") 842, "Leases" ("the lease modification accounting framework"). Under ASC 842, the Company would have to determine, on a lease-by-lease basis, if a lease concession was the result of a new arrangement reached with the tenant or an enforceable right and obligation within the existing lease. The Q&amp;A allows for the bypass of a lease-by-lease analysis, and allows the Company to elect to either apply the lease modification accounting framework or not to all of its lease concessions with similar characteristics and circumstances. The Company has elected to apply the lease modification accounting framework to lease concessions that include the abatement of rent in its consolidated financial statements for the three months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 ("EPS"):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reconciles the numerator and denominator used in the computation of EPS for the three months ended March 31, 2022 and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23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6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(37,354)</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(67,730)</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the Company</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(63,604)</w:t>
            </w: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earnings to participating securities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EPS—net loss attributable to common stockholders</w:t>
            </w:r>
          </w:p>
        </w:tc>
        <w:tc>
          <w:tcPr>
            <w:tcW w:w="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(37,405)</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(63,818)</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8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580" w:type="dxa"/>
            <w:vAlign w:val="bottom"/>
          </w:tcPr>
          <w:p>
            <w:pPr>
              <w:spacing w:after="0"/>
              <w:rPr>
                <w:sz w:val="15"/>
                <w:szCs w:val="15"/>
                <w:color w:val="auto"/>
              </w:rPr>
            </w:pPr>
          </w:p>
        </w:tc>
        <w:tc>
          <w:tcPr>
            <w:tcW w:w="6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Denominator for basic and diluted EPS—weighted average number of common</w:t>
            </w:r>
          </w:p>
        </w:tc>
        <w:tc>
          <w:tcPr>
            <w:tcW w:w="2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214,819</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158,580</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outstanding(1)</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80" w:type="dxa"/>
            <w:vAlign w:val="bottom"/>
          </w:tcPr>
          <w:p>
            <w:pPr>
              <w:spacing w:after="0"/>
              <w:rPr>
                <w:sz w:val="19"/>
                <w:szCs w:val="19"/>
                <w:color w:val="auto"/>
              </w:rPr>
            </w:pP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EPS—net loss attributable to common stockholders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(shares in thousands):  </w:t>
            </w:r>
            <w:r>
              <w:rPr>
                <w:rFonts w:ascii="Times New Roman" w:cs="Times New Roman" w:eastAsia="Times New Roman" w:hAnsi="Times New Roman"/>
                <w:sz w:val="35"/>
                <w:szCs w:val="35"/>
                <w:color w:val="auto"/>
                <w:vertAlign w:val="superscript"/>
              </w:rPr>
              <w:t>Basic and diluted</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7820" w:type="dxa"/>
            <w:vAlign w:val="bottom"/>
            <w:gridSpan w:val="2"/>
            <w:vMerge w:val="continue"/>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8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60" w:right="100" w:hanging="328"/>
        <w:spacing w:after="0" w:line="270" w:lineRule="auto"/>
        <w:tabs>
          <w:tab w:leader="none" w:pos="684"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EPS excludes 99,565 and 103,235 convertible preferred partnership units for the three months ended March 31, 2022 and 2021, respectively, as their impact was antidilutive. Diluted EPS also excludes 8,681,751 and 10,855,707 Operating Partnership units ("OP Units") for the three months ended March 31, 2022 and 2021, respectively, as their impact was antidilutive.</w:t>
      </w:r>
    </w:p>
    <w:p>
      <w:pPr>
        <w:spacing w:after="0" w:line="318"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Unconsolidated Joint Ventures: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made the following recent financings or other events of its unconsolidated joint ventures:</w:t>
      </w:r>
    </w:p>
    <w:p>
      <w:pPr>
        <w:spacing w:after="0" w:line="158"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On March 29, 2021, concurrent with the sale of Paradise Valley Mall (see Note 15 – Dispositions), the Company elected to reinvest into the newly formed joint venture at a 5% ownership interest for $3,819 in cash that is accounted for under the equity method of accounting.</w:t>
      </w:r>
    </w:p>
    <w:p>
      <w:pPr>
        <w:spacing w:after="0" w:line="94"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On October 26, 2021, the Company's joint venture in The Shops at Atlas Park replaced the existing loan on the property with a new $65,000 loan that bears interest at a floating rate of LIBOR plus 4.15% and matures on November 9, 2026, including extension options. The loan is covered by an interest rate cap agreement that effectively prevents LIBOR from exceeding 3.0% through November 7, 2023.</w:t>
      </w:r>
    </w:p>
    <w:p>
      <w:pPr>
        <w:spacing w:after="0" w:line="95" w:lineRule="exact"/>
        <w:rPr>
          <w:sz w:val="20"/>
          <w:szCs w:val="20"/>
          <w:color w:val="auto"/>
        </w:rPr>
      </w:pPr>
    </w:p>
    <w:p>
      <w:pPr>
        <w:jc w:val="both"/>
        <w:ind w:right="260" w:firstLine="445"/>
        <w:spacing w:after="0" w:line="266" w:lineRule="auto"/>
        <w:rPr>
          <w:sz w:val="20"/>
          <w:szCs w:val="20"/>
          <w:color w:val="auto"/>
        </w:rPr>
      </w:pPr>
      <w:r>
        <w:rPr>
          <w:rFonts w:ascii="Times New Roman" w:cs="Times New Roman" w:eastAsia="Times New Roman" w:hAnsi="Times New Roman"/>
          <w:sz w:val="18"/>
          <w:szCs w:val="18"/>
          <w:color w:val="auto"/>
        </w:rPr>
        <w:t>On December 31, 2021, the Company assigned its joint venture interest in The Shops at North Bridge in Chicago, Illinois to its partner in the joint venture. The assignment included the assumption by the joint venture partner of the Company’s share of the debt owed by the joint venture and no cash consideration was received by the Company. The Company recognized a loss of approximately $28,276 in connection with the assignment.</w:t>
      </w:r>
    </w:p>
    <w:p>
      <w:pPr>
        <w:spacing w:after="0" w:line="108"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On December 31, 2021, the Company sold its joint venture interest in the undeveloped property at 443 North Wabash Avenue in Chicago, Illinois to its partner in the joint venture for $21,000. The Company recognized an immaterial gain in connection with the sale.</w:t>
      </w:r>
    </w:p>
    <w:p>
      <w:pPr>
        <w:spacing w:after="0" w:line="94"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On February 2, 2022, the Company’s joint venture in FlatIron Crossing replaced the existing $197,011 loan on the property with a new $175,000 loan that bears interest at the Secured Overnight Financing Rate ("SOFR") plus 3.70% and matures on February 9, 2025, including extension options. The loan is covered by an interest rate cap agreement that effectively prevents SOFR from exceeding 4.0% through February 15, 2024.</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the Company’s joint venture with Seritage Growth Properties (“MS Portfolio LLC”) recorded an impairment loss as a result of shortening the holding periods on certain assets in the joint venture. The Company’s share of the loss was $30,426.</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Combined and condensed balance sheets and statements of operations are presented below for all unconsolidated joint ventures.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Combined and Condensed Balance Sheets of Unconsolidated Joint Ventures: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20" w:type="dxa"/>
            <w:vAlign w:val="bottom"/>
            <w:tcBorders>
              <w:bottom w:val="single" w:sz="8" w:color="CCEEFF"/>
            </w:tcBorders>
          </w:tcPr>
          <w:p>
            <w:pPr>
              <w:spacing w:after="0"/>
              <w:rPr>
                <w:sz w:val="17"/>
                <w:szCs w:val="17"/>
                <w:color w:val="auto"/>
              </w:rPr>
            </w:pPr>
          </w:p>
        </w:tc>
        <w:tc>
          <w:tcPr>
            <w:tcW w:w="656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8,285,434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8,289,412</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750,629</w:t>
            </w:r>
          </w:p>
        </w:tc>
      </w:tr>
      <w:tr>
        <w:trPr>
          <w:trHeight w:val="223"/>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9,019,510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9,040,041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partners' capital(1):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Mortgage and other notes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5,650,351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5,686,500</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325,115</w:t>
            </w:r>
          </w:p>
        </w:tc>
      </w:tr>
      <w:tr>
        <w:trPr>
          <w:trHeight w:val="230"/>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1,579,559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1,638,112</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Outside partners' capital</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1,372,925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1,390,314</w:t>
            </w:r>
          </w:p>
        </w:tc>
      </w:tr>
      <w:tr>
        <w:trPr>
          <w:trHeight w:val="223"/>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9,019,510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9,040,041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1,579,559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1,638,112</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Basis adjustment(2)</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(448,149)</w:t>
            </w: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1,132,734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1,189,963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5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Assets—Investments in unconsolidated joint ventures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1,263,252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1,317,571</w:t>
            </w: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Liabilities—Distributions in excess of investments in unconsolidated joint ventures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(127,608)</w:t>
            </w: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1,132,734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1,189,963</w:t>
            </w: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560" w:type="dxa"/>
            <w:vAlign w:val="bottom"/>
            <w:tcBorders>
              <w:bottom w:val="single" w:sz="8" w:color="auto"/>
            </w:tcBorders>
          </w:tcPr>
          <w:p>
            <w:pPr>
              <w:spacing w:after="0"/>
              <w:rPr>
                <w:sz w:val="21"/>
                <w:szCs w:val="21"/>
                <w:color w:val="auto"/>
              </w:rPr>
            </w:pPr>
          </w:p>
        </w:tc>
        <w:tc>
          <w:tcPr>
            <w:tcW w:w="1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47" w:lineRule="exact"/>
        <w:rPr>
          <w:sz w:val="20"/>
          <w:szCs w:val="20"/>
          <w:color w:val="auto"/>
        </w:rPr>
      </w:pPr>
    </w:p>
    <w:p>
      <w:pPr>
        <w:ind w:left="420" w:right="80" w:hanging="412"/>
        <w:spacing w:after="0" w:line="302" w:lineRule="auto"/>
        <w:tabs>
          <w:tab w:leader="none" w:pos="36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include assets of $2,747,217 and $2,789,568 of Pacific Premier Retail LLC (the "PPR Portfolio") as of March 31, 2022 and December 31, 2021, respectively, and liabilities of $1,653,762 and $1,661,110 of the PPR Portfolio as of March 31, 2022 and December 31, 2021, respectively.</w:t>
      </w:r>
    </w:p>
    <w:p>
      <w:pPr>
        <w:spacing w:after="0" w:line="94" w:lineRule="exact"/>
        <w:rPr>
          <w:rFonts w:ascii="Times New Roman" w:cs="Times New Roman" w:eastAsia="Times New Roman" w:hAnsi="Times New Roman"/>
          <w:sz w:val="14"/>
          <w:szCs w:val="14"/>
          <w:color w:val="auto"/>
        </w:rPr>
      </w:pPr>
    </w:p>
    <w:p>
      <w:pPr>
        <w:ind w:left="420" w:right="100" w:hanging="412"/>
        <w:spacing w:after="0" w:line="282" w:lineRule="auto"/>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amortizes the difference between the cost of its investments in unconsolidated joint ventures and the book value of the underlying equity into income on a straight-line basis consistent with the lives of the underlying assets. The amortization of this difference was $2,575 and $2,243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3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Combined and Condensed Statements of Operations of Unconsolidated Joint Ventures:</w:t>
      </w:r>
    </w:p>
    <w:p>
      <w:pPr>
        <w:spacing w:after="0" w:line="200" w:lineRule="exact"/>
        <w:rPr>
          <w:sz w:val="20"/>
          <w:szCs w:val="20"/>
          <w:color w:val="auto"/>
        </w:rPr>
      </w:pPr>
    </w:p>
    <w:p>
      <w:pPr>
        <w:spacing w:after="0" w:line="3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PPR Portfolio</w:t>
            </w:r>
          </w:p>
        </w:tc>
        <w:tc>
          <w:tcPr>
            <w:tcW w:w="280" w:type="dxa"/>
            <w:vAlign w:val="bottom"/>
          </w:tcPr>
          <w:p>
            <w:pPr>
              <w:spacing w:after="0"/>
              <w:rPr>
                <w:sz w:val="11"/>
                <w:szCs w:val="11"/>
                <w:color w:val="auto"/>
              </w:rPr>
            </w:pPr>
          </w:p>
        </w:tc>
        <w:tc>
          <w:tcPr>
            <w:tcW w:w="128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Joint</w:t>
            </w:r>
          </w:p>
        </w:tc>
        <w:tc>
          <w:tcPr>
            <w:tcW w:w="320" w:type="dxa"/>
            <w:vAlign w:val="bottom"/>
          </w:tcPr>
          <w:p>
            <w:pPr>
              <w:spacing w:after="0"/>
              <w:rPr>
                <w:sz w:val="11"/>
                <w:szCs w:val="11"/>
                <w:color w:val="auto"/>
              </w:rPr>
            </w:pPr>
          </w:p>
        </w:tc>
        <w:tc>
          <w:tcPr>
            <w:tcW w:w="112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Ventures</w:t>
            </w: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 2022</w:t>
            </w: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155,166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199,016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206,419</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89,453</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160,109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210,945</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(58,691)</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(63,217)</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equity in net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 2021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149,319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186,090</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17,059</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166,284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203,149</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90,847</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213,826</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or write down of assets,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equity in net (loss)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Significant accounting policies used by the unconsolidated joint ventures are similar to those used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265" w:right="8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 and Hedging Activities:</w:t>
      </w:r>
    </w:p>
    <w:p>
      <w:pPr>
        <w:spacing w:after="0" w:line="162"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Company uses an interest rate cap agreement to manage the interest rate risk on certain floating rate debt. The Company recorded other comprehensive income related to the marking-to-market of derivative instruments of $31 and $2,694 for the three months ended March 31, 2022 and 2021, respectively.</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derivative was outstanding at March 31,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gridSpan w:val="2"/>
          </w:tcPr>
          <w:p>
            <w:pPr>
              <w:jc w:val="right"/>
              <w:ind w:right="70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LIBOR Rate</w:t>
            </w: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940" w:type="dxa"/>
            <w:vAlign w:val="bottom"/>
          </w:tcPr>
          <w:p>
            <w:pPr>
              <w:jc w:val="center"/>
              <w:ind w:left="205"/>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1"/>
                <w:szCs w:val="11"/>
                <w:color w:val="auto"/>
              </w:rPr>
            </w:pPr>
          </w:p>
        </w:tc>
        <w:tc>
          <w:tcPr>
            <w:tcW w:w="1120" w:type="dxa"/>
            <w:vAlign w:val="bottom"/>
          </w:tcPr>
          <w:p>
            <w:pPr>
              <w:jc w:val="center"/>
              <w:ind w:left="165"/>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540" w:type="dxa"/>
            <w:vAlign w:val="bottom"/>
            <w:gridSpan w:val="2"/>
            <w:vMerge w:val="continue"/>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7"/>
                <w:szCs w:val="17"/>
                <w:color w:val="auto"/>
              </w:rPr>
            </w:pPr>
          </w:p>
        </w:tc>
        <w:tc>
          <w:tcPr>
            <w:tcW w:w="1120" w:type="dxa"/>
            <w:vAlign w:val="bottom"/>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Santa Monica Place</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12/9/2022</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27</w:t>
            </w:r>
          </w:p>
        </w:tc>
        <w:tc>
          <w:tcPr>
            <w:tcW w:w="1120" w:type="dxa"/>
            <w:vAlign w:val="bottom"/>
            <w:tcBorders>
              <w:top w:val="single" w:sz="8" w:color="auto"/>
            </w:tcBorders>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above derivative was valued with an aggregate fair value (Level 2 measurement) and was included in other accrued liabilities. The fair value of the Company's interest rate derivative was determined using discounted cash flow analysis on the expected cash flows of the derivative. This analysis reflects the contractual terms of the derivative,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116"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swap. As a result, the Company determined that its interest rate cap valuation in its entirety is classified in Level 2 of the fair value hierarchy.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net consists of the following:</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6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1,433,989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1,441,858</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6,341,408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6,306,764</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685,242</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furnishings(1)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191,266</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222,420</w:t>
            </w:r>
          </w:p>
        </w:tc>
      </w:tr>
      <w:tr>
        <w:trPr>
          <w:trHeight w:val="223"/>
        </w:trPr>
        <w:tc>
          <w:tcPr>
            <w:tcW w:w="6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8,847,269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8,847,550</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depreciation(1)</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(2,623,285)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(2,563,344)</w:t>
            </w:r>
          </w:p>
        </w:tc>
      </w:tr>
      <w:tr>
        <w:trPr>
          <w:trHeight w:val="223"/>
        </w:trPr>
        <w:tc>
          <w:tcPr>
            <w:tcW w:w="66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6,223,984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6,284,206</w:t>
            </w:r>
          </w:p>
        </w:tc>
      </w:tr>
      <w:tr>
        <w:trPr>
          <w:trHeight w:val="20"/>
        </w:trPr>
        <w:tc>
          <w:tcPr>
            <w:tcW w:w="6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140" w:hanging="484"/>
        <w:spacing w:after="0" w:line="302" w:lineRule="auto"/>
        <w:tabs>
          <w:tab w:leader="none" w:pos="103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Equipment and furnishings and accumulated depreciation include the cost and accumulated amortization of ROU assets in connection with finance leases at March 31, 2022 and December 31, 2021 (See Note 8—Leases).</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was $67,786 and $71,664 for the three months ended March 31, 2022 and 2021, respectively.</w:t>
      </w:r>
    </w:p>
    <w:p>
      <w:pPr>
        <w:sectPr>
          <w:pgSz w:w="11900" w:h="16838" w:orient="portrait"/>
          <w:cols w:equalWidth="0" w:num="1">
            <w:col w:w="11200"/>
          </w:cols>
          <w:pgMar w:left="320" w:top="26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5" w:right="3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Gain (loss) on sale or write-down of assets, net for the three months ended March 31, 2022 and 2021 consist of the following:</w:t>
      </w:r>
    </w:p>
    <w:p>
      <w:pPr>
        <w:spacing w:after="0" w:line="184"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p>
      <w:pPr>
        <w:jc w:val="center"/>
        <w:ind w:left="324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15"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53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property sales, net(1)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write-down of assets(2)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(29,608)</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land sales, net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r>
      <w:tr>
        <w:trPr>
          <w:trHeight w:val="223"/>
        </w:trPr>
        <w:tc>
          <w:tcPr>
            <w:tcW w:w="53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(21,283)</w:t>
            </w:r>
          </w:p>
        </w:tc>
      </w:tr>
      <w:tr>
        <w:trPr>
          <w:trHeight w:val="21"/>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960" w:hanging="304"/>
        <w:spacing w:after="0"/>
        <w:tabs>
          <w:tab w:leader="none" w:pos="9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$4,229 of gain related to the sale of Paradise Valley Mall (See Note 15-Dispositions).</w:t>
      </w:r>
    </w:p>
    <w:p>
      <w:pPr>
        <w:spacing w:after="0" w:line="27" w:lineRule="exact"/>
        <w:rPr>
          <w:rFonts w:ascii="Times New Roman" w:cs="Times New Roman" w:eastAsia="Times New Roman" w:hAnsi="Times New Roman"/>
          <w:sz w:val="14"/>
          <w:szCs w:val="14"/>
          <w:color w:val="auto"/>
        </w:rPr>
      </w:pPr>
    </w:p>
    <w:p>
      <w:pPr>
        <w:ind w:left="1060" w:right="260" w:hanging="404"/>
        <w:spacing w:after="0" w:line="262" w:lineRule="auto"/>
        <w:tabs>
          <w:tab w:leader="none" w:pos="96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impairment loss of $5,492 relating to the Company's investment in MS Portfolio LLC (See Note 4-Investments in Unconsolidated Joint Ventures) during the three months ended March 31, 2022 and impairment loss of $27,281 on Estrella Falls during the three months ended March 31, 2021. The impairment losses were due to the reduction of the estimated holding periods of the properties. The remaining amounts for the three months ended March 31, 2022 and 2021 mainly pertain to the write off of development costs.</w:t>
      </w:r>
    </w:p>
    <w:p>
      <w:pPr>
        <w:spacing w:after="0" w:line="36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of the Company's assets that were measured on a nonrecurring basis as a result of the impairment losses recorded for the three months ended March 31, 2022 and 2021, as described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60" w:type="dxa"/>
            <w:vAlign w:val="bottom"/>
          </w:tcPr>
          <w:p>
            <w:pPr>
              <w:spacing w:after="0"/>
              <w:rPr>
                <w:sz w:val="18"/>
                <w:szCs w:val="18"/>
                <w:color w:val="auto"/>
              </w:rPr>
            </w:pPr>
          </w:p>
        </w:tc>
        <w:tc>
          <w:tcPr>
            <w:tcW w:w="17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9"/>
              </w:rPr>
              <w:t>Significant Other</w:t>
            </w:r>
          </w:p>
        </w:tc>
        <w:tc>
          <w:tcPr>
            <w:tcW w:w="100" w:type="dxa"/>
            <w:vAlign w:val="bottom"/>
          </w:tcPr>
          <w:p>
            <w:pPr>
              <w:spacing w:after="0"/>
              <w:rPr>
                <w:sz w:val="18"/>
                <w:szCs w:val="18"/>
                <w:color w:val="auto"/>
              </w:rPr>
            </w:pPr>
          </w:p>
        </w:tc>
        <w:tc>
          <w:tcPr>
            <w:tcW w:w="16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Significant</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color w:val="auto"/>
              </w:rPr>
              <w:t>Active Markets for</w:t>
            </w: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color w:val="auto"/>
                <w:w w:val="97"/>
              </w:rPr>
              <w:t>Total Fair Value</w:t>
            </w:r>
          </w:p>
        </w:tc>
        <w:tc>
          <w:tcPr>
            <w:tcW w:w="14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Identical Assets</w:t>
            </w:r>
          </w:p>
        </w:tc>
        <w:tc>
          <w:tcPr>
            <w:tcW w:w="18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Unobservable Inputs</w:t>
            </w:r>
          </w:p>
        </w:tc>
        <w:tc>
          <w:tcPr>
            <w:tcW w:w="100" w:type="dxa"/>
            <w:vAlign w:val="bottom"/>
          </w:tcPr>
          <w:p>
            <w:pPr>
              <w:spacing w:after="0"/>
              <w:rPr>
                <w:sz w:val="20"/>
                <w:szCs w:val="20"/>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Unobservable Inputs</w:t>
            </w:r>
          </w:p>
        </w:tc>
        <w:tc>
          <w:tcPr>
            <w:tcW w:w="0" w:type="dxa"/>
            <w:vAlign w:val="bottom"/>
          </w:tcPr>
          <w:p>
            <w:pPr>
              <w:spacing w:after="0"/>
              <w:rPr>
                <w:sz w:val="1"/>
                <w:szCs w:val="1"/>
                <w:color w:val="auto"/>
              </w:rPr>
            </w:pPr>
          </w:p>
        </w:tc>
      </w:tr>
      <w:tr>
        <w:trPr>
          <w:trHeight w:val="36"/>
        </w:trPr>
        <w:tc>
          <w:tcPr>
            <w:tcW w:w="3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3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Measurement</w:t>
            </w:r>
          </w:p>
        </w:tc>
        <w:tc>
          <w:tcPr>
            <w:tcW w:w="140" w:type="dxa"/>
            <w:vAlign w:val="bottom"/>
          </w:tcPr>
          <w:p>
            <w:pPr>
              <w:spacing w:after="0"/>
              <w:rPr>
                <w:sz w:val="21"/>
                <w:szCs w:val="21"/>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21"/>
                <w:szCs w:val="21"/>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1"/>
                <w:szCs w:val="21"/>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values relating to the 2022 impairment was based on a sales contract and is classified within Level 2 of the fair value hierarchy.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Tenant and Other Receivables, net:</w:t>
      </w:r>
    </w:p>
    <w:p>
      <w:pPr>
        <w:spacing w:after="0" w:line="148" w:lineRule="exact"/>
        <w:rPr>
          <w:sz w:val="20"/>
          <w:szCs w:val="20"/>
          <w:color w:val="auto"/>
        </w:rPr>
      </w:pPr>
    </w:p>
    <w:p>
      <w:pPr>
        <w:ind w:right="320" w:firstLine="445"/>
        <w:spacing w:after="0" w:line="261" w:lineRule="auto"/>
        <w:rPr>
          <w:sz w:val="20"/>
          <w:szCs w:val="20"/>
          <w:color w:val="auto"/>
        </w:rPr>
      </w:pPr>
      <w:r>
        <w:rPr>
          <w:rFonts w:ascii="Times New Roman" w:cs="Times New Roman" w:eastAsia="Times New Roman" w:hAnsi="Times New Roman"/>
          <w:sz w:val="18"/>
          <w:szCs w:val="18"/>
          <w:color w:val="auto"/>
        </w:rPr>
        <w:t>Included in tenant and other receivables, net is an allowance for doubtful accounts of $13,899 and $14,917 at March 31, 2022 and December 31, 2021, respectively. Also included in tenant and other receivables, net are accrued percentage rents of $3,725 and $19,907 at March 31, 2022 and December 31, 2021, respectively, and a deferred rent receivable due to straight-line rent adjustments of $108,926 and $110,969 at March 31, 2022 and December 31, 2021,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Lessor Leases:</w:t>
      </w:r>
    </w:p>
    <w:p>
      <w:pPr>
        <w:spacing w:after="0" w:line="146"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 For leasing revenues in which collectability is not considered probable, lease income is recognized on a cash basis and all previously recognized tenant accounts receivables, including straight-line rent, are fully reserved in the period in which the lease income is determined not to be probable of collection.</w:t>
      </w:r>
    </w:p>
    <w:p>
      <w:pPr>
        <w:sectPr>
          <w:pgSz w:w="11900" w:h="16838" w:orient="portrait"/>
          <w:cols w:equalWidth="0" w:num="1">
            <w:col w:w="11180"/>
          </w:cols>
          <w:pgMar w:left="320" w:top="26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5" w:right="3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components of leasing revenue for the three months ended March 31, 2022 and 2021:</w:t>
      </w:r>
    </w:p>
    <w:p>
      <w:pPr>
        <w:spacing w:after="0" w:line="184"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4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revenue—fixed payments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131,495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Leasing revenue—variable payments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doubtful accounts, net</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44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203,412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179,535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
        </w:trPr>
        <w:tc>
          <w:tcPr>
            <w:tcW w:w="44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39"/>
        </w:trPr>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to the Company:</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ending March 31,</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spacing w:after="0"/>
              <w:rPr>
                <w:sz w:val="19"/>
                <w:szCs w:val="19"/>
                <w:color w:val="auto"/>
              </w:rPr>
            </w:pPr>
          </w:p>
        </w:tc>
        <w:tc>
          <w:tcPr>
            <w:tcW w:w="8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366,783</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322,512</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262,720</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214,103</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165,702</w:t>
            </w: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473,307</w:t>
            </w:r>
          </w:p>
        </w:tc>
      </w:tr>
      <w:tr>
        <w:trPr>
          <w:trHeight w:val="248"/>
        </w:trPr>
        <w:tc>
          <w:tcPr>
            <w:tcW w:w="4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1,805,127</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Lessee Leases:</w:t>
      </w:r>
    </w:p>
    <w:p>
      <w:pPr>
        <w:spacing w:after="0" w:line="14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has certain properties that are subject to non-cancelable operating leases. The leases expire at various times through 2098, subject in some cases to options to extend the terms of the lease. Certain leases provide for contingent rent payments based on a percentage of base rental income, as defined in the lease. In addition, the Company has five finance leases that expire at various times through 2024.</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lease costs for the three months ended March 31, 2022 and 2021:</w:t>
      </w:r>
    </w:p>
    <w:p>
      <w:pPr>
        <w:spacing w:after="0" w:line="184"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4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9"/>
        </w:trPr>
        <w:tc>
          <w:tcPr>
            <w:tcW w:w="4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6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required under the leases: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6"/>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7"/>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Pr>
          <w:p>
            <w:pPr>
              <w:spacing w:after="0"/>
              <w:rPr>
                <w:sz w:val="11"/>
                <w:szCs w:val="11"/>
                <w:color w:val="auto"/>
              </w:rPr>
            </w:pPr>
          </w:p>
        </w:tc>
        <w:tc>
          <w:tcPr>
            <w:tcW w:w="136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1"/>
                <w:szCs w:val="11"/>
                <w:color w:val="auto"/>
              </w:rPr>
            </w:pPr>
          </w:p>
        </w:tc>
        <w:tc>
          <w:tcPr>
            <w:tcW w:w="120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195"/>
        </w:trPr>
        <w:tc>
          <w:tcPr>
            <w:tcW w:w="40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11,352</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4,461</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14,302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4,461</w:t>
            </w: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11,876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3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11,054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9,072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6,471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9,072</w:t>
            </w: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11,231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11,343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120,534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109,358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undiscounted rental payments</w:t>
            </w: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177,390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15,576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151,566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15,576</w:t>
            </w: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(90,111)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(85,383)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23"/>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87,279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13,957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66,183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14,528</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years</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years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 years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 years</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incremental borrowing rate</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7.3 %</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0"/>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1"/>
        </w:trPr>
        <w:tc>
          <w:tcPr>
            <w:tcW w:w="40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53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Deferred charges and other assets, net consist of the following:</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4"/>
                <w:szCs w:val="14"/>
                <w:color w:val="auto"/>
              </w:rPr>
            </w:pPr>
          </w:p>
        </w:tc>
        <w:tc>
          <w:tcPr>
            <w:tcW w:w="15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340" w:type="dxa"/>
            <w:vAlign w:val="bottom"/>
            <w:tcBorders>
              <w:bottom w:val="single" w:sz="8" w:color="CCEEFF"/>
            </w:tcBorders>
          </w:tcPr>
          <w:p>
            <w:pPr>
              <w:spacing w:after="0"/>
              <w:rPr>
                <w:sz w:val="17"/>
                <w:szCs w:val="17"/>
                <w:color w:val="auto"/>
              </w:rPr>
            </w:pPr>
          </w:p>
        </w:tc>
        <w:tc>
          <w:tcPr>
            <w:tcW w:w="3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134,887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In-place lease values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Leasing commissions and legal costs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Above-market leases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425,244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amortization(1)</w:t>
            </w: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(170,336)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254,908</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40" w:type="dxa"/>
            <w:vAlign w:val="bottom"/>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980" w:hanging="324"/>
        <w:spacing w:after="0" w:line="271" w:lineRule="auto"/>
        <w:tabs>
          <w:tab w:leader="none" w:pos="92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amortization includes $43,517 and $43,978 relating to in-place lease values, leasing commissions and legal costs at March 31, 2022 and December 31, 2021, respectively. Amortization expense of in-place lease values, leasing commissions and legal costs was $1,667 and $2,203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65" w:right="5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 (Continued)</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allocated values of above-market leases and below-market leases consist of the following:</w:t>
      </w:r>
    </w:p>
    <w:p>
      <w:pPr>
        <w:spacing w:after="0" w:line="3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40" w:type="dxa"/>
            <w:vAlign w:val="bottom"/>
          </w:tcPr>
          <w:p>
            <w:pPr>
              <w:spacing w:after="0"/>
              <w:rPr>
                <w:sz w:val="16"/>
                <w:szCs w:val="16"/>
                <w:color w:val="auto"/>
              </w:rPr>
            </w:pPr>
          </w:p>
        </w:tc>
        <w:tc>
          <w:tcPr>
            <w:tcW w:w="554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4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Above-Market Leases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center"/>
              <w:ind w:left="375"/>
              <w:spacing w:after="0"/>
              <w:rPr>
                <w:sz w:val="20"/>
                <w:szCs w:val="20"/>
                <w:color w:val="auto"/>
              </w:rPr>
            </w:pPr>
            <w:r>
              <w:rPr>
                <w:rFonts w:ascii="Times New Roman" w:cs="Times New Roman" w:eastAsia="Times New Roman" w:hAnsi="Times New Roman"/>
                <w:sz w:val="18"/>
                <w:szCs w:val="18"/>
                <w:color w:val="auto"/>
              </w:rPr>
              <w:t>70,481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rPr>
              <w:t>72,289</w:t>
            </w:r>
          </w:p>
        </w:tc>
      </w:tr>
      <w:tr>
        <w:trPr>
          <w:trHeight w:val="229"/>
        </w:trPr>
        <w:tc>
          <w:tcPr>
            <w:tcW w:w="64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7"/>
              </w:rPr>
              <w:t>(32,259)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(32,484)</w:t>
            </w:r>
          </w:p>
        </w:tc>
      </w:tr>
      <w:tr>
        <w:trPr>
          <w:trHeight w:val="223"/>
        </w:trPr>
        <w:tc>
          <w:tcPr>
            <w:tcW w:w="6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375"/>
              <w:spacing w:after="0"/>
              <w:rPr>
                <w:sz w:val="20"/>
                <w:szCs w:val="20"/>
                <w:color w:val="auto"/>
              </w:rPr>
            </w:pPr>
            <w:r>
              <w:rPr>
                <w:rFonts w:ascii="Times New Roman" w:cs="Times New Roman" w:eastAsia="Times New Roman" w:hAnsi="Times New Roman"/>
                <w:sz w:val="18"/>
                <w:szCs w:val="18"/>
                <w:color w:val="auto"/>
              </w:rPr>
              <w:t>38,222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415"/>
              <w:spacing w:after="0"/>
              <w:rPr>
                <w:sz w:val="20"/>
                <w:szCs w:val="20"/>
                <w:color w:val="auto"/>
              </w:rPr>
            </w:pPr>
            <w:r>
              <w:rPr>
                <w:rFonts w:ascii="Times New Roman" w:cs="Times New Roman" w:eastAsia="Times New Roman" w:hAnsi="Times New Roman"/>
                <w:sz w:val="18"/>
                <w:szCs w:val="18"/>
                <w:color w:val="auto"/>
              </w:rPr>
              <w:t>39,805</w:t>
            </w:r>
          </w:p>
        </w:tc>
      </w:tr>
      <w:tr>
        <w:trPr>
          <w:trHeight w:val="20"/>
        </w:trPr>
        <w:tc>
          <w:tcPr>
            <w:tcW w:w="640" w:type="dxa"/>
            <w:vAlign w:val="bottom"/>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Below-Market Leases(1)</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center"/>
              <w:ind w:left="375"/>
              <w:spacing w:after="0"/>
              <w:rPr>
                <w:sz w:val="20"/>
                <w:szCs w:val="20"/>
                <w:color w:val="auto"/>
              </w:rPr>
            </w:pPr>
            <w:r>
              <w:rPr>
                <w:rFonts w:ascii="Times New Roman" w:cs="Times New Roman" w:eastAsia="Times New Roman" w:hAnsi="Times New Roman"/>
                <w:sz w:val="18"/>
                <w:szCs w:val="18"/>
                <w:color w:val="auto"/>
              </w:rPr>
              <w:t>98,069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rPr>
              <w:t>99,332</w:t>
            </w:r>
          </w:p>
        </w:tc>
      </w:tr>
      <w:tr>
        <w:trPr>
          <w:trHeight w:val="230"/>
        </w:trPr>
        <w:tc>
          <w:tcPr>
            <w:tcW w:w="64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7"/>
              </w:rPr>
              <w:t>(38,084)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(37,122)</w:t>
            </w:r>
          </w:p>
        </w:tc>
      </w:tr>
      <w:tr>
        <w:trPr>
          <w:trHeight w:val="223"/>
        </w:trPr>
        <w:tc>
          <w:tcPr>
            <w:tcW w:w="6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375"/>
              <w:spacing w:after="0"/>
              <w:rPr>
                <w:sz w:val="20"/>
                <w:szCs w:val="20"/>
                <w:color w:val="auto"/>
              </w:rPr>
            </w:pPr>
            <w:r>
              <w:rPr>
                <w:rFonts w:ascii="Times New Roman" w:cs="Times New Roman" w:eastAsia="Times New Roman" w:hAnsi="Times New Roman"/>
                <w:sz w:val="18"/>
                <w:szCs w:val="18"/>
                <w:color w:val="auto"/>
              </w:rPr>
              <w:t>59,985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415"/>
              <w:spacing w:after="0"/>
              <w:rPr>
                <w:sz w:val="20"/>
                <w:szCs w:val="20"/>
                <w:color w:val="auto"/>
              </w:rPr>
            </w:pPr>
            <w:r>
              <w:rPr>
                <w:rFonts w:ascii="Times New Roman" w:cs="Times New Roman" w:eastAsia="Times New Roman" w:hAnsi="Times New Roman"/>
                <w:sz w:val="18"/>
                <w:szCs w:val="18"/>
                <w:color w:val="auto"/>
              </w:rPr>
              <w:t>62,210</w:t>
            </w:r>
          </w:p>
        </w:tc>
      </w:tr>
      <w:tr>
        <w:trPr>
          <w:trHeight w:val="21"/>
        </w:trPr>
        <w:tc>
          <w:tcPr>
            <w:tcW w:w="6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9"/>
        </w:trPr>
        <w:tc>
          <w:tcPr>
            <w:tcW w:w="640" w:type="dxa"/>
            <w:vAlign w:val="bottom"/>
            <w:tcBorders>
              <w:bottom w:val="single" w:sz="8" w:color="auto"/>
            </w:tcBorders>
          </w:tcPr>
          <w:p>
            <w:pPr>
              <w:spacing w:after="0"/>
              <w:rPr>
                <w:sz w:val="14"/>
                <w:szCs w:val="14"/>
                <w:color w:val="auto"/>
              </w:rPr>
            </w:pPr>
          </w:p>
        </w:tc>
        <w:tc>
          <w:tcPr>
            <w:tcW w:w="55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47" w:lineRule="exact"/>
        <w:rPr>
          <w:sz w:val="20"/>
          <w:szCs w:val="20"/>
          <w:color w:val="auto"/>
        </w:rPr>
      </w:pPr>
    </w:p>
    <w:p>
      <w:pPr>
        <w:ind w:left="940" w:hanging="284"/>
        <w:spacing w:after="0"/>
        <w:tabs>
          <w:tab w:leader="none" w:pos="9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Below-market leases are included in other accrued liabilities.</w:t>
      </w:r>
    </w:p>
    <w:p>
      <w:pPr>
        <w:spacing w:after="0" w:line="200" w:lineRule="exact"/>
        <w:rPr>
          <w:rFonts w:ascii="Times New Roman" w:cs="Times New Roman" w:eastAsia="Times New Roman" w:hAnsi="Times New Roman"/>
          <w:sz w:val="14"/>
          <w:szCs w:val="14"/>
          <w:color w:val="auto"/>
        </w:rPr>
      </w:pPr>
    </w:p>
    <w:p>
      <w:pPr>
        <w:spacing w:after="0" w:line="341"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Notes Payable: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Mortgage notes payable at March 31, 2022 and December 31, 2021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Carrying Amount of Mortgage Notes(1)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Effective Interest</w:t>
            </w: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Monthly</w:t>
            </w:r>
          </w:p>
        </w:tc>
        <w:tc>
          <w:tcPr>
            <w:tcW w:w="9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10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9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Debt</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Rate(2)</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Service(3)</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Date(4)</w:t>
            </w:r>
          </w:p>
        </w:tc>
        <w:tc>
          <w:tcPr>
            <w:tcW w:w="0" w:type="dxa"/>
            <w:vAlign w:val="bottom"/>
          </w:tcPr>
          <w:p>
            <w:pPr>
              <w:spacing w:after="0"/>
              <w:rPr>
                <w:sz w:val="1"/>
                <w:szCs w:val="1"/>
                <w:color w:val="auto"/>
              </w:rPr>
            </w:pPr>
          </w:p>
        </w:tc>
      </w:tr>
      <w:tr>
        <w:trPr>
          <w:trHeight w:val="228"/>
        </w:trPr>
        <w:tc>
          <w:tcPr>
            <w:tcW w:w="3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Chandler Fashion Center(5)</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255,595</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255,548</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Danbury Fair Mall(6)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168,037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Fashion District Philadelphia</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194,602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Fashion Outlets of Chicago</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299,274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Fashion Outlets of Niagara Falls USA</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95,329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Freehold Raceway Mall(5)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398,711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Fresno Fashion Fair</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324,056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 Acres Commons(7)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124,875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Green Acres Mall(8)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246,061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Kings Plaza Shopping Center</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535,928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Oaks, The(9)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Pacific View(10)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Queens Center</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Santa Monica Place(11)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299,314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SanTan Village Regional Center</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219,323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Towne Mall</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Victor Valley, Mall of</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Vintage Faire Mall</w:t>
            </w: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240,124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4,414,557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4,423,554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820" w:hanging="407"/>
        <w:spacing w:after="0" w:line="302" w:lineRule="auto"/>
        <w:tabs>
          <w:tab w:leader="none" w:pos="81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notes payable also include unamortized deferred finance costs that are amortized into interest expense over the remaining term of the related debt in a manner that approximates the effective interest method. Unamortized deferred finance costs were $10,706 and $11,946 at March 31, 2022 and December 31, 2021, respectively.</w:t>
      </w:r>
    </w:p>
    <w:p>
      <w:pPr>
        <w:spacing w:after="0" w:line="94"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disclosed represents the effective interest rate, including the impact of debt premium and deferred finance costs.</w:t>
      </w:r>
    </w:p>
    <w:p>
      <w:pPr>
        <w:sectPr>
          <w:pgSz w:w="11900" w:h="16838" w:orient="portrait"/>
          <w:cols w:equalWidth="0" w:num="1">
            <w:col w:w="10980"/>
          </w:cols>
          <w:pgMar w:left="320" w:top="265"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265" w:right="5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ind w:left="280" w:hanging="272"/>
        <w:spacing w:after="0"/>
        <w:tabs>
          <w:tab w:leader="none" w:pos="2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Notes Payable: (Continued)</w:t>
      </w:r>
    </w:p>
    <w:p>
      <w:pPr>
        <w:spacing w:after="0" w:line="200" w:lineRule="exact"/>
        <w:rPr>
          <w:rFonts w:ascii="Times New Roman" w:cs="Times New Roman" w:eastAsia="Times New Roman" w:hAnsi="Times New Roman"/>
          <w:sz w:val="18"/>
          <w:szCs w:val="18"/>
          <w:b w:val="1"/>
          <w:bCs w:val="1"/>
          <w:color w:val="auto"/>
        </w:rPr>
      </w:pPr>
    </w:p>
    <w:p>
      <w:pPr>
        <w:spacing w:after="0" w:line="321" w:lineRule="exact"/>
        <w:rPr>
          <w:rFonts w:ascii="Times New Roman" w:cs="Times New Roman" w:eastAsia="Times New Roman" w:hAnsi="Times New Roman"/>
          <w:sz w:val="18"/>
          <w:szCs w:val="18"/>
          <w:b w:val="1"/>
          <w:bCs w:val="1"/>
          <w:color w:val="auto"/>
        </w:rPr>
      </w:pPr>
    </w:p>
    <w:p>
      <w:pPr>
        <w:ind w:left="820" w:hanging="407"/>
        <w:spacing w:after="0"/>
        <w:tabs>
          <w:tab w:leader="none" w:pos="8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monthly debt service represents the payment of principal and interest.</w:t>
      </w:r>
    </w:p>
    <w:p>
      <w:pPr>
        <w:spacing w:after="0" w:line="163" w:lineRule="exact"/>
        <w:rPr>
          <w:rFonts w:ascii="Times New Roman" w:cs="Times New Roman" w:eastAsia="Times New Roman" w:hAnsi="Times New Roman"/>
          <w:sz w:val="14"/>
          <w:szCs w:val="14"/>
          <w:color w:val="auto"/>
        </w:rPr>
      </w:pPr>
    </w:p>
    <w:p>
      <w:pPr>
        <w:ind w:left="820" w:right="60" w:hanging="407"/>
        <w:spacing w:after="0" w:line="302" w:lineRule="auto"/>
        <w:tabs>
          <w:tab w:leader="none" w:pos="81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80"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49.9% interest in the loan has been assumed by a third party in connection with the Company's joint venture in Chandler Freehold (See Note 12—Financing Arrangement).</w:t>
      </w:r>
    </w:p>
    <w:p>
      <w:pPr>
        <w:spacing w:after="0" w:line="149" w:lineRule="exact"/>
        <w:rPr>
          <w:rFonts w:ascii="Times New Roman" w:cs="Times New Roman" w:eastAsia="Times New Roman" w:hAnsi="Times New Roman"/>
          <w:sz w:val="14"/>
          <w:szCs w:val="14"/>
          <w:color w:val="auto"/>
        </w:rPr>
      </w:pPr>
    </w:p>
    <w:p>
      <w:pPr>
        <w:ind w:left="820" w:right="140" w:hanging="407"/>
        <w:spacing w:after="0" w:line="279" w:lineRule="auto"/>
        <w:tabs>
          <w:tab w:leader="none" w:pos="81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15, 2020, the Company closed on a loan extension agreement for Danbury Fair Mall. Under the extension agreement, the original loan maturity date of October 1, 2020 was extended to April 1, 2021 and subsequently to October 1, 2021. The loan amount and interest rate remained unchanged following these extensions. On September 15, 2021, the Company further extended the loan maturity to July 1, 2022. The interest rate remained unchanged, and the Company repaid $10,000 of the outstanding loan balance at closing.</w:t>
      </w:r>
    </w:p>
    <w:p>
      <w:pPr>
        <w:spacing w:after="0" w:line="275" w:lineRule="exact"/>
        <w:rPr>
          <w:rFonts w:ascii="Times New Roman" w:cs="Times New Roman" w:eastAsia="Times New Roman" w:hAnsi="Times New Roman"/>
          <w:sz w:val="14"/>
          <w:szCs w:val="14"/>
          <w:color w:val="auto"/>
        </w:rPr>
      </w:pPr>
    </w:p>
    <w:p>
      <w:pPr>
        <w:ind w:left="820" w:right="300" w:hanging="407"/>
        <w:spacing w:after="0" w:line="302" w:lineRule="auto"/>
        <w:tabs>
          <w:tab w:leader="none" w:pos="81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25, 2021, the Company closed on a two-year extension of the loan to March 29, 2023. The interest rate is LIBOR plus 2.75% and the Company repaid $4,680 of the outstanding loan balance at closing.</w:t>
      </w:r>
    </w:p>
    <w:p>
      <w:pPr>
        <w:spacing w:after="0" w:line="94" w:lineRule="exact"/>
        <w:rPr>
          <w:rFonts w:ascii="Times New Roman" w:cs="Times New Roman" w:eastAsia="Times New Roman" w:hAnsi="Times New Roman"/>
          <w:sz w:val="14"/>
          <w:szCs w:val="14"/>
          <w:color w:val="auto"/>
        </w:rPr>
      </w:pPr>
    </w:p>
    <w:p>
      <w:pPr>
        <w:ind w:left="820" w:right="60" w:hanging="407"/>
        <w:spacing w:after="0" w:line="282" w:lineRule="auto"/>
        <w:tabs>
          <w:tab w:leader="none" w:pos="81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22, 2021, the Company closed on a one-year extension of the loan to February 3, 2022, which also included a one-year extension option to February 3, 2023 which has been exercised. The interest rate remained unchanged, and the Company repaid $9,000 of the outstanding loan balance at closing.</w:t>
      </w:r>
    </w:p>
    <w:p>
      <w:pPr>
        <w:spacing w:after="0" w:line="107" w:lineRule="exact"/>
        <w:rPr>
          <w:rFonts w:ascii="Times New Roman" w:cs="Times New Roman" w:eastAsia="Times New Roman" w:hAnsi="Times New Roman"/>
          <w:sz w:val="14"/>
          <w:szCs w:val="14"/>
          <w:color w:val="auto"/>
        </w:rPr>
      </w:pPr>
    </w:p>
    <w:p>
      <w:pPr>
        <w:ind w:left="820" w:hanging="407"/>
        <w:spacing w:after="0" w:line="302" w:lineRule="auto"/>
        <w:tabs>
          <w:tab w:leader="none" w:pos="812"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6, 2022, the Company closed on a two-year extension of the loan to June 5, 2024 at a new fixed interest rate of 5.25%. The Company repaid $5,000 of the outstanding loan balance at closing.</w:t>
      </w:r>
    </w:p>
    <w:p>
      <w:pPr>
        <w:spacing w:after="0" w:line="80" w:lineRule="exact"/>
        <w:rPr>
          <w:rFonts w:ascii="Times New Roman" w:cs="Times New Roman" w:eastAsia="Times New Roman" w:hAnsi="Times New Roman"/>
          <w:sz w:val="14"/>
          <w:szCs w:val="14"/>
          <w:color w:val="auto"/>
        </w:rPr>
      </w:pPr>
    </w:p>
    <w:p>
      <w:pPr>
        <w:ind w:left="820" w:hanging="407"/>
        <w:spacing w:after="0"/>
        <w:tabs>
          <w:tab w:leader="none" w:pos="8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29, 2022, the Company closed on a new $72,000 loan with a fixed rate of 5.29% that matures on May 6, 2032.</w:t>
      </w:r>
    </w:p>
    <w:p>
      <w:pPr>
        <w:spacing w:after="0" w:line="163" w:lineRule="exact"/>
        <w:rPr>
          <w:rFonts w:ascii="Times New Roman" w:cs="Times New Roman" w:eastAsia="Times New Roman" w:hAnsi="Times New Roman"/>
          <w:sz w:val="14"/>
          <w:szCs w:val="14"/>
          <w:color w:val="auto"/>
        </w:rPr>
      </w:pPr>
    </w:p>
    <w:p>
      <w:pPr>
        <w:ind w:left="820" w:right="20" w:hanging="407"/>
        <w:spacing w:after="0" w:line="261" w:lineRule="auto"/>
        <w:tabs>
          <w:tab w:leader="none" w:pos="811"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bears interest at LIBOR plus 1.48%. The loan is covered by an interest rate cap agreement that effectively prevents LIBOR from exceeding 4.0% during the period ending December 9, 2022.</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Most of the mortgage loan agreements contain a prepayment penalty provision for the early extinguishment of the debt.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mortgage notes payable are secured by the properties on which they are placed and are non-recourse to the Company.</w:t>
      </w:r>
    </w:p>
    <w:p>
      <w:pPr>
        <w:spacing w:after="0" w:line="144"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The Company expects that all loan maturities during the next twelve months will be refinanced, restructured, extended and/or paid off from the Company's line of credit or with cash on hand.</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interest expense capitalized was $1,851 and $1,462 for the three months ended March 31, 2022 and 2021,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estimated fair value (Level 2 measurement) of mortgage notes payable at March 31, 2022 and December 31, 2021 was $4,250,602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$4,261,429, respectively, based on current interest rates for comparable loans. Fair value was determined using a present value model and an interest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included a credit value adjustment based on the estimated value of the property that serves as collateral for the underlying debt.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Bank and Other Notes Payable: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Bank and other notes payable consist of the following:</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April 14, 2021, the Company terminated its existing credit facility and entered into a new credit agreement, which provides for an aggregate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$700,000 facility, including a $525,000 revolving loan facility that matures on April 14, 2023, with a one-year extension option, and a $175,000 term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that matures on April 14, 2024. The revolving loan facility can be expanded up to $800,000, subject to receipt of lender commitments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Concurrently with entering into the new credit agreement, the Company drew the $175,000 term loan facility in its entirety and drew $320,000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amount available under the revolving loan facility. Simultaneously with entering into the new credit agreement, the Company repaid $985,000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which included terminating and repaying all amounts outstanding under its prior revolving line of credit facility. All obligations under the facility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guaranteed unconditionally by the Company and are secured in the form of mortgages on certain wholly-owned assets and pledges of equity interests 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certain of the Company’s subsidiaries. The credit facility bears interest at LIBOR plus a spread of 2.25% to 3.25% depending on the Company’s overall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leverage level. As of March 31, 2022, the borrowing rate was LIBOR plus 2.25%. As of March 31, 2022, borrowings under the facility were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5"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Bank and Other Notes Payable: (Continued)</w:t>
      </w:r>
    </w:p>
    <w:p>
      <w:pPr>
        <w:spacing w:after="0" w:line="200" w:lineRule="exact"/>
        <w:rPr>
          <w:sz w:val="20"/>
          <w:szCs w:val="20"/>
          <w:color w:val="auto"/>
        </w:rPr>
      </w:pPr>
    </w:p>
    <w:p>
      <w:pPr>
        <w:spacing w:after="0" w:line="32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$76,000, less unamortized deferred finance costs of $12,612, for the revolving loan facility at a total interest rate of 3.76%. As of March 31, 2022, the Company's availability under the revolving loan facility for additional borrowings was $448,719. On September 20, 2021, the Company paid off the remaining balance outstanding on the term loan facility with proceeds from the sale of Tucson La Encantada (See Note 15—Dispositions). The estimated fair value (Level 2 measurement) of borrowings under the credit facility at March 31, 2022 was $72,916 for the revolving loan facility based on a present value model using a credit interest rate spread offered to the Company for comparable debt.</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2022 and December 31, 2021, the Company was in compliance with all applicable financial loan covenants.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Financing Arrangement:</w:t>
      </w:r>
    </w:p>
    <w:p>
      <w:pPr>
        <w:spacing w:after="0" w:line="148" w:lineRule="exact"/>
        <w:rPr>
          <w:sz w:val="20"/>
          <w:szCs w:val="20"/>
          <w:color w:val="auto"/>
        </w:rPr>
      </w:pPr>
    </w:p>
    <w:p>
      <w:pPr>
        <w:ind w:right="180" w:firstLine="445"/>
        <w:spacing w:after="0" w:line="253" w:lineRule="auto"/>
        <w:rPr>
          <w:sz w:val="20"/>
          <w:szCs w:val="20"/>
          <w:color w:val="auto"/>
        </w:rPr>
      </w:pPr>
      <w:r>
        <w:rPr>
          <w:rFonts w:ascii="Times New Roman" w:cs="Times New Roman" w:eastAsia="Times New Roman" w:hAnsi="Times New Roman"/>
          <w:sz w:val="18"/>
          <w:szCs w:val="18"/>
          <w:color w:val="auto"/>
        </w:rPr>
        <w:t>On September 30, 2009, the Company formed a joint venture whereby a third party acquired a 49.9% interest in Chandler Fashion Center, a 1,319,000 square foot regional shopping center in Chandler, Arizona, and Freehold Raceway Mall, a 1,553,000 square foot regional shopping center in Freehold, New Jersey (collectively referred to herein as "Chandler Freehold"). As a result of the Company having certain rights under the agreement to repurchase the assets after the seventh year of the formation of Chandler Freehold, the transaction did not qualify for sale treatment. The Company, however, is not obligated to repurchase the assets. The Company accounts for its investment in Chandler Freehold as a financing arrangement. The fair value (Level 3 measurement) of the financing arrangement obligation at each of March 31, 2022 and December 31, 2021 was based upon a terminal capitalization rate of approximately 5.75%, a discount rate of approximately 7.25% and market rents per square foot of $35 to $105.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interest (income) expense in the Company's consolidated statements of operations.</w:t>
      </w:r>
    </w:p>
    <w:p>
      <w:pPr>
        <w:spacing w:after="0" w:line="127" w:lineRule="exact"/>
        <w:rPr>
          <w:sz w:val="20"/>
          <w:szCs w:val="20"/>
          <w:color w:val="auto"/>
        </w:rPr>
      </w:pPr>
    </w:p>
    <w:p>
      <w:pPr>
        <w:ind w:right="600"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recognized interest expense (income) in the Company's consolidated statements of operations in connection with the financing arrangement as follows:</w:t>
      </w:r>
    </w:p>
    <w:p>
      <w:pPr>
        <w:spacing w:after="0" w:line="200" w:lineRule="exact"/>
        <w:rPr>
          <w:sz w:val="20"/>
          <w:szCs w:val="20"/>
          <w:color w:val="auto"/>
        </w:rPr>
      </w:pPr>
    </w:p>
    <w:p>
      <w:pPr>
        <w:spacing w:after="0" w:line="306" w:lineRule="exact"/>
        <w:rPr>
          <w:sz w:val="20"/>
          <w:szCs w:val="20"/>
          <w:color w:val="auto"/>
        </w:rPr>
      </w:pPr>
    </w:p>
    <w:p>
      <w:pPr>
        <w:jc w:val="center"/>
        <w:ind w:left="40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40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460" w:type="dxa"/>
        <w:tblCellMar>
          <w:top w:w="0" w:type="dxa"/>
          <w:left w:w="0" w:type="dxa"/>
          <w:bottom w:w="0" w:type="dxa"/>
          <w:right w:w="0" w:type="dxa"/>
        </w:tblCellMar>
      </w:tblPr>
      <w:tr>
        <w:trPr>
          <w:trHeight w:val="200"/>
        </w:trPr>
        <w:tc>
          <w:tcPr>
            <w:tcW w:w="6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equal to the partner's share of net income (loss)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in excess of the partner's share of net income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fair value of financing arrangement obligation</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23"/>
        </w:trPr>
        <w:tc>
          <w:tcPr>
            <w:tcW w:w="6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r>
      <w:tr>
        <w:trPr>
          <w:trHeight w:val="20"/>
        </w:trPr>
        <w:tc>
          <w:tcPr>
            <w:tcW w:w="6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Noncontrolling Interests:</w:t>
      </w:r>
    </w:p>
    <w:p>
      <w:pPr>
        <w:spacing w:after="0" w:line="148"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Company allocates net income of the Operating Partnership based on the weighted 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96% ownership interest in the Operating Partnership as of each of March 31, 2022 and December 31, 2021. The remaining 4% limited partnership interest as of each of March 31, 2022 and December 31, 2021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March 31, 2022 and December 31, 2021, the aggregate redemption value of the then-outstanding OP Units not owned by the Company was $131,584 and $147,259, respectively.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Noncontrolling Interests: (Continued)</w:t>
      </w:r>
    </w:p>
    <w:p>
      <w:pPr>
        <w:spacing w:after="0" w:line="200" w:lineRule="exact"/>
        <w:rPr>
          <w:sz w:val="20"/>
          <w:szCs w:val="20"/>
          <w:color w:val="auto"/>
        </w:rPr>
      </w:pPr>
    </w:p>
    <w:p>
      <w:pPr>
        <w:spacing w:after="0" w:line="326"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108"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90" w:lineRule="exact"/>
        <w:rPr>
          <w:sz w:val="20"/>
          <w:szCs w:val="20"/>
          <w:color w:val="auto"/>
        </w:rPr>
      </w:pPr>
    </w:p>
    <w:p>
      <w:pPr>
        <w:ind w:left="460" w:right="9240" w:hanging="452"/>
        <w:spacing w:after="0" w:line="441" w:lineRule="auto"/>
        <w:tabs>
          <w:tab w:leader="none" w:pos="284"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i w:val="1"/>
          <w:iCs w:val="1"/>
          <w:color w:val="auto"/>
        </w:rPr>
        <w:t>Stock Offerings</w:t>
      </w:r>
    </w:p>
    <w:p>
      <w:pPr>
        <w:spacing w:after="0" w:line="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connection with the commencement of separate “at the market” offering programs, on each of February 1, 2021 and March 26, 2021, which are referred to as the “February 2021 ATM Program” and the “March 2021 ATM Program,” respectively, and collectively as the “ATM Programs,” the Company entered into separate equity distribution agreements with certain sales agents pursuant to which the Company may issue and sell shares of its common stock having an aggregate offering price of up to $500,000 under each of the February 2021 ATM Program and the March 2021 ATM Program, or a total of $1,000,000 under the ATM Programs. The February 2021 ATM Program was fully utilized as of June 30, 2021 and is no longer active.</w:t>
      </w:r>
    </w:p>
    <w:p>
      <w:pPr>
        <w:spacing w:after="0" w:line="116"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the Company did not issue any shares of common stock under the March 2021 ATM Program. As of March 31, 2022, $151,699 remained available to be sold under the March 2021 ATM Program. Actual future sales will depend upon a variety of factors including, but not limited to, market conditions, the trading price of the Company’s common stock and the Company’s capital needs. The Company has no obligation to sell the remaining shares available for sale under the March 2021 ATM Program.</w:t>
      </w:r>
    </w:p>
    <w:p>
      <w:pPr>
        <w:spacing w:after="0" w:line="99"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2021, the Company issued 45,992,318 shares of common stock under the ATM Programs for aggregate gross proceeds of $609,739 and net proceeds of $597,007 after commissions and other transaction costs. In addition, under the ATM Programs, the Company sold additional common shares at the end of the quarter ending March 31, 2021 for aggregate gross proceeds of $41,977 and net proceeds of $41,137 after commissions, of which the shares settled and the proceeds were received in April 2021.</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Buyback Program</w:t>
      </w:r>
    </w:p>
    <w:p>
      <w:pPr>
        <w:spacing w:after="0" w:line="160"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ASR transactions, or other methods of acquiring shares, from time to time as permitted by securities laws and other legal requirements. The program is referred to herein as the "Stock Buyback Program".</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repurchases under the Stock Buyback Program during the three months ended March 31, 2022 or 2021.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Dispositions:</w:t>
      </w:r>
    </w:p>
    <w:p>
      <w:pPr>
        <w:spacing w:after="0" w:line="162"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On March 29, 2021, the Company sold Paradise Valley Mall in Phoenix, Arizona to a newly formed joint venture for $100,000 resulting in a gain on sale of assets and land of $5,563. Concurrent with the sale, the Company elected to reinvest into the new joint venture at a 5% ownership interest (see Note 4 – Investments in Unconsolidated Joint Ventures). The Company used the proceeds from the sale to pay down its line of credit and for other general corporate purposes.</w:t>
      </w:r>
    </w:p>
    <w:p>
      <w:pPr>
        <w:spacing w:after="0" w:line="99" w:lineRule="exact"/>
        <w:rPr>
          <w:sz w:val="20"/>
          <w:szCs w:val="20"/>
          <w:color w:val="auto"/>
        </w:rPr>
      </w:pPr>
    </w:p>
    <w:p>
      <w:pPr>
        <w:ind w:right="860" w:firstLine="445"/>
        <w:spacing w:after="0" w:line="282" w:lineRule="auto"/>
        <w:rPr>
          <w:sz w:val="20"/>
          <w:szCs w:val="20"/>
          <w:color w:val="auto"/>
        </w:rPr>
      </w:pPr>
      <w:r>
        <w:rPr>
          <w:rFonts w:ascii="Times New Roman" w:cs="Times New Roman" w:eastAsia="Times New Roman" w:hAnsi="Times New Roman"/>
          <w:sz w:val="18"/>
          <w:szCs w:val="18"/>
          <w:color w:val="auto"/>
        </w:rPr>
        <w:t>On September 17, 2021, the Company sold Tucson La Encantada in Tucson, Arizona for $165,250, resulting in a gain on sale of assets of approximately $117,242. The Company used the net cash proceeds of $100,142 to pay down debt.</w:t>
      </w:r>
    </w:p>
    <w:p>
      <w:pPr>
        <w:spacing w:after="0" w:line="94" w:lineRule="exact"/>
        <w:rPr>
          <w:sz w:val="20"/>
          <w:szCs w:val="20"/>
          <w:color w:val="auto"/>
        </w:rPr>
      </w:pPr>
    </w:p>
    <w:p>
      <w:pPr>
        <w:jc w:val="both"/>
        <w:ind w:right="200" w:firstLine="44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and 2021, the Company sold various land parcels in separate transactions, resulting in gains on sale of land of $15,082 and $4,096, respectively. The Company used its share of the proceeds from these sales to pay down debt and for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5"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00" w:lineRule="exact"/>
        <w:rPr>
          <w:sz w:val="20"/>
          <w:szCs w:val="20"/>
          <w:color w:val="auto"/>
        </w:rPr>
      </w:pPr>
    </w:p>
    <w:p>
      <w:pPr>
        <w:spacing w:after="0" w:line="232"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As of March 31, 2022, the Company was contingently liable for $40,997 in letters of credit guaranteeing performance by the Company of certain obligations relating to the Centers. As of March 31, 2022, $40,680 of these letters of credit were secured by restricted cash. The Company does not believe that these letters of credit will result in a liability to the Company.</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relevant agreement. At March 31, 2022, the Company had $10,351 in outstanding obligations, which it believes will be settled in the next twelve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148"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fees charged to unconsolidated joint ventures:</w:t>
      </w:r>
    </w:p>
    <w:p>
      <w:pPr>
        <w:spacing w:after="0" w:line="43"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460" w:type="dxa"/>
        <w:tblCellMar>
          <w:top w:w="0" w:type="dxa"/>
          <w:left w:w="0" w:type="dxa"/>
          <w:bottom w:w="0" w:type="dxa"/>
          <w:right w:w="0" w:type="dxa"/>
        </w:tblCellMar>
      </w:tblPr>
      <w:tr>
        <w:trPr>
          <w:trHeight w:val="200"/>
        </w:trPr>
        <w:tc>
          <w:tcPr>
            <w:tcW w:w="36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r>
      <w:tr>
        <w:trPr>
          <w:trHeight w:val="23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Development and leasing fees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48"/>
        </w:trPr>
        <w:tc>
          <w:tcPr>
            <w:tcW w:w="3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Interest expense from related party transactions includes $8,002 and $1,319 for the three months ended March 31, 2022 and 2021, respectively, in connection with the Financing Arrangement (See Note 12—Financing Arrangement).</w:t>
      </w:r>
    </w:p>
    <w:p>
      <w:pPr>
        <w:spacing w:after="0" w:line="94"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Due from (to) affiliates includes $4,177 and $(327) of unreimbursed (prepaid) costs and fees from unconsolidated joint ventures due to (from) the Management Companies at March 31, 2022 and December 31, 2021,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Share and Unit-Based Plans:</w:t>
      </w:r>
    </w:p>
    <w:p>
      <w:pPr>
        <w:spacing w:after="0" w:line="162"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Under the Long-Term Incentive Plan ("LTIP"), each award recipient is issued a form of operating partnership units ("LTIP Units") in the Operating Partnership or form of restricted stock units (together with the LTIP Units the "LTI Units"). Upon the occurrence of specified events and subject to the satisfaction of applicable vesting conditions, LTIP Units (after conversion into OP Units) are ultimately redeemable for common stock of the Company, or cash at the Company's option, on a one-unit for one-share basis. LTI Units receive cash dividends based on the dividend amount paid on the common stock of the Company. The LTIP may include market-indexed awards, performance-based awards and service-based awards.</w:t>
      </w:r>
    </w:p>
    <w:p>
      <w:pPr>
        <w:spacing w:after="0" w:line="116"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The market-indexed LTI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 The performance-based LTI Units vest over a specified period based on the Company's operational performance over that period.</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three months ended March 31, 2022, the Company granted the following LTI Units: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2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60" w:type="dxa"/>
            <w:vAlign w:val="bottom"/>
          </w:tcPr>
          <w:p>
            <w:pPr>
              <w:spacing w:after="0"/>
              <w:rPr>
                <w:sz w:val="16"/>
                <w:szCs w:val="16"/>
                <w:color w:val="auto"/>
              </w:rPr>
            </w:pPr>
          </w:p>
        </w:tc>
        <w:tc>
          <w:tcPr>
            <w:tcW w:w="20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Fair Value per</w:t>
            </w:r>
          </w:p>
        </w:tc>
        <w:tc>
          <w:tcPr>
            <w:tcW w:w="128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Vest Date</w:t>
            </w:r>
          </w:p>
        </w:tc>
        <w:tc>
          <w:tcPr>
            <w:tcW w:w="0" w:type="dxa"/>
            <w:vAlign w:val="bottom"/>
          </w:tcPr>
          <w:p>
            <w:pPr>
              <w:spacing w:after="0"/>
              <w:rPr>
                <w:sz w:val="1"/>
                <w:szCs w:val="1"/>
                <w:color w:val="auto"/>
              </w:rPr>
            </w:pPr>
          </w:p>
        </w:tc>
      </w:tr>
      <w:tr>
        <w:trPr>
          <w:trHeight w:val="214"/>
        </w:trPr>
        <w:tc>
          <w:tcPr>
            <w:tcW w:w="142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LTI Unit</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1/1/2022</w:t>
            </w:r>
          </w:p>
        </w:tc>
        <w:tc>
          <w:tcPr>
            <w:tcW w:w="1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376,153</w:t>
            </w:r>
          </w:p>
        </w:tc>
        <w:tc>
          <w:tcPr>
            <w:tcW w:w="1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12/31/2024</w:t>
            </w:r>
          </w:p>
        </w:tc>
        <w:tc>
          <w:tcPr>
            <w:tcW w:w="0" w:type="dxa"/>
            <w:vAlign w:val="bottom"/>
          </w:tcPr>
          <w:p>
            <w:pPr>
              <w:spacing w:after="0"/>
              <w:rPr>
                <w:sz w:val="1"/>
                <w:szCs w:val="1"/>
                <w:color w:val="auto"/>
              </w:rPr>
            </w:pPr>
          </w:p>
        </w:tc>
      </w:tr>
      <w:tr>
        <w:trPr>
          <w:trHeight w:val="229"/>
        </w:trPr>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1/1/2022</w:t>
            </w:r>
          </w:p>
        </w:tc>
        <w:tc>
          <w:tcPr>
            <w:tcW w:w="1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716,545</w:t>
            </w: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12/31/2024</w:t>
            </w:r>
          </w:p>
        </w:tc>
        <w:tc>
          <w:tcPr>
            <w:tcW w:w="0" w:type="dxa"/>
            <w:vAlign w:val="bottom"/>
          </w:tcPr>
          <w:p>
            <w:pPr>
              <w:spacing w:after="0"/>
              <w:rPr>
                <w:sz w:val="1"/>
                <w:szCs w:val="1"/>
                <w:color w:val="auto"/>
              </w:rPr>
            </w:pPr>
          </w:p>
        </w:tc>
      </w:tr>
      <w:tr>
        <w:trPr>
          <w:trHeight w:val="248"/>
        </w:trPr>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1,092,698</w:t>
            </w:r>
          </w:p>
        </w:tc>
        <w:tc>
          <w:tcPr>
            <w:tcW w:w="1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26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5" w:right="37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Share and Unit-Based Plans: (Continued)</w:t>
      </w:r>
    </w:p>
    <w:p>
      <w:pPr>
        <w:spacing w:after="0" w:line="200" w:lineRule="exact"/>
        <w:rPr>
          <w:sz w:val="20"/>
          <w:szCs w:val="20"/>
          <w:color w:val="auto"/>
        </w:rPr>
      </w:pPr>
    </w:p>
    <w:p>
      <w:pPr>
        <w:spacing w:after="0" w:line="326"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fair value of the service-based LTI Units was determined by the market price of the Company's common stock on the date of grant. The fair value of the performance-based LTI Units granted on January 1, 2022 was estimated on the date of grant using a Monte Carlo Simulation model that assumed a risk-free interest rate of 0.97% and an expected volatility of 70.83%.</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activity of the non-vested LTI Units, phantom stock units and stock units: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224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LTI Units</w:t>
            </w: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Phantom Stock Units</w:t>
            </w:r>
          </w:p>
        </w:tc>
        <w:tc>
          <w:tcPr>
            <w:tcW w:w="2160" w:type="dxa"/>
            <w:vAlign w:val="bottom"/>
            <w:gridSpan w:val="4"/>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Stock Units</w:t>
            </w:r>
          </w:p>
        </w:tc>
      </w:tr>
      <w:tr>
        <w:trPr>
          <w:trHeight w:val="211"/>
        </w:trPr>
        <w:tc>
          <w:tcPr>
            <w:tcW w:w="2740" w:type="dxa"/>
            <w:vAlign w:val="bottom"/>
          </w:tcPr>
          <w:p>
            <w:pPr>
              <w:spacing w:after="0"/>
              <w:rPr>
                <w:sz w:val="18"/>
                <w:szCs w:val="18"/>
                <w:color w:val="auto"/>
              </w:rPr>
            </w:pPr>
          </w:p>
        </w:tc>
        <w:tc>
          <w:tcPr>
            <w:tcW w:w="114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100" w:type="dxa"/>
            <w:vAlign w:val="bottom"/>
          </w:tcPr>
          <w:p>
            <w:pPr>
              <w:spacing w:after="0"/>
              <w:rPr>
                <w:sz w:val="18"/>
                <w:szCs w:val="18"/>
                <w:color w:val="auto"/>
              </w:rPr>
            </w:pPr>
          </w:p>
        </w:tc>
        <w:tc>
          <w:tcPr>
            <w:tcW w:w="10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Value(1)</w:t>
            </w:r>
          </w:p>
        </w:tc>
      </w:tr>
      <w:tr>
        <w:trPr>
          <w:trHeight w:val="225"/>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1,837,691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29"/>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30"/>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r>
      <w:tr>
        <w:trPr>
          <w:trHeight w:val="229"/>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2,913,922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30,517</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256,127</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r>
        <w:trPr>
          <w:trHeight w:val="163"/>
        </w:trPr>
        <w:tc>
          <w:tcPr>
            <w:tcW w:w="27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Value represents the weighted average grant date fair value.</w:t>
      </w:r>
    </w:p>
    <w:p>
      <w:pPr>
        <w:spacing w:after="0" w:line="3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of the stock options outstanding:</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3140" w:type="dxa"/>
            <w:vAlign w:val="bottom"/>
          </w:tcPr>
          <w:p>
            <w:pPr>
              <w:spacing w:after="0"/>
              <w:rPr>
                <w:sz w:val="18"/>
                <w:szCs w:val="18"/>
                <w:color w:val="auto"/>
              </w:rPr>
            </w:pPr>
          </w:p>
        </w:tc>
        <w:tc>
          <w:tcPr>
            <w:tcW w:w="212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Stock Options</w:t>
            </w:r>
          </w:p>
        </w:tc>
      </w:tr>
      <w:tr>
        <w:trPr>
          <w:trHeight w:val="211"/>
        </w:trPr>
        <w:tc>
          <w:tcPr>
            <w:tcW w:w="3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Value(1)</w:t>
            </w: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r>
      <w:tr>
        <w:trPr>
          <w:trHeight w:val="230"/>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w:t>
            </w:r>
          </w:p>
        </w:tc>
      </w:tr>
      <w:tr>
        <w:trPr>
          <w:trHeight w:val="20"/>
        </w:trPr>
        <w:tc>
          <w:tcPr>
            <w:tcW w:w="3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154305</wp:posOffset>
            </wp:positionV>
            <wp:extent cx="19202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(1) Value represents the weighted average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265" w:right="7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Share and Unit-Based Plans: (Continued)</w:t>
      </w:r>
    </w:p>
    <w:p>
      <w:pPr>
        <w:spacing w:after="0" w:line="200" w:lineRule="exact"/>
        <w:rPr>
          <w:sz w:val="20"/>
          <w:szCs w:val="20"/>
          <w:color w:val="auto"/>
        </w:rPr>
      </w:pPr>
    </w:p>
    <w:p>
      <w:pPr>
        <w:spacing w:after="0" w:line="3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summarizes the compensation cost under the share and unit-based plans:</w:t>
      </w:r>
    </w:p>
    <w:p>
      <w:pPr>
        <w:spacing w:after="0" w:line="43"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LTI Units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Phantom stock units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5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w:t>
            </w:r>
          </w:p>
        </w:tc>
      </w:tr>
      <w:tr>
        <w:trPr>
          <w:trHeight w:val="21"/>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Company capitalized share and unit-based compensation costs of $1,193 and $1,001 for the three months ended March 31, 2022 and 2021, respectively. Unrecognized compensation costs of share and unit-based plans at March 31, 2022 consisted of $17,724 from LTI Units, $1,508 from stock units and $0 from phantom stock units.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Income Taxes:</w:t>
      </w:r>
    </w:p>
    <w:p>
      <w:pPr>
        <w:spacing w:after="0" w:line="162"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5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4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248"/>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The income tax provision of the TRSs are as follows:</w:t>
            </w:r>
          </w:p>
        </w:tc>
        <w:tc>
          <w:tcPr>
            <w:tcW w:w="4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expense</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20"/>
        </w:trPr>
        <w:tc>
          <w:tcPr>
            <w:tcW w:w="3840" w:type="dxa"/>
            <w:vAlign w:val="bottom"/>
            <w:vMerge w:val="continue"/>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3840" w:type="dxa"/>
            <w:vAlign w:val="bottom"/>
            <w:vMerge w:val="continue"/>
          </w:tcPr>
          <w:p>
            <w:pPr>
              <w:spacing w:after="0"/>
              <w:rPr>
                <w:sz w:val="5"/>
                <w:szCs w:val="5"/>
                <w:color w:val="auto"/>
              </w:rPr>
            </w:pPr>
          </w:p>
        </w:tc>
        <w:tc>
          <w:tcPr>
            <w:tcW w:w="4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The net operating loss ("NOL") carryforwards generated through the 2017 tax year are scheduled to expire through 2037, beginning in 2025. Pursuant to the Tax Cuts and Jobs Act of 2017, NOLs generated in 2018 and subsequent tax years are carried forward indefinitely. The Coronavirus Aid, Relief and Economic Security Act removed the 80% of taxable income limitation, imposed by the Tax Cuts and Jobs Act, for NOLs generated in 2018, 2019 and 2020. Net deferred tax assets of $22,020 and $23,406 were included in deferred charges and other assets, net at March 31, 2022 and December 31, 2021, respectively.</w:t>
      </w:r>
    </w:p>
    <w:p>
      <w:pPr>
        <w:spacing w:after="0" w:line="116"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Company is required to establish a valuation allowance for any portion of the deferred tax asset that the Company concludes is more likely than not to be unrealizable. The Company’s assessment considers all evidence, both positive and negative, including the nature, frequency and severity of any current and cumulative losses, taxable income in carry back years, the scheduled reversal of deferred tax liabilities, tax planning strategies and projected future taxable income in making this assessment. As of March 31, 2022, the Company had no valuation allowance recorded.</w:t>
      </w:r>
    </w:p>
    <w:p>
      <w:pPr>
        <w:spacing w:after="0" w:line="99"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The tax years 2018 through 2020 remain open to examination by the taxing jurisdictions to which the Company is subject. The Company does not expect that the total amount of unrecognized tax benefit will materially change within the next twelve months.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62" w:lineRule="exact"/>
        <w:rPr>
          <w:sz w:val="20"/>
          <w:szCs w:val="20"/>
          <w:color w:val="auto"/>
        </w:rPr>
      </w:pPr>
    </w:p>
    <w:p>
      <w:pPr>
        <w:ind w:right="360" w:firstLine="445"/>
        <w:spacing w:after="0" w:line="266" w:lineRule="auto"/>
        <w:rPr>
          <w:sz w:val="20"/>
          <w:szCs w:val="20"/>
          <w:color w:val="auto"/>
        </w:rPr>
      </w:pPr>
      <w:r>
        <w:rPr>
          <w:rFonts w:ascii="Times New Roman" w:cs="Times New Roman" w:eastAsia="Times New Roman" w:hAnsi="Times New Roman"/>
          <w:sz w:val="18"/>
          <w:szCs w:val="18"/>
          <w:color w:val="auto"/>
        </w:rPr>
        <w:t>On May 9, 2022, the Company announced a dividend/distribution of $0.15 per share for common stockholders and OP Unitholders of record on May 20, 2022. All dividends/distributions will be paid 100% in cash on June 3, 2022.</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5"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3660"/>
        <w:spacing w:after="0" w:line="41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IMPORTANT INFORMATION RELATED TO FORWARD-LOOKING STATEMENTS</w:t>
      </w: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spacing w:after="0" w:line="120"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growth;</w:t>
      </w:r>
    </w:p>
    <w:p>
      <w:pPr>
        <w:spacing w:after="0" w:line="63" w:lineRule="exact"/>
        <w:rPr>
          <w:rFonts w:ascii="Times New Roman" w:cs="Times New Roman" w:eastAsia="Times New Roman" w:hAnsi="Times New Roman"/>
          <w:sz w:val="18"/>
          <w:szCs w:val="18"/>
          <w:color w:val="auto"/>
        </w:rPr>
      </w:pPr>
    </w:p>
    <w:p>
      <w:pPr>
        <w:ind w:left="1300" w:right="560" w:hanging="644"/>
        <w:spacing w:after="0" w:line="281"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beliefs regarding its acquisition, redevelopment, development, leasing and operational activities and opportunities, including the performance and financial stability of its retailers;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acquisition, disposition and other strategies;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 pertaining to compliance with governmental regulations;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capital expenditure plans and expectations for obtaining capital for expenditures;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income tax benefits;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its financial condition or results of operations; and</w:t>
      </w:r>
    </w:p>
    <w:p>
      <w:pPr>
        <w:spacing w:after="0" w:line="6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for refinancing its indebtedness, entering into and servicing debt obligations and entering into joint venture arrangements.</w:t>
      </w:r>
    </w:p>
    <w:p>
      <w:pPr>
        <w:spacing w:after="0" w:line="81"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global,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interest rate fluctuations, availability, terms and cost of financing and operating expenses; adverse changes in the real estate markets including, among other things, competition from other companies, retail formats and technology, risks of real estate development and redevelopment, acquisitions and dispositions; the continuing adverse impact of the novel coronavirus ("COVID-19") on the U.S., regional and global economies and the financial condition and results of operations of the Company and its tenants;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in our Annual Report on Form 10-K for the year ended December 31, 2021,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Overview and Summary</w:t>
      </w:r>
    </w:p>
    <w:p>
      <w:pPr>
        <w:spacing w:after="0" w:line="16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March 31, 2022, the Operating Partnership owned or had an ownership interest in 44 regional town centers and five community/power shopping centers. These 49 regional town centers and community/power shopping centers (which include any adjoining mixed use improvements) consist of approximately 48 million square feet of gross leasable area ("GLA") and are referred to herein as the "Centers". The Centers consist of consolidated Centers ("Consolidated Centers") and unconsolidated joint venture Centers ("Unconsolidated Joint Venture Centers"), unless the context otherwise requires. The property management, leasing and redevelopment of the Company's portfolio is provided by the Company's seven management companies (collectively referred to herein as the "Management Companies"). The Company is a self-administered and self-managed real estate investment trust ("REIT") and conducts all of its operations through the Operating Partnership and the Management Companies.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following discussion is based primarily on the consolidated financial statements of the Company for the three months ended March 31, 2022 and 2021. It compares the results of operations for the three months ended March 31, 2022 to the results of operations for the three months ended March 31,</w:t>
      </w:r>
    </w:p>
    <w:p>
      <w:pPr>
        <w:ind w:right="220"/>
        <w:spacing w:after="0" w:line="260" w:lineRule="auto"/>
        <w:rPr>
          <w:sz w:val="20"/>
          <w:szCs w:val="20"/>
          <w:color w:val="auto"/>
        </w:rPr>
      </w:pPr>
      <w:r>
        <w:rPr>
          <w:rFonts w:ascii="Times New Roman" w:cs="Times New Roman" w:eastAsia="Times New Roman" w:hAnsi="Times New Roman"/>
          <w:sz w:val="18"/>
          <w:szCs w:val="18"/>
          <w:color w:val="auto"/>
        </w:rPr>
        <w:t>2021. It also compares the results of operations and cash flows for the three months ended March 31, 2022 to the results of operations and cash flows for the three months ended March 31, 2021.</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information should be read in conjunction with the accompanying consolidated financial statements and notes thereto.</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60"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On March 29, 2021, the Company sold Paradise Valley Mall in Phoenix, Arizona to a newly formed joint venture for $100.0 million, resulting in a gain on sale of assets of approximately $5.6 million. Concurrent with the sale, the Company elected to reinvest into the new joint venture at a 5% ownership interest. The Company used the $95.3 million of net proceeds from the sale to pay down its line of credit (See "—Liquidity and Capital Resources").</w:t>
      </w:r>
    </w:p>
    <w:p>
      <w:pPr>
        <w:spacing w:after="0" w:line="99"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On September 17, 2021, the Company sold Tucson La Encantada in Tucson, Arizona for $165.3 million, resulting in a gain on sale of assets of approximately $117.2 million. The Company used the net cash proceeds of approximately $100.1 million to pay down debt (See "—Liquidity and Capital Resources").</w:t>
      </w:r>
    </w:p>
    <w:p>
      <w:pPr>
        <w:spacing w:after="0" w:line="108" w:lineRule="exact"/>
        <w:rPr>
          <w:sz w:val="20"/>
          <w:szCs w:val="20"/>
          <w:color w:val="auto"/>
        </w:rPr>
      </w:pPr>
    </w:p>
    <w:p>
      <w:pPr>
        <w:jc w:val="both"/>
        <w:ind w:right="240" w:firstLine="445"/>
        <w:spacing w:after="0" w:line="266" w:lineRule="auto"/>
        <w:rPr>
          <w:sz w:val="20"/>
          <w:szCs w:val="20"/>
          <w:color w:val="auto"/>
        </w:rPr>
      </w:pPr>
      <w:r>
        <w:rPr>
          <w:rFonts w:ascii="Times New Roman" w:cs="Times New Roman" w:eastAsia="Times New Roman" w:hAnsi="Times New Roman"/>
          <w:sz w:val="18"/>
          <w:szCs w:val="18"/>
          <w:color w:val="auto"/>
        </w:rPr>
        <w:t>On December 31, 2021, the Company assigned its joint venture interest in The Shops at North Bridge in Chicago, Illinois to its partner in the joint venture. The assignment included the assumption by the joint venture partner of the Company’s share of the debt owed by the joint venture and no cash consideration was received by the Company. The Company recognized a loss of approximately $28.3 million in connection with the assignment.</w:t>
      </w:r>
    </w:p>
    <w:p>
      <w:pPr>
        <w:spacing w:after="0" w:line="108"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On December 31, 2021, the Company sold its joint venture interest in the undeveloped property at 443 North Wabash Avenue in Chicago, Illinois to its partner in the joint venture for $21.0 million. The Company recognized an immaterial gain in connection with the sale.</w:t>
      </w:r>
    </w:p>
    <w:p>
      <w:pPr>
        <w:spacing w:after="0" w:line="81"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For the twelve months ended December 31, 2021, the Company and certain joint venture partners sold various land parcels in separate transactions, resulting in the Company’s share of the gain on sale of land of $19.6 million. The Company used its share of the proceeds from these sales of $46.5 million to pay down debt and for other general corporate purposes.</w:t>
      </w:r>
    </w:p>
    <w:p>
      <w:pPr>
        <w:spacing w:after="0" w:line="108"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the Company and certain joint venture partners sold various land parcels in separate transactions, resulting in the Company’s share of the gain on sale of land of $11.3 million. The Company used its share of the proceeds from these sales of $20.3 million to pay down debt and for other general corporate purposes.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On January 22, 2021, the Company closed on a one-year extension for the Green Acres Mall $258.2 million loan to February 3, 2022, which also included a one-year extension option to February 3, 2023 that has been exercised. The interest rate remained unchanged, and the Company repaid $9 million of the outstanding loan balance at closing.</w:t>
      </w:r>
    </w:p>
    <w:p>
      <w:pPr>
        <w:spacing w:after="0" w:line="10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On March 25, 2021, the Company closed on a two-year extension for the Green Acres Commons $124.6 million loan to March 29, 2023. The interest rate is LIBOR plus 2.75% and the Company repaid $4.7 million of the outstanding loan balance at closing.</w:t>
      </w:r>
    </w:p>
    <w:p>
      <w:pPr>
        <w:spacing w:after="0" w:line="94"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On April 14, 2021, the Company terminated its existing credit facility and entered into a new credit agreement, which provides for an aggregate $700 million facility, including a $525 million revolving loan facility that matures on April 14, 2023, with a one-year extension option, and a $175 million term loan facility that matures on April 14, 2024. The Company drew the $175 million term loan facility in its entirety simultaneously with entering into the new credit agreement in April 2021 and subsequently paid off the remaining balance outstanding on the term loan facility with proceeds from the sale of Tucson La Encantada in September 2021.</w:t>
      </w:r>
    </w:p>
    <w:p>
      <w:pPr>
        <w:spacing w:after="0" w:line="102" w:lineRule="exact"/>
        <w:rPr>
          <w:sz w:val="20"/>
          <w:szCs w:val="20"/>
          <w:color w:val="auto"/>
        </w:rPr>
      </w:pPr>
    </w:p>
    <w:p>
      <w:pPr>
        <w:ind w:right="800" w:firstLine="445"/>
        <w:spacing w:after="0" w:line="282" w:lineRule="auto"/>
        <w:rPr>
          <w:sz w:val="20"/>
          <w:szCs w:val="20"/>
          <w:color w:val="auto"/>
        </w:rPr>
      </w:pPr>
      <w:r>
        <w:rPr>
          <w:rFonts w:ascii="Times New Roman" w:cs="Times New Roman" w:eastAsia="Times New Roman" w:hAnsi="Times New Roman"/>
          <w:sz w:val="18"/>
          <w:szCs w:val="18"/>
          <w:color w:val="auto"/>
        </w:rPr>
        <w:t>On September 15, 2021, the Company further extended the loan maturity on Danbury Fair Mall to July 1, 2022. The interest rate remained unchanged, and the Company repaid $10.0 million of the outstanding loan balance at closing.</w:t>
      </w:r>
    </w:p>
    <w:p>
      <w:pPr>
        <w:spacing w:after="0" w:line="94"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On October 26, 2021, the Company's joint venture in The Shops at Atlas Park replaced the existing loan on the property with a new $65 million loan that bears interest at a floating rate of LIBOR plus 4.15% and matures on November 9, 2026, including extension options. The loan is covered by an interest rate cap agreement that effectively prevents LIBOR from exceeding 3.0% through November 7, 2023.</w:t>
      </w:r>
    </w:p>
    <w:p>
      <w:pPr>
        <w:spacing w:after="0" w:line="108" w:lineRule="exact"/>
        <w:rPr>
          <w:sz w:val="20"/>
          <w:szCs w:val="20"/>
          <w:color w:val="auto"/>
        </w:rPr>
      </w:pPr>
    </w:p>
    <w:p>
      <w:pPr>
        <w:ind w:right="480" w:firstLine="44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repaid $1.7 billion of debt then outstanding, including the $985 million repaid in connection with entering into the new credit agreement in April 2021. These repaid amounts represented an approximately 20% reduction in the debt outstanding, at the Company’s share, since December 31, 2020.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On February 2, 2022, the Company’s joint venture in FlatIron Crossing replaced the existing $197 million loan on the property with a new $175 million loan that bears interest at SOFR plus 3.70% and matures on February 9, 2025, including extension options. The loan is covered by an interest rate cap agreement that effectively prevents SOFR from exceeding 4.0% through February 15, 2024.</w:t>
      </w:r>
    </w:p>
    <w:p>
      <w:pPr>
        <w:spacing w:after="0" w:line="9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On April 29, 2022, the Company replaced the existing $110.6 million loan on Pacific View with a new $72.0 million loan that bears interest at a fixed rate of 5.29% and matures on May 6, 2032.</w:t>
      </w:r>
    </w:p>
    <w:p>
      <w:pPr>
        <w:spacing w:after="0" w:line="94"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On May 6, 2022, the Company closed on a two-year extension for The Oaks $175.4 million loan to June 5, 2024, at a new fixed interest rate of 5.25%. The Company repaid $5.0 million of the outstanding loan balance at closing.</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Redevelopment and Development Activities:</w:t>
      </w:r>
    </w:p>
    <w:p>
      <w:pPr>
        <w:spacing w:after="0" w:line="146"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Company's joint venture with Hudson Pacific Properties is redeveloping One Westside into 584,000 square feet of creative office space and 96,000 square feet of dining and entertainment space. The entire creative office space has been leased to Google and is expected to be completed in the third quarter of 2022. During the fourth quarter of 2021, the joint venture delivered the office space to Google for tenant improvement work, which Google has commenced. The total cost of the project is estimated to be between $500.0 million and $550.0 million, with $125.0 million to $137.5 million estimated to be the Company's pro rata share. The Company has incurred $112.2 million of the total $448.9 million incurred by the joint venture as of March 31, 2022. The joint venture expects to fund the remaining costs of the development with its $414.6 million construction loan.</w:t>
      </w:r>
    </w:p>
    <w:p>
      <w:pPr>
        <w:spacing w:after="0" w:line="120"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Company has a 50/50 joint venture with Simon Property Group, which was initially formed to develop Los Angeles Premium Outlets, a premium outlet center in Carson, California. The Company has funded $40.5 million of the total $81.0 million incurred by the joint venture as of March 31, 2022.</w:t>
      </w:r>
    </w:p>
    <w:p>
      <w:pPr>
        <w:spacing w:after="0" w:line="108"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closures and lease rejections of several Sears stores owned or partially owned by the Company, the Company anticipates spending between $130.0 million to $160.0 million at the Company’s pro rata share to redevelop the Sears stores. The anticipated openings of such redevelopments are expected to occur over several years. The estimated range of redevelopment costs could increase if the Company or its joint venture decides to expand the scope of the redevelopments. The Company has funded $41.1 million at its pro rata share as of March 31, 2022.</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Transactions and Events:</w:t>
      </w:r>
    </w:p>
    <w:p>
      <w:pPr>
        <w:spacing w:after="0" w:line="160"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In March 2020, the COVID-19 outbreak was declared a pandemic by the World Health Organization. As a result, all of the markets that the Company operates in were subject to stay-at-home orders, and the majority of its properties were temporarily closed in part or completely. Following staggered re-openings during 2020, all Centers have been open and operating since October 7, 2020. As of the date of this Quarterly Report on Form 10-Q, government-imposed capacity restrictions resulting from COVID-19 have been essentially eliminated across the Company's markets. Although overall fundamentals at the Centers continued to improve during 2021 and into the first quarter of 2022, the Company expects that the COVID-19 pandemic, including the emergence of new variants, will continue to negatively impact its results for the remainder of 2022 due, in part, to reduced occupancy relative to pre-COVID levels and additional Anchor closures, among other factors.</w:t>
      </w:r>
    </w:p>
    <w:p>
      <w:pPr>
        <w:spacing w:after="0" w:line="12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Company declared a cash dividend of $0.15 per share of its common stock for each quarter in the year ended December 31, 2021. On January 27, 2022, the Company declared a first quarter cash dividend of $0.15 per share of its common stock, which was paid on March 3, 2022 to stockholders of record on February 18, 2022. On May 9, 2022, the Company declared a second quarter cash dividend of $0.15 per share of its common stock, which will be paid on June 3, 2022 to stockholders of record on May 20, 2022. The dividend amount will be reviewed by the Board on a quarterly basis.</w:t>
      </w:r>
    </w:p>
    <w:p>
      <w:pPr>
        <w:spacing w:after="0" w:line="99" w:lineRule="exact"/>
        <w:rPr>
          <w:sz w:val="20"/>
          <w:szCs w:val="20"/>
          <w:color w:val="auto"/>
        </w:rPr>
      </w:pPr>
    </w:p>
    <w:p>
      <w:pPr>
        <w:ind w:right="260" w:firstLine="445"/>
        <w:spacing w:after="0" w:line="255" w:lineRule="auto"/>
        <w:rPr>
          <w:sz w:val="20"/>
          <w:szCs w:val="20"/>
          <w:color w:val="auto"/>
        </w:rPr>
      </w:pPr>
      <w:r>
        <w:rPr>
          <w:rFonts w:ascii="Times New Roman" w:cs="Times New Roman" w:eastAsia="Times New Roman" w:hAnsi="Times New Roman"/>
          <w:sz w:val="18"/>
          <w:szCs w:val="18"/>
          <w:color w:val="auto"/>
        </w:rPr>
        <w:t>In connection with the commencement of separate "at the market" offering programs, on each of February 1, 2021 and March 26, 2021, which are referred to as the "February 2021 ATM Program" and the "March 2021 ATM Program," respectively, and collectively as the "ATM Programs," the Company entered into separate equity distribution agreements with certain sales agents pursuant to which the Company may issue and sell shares of its common stock having an aggregate offering price of up to $500 million under each of the February 2021 ATM Program and the March 2021 ATM Program, or a total of $1 billion under the ATM Programs. As of March 31, 2022, the Company had approximately $151.7 million of gross sales of its common stock available under the March 2021 ATM Program. The February 2021 ATM Program was fully utilized as of June 30, 2021 and is no longer active.</w:t>
      </w:r>
    </w:p>
    <w:p>
      <w:pPr>
        <w:spacing w:after="0" w:line="121" w:lineRule="exact"/>
        <w:rPr>
          <w:sz w:val="20"/>
          <w:szCs w:val="20"/>
          <w:color w:val="auto"/>
        </w:rPr>
      </w:pPr>
    </w:p>
    <w:p>
      <w:pPr>
        <w:ind w:right="580" w:firstLine="445"/>
        <w:spacing w:after="0" w:line="282" w:lineRule="auto"/>
        <w:rPr>
          <w:sz w:val="20"/>
          <w:szCs w:val="20"/>
          <w:color w:val="auto"/>
        </w:rPr>
      </w:pPr>
      <w:r>
        <w:rPr>
          <w:rFonts w:ascii="Times New Roman" w:cs="Times New Roman" w:eastAsia="Times New Roman" w:hAnsi="Times New Roman"/>
          <w:sz w:val="18"/>
          <w:szCs w:val="18"/>
          <w:color w:val="auto"/>
        </w:rPr>
        <w:t>See “—Liquidity and Capital Resources” for a further discussion of the Company’s anticipated liquidity needs, and the measures taken by the Company to meet those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46"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In the last five years, inflation has not had a significant impact on the Company. Most of the leases at the Centers have rent adjustments periodically throughout the lease term. These rent increases are either in fixed increments or based on using an annual multiple of increases in the Consumer Price Index. In addition, the routine expiration of leases for spaces 10,000 square feet and under each year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most leases require the tenants to pay their pro rata share of property taxes and utilities.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9"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and estimates are described in more detail in Note 2— Summary of Significant Accounting Policies in the Company's Notes to the Consolidated Financial Statements. However, the following policies are deemed to be critical.</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60"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107"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Remeasurement gains and losses are recognized when the Company becomes the primary beneficiary of an existing equity method investment that is a variable interest entity to the extent that the fair value of the existing equity investment exceeds the carrying value of the investment, and remeasurement losses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46"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or a contracted sales price, with the carrying value of the related assets. The Company generally holds and operates its properties long-term, which decreases the likelihood of their carrying values not being recoverable. A shortened holding period increases the risk that the carrying value of a long-lived asset is not recoverable. Properties classified as held for sale are measured at the lower of the carrying amount or fair value less cost to sell.</w:t>
      </w:r>
    </w:p>
    <w:p>
      <w:pPr>
        <w:spacing w:after="0" w:line="124" w:lineRule="exact"/>
        <w:rPr>
          <w:sz w:val="20"/>
          <w:szCs w:val="20"/>
          <w:color w:val="auto"/>
        </w:rPr>
      </w:pPr>
    </w:p>
    <w:p>
      <w:pPr>
        <w:jc w:val="both"/>
        <w:ind w:right="460" w:firstLine="445"/>
        <w:spacing w:after="0" w:line="266" w:lineRule="auto"/>
        <w:rPr>
          <w:sz w:val="20"/>
          <w:szCs w:val="20"/>
          <w:color w:val="auto"/>
        </w:rPr>
      </w:pPr>
      <w:r>
        <w:rPr>
          <w:rFonts w:ascii="Times New Roman" w:cs="Times New Roman" w:eastAsia="Times New Roman" w:hAnsi="Times New Roman"/>
          <w:sz w:val="18"/>
          <w:szCs w:val="18"/>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46"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 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27"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Company calculates the fair value of financial instruments and includes this additional information in the Notes to the Consolidated Financial Statements when the fair value is different than the carrying value of those financial instruments. When the fair value reasonably approximates the carrying value, no additional disclosure is made.</w:t>
      </w:r>
    </w:p>
    <w:p>
      <w:pPr>
        <w:spacing w:after="0" w:line="108"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The Company records its financing arrangement (See Note 12—Financing Arrangement in the Company's Notes to the Consolidated Financial Statements)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discount rate, terminal capitalization rate, and market rents. The fair value of the financing arrangement obligation is sensitive to these significant unobservable inputs and a change in these inputs may result in a significantly higher or lower fair value measurement.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ind w:right="320" w:firstLine="445"/>
        <w:spacing w:after="0" w:line="312" w:lineRule="auto"/>
        <w:rPr>
          <w:sz w:val="20"/>
          <w:szCs w:val="20"/>
          <w:color w:val="auto"/>
        </w:rPr>
      </w:pPr>
      <w:r>
        <w:rPr>
          <w:rFonts w:ascii="Times New Roman" w:cs="Times New Roman" w:eastAsia="Times New Roman" w:hAnsi="Times New Roman"/>
          <w:sz w:val="17"/>
          <w:szCs w:val="17"/>
          <w:color w:val="auto"/>
        </w:rPr>
        <w:t>Many of the variations in the results of operations, discussed below, occurred because of the transactions affecting the Company’s properties described in Management’s Overview and Summary above, including the Redevelopment Properties and the Disposition Properties (as defined below).</w:t>
      </w:r>
    </w:p>
    <w:p>
      <w:pPr>
        <w:spacing w:after="0" w:line="72"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and the Disposition Properties, for the periods of comparison.</w:t>
      </w:r>
    </w:p>
    <w:p>
      <w:pPr>
        <w:spacing w:after="0" w:line="106"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For the comparison of the three months ended March 31, 2022 to the three months ended March 31, 2021, the Disposition Properties are Paradise Valley Mall and Tucson La Encantada.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Unconsolidated joint ventures are reflected using the equity method of accounting. The Company’s pro rata share of the results from these Centers is reflected in the Consolidated Statements of Operations as equity in (loss) income of unconsolidated joint ventures.</w:t>
      </w:r>
    </w:p>
    <w:p>
      <w:pPr>
        <w:spacing w:after="0" w:line="81"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Company considers tenant annual sales,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112"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During the first quarter of 2022, comparable tenant sales for spaces less than 10,000 square feet across the portfolio increased by 14.5% relative to the first quarter of 2021 and 11.5% relative to pre-COVID sales during the first quarter of 2019. The leased occupancy rate of 91.3% at March 31, 2022 represented a 2.8% increase from 88.5% at March 31, 2021. Releasing spreads increased as the Company executed leases at an average rent of $58.09 for new and renewal leases executed compared to $57.35 on leases expiring, resulting in a releasing spread increase of $0.74 per square foot, or 1.3%, for the trailing twelve months ended March 31, 2022.</w:t>
      </w:r>
    </w:p>
    <w:p>
      <w:pPr>
        <w:spacing w:after="0" w:line="116"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The Company continues to renew or replace leases that are scheduled to expire in 2022, however, for a variety of factors, the Company cannot be certain of its ability to sign, renew or replace leases expiring in 2022 or beyond. The remaining 2022 lease expirations continue to be an important focal point for the Company. As of March 31, 2022, the Company has executed leases or commitments from retailers that are in lease documentation for 56% of the leased space expiring in 2022, and another 35% of such expiring space is in the letter of intent stage. Excluding those leases, the remaining leases expiring in 2022, which represent approximately 202,000 square feet of the Centers, are in the prospecting stage.</w:t>
      </w:r>
    </w:p>
    <w:p>
      <w:pPr>
        <w:spacing w:after="0" w:line="102"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2022, the Company signed 82 new leases and 138 renewal leases comprising approximately 617,000 square feet of GLA. The average tenant allowance was $18.09 per square foot.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62"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The Company has a long-term four-pronged business strategy that focuses on the acquisition, leasing and management, redevelopment and development of regional town centers. Although fundamentals at the Centers continued to improve during 2021 and into the first quarter of 2022, the Company expects that the COVID-19 pandemic, including the emergence of new variants, will continue to negatively impact its results for the remainder of 2022 due, in part, to reduced occupancy relative to pre-COVID levels and additional Anchor closures, among other factors.</w:t>
      </w:r>
    </w:p>
    <w:p>
      <w:pPr>
        <w:spacing w:after="0" w:line="99"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All Centers have been open and operating since October 7, 2020. As of the date of this Quarterly Report on Form 10-Q, government-imposed capacity restrictions resulting from COVID-19 have been essentially eliminated across the Company’s markets. The Company experienced a positive impact to its leasing revenue during the three months ended March 31, 2022 as leasing revenue increased by approximately 9.6%, including joint ventures at the Company’s share, compared to the three months ended March 31, 2021. This increase was primarily due to (i) increases in percentage rent, which was primarily driven by accelerating tenant sales and (ii) decreases in bad debt reserves and decreases in retroactive rent abatements incurred in the first quarter of 2022 compared to the first quarter of 2021; which were partially offset by decreases in leasing revenue from the Disposition Properties and The Shops at North Bridge, at the Company's share (See “—Dispositions” above).</w:t>
      </w:r>
    </w:p>
    <w:p>
      <w:pPr>
        <w:spacing w:after="0" w:line="121" w:lineRule="exact"/>
        <w:rPr>
          <w:sz w:val="20"/>
          <w:szCs w:val="20"/>
          <w:color w:val="auto"/>
        </w:rPr>
      </w:pPr>
    </w:p>
    <w:p>
      <w:pPr>
        <w:ind w:right="220" w:firstLine="445"/>
        <w:spacing w:after="0" w:line="258" w:lineRule="auto"/>
        <w:rPr>
          <w:sz w:val="20"/>
          <w:szCs w:val="20"/>
          <w:color w:val="auto"/>
        </w:rPr>
      </w:pPr>
      <w:r>
        <w:rPr>
          <w:rFonts w:ascii="Times New Roman" w:cs="Times New Roman" w:eastAsia="Times New Roman" w:hAnsi="Times New Roman"/>
          <w:sz w:val="18"/>
          <w:szCs w:val="18"/>
          <w:color w:val="auto"/>
        </w:rPr>
        <w:t>Sales and traffic at the Company’s Centers continued to improve during the first quarter of 2022 with extremely high customer conversion rates. Traffic levels during the first quarter of 2022 continued to range in the mid 90%’s relative to the pre-pandemic first quarter of 2019. Comparable tenant sales from spaces less than 10,000 square feet across the portfolio increased by 14.5% and 11.5% relative to the first quarter of 2021 and the pre-COVID sales during the first quarter of 2019, respectively. Portfolio tenant sales per square foot for spaces less than 10,000 square feet for the trailing twelve months ended March 31, 2022 were $843, which is a record high for the Company.</w:t>
      </w:r>
    </w:p>
    <w:p>
      <w:pPr>
        <w:spacing w:after="0" w:line="116"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During the first quarter of 2022, the Company signed 220 leases for approximately 617,000 square feet, compared to 181 leases and 693,000 square feet relative to what was leased during the first quarter of 2021. Also during the first quarter of 2022, the Company opened 188,000 square feet of new spaces.</w:t>
      </w:r>
    </w:p>
    <w:p>
      <w:pPr>
        <w:spacing w:after="0" w:line="95"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Company believes that diversity of use within its tenant base will be a prominent internal growth catalyst at its Centers going forward, as new uses enhance the productivity and diversity of the tenant mix and have the potential to significantly increase customer traffic at the applicable Centers. During the quarter ended March 31, 2022, the Company signed deals for new stores with new-to-Macerich portfolio uses for over 103,000 square feet, with another nearly 326,000 square feet of such new-to-Macerich portfolio leases currently in negotiation as of the date of this Quarterly Report on Form 10-Q.</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2022, the leased occupancy rate was 91.3%, a 2.8% increase compared to the leased occupancy rate at March 31, 2021 of 88.5%.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0" w:firstLine="445"/>
        <w:spacing w:after="0" w:line="256" w:lineRule="auto"/>
        <w:rPr>
          <w:sz w:val="20"/>
          <w:szCs w:val="20"/>
          <w:color w:val="auto"/>
        </w:rPr>
      </w:pPr>
      <w:r>
        <w:rPr>
          <w:rFonts w:ascii="Times New Roman" w:cs="Times New Roman" w:eastAsia="Times New Roman" w:hAnsi="Times New Roman"/>
          <w:sz w:val="18"/>
          <w:szCs w:val="18"/>
          <w:color w:val="auto"/>
        </w:rPr>
        <w:t>The Company’s rent collections have continued to significantly improve and are now comparable to pre-COVID-19 levels. The Company has now completed its negotiations with national and local tenants to secure rental payments. Those negotiations resulted in the Company entering into lease amendments which granted significant rental assistance in the form of rent deferral and/or rent reduction. Many of the Company’s leases contain co-tenancy clauses. Certain Anchor or small tenant closures have become permanent, whether caused by the pandemic, or otherwise, and co-tenancy clauses within certain leases may be triggered as a result. The Company does not anticipate that the negative impact of such clauses on lease revenue will be significant.</w:t>
      </w:r>
    </w:p>
    <w:p>
      <w:pPr>
        <w:spacing w:after="0" w:line="106"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2021, the Company incurred $47.6 million of rent abatements at the Company’s share relating primarily to 2020 rents as a result of COVID-19 and negotiated $4.6 million of rent deferrals during the year ended December 31, 2021 at the Company’s share. During the three months ended March 31, 2022, the Company incurred less than $0.1 million of rent abatements at the Company’s share compared to $28.9 million for the three months ending March 31, 2021 which related primarily to 2020 rents as a result of COVID-19. The Company negotiated $0.6 million of rent deferrals during the three months ended March 31, 2021 at the Company’s share compared to less than $0.1 million of rent deferrals during the three months ended March 31, 2022. As of March 31, 2022, $3.6 million of the rent deferrals remain outstanding, with $2.2 million scheduled to be repaid during the remainder of 2022 and the balance scheduled for repayment in 2023 and thereafter.</w:t>
      </w:r>
    </w:p>
    <w:p>
      <w:pPr>
        <w:spacing w:after="0" w:line="121"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During 2021, the pace of bankruptcy filings involving the Company’s tenants decreased substantially as compared to 2020, with ten bankruptcy filings, totaling 62 leases and involving approximately 369,000 square feet and $11.9 million of annual leasing revenue at the Company’s share. This included two leases totaling 139,000 square feet with a single department store retailer that quickly emerged from bankruptcy and assumed both of its leases with the Company. Excluding this department store retailer, bankruptcy filings during 2021 only involved approximately 230,000 square feet. The Company expects that the pace of bankruptcy filings in 2022 will similarly be lower than years prior to 2020. Year-to-date in 2022, there has only been one bankruptcy filing involving a single tenant of the Company involving only 3,000 square feet of leased space.</w:t>
      </w:r>
    </w:p>
    <w:p>
      <w:pPr>
        <w:spacing w:after="0" w:line="120"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During 2022, the Company expects to generate positive cash flow from operations after recurring operating capital expenditures, leasing capital expenditures and payment of dividends. This assumption does not include any potential capital generated from dispositions, refinancings or issuances of common equity. This expected surplus will be used to de-lever the Company’s balance sheet as well as to fund the Company’s development and redevelopment pipeline.</w:t>
      </w:r>
    </w:p>
    <w:p>
      <w:pPr>
        <w:spacing w:after="0" w:line="99" w:lineRule="exact"/>
        <w:rPr>
          <w:sz w:val="20"/>
          <w:szCs w:val="20"/>
          <w:color w:val="auto"/>
        </w:rPr>
      </w:pPr>
    </w:p>
    <w:p>
      <w:pPr>
        <w:ind w:right="220" w:firstLine="445"/>
        <w:spacing w:after="0" w:line="272" w:lineRule="auto"/>
        <w:rPr>
          <w:sz w:val="20"/>
          <w:szCs w:val="20"/>
          <w:color w:val="auto"/>
        </w:rPr>
      </w:pPr>
      <w:r>
        <w:rPr>
          <w:rFonts w:ascii="Times New Roman" w:cs="Times New Roman" w:eastAsia="Times New Roman" w:hAnsi="Times New Roman"/>
          <w:sz w:val="17"/>
          <w:szCs w:val="17"/>
          <w:color w:val="auto"/>
        </w:rPr>
        <w:t>On October 26, 2021, the Company’s joint venture closed a $65 million, five-year loan, including extension options, that bears interest at LIBOR plus 4.15% to refinance The Shops at Atlas Park, which replaced a $67.5 million loan on the property. Additionally, on February 2, 2022, the Company’s joint venture in FlatIron Crossing replaced the existing $197 million loan on the property with a new $175 million loan that bears interest at SOFR plus</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3.70% and matures on February 9, 2025, including extension options. On April 29, 2022, the Company closed on a new $72 million loan at Pacific View with a fixed rate of 5.29% that matures on May 6, 2032. On May 6, 2022, the Company closed on a two-year extension of the $175.4 million loan on The Oaks to June 5, 2024. The loan will now bear a fixed interest rate of 5.25%, and the Company repaid $5.0 million of the outstanding loan balance at closing (See “—Financing Activities” in Management’s Overview and Summary).</w:t>
      </w:r>
    </w:p>
    <w:p>
      <w:pPr>
        <w:spacing w:after="0" w:line="121"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Rising interest rates are increasing the cost of the Company’s borrowings due to its outstanding floating-rate debt and have led to higher interest rates on new fixed-rate debt. In certain cases, the Company may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any interest rate cap or swap agreements that the Company enters into may not be effective in reducing its exposure to interest rate changes. For example, the Company’s prior swap agreements, which expired on September 30, 2021, resulted in increases in interest expense in 2021.</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March 31, 2022 and 2021</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60"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Leasing revenue increased by $23.9 million, or 13.3%, from 2021 to 2022. The increase in leasing revenue is attributed to an increase of $28.3 million from the Same Centers offset in part by a decrease of $4.4 million from the Disposition Properties. Leasing revenue includes the amortization of above and below-market leases, the amortization of straight-line rents, lease termination income, percentage rent and the provision for bad debts. The amortization of above and below-market leases increased from $0.4 million in 2021 to $0.6 million in 2022. Straight-line rents decreased from $4.8 million in 2021 to $(2.0) million in 2022. Lease termination income increased from $2.9 million in 2021 to $11.8 million in 2022. Percentage rent increased from $6.9 million in 2021 to $8.6 million in 2022. Provision for bad debts decreased from $3.2 million in 2021 to $0.6 million in 2022.</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Other revenue increased from $5.3 million in 2021 to $6.3 million in 2022. This increase is primarily due to increased parking garage income resulting from increased traffic at the Centers in 2022 compared to 2021 (See "Other Transactions and Events" in Management's Overview and Summary).</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Companies' revenue increased from $5.6 million in 2021 to $6.4 million in 2022 due to an increase in management fees.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Shopping Center and Operating Expenses:</w:t>
      </w:r>
    </w:p>
    <w:p>
      <w:pPr>
        <w:spacing w:after="0" w:line="160" w:lineRule="exact"/>
        <w:rPr>
          <w:sz w:val="20"/>
          <w:szCs w:val="20"/>
          <w:color w:val="auto"/>
        </w:rPr>
      </w:pPr>
    </w:p>
    <w:p>
      <w:pPr>
        <w:ind w:right="460" w:firstLine="445"/>
        <w:spacing w:after="0" w:line="266" w:lineRule="auto"/>
        <w:rPr>
          <w:sz w:val="20"/>
          <w:szCs w:val="20"/>
          <w:color w:val="auto"/>
        </w:rPr>
      </w:pPr>
      <w:r>
        <w:rPr>
          <w:rFonts w:ascii="Times New Roman" w:cs="Times New Roman" w:eastAsia="Times New Roman" w:hAnsi="Times New Roman"/>
          <w:sz w:val="18"/>
          <w:szCs w:val="18"/>
          <w:color w:val="auto"/>
        </w:rPr>
        <w:t>Shopping center and operating expenses decreased $3.2 million, or 4.2%, from 2021 to 2022. The decrease in shopping center and operating expenses is attributed to decreases of $1.6 million from the Same Centers and $1.7 million from the Disposition Properties. The decrease in shopping center and operating expenses at the Same Centers is primarily the result of a decrease in property tax expense.</w:t>
      </w:r>
    </w:p>
    <w:p>
      <w:pPr>
        <w:spacing w:after="0" w:line="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Leasing Expenses: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Leasing expenses increased from $5.2 million in 2021 to $7.6 million in 2022 due to an increase in compensation expense.</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Management Companies' Operating Expenses: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Companies' operating expenses increased $2.1 million from 2021 to 2022 due to an increase in compensation expense.</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REIT General and Administrative Expenses: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REIT general and administrative expenses decreased $1.2 million from 2021 to 2022 primarily due to a decrease in consulting expense.</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60"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$5.5 million from 2021 to 2022. The decrease in depreciation and amortization is attributed to decreases of $2.5 million from the Same Centers and $3.0 million from the Disposition Properties.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46"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auto"/>
        </w:rPr>
        <w:t>Interest expense decreased $2.0 million from 2021 to 2022. The decrease in interest expense was attributed to a decrease of $7.9 million from the Company's revolving line of credit and $0.8 million from the Disposition Properties, offset in part by an increase of $6.7 million from the financing arrangement discussed in Note 12 in the Company's Notes to the Consolidated Financial Statements. The increase in interest expense from the financing arrangement is primarily due to the change in fair value of the underlying properties and the mortgage notes payable on the underlying properties.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Equity in (Loss) Income of Unconsolidated Joint Ventures:</w:t>
      </w:r>
    </w:p>
    <w:p>
      <w:pPr>
        <w:spacing w:after="0" w:line="160"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Equity in (loss) income of unconsolidated joint ventures decreased $31.0 million from 2021 to 2022. The decrease in equity in (loss) income of unconsolidated joint ventures is primarily due to the write-down of assets as a result of the reduction in the estimated holding periods of certain properties.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Gain (loss) on Sale or Write Down of Assets, net:</w:t>
      </w:r>
    </w:p>
    <w:p>
      <w:pPr>
        <w:spacing w:after="0" w:line="160"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Gain (loss) on sale or write down of assets, net increased from a loss of $21.3 million in 2021 to a gain of $6.5 million in 2022. The increase is primarily due to an increase of gains on sale of land in 2022, offset by $27.3 million of impairment loss on Estrella Falls in 2021. The impairment loss was due to the reduction in the estimated holding period of the property.</w:t>
      </w:r>
    </w:p>
    <w:p>
      <w:pPr>
        <w:spacing w:after="0" w:line="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60"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Net loss decreased $30.4 million from 2021 to 2022. The decrease in net loss is primarily due to the write-down of assets held at unconsolidated joint ventures in 2022 as a result of the reduction in the estimated holding periods of certain properties.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Funds From Operations ("FFO"):</w:t>
      </w:r>
    </w:p>
    <w:p>
      <w:pPr>
        <w:spacing w:after="0" w:line="146" w:lineRule="exact"/>
        <w:rPr>
          <w:sz w:val="20"/>
          <w:szCs w:val="20"/>
          <w:color w:val="auto"/>
        </w:rPr>
      </w:pPr>
    </w:p>
    <w:p>
      <w:pPr>
        <w:ind w:right="480" w:firstLine="445"/>
        <w:spacing w:after="0" w:line="261" w:lineRule="auto"/>
        <w:rPr>
          <w:sz w:val="20"/>
          <w:szCs w:val="20"/>
          <w:color w:val="auto"/>
        </w:rPr>
      </w:pPr>
      <w:r>
        <w:rPr>
          <w:rFonts w:ascii="Times New Roman" w:cs="Times New Roman" w:eastAsia="Times New Roman" w:hAnsi="Times New Roman"/>
          <w:sz w:val="18"/>
          <w:szCs w:val="18"/>
          <w:color w:val="auto"/>
        </w:rPr>
        <w:t>Primarily as a result of the factors mentioned above, FFO attributable to common stockholders and unit holders—diluted, excluding financing expense in connection with Chandler Freehold increased 48.7% from $75.6 million in 2021 to $112.4 million in 2022. For a reconciliation of net loss attributable to the Company, the most directly comparable GAAP financial measure, to FFO attributable to common stockholders and unit holders, excluding financing expense in connection with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Chandler Freehold and FFO attributable to common stockholders and unit holders—diluted, excluding financing expense in connection with Chandler Freehold, see "Funds From Operations ("FFO")" below.</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60"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increased $13.2 million from 2021 to 2022. The increase is primarily due to the changes in assets and liabilities and the results, as discussed above.</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46"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decreased $26.8 million from 2021 to 2022. The decrease in cash provided by investing activities is primarily attributed to a decrease in proceeds from the sale of assets of $74.2 million offset in part by increases in distributions from unconsolidated joint ventures of $18.7 million and decreases of contributions to unconsolidated joint ventures of $6.3 million.</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decreased $0.6 billion from 2021 to 2022. The decrease in cash provided by financing activities is primarily due to the proceeds received from sales of common shares under the ATM Programs of $597.1 million in 2021.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Company anticipates meeting its liquidity needs for its operating expenses, debt service and dividend requirements for the next twelve months and beyond through cash generated from operations, distributions from unconsolidated joint ventures, working capital reserves and/or borrowings under its line of credit. Following the uncertain environment brought about by COVID-19, the Company took a number of previously disclosed measures in the years ended December 31, 2020 and 2021 to enhance its liquidity position over the short-term, but currently anticipates meeting its liquidity needs for the next twelve months as it has done historically.</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Uses of Capital</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capital expenditures incurred at the Centers (at the Company's pro rata share):</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Centers: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of property, building improvement and equipment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expansions and renovations of Centers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15,434</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Joint Venture Centers: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of property, building improvement and equipment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expansions and renovations of Centers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Company expects amounts to be incurred during the next twelve months for tenant allowances and deferred leasing charges to be less than or comparable to 2021. The Company expects to incur approximately $140.0 million during 2022 for development, redevelopment, expansion and renovations. This includes the Company's share of the remaining development costs of One Westside of approximately $30.0 million, which is fully funded by a non-recourse construction facility. Capital for these expenditures, developments and/or redevelopments has been, and is expected to continue to be, obtained from a combination of cash on hand, debt or equity financings, which are expected to include borrowings under the Company's line of credit, from property financings and construction loans, each to the extent available.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Sources of Capital</w:t>
      </w:r>
    </w:p>
    <w:p>
      <w:pPr>
        <w:spacing w:after="0" w:line="146"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The Company has also generated liquidity in the past, and may continue to do so in the future, through equity offerings and issuances, property refinancings, joint venture transactions and the sale of non-core assets. For example, the Company sold Paradise Valley Mall in Phoenix, Arizona and Tucson La Encantada in Tucson, Arizona during the year ended December 31, 2021. The Company used the proceeds from these sales to pay down its line of credit and other debt obligations. 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each of February 1, 2021 and March 26, 2021, the Company registered a separate "at the market" offering program, pursuant to which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issue and sell shares of its common stock having an aggregate offering price of up to $500 million under each ATM Program, or a total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 billion under the ATM Programs, in amounts and at times to be determined by the Company. The February 2021 ATM Program was fully utilized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2021 and is no longer active. During the three months ended March 31, 2022, no shares were issued under the March 2021 ATM Program.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the Company had approximately $151.7 million of gross sales of its common stock available under the March 2021 ATM Program.</w:t>
      </w:r>
    </w:p>
    <w:p>
      <w:pPr>
        <w:spacing w:after="0" w:line="139"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prevailing market conditions and the impact of COVID-19. Increases in the Company's proportion of floating rate debt will cause it to be subject to interest rate fluctuations in the future.</w:t>
      </w:r>
    </w:p>
    <w:p>
      <w:pPr>
        <w:spacing w:after="0" w:line="9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Company's total outstanding loan indebtedness, which includes mortgages and other notes payable, at March 31, 2022 was $6.9 billion (consisting of $4.5 billion of consolidated debt, less $0.5 billion of noncontrolling interests, plus $2.9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w:t>
      </w:r>
    </w:p>
    <w:p>
      <w:pPr>
        <w:spacing w:after="0" w:line="116" w:lineRule="exact"/>
        <w:rPr>
          <w:sz w:val="20"/>
          <w:szCs w:val="20"/>
          <w:color w:val="auto"/>
        </w:rPr>
      </w:pPr>
    </w:p>
    <w:p>
      <w:pPr>
        <w:ind w:right="280" w:firstLine="445"/>
        <w:spacing w:after="0" w:line="255" w:lineRule="auto"/>
        <w:rPr>
          <w:sz w:val="20"/>
          <w:szCs w:val="20"/>
          <w:color w:val="auto"/>
        </w:rPr>
      </w:pPr>
      <w:r>
        <w:rPr>
          <w:rFonts w:ascii="Times New Roman" w:cs="Times New Roman" w:eastAsia="Times New Roman" w:hAnsi="Times New Roman"/>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121"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95"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As of March 31, 2022, one of the Company’s joint ventures had $50.0 million of debt that could become recourse to the Company should the joint venture be unable to discharge the obligation of the related debt.</w:t>
      </w:r>
    </w:p>
    <w:p>
      <w:pPr>
        <w:spacing w:after="0" w:line="94"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Additionally, as of March 31, 2022, the Company was contingently liable for $41.0 million in letters of credit guaranteeing performance by the Company of certain obligations relating to the Centers. As of March 31, 2022, $40.7 million of these letters of credit were secured by restricted cash. The Company does not believe that these letters of credit will result in a liability to the Company.</w:t>
      </w:r>
    </w:p>
    <w:p>
      <w:pPr>
        <w:spacing w:after="0" w:line="108" w:lineRule="exact"/>
        <w:rPr>
          <w:sz w:val="20"/>
          <w:szCs w:val="20"/>
          <w:color w:val="auto"/>
        </w:rPr>
      </w:pPr>
    </w:p>
    <w:p>
      <w:pPr>
        <w:ind w:right="220" w:firstLine="445"/>
        <w:spacing w:after="0" w:line="272" w:lineRule="auto"/>
        <w:rPr>
          <w:sz w:val="20"/>
          <w:szCs w:val="20"/>
          <w:color w:val="auto"/>
        </w:rPr>
      </w:pPr>
      <w:r>
        <w:rPr>
          <w:rFonts w:ascii="Times New Roman" w:cs="Times New Roman" w:eastAsia="Times New Roman" w:hAnsi="Times New Roman"/>
          <w:sz w:val="17"/>
          <w:szCs w:val="17"/>
          <w:color w:val="auto"/>
        </w:rPr>
        <w:t>On October 26, 2021, the Company’s joint venture closed a $65 million, five-year loan, including extension options, that bears interest at LIBOR plus 4.15% to refinance The Shops at Atlas Park, which replaced a $67.5 million loan on the property. Additionally, on February 2, 2022, the Company’s joint venture in FlatIron Crossing replaced the existing $197 million loan on the property with a new $175 million loan that bears interest at SOFR plus</w:t>
      </w:r>
    </w:p>
    <w:p>
      <w:pPr>
        <w:spacing w:after="0" w:line="2" w:lineRule="exact"/>
        <w:rPr>
          <w:sz w:val="20"/>
          <w:szCs w:val="20"/>
          <w:color w:val="auto"/>
        </w:rPr>
      </w:pPr>
    </w:p>
    <w:p>
      <w:pPr>
        <w:jc w:val="both"/>
        <w:ind w:right="180"/>
        <w:spacing w:after="0" w:line="277" w:lineRule="auto"/>
        <w:rPr>
          <w:sz w:val="20"/>
          <w:szCs w:val="20"/>
          <w:color w:val="auto"/>
        </w:rPr>
      </w:pPr>
      <w:r>
        <w:rPr>
          <w:rFonts w:ascii="Times New Roman" w:cs="Times New Roman" w:eastAsia="Times New Roman" w:hAnsi="Times New Roman"/>
          <w:sz w:val="17"/>
          <w:szCs w:val="17"/>
          <w:color w:val="auto"/>
        </w:rPr>
        <w:t>3.70% and matures on February 9, 2025, including extension options. On April 29, 2022, the Company closed on a new $72 million loan at Pacific View with a fixed rate of 5.29% that matures on May 6, 2032. On May 6, 2022, the Company closed on a two-year extension of the $175.4 million loan on The Oaks to June 5, 2024. The loan will now bear a fixed interest rate of 5.25%, and the Company repaid $5.0 million of the outstanding balance at closing.</w:t>
      </w:r>
    </w:p>
    <w:p>
      <w:pPr>
        <w:spacing w:after="0" w:line="88"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The Company has a $700 million credit facility, including a $525 million revolving loan facility that matures on April 14, 2023, with a one-year extension option, and a $175 million term loan facility that matures on April 14, 2024. The revolving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loan facility can be expanded up to $800 million, subject to receipt of lender commitments and other conditions. All obligations under the credit facility are guaranteed unconditionally by the Company and are secured in the form of mortgages on certain wholly-owned assets and pledges of equity interests held by certain of the Company’s subsidiaries. The credit facility bears interest at LIBOR plus a spread of 2.25% to 3.25% depending on Company’s overall leverage level. As of March 31, 2022, the borrowing rate was LIBOR plus 2.25%. As of March 31, 2022, borrowings under the credit facility were $76.0 million less unamortized deferred finance costs of $12.6 million for the revolving loan facility at a total interest rate of 3.76%. As of March 31, 2022, the Company’s availability under the revolving loan facility for additional borrowings was $448.7 million.</w:t>
      </w:r>
    </w:p>
    <w:p>
      <w:pPr>
        <w:spacing w:after="0" w:line="106" w:lineRule="exact"/>
        <w:rPr>
          <w:sz w:val="20"/>
          <w:szCs w:val="20"/>
          <w:color w:val="auto"/>
        </w:rPr>
      </w:pPr>
    </w:p>
    <w:p>
      <w:pPr>
        <w:ind w:left="420" w:right="1280" w:firstLine="40"/>
        <w:spacing w:after="0" w:line="451" w:lineRule="auto"/>
        <w:rPr>
          <w:sz w:val="20"/>
          <w:szCs w:val="20"/>
          <w:color w:val="auto"/>
        </w:rPr>
      </w:pPr>
      <w:r>
        <w:rPr>
          <w:rFonts w:ascii="Times New Roman" w:cs="Times New Roman" w:eastAsia="Times New Roman" w:hAnsi="Times New Roman"/>
          <w:sz w:val="18"/>
          <w:szCs w:val="18"/>
          <w:color w:val="auto"/>
        </w:rPr>
        <w:t xml:space="preserve">Cash dividends and distributions for the three months ended March 31, 2022 were $41.3 million, which were funded by operations. At March 31, 2022, the Company was in compliance with all applicable loan covenants under its agreements. At March 31, 2022, the Company had cash and cash equivalents of $128.2 million. </w:t>
      </w:r>
      <w:r>
        <w:rPr>
          <w:rFonts w:ascii="Times New Roman" w:cs="Times New Roman" w:eastAsia="Times New Roman" w:hAnsi="Times New Roman"/>
          <w:sz w:val="18"/>
          <w:szCs w:val="18"/>
          <w:i w:val="1"/>
          <w:iCs w:val="1"/>
          <w:color w:val="auto"/>
        </w:rPr>
        <w:t>Material Cash Commitments:</w:t>
      </w:r>
    </w:p>
    <w:p>
      <w:pPr>
        <w:spacing w:after="0" w:line="278"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The following is a schedule of material cash commitments as of March 31, 2022 for the consolidated Centers over the periods in which they are expected to be paid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Commitments</w:t>
            </w: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08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center"/>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437"/>
              <w:spacing w:after="0" w:line="131" w:lineRule="exact"/>
              <w:rPr>
                <w:sz w:val="20"/>
                <w:szCs w:val="20"/>
                <w:color w:val="auto"/>
              </w:rPr>
            </w:pPr>
            <w:r>
              <w:rPr>
                <w:rFonts w:ascii="Times New Roman" w:cs="Times New Roman" w:eastAsia="Times New Roman" w:hAnsi="Times New Roman"/>
                <w:sz w:val="14"/>
                <w:szCs w:val="14"/>
                <w:b w:val="1"/>
                <w:bCs w:val="1"/>
                <w:color w:val="auto"/>
              </w:rPr>
              <w:t>3 - 5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right"/>
              <w:ind w:right="257"/>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35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11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161"/>
        </w:trPr>
        <w:tc>
          <w:tcPr>
            <w:tcW w:w="358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Long-term debt obligations (includes expected</w:t>
            </w: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5,201,921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1,306,727</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1,574,072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1,633,244</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 obligations(2)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120,534</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5,394,887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1,753,778</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w:t>
      </w:r>
    </w:p>
    <w:p>
      <w:pPr>
        <w:spacing w:after="0" w:line="27"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on floating rate debt were based on rates in effect at March 31, 2022.</w:t>
      </w:r>
    </w:p>
    <w:p>
      <w:pPr>
        <w:spacing w:after="0" w:line="1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8—Leases in the Company's Notes to the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 ("FFO")</w:t>
      </w:r>
    </w:p>
    <w:p>
      <w:pPr>
        <w:spacing w:after="0" w:line="162"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 xml:space="preserve">The Company uses FFO in addition to net income to report its operating and financial results and considers FFO and FFO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diluted as supplemental measures for the real estate industry and a supplement to GAAP measures. The National Association of Real Estate Investment Trusts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120"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 accounts for its joint venture in Chandler Freehold as a financing arrangement.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expenses related to the changes in fair value and for the payments to the joint venture partner less than or in excess of their pro rata share of net income.</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also presents FFO excluding financing expense in connection with Chandler Freehold.</w:t>
      </w:r>
    </w:p>
    <w:p>
      <w:pPr>
        <w:spacing w:after="0" w:line="158"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meaningful measure of its operating results in comparison to the operating results of other REITs. In addition, the Company believes that FFO excluding financing expense in connection with Chandler Freehold and non-routine costs associated with extinguishment of debt provide useful supplemental information regarding the Company’s performance as they show a more meaningful and consistent comparison of the Company’s operating performance and allows investors to more easily compare the Company’s results. The Company further believes that FFO on a diluted basis is a measure investors find most useful in measuring the dilutive impact of outstanding convertible securities.</w:t>
      </w:r>
    </w:p>
    <w:p>
      <w:pPr>
        <w:spacing w:after="0" w:line="124"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The Company believes that FFO does not represent cash flow from operations as defined by GAAP, should not be considered as an alternative to net income as defined by GAAP, and is not indicative of cash available to fund all cash flow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needs. The Company also cautions that FFO, as presented, may not be comparable to similarly titled measures reported by other real estate investment trusts.</w:t>
      </w:r>
    </w:p>
    <w:p>
      <w:pPr>
        <w:spacing w:after="0" w:line="81"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Management compensates for the limitations of FFO by providing investors with financial statements prepared according to GAAP, along with this detailed discussion of FFO and a reconciliation of net (loss) income to FFO and FFO</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diluted. Management believes that to further understand the Company's performance, FFO should be compared with the Company's reported net (loss) income and considered in addition to cash flows in accordance with GAAP, as presented in the Company's consolidated financial statements.</w:t>
      </w:r>
    </w:p>
    <w:p>
      <w:pPr>
        <w:spacing w:after="0" w:line="11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reconciles net loss attributable to the Company to FFO and FFO</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diluted attributable to common stockholders and unit holders-basic and diluted, excluding financing expense in connection with Chandler Freehold for the three months ended March 31, 2022 and 2021 (dollars and shares in thousands):</w:t>
      </w:r>
    </w:p>
    <w:p>
      <w:pPr>
        <w:spacing w:after="0" w:line="134"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p>
      <w:pPr>
        <w:jc w:val="center"/>
        <w:ind w:left="466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1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the Company</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(63,604)</w:t>
            </w:r>
          </w:p>
        </w:tc>
        <w:tc>
          <w:tcPr>
            <w:tcW w:w="0" w:type="dxa"/>
            <w:vAlign w:val="bottom"/>
          </w:tcPr>
          <w:p>
            <w:pPr>
              <w:spacing w:after="0"/>
              <w:rPr>
                <w:sz w:val="1"/>
                <w:szCs w:val="1"/>
                <w:color w:val="auto"/>
              </w:rPr>
            </w:pPr>
          </w:p>
        </w:tc>
      </w:tr>
      <w:tr>
        <w:trPr>
          <w:trHeight w:val="162"/>
        </w:trPr>
        <w:tc>
          <w:tcPr>
            <w:tcW w:w="6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Adjustments to reconcile net loss attributable to the Company to FFO attributable to common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and unit holders—basic and diluted: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 in the Operating Partnership</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0" w:type="dxa"/>
            <w:vAlign w:val="bottom"/>
          </w:tcPr>
          <w:p>
            <w:pPr>
              <w:spacing w:after="0"/>
              <w:rPr>
                <w:sz w:val="1"/>
                <w:szCs w:val="1"/>
                <w:color w:val="auto"/>
              </w:rPr>
            </w:pPr>
          </w:p>
        </w:tc>
      </w:tr>
      <w:tr>
        <w:trPr>
          <w:trHeight w:val="213"/>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sale or write down of assets, net—consolidated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21,283</w:t>
            </w:r>
          </w:p>
        </w:tc>
        <w:tc>
          <w:tcPr>
            <w:tcW w:w="0" w:type="dxa"/>
            <w:vAlign w:val="bottom"/>
          </w:tcPr>
          <w:p>
            <w:pPr>
              <w:spacing w:after="0"/>
              <w:rPr>
                <w:sz w:val="1"/>
                <w:szCs w:val="1"/>
                <w:color w:val="auto"/>
              </w:rPr>
            </w:pPr>
          </w:p>
        </w:tc>
      </w:tr>
      <w:tr>
        <w:trPr>
          <w:trHeight w:val="165"/>
        </w:trPr>
        <w:tc>
          <w:tcPr>
            <w:tcW w:w="63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Add: noncontrolling interests share of gain (loss) on sale or write down of assets—</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assets</w:t>
            </w: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gain on sale of undepreciated assets—consolidated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noncontrolling interests share of gain of undepreciated assets—consolidated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0" w:type="dxa"/>
            <w:vAlign w:val="bottom"/>
          </w:tcPr>
          <w:p>
            <w:pPr>
              <w:spacing w:after="0"/>
              <w:rPr>
                <w:sz w:val="1"/>
                <w:szCs w:val="1"/>
                <w:color w:val="auto"/>
              </w:rPr>
            </w:pPr>
          </w:p>
        </w:tc>
      </w:tr>
      <w:tr>
        <w:trPr>
          <w:trHeight w:val="213"/>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write-down of non-real estate assets—consolidated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(gain) on sale or write down of assets—unconsolidated joint ventures, net(1)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gain on sale of undepreciated assets—unconsolidated joint ventures(1)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amortization—consolidated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78,396</w:t>
            </w:r>
          </w:p>
        </w:tc>
        <w:tc>
          <w:tcPr>
            <w:tcW w:w="0" w:type="dxa"/>
            <w:vAlign w:val="bottom"/>
          </w:tcPr>
          <w:p>
            <w:pPr>
              <w:spacing w:after="0"/>
              <w:rPr>
                <w:sz w:val="1"/>
                <w:szCs w:val="1"/>
                <w:color w:val="auto"/>
              </w:rPr>
            </w:pPr>
          </w:p>
        </w:tc>
      </w:tr>
      <w:tr>
        <w:trPr>
          <w:trHeight w:val="213"/>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noncontrolling interests in depreciation and amortization—consolidated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(4,075)</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amortization—unconsolidated joint ventures(1)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47,106</w:t>
            </w:r>
          </w:p>
        </w:tc>
        <w:tc>
          <w:tcPr>
            <w:tcW w:w="0" w:type="dxa"/>
            <w:vAlign w:val="bottom"/>
          </w:tcPr>
          <w:p>
            <w:pPr>
              <w:spacing w:after="0"/>
              <w:rPr>
                <w:sz w:val="1"/>
                <w:szCs w:val="1"/>
                <w:color w:val="auto"/>
              </w:rPr>
            </w:pPr>
          </w:p>
        </w:tc>
      </w:tr>
      <w:tr>
        <w:trPr>
          <w:trHeight w:val="213"/>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depreciation on personal property</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0" w:type="dxa"/>
            <w:vAlign w:val="bottom"/>
          </w:tcPr>
          <w:p>
            <w:pPr>
              <w:spacing w:after="0"/>
              <w:rPr>
                <w:sz w:val="1"/>
                <w:szCs w:val="1"/>
                <w:color w:val="auto"/>
              </w:rPr>
            </w:pP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 and diluted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73,004</w:t>
            </w:r>
          </w:p>
        </w:tc>
        <w:tc>
          <w:tcPr>
            <w:tcW w:w="0" w:type="dxa"/>
            <w:vAlign w:val="bottom"/>
          </w:tcPr>
          <w:p>
            <w:pPr>
              <w:spacing w:after="0"/>
              <w:rPr>
                <w:sz w:val="1"/>
                <w:szCs w:val="1"/>
                <w:color w:val="auto"/>
              </w:rPr>
            </w:pPr>
          </w:p>
        </w:tc>
      </w:tr>
      <w:tr>
        <w:trPr>
          <w:trHeight w:val="213"/>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Financing expense in connection with Chandler Freehold</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0" w:type="dxa"/>
            <w:vAlign w:val="bottom"/>
          </w:tcPr>
          <w:p>
            <w:pPr>
              <w:spacing w:after="0"/>
              <w:rPr>
                <w:sz w:val="1"/>
                <w:szCs w:val="1"/>
                <w:color w:val="auto"/>
              </w:rPr>
            </w:pPr>
          </w:p>
        </w:tc>
      </w:tr>
      <w:tr>
        <w:trPr>
          <w:trHeight w:val="145"/>
        </w:trPr>
        <w:tc>
          <w:tcPr>
            <w:tcW w:w="63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FFO attributable to common stockholders and unit holders, excluding financing expense in</w:t>
            </w: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112,371</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75,555</w:t>
            </w:r>
          </w:p>
        </w:tc>
        <w:tc>
          <w:tcPr>
            <w:tcW w:w="0" w:type="dxa"/>
            <w:vAlign w:val="bottom"/>
          </w:tcPr>
          <w:p>
            <w:pPr>
              <w:spacing w:after="0"/>
              <w:rPr>
                <w:sz w:val="1"/>
                <w:szCs w:val="1"/>
                <w:color w:val="auto"/>
              </w:rPr>
            </w:pPr>
          </w:p>
        </w:tc>
      </w:tr>
      <w:tr>
        <w:trPr>
          <w:trHeight w:val="209"/>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connection with Chandler Freehold—basic and diluted</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number of FFO shares outstanding for: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169,436</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for impact of dilutive securities in computing FFO—diluted: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 and unit based compensation plans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2"/>
        </w:trPr>
        <w:tc>
          <w:tcPr>
            <w:tcW w:w="63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number of FFO shares outstanding for FFO attributable to common</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223,501</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169,436</w:t>
            </w:r>
          </w:p>
        </w:tc>
        <w:tc>
          <w:tcPr>
            <w:tcW w:w="0" w:type="dxa"/>
            <w:vAlign w:val="bottom"/>
          </w:tcPr>
          <w:p>
            <w:pPr>
              <w:spacing w:after="0"/>
              <w:rPr>
                <w:sz w:val="1"/>
                <w:szCs w:val="1"/>
                <w:color w:val="auto"/>
              </w:rPr>
            </w:pPr>
          </w:p>
        </w:tc>
      </w:tr>
      <w:tr>
        <w:trPr>
          <w:trHeight w:val="189"/>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and unit holders—basic and diluted(2)</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0" w:hanging="392"/>
        <w:spacing w:after="0"/>
        <w:tabs>
          <w:tab w:leader="none" w:pos="4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Unconsolidated joint ventures are presented at the Company's pro rata share.</w:t>
      </w:r>
    </w:p>
    <w:p>
      <w:pPr>
        <w:spacing w:after="0" w:line="153" w:lineRule="exact"/>
        <w:rPr>
          <w:rFonts w:ascii="Times New Roman" w:cs="Times New Roman" w:eastAsia="Times New Roman" w:hAnsi="Times New Roman"/>
          <w:sz w:val="16"/>
          <w:szCs w:val="16"/>
          <w:color w:val="auto"/>
        </w:rPr>
      </w:pPr>
    </w:p>
    <w:p>
      <w:pPr>
        <w:ind w:left="420" w:right="280" w:hanging="412"/>
        <w:spacing w:after="0" w:line="280" w:lineRule="auto"/>
        <w:tabs>
          <w:tab w:leader="none" w:pos="40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based upon basic net income as adjusted to reach basic FFO. Includes 8.7 million and 10.9 million of OP Units outstanding for the three months ended March 31, 2022 and 2021, respectively.</w:t>
      </w:r>
    </w:p>
    <w:p>
      <w:pPr>
        <w:spacing w:after="0" w:line="97" w:lineRule="exact"/>
        <w:rPr>
          <w:rFonts w:ascii="Times New Roman" w:cs="Times New Roman" w:eastAsia="Times New Roman" w:hAnsi="Times New Roman"/>
          <w:sz w:val="16"/>
          <w:szCs w:val="16"/>
          <w:color w:val="auto"/>
        </w:rPr>
      </w:pPr>
    </w:p>
    <w:p>
      <w:pPr>
        <w:ind w:left="420" w:right="4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primary market risk exposure is interest rate risk. The Company has managed and will continue to manage interest rate risk by</w:t>
      </w:r>
    </w:p>
    <w:p>
      <w:pPr>
        <w:spacing w:after="0" w:line="27" w:lineRule="exact"/>
        <w:rPr>
          <w:sz w:val="20"/>
          <w:szCs w:val="20"/>
          <w:color w:val="auto"/>
        </w:rPr>
      </w:pPr>
    </w:p>
    <w:p>
      <w:pPr>
        <w:ind w:right="260" w:firstLine="8"/>
        <w:spacing w:after="0" w:line="253"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121" w:lineRule="exact"/>
        <w:rPr>
          <w:sz w:val="20"/>
          <w:szCs w:val="20"/>
          <w:color w:val="auto"/>
        </w:rPr>
      </w:pPr>
    </w:p>
    <w:p>
      <w:pPr>
        <w:ind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 sets forth information as of March 31, 2022 concerning the Company's long-term debt obligations, including principal cash flows by scheduled maturity, weighted average interest rates and estimated fair value (dollars in thousands):</w:t>
      </w:r>
    </w:p>
    <w:tbl>
      <w:tblPr>
        <w:tblLayout w:type="fixed"/>
        <w:tblInd w:w="0" w:type="dxa"/>
        <w:tblCellMar>
          <w:top w:w="0" w:type="dxa"/>
          <w:left w:w="0" w:type="dxa"/>
          <w:bottom w:w="0" w:type="dxa"/>
          <w:right w:w="0" w:type="dxa"/>
        </w:tblCellMar>
      </w:tblPr>
      <w:tr>
        <w:trPr>
          <w:trHeight w:val="190"/>
        </w:trPr>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8"/>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twelve months ending March 31,</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7"/>
                <w:szCs w:val="17"/>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24"/>
        </w:trPr>
        <w:tc>
          <w:tcPr>
            <w:tcW w:w="168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725,098</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98,749</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978,205</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218,289</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325,000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1,460,000</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3,805,341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3,645,423</w:t>
            </w: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20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427,820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192,102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76,000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695,922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678,095</w:t>
            </w: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6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Total debt—Consolidated</w:t>
            </w:r>
          </w:p>
        </w:tc>
        <w:tc>
          <w:tcPr>
            <w:tcW w:w="2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1,152,918</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290,851</w:t>
            </w:r>
          </w:p>
        </w:tc>
        <w:tc>
          <w:tcPr>
            <w:tcW w:w="12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1,054,205</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218,289</w:t>
            </w:r>
          </w:p>
        </w:tc>
        <w:tc>
          <w:tcPr>
            <w:tcW w:w="12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325,000</w:t>
            </w:r>
          </w:p>
        </w:tc>
        <w:tc>
          <w:tcPr>
            <w:tcW w:w="100" w:type="dxa"/>
            <w:vAlign w:val="bottom"/>
          </w:tcPr>
          <w:p>
            <w:pPr>
              <w:spacing w:after="0"/>
              <w:rPr>
                <w:sz w:val="10"/>
                <w:szCs w:val="1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1,460,000</w:t>
            </w:r>
          </w:p>
        </w:tc>
        <w:tc>
          <w:tcPr>
            <w:tcW w:w="12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4,501,263</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4,323,518</w:t>
            </w:r>
          </w:p>
        </w:tc>
        <w:tc>
          <w:tcPr>
            <w:tcW w:w="0" w:type="dxa"/>
            <w:vAlign w:val="bottom"/>
          </w:tcPr>
          <w:p>
            <w:pPr>
              <w:spacing w:after="0"/>
              <w:rPr>
                <w:sz w:val="1"/>
                <w:szCs w:val="1"/>
                <w:color w:val="auto"/>
              </w:rPr>
            </w:pPr>
          </w:p>
        </w:tc>
      </w:tr>
      <w:tr>
        <w:trPr>
          <w:trHeight w:val="176"/>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Centers</w:t>
            </w:r>
          </w:p>
        </w:tc>
        <w:tc>
          <w:tcPr>
            <w:tcW w:w="20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680" w:type="dxa"/>
            <w:vAlign w:val="bottom"/>
            <w:shd w:val="clear" w:color="auto" w:fill="CCEEFF"/>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UNCONSOLIDATED</w:t>
            </w:r>
          </w:p>
        </w:tc>
        <w:tc>
          <w:tcPr>
            <w:tcW w:w="2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68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JOINT VENTURE</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6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Long-term debt (at</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Company's pro rata share):</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393,868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653,241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32,343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227,668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345,802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1,046,215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2,699,137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2,621,669</w:t>
            </w:r>
          </w:p>
        </w:tc>
        <w:tc>
          <w:tcPr>
            <w:tcW w:w="0" w:type="dxa"/>
            <w:vAlign w:val="bottom"/>
          </w:tcPr>
          <w:p>
            <w:pPr>
              <w:spacing w:after="0"/>
              <w:rPr>
                <w:sz w:val="1"/>
                <w:szCs w:val="1"/>
                <w:color w:val="auto"/>
              </w:rPr>
            </w:pPr>
          </w:p>
        </w:tc>
      </w:tr>
      <w:tr>
        <w:trPr>
          <w:trHeight w:val="195"/>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66,809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121,750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200,059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180,890</w:t>
            </w:r>
          </w:p>
        </w:tc>
        <w:tc>
          <w:tcPr>
            <w:tcW w:w="0" w:type="dxa"/>
            <w:vAlign w:val="bottom"/>
          </w:tcPr>
          <w:p>
            <w:pPr>
              <w:spacing w:after="0"/>
              <w:rPr>
                <w:sz w:val="1"/>
                <w:szCs w:val="1"/>
                <w:color w:val="auto"/>
              </w:rPr>
            </w:pPr>
          </w:p>
        </w:tc>
      </w:tr>
      <w:tr>
        <w:trPr>
          <w:trHeight w:val="196"/>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00" w:type="dxa"/>
            <w:vAlign w:val="bottom"/>
          </w:tcPr>
          <w:p>
            <w:pPr>
              <w:spacing w:after="0"/>
              <w:rPr>
                <w:sz w:val="17"/>
                <w:szCs w:val="17"/>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680" w:type="dxa"/>
            <w:vAlign w:val="bottom"/>
            <w:tcBorders>
              <w:top w:val="single" w:sz="8" w:color="CCEEFF"/>
            </w:tcBorders>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Total debt—Unconsolidated</w:t>
            </w: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393,868</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664,741</w:t>
            </w: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99,152</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227,668</w:t>
            </w: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467,552</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1,046,215</w:t>
            </w:r>
          </w:p>
        </w:tc>
        <w:tc>
          <w:tcPr>
            <w:tcW w:w="1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2,899,196</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2,802,559</w:t>
            </w:r>
          </w:p>
        </w:tc>
        <w:tc>
          <w:tcPr>
            <w:tcW w:w="0" w:type="dxa"/>
            <w:vAlign w:val="bottom"/>
          </w:tcPr>
          <w:p>
            <w:pPr>
              <w:spacing w:after="0"/>
              <w:rPr>
                <w:sz w:val="1"/>
                <w:szCs w:val="1"/>
                <w:color w:val="auto"/>
              </w:rPr>
            </w:pPr>
          </w:p>
        </w:tc>
      </w:tr>
      <w:tr>
        <w:trPr>
          <w:trHeight w:val="191"/>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 Centers</w:t>
            </w: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The Consolidated Centers' total fixed rate debt at each of March 31, 2022 and December 31, 2021 was $3.8 billion. The average interest rate on the fixed rate debt at each of March 31, 2022 and December 31, 2021 was 3.94%. The Consolidated Centers' total floating rate debt at each of March 31, 2022 and December 31, 2021 was $695.9 million and $738.9 million, respectively. The average interest rate on the floating rate debt at March 31, 2022 and December 31, 2021 was 2.74% and 2.61%, respectively.</w:t>
      </w:r>
    </w:p>
    <w:p>
      <w:pPr>
        <w:spacing w:after="0" w:line="112"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Company's pro rata share of the unconsolidated joint venture Centers' fixed rate debt at March 31, 2022 and December 31, 2021 was $2.7 billion and $2.8 billion, respectively. The average interest rate on the fixed rate debt at March 31, 2022 and December 31, 2021 was 3.82% and 3.83%, respectively. The Company's pro rata share of the unconsolidated joint venture Centers' floating rate debt at March 31, 2022 and December 31, 2021 was $200.1 million and $104.3 million, respectively. The average interest rate on the floating rate debt at March 31, 2022 and December 31, 2021 was 3.09% and 2.60%, respectively.</w:t>
      </w:r>
    </w:p>
    <w:p>
      <w:pPr>
        <w:spacing w:after="0" w:line="102"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March 31, 2022, the Company has three interest rate cap agreements in place (See Note 4—Investments in Unconsolidated Joint Ventures and Note 5— Derivative Instruments and Hedging Activities in the Company's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In addition, the Company has assessed the market risk for its floating rate debt and believes that a 1% increase in interest rates would decrease future earnings and cash flows by approximately $9.0 million per year based on $0.9 billion of floating rate debt outstanding at March 31, 2022.</w:t>
      </w:r>
    </w:p>
    <w:p>
      <w:pPr>
        <w:spacing w:after="0" w:line="81" w:lineRule="exact"/>
        <w:rPr>
          <w:sz w:val="20"/>
          <w:szCs w:val="20"/>
          <w:color w:val="auto"/>
        </w:rPr>
      </w:pPr>
    </w:p>
    <w:p>
      <w:pPr>
        <w:ind w:right="280" w:firstLine="445"/>
        <w:spacing w:after="0" w:line="261" w:lineRule="auto"/>
        <w:rPr>
          <w:sz w:val="20"/>
          <w:szCs w:val="20"/>
          <w:color w:val="auto"/>
        </w:rPr>
      </w:pPr>
      <w:r>
        <w:rPr>
          <w:rFonts w:ascii="Times New Roman" w:cs="Times New Roman" w:eastAsia="Times New Roman" w:hAnsi="Times New Roman"/>
          <w:sz w:val="18"/>
          <w:szCs w:val="18"/>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112"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The LIBOR benchmark has been the subject of national, international and other regulatory guidance and proposals for reform and replacement, with most LIBOR settings relevant to the Company not expected to be published after June 30, 2023. As a result, any of the Company's LIBOR-based borrowings that extend beyond such date will need to be converted to a replacement rate. If a contract is not transitioned to an alternative variable rate and LIBOR is discontinued, the impact is likely to vary by contract. As of March 31, 2022, each of the agreements governing the Company's variable rate debt provides for the replacement of LIBOR if it becomes unavailable during the term of such agreement.</w:t>
      </w:r>
    </w:p>
    <w:p>
      <w:pPr>
        <w:spacing w:after="0" w:line="116"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The discontinuation of LIBOR will not affect the Company's ability to borrow or maintain already outstanding borrowings or swaps, but if the Company's contracts indexed to LIBOR, including certain contracts governing the Company's variable rate debt, the variable rate debt of the Company's joint ventures and the Company's interest rate swaps, are converted to an alternative rate, the differences could result in interest costs that are higher than if LIBOR remained available. It is not yet possible to predict the magnitude of LIBOR’s end on the Company's borrowing costs given the remaining uncertainty about which rates will replace LIBOR.</w:t>
      </w:r>
    </w:p>
    <w:p>
      <w:pPr>
        <w:spacing w:after="0" w:line="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6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management carried out an evaluation, under the supervision and with the participation of the Company's Chief Executive Officer and Chief Financial Officer, of the effectiveness of the Company's disclosure controls and procedures as of the end of the period covered by this Quarterly Report on Form 10-Q. Based on their evaluation as of March 31, 2022, the Company's Chief Executive Officer and Chief Financial Officer have concluded that the Company's disclosure controls and procedures (as defined in Rule 13a-15(e) and 15d-15(e) under the Securities Exchange Act of 1934, as amended) were effective to ensure that the information required to be disclosed by the Company in the reports that it files or submits under the Securities Exchange Act of 1934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124"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In addition, there has been no change in the Company's internal control over financial reporting (as such term is defined in Rules 13a-15(f) and 15(d)-15(f) under the Securities Exchange Act of 1934) that occurred during the Company's most recent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relating to the Company set forth under the caption "Item 1A. Risk Factors" in the Company's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restart"/>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May Yet Be Purchased</w:t>
            </w:r>
          </w:p>
        </w:tc>
        <w:tc>
          <w:tcPr>
            <w:tcW w:w="0" w:type="dxa"/>
            <w:vAlign w:val="bottom"/>
          </w:tcPr>
          <w:p>
            <w:pPr>
              <w:spacing w:after="0"/>
              <w:rPr>
                <w:sz w:val="1"/>
                <w:szCs w:val="1"/>
                <w:color w:val="auto"/>
              </w:rPr>
            </w:pPr>
          </w:p>
        </w:tc>
      </w:tr>
      <w:tr>
        <w:trPr>
          <w:trHeight w:val="162"/>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vMerge w:val="restart"/>
          </w:tcPr>
          <w:p>
            <w:pPr>
              <w:spacing w:after="0"/>
              <w:rPr>
                <w:sz w:val="14"/>
                <w:szCs w:val="14"/>
                <w:color w:val="auto"/>
              </w:rPr>
            </w:pPr>
          </w:p>
        </w:tc>
        <w:tc>
          <w:tcPr>
            <w:tcW w:w="15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center"/>
              <w:ind w:right="279"/>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3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Programs (1)</w:t>
            </w:r>
          </w:p>
        </w:tc>
        <w:tc>
          <w:tcPr>
            <w:tcW w:w="0" w:type="dxa"/>
            <w:vAlign w:val="bottom"/>
          </w:tcPr>
          <w:p>
            <w:pPr>
              <w:spacing w:after="0"/>
              <w:rPr>
                <w:sz w:val="1"/>
                <w:szCs w:val="1"/>
                <w:color w:val="auto"/>
              </w:rPr>
            </w:pPr>
          </w:p>
        </w:tc>
      </w:tr>
      <w:tr>
        <w:trPr>
          <w:trHeight w:val="225"/>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2022 to January 31,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1, 2022 to February 28, 2022</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 2022 to March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09"/>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1220" w:hanging="564"/>
        <w:spacing w:after="0" w:line="280" w:lineRule="auto"/>
        <w:tabs>
          <w:tab w:leader="none" w:pos="12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12, 2017, the Company's Board of Directors authorized the repurchase of up to $500.0 million of the Company's outstanding common shares from time to time as market conditions warrant.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2"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4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062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 w:lineRule="exact"/>
        <w:rPr>
          <w:sz w:val="20"/>
          <w:szCs w:val="20"/>
          <w:color w:val="auto"/>
        </w:rPr>
      </w:pPr>
    </w:p>
    <w:p>
      <w:pPr>
        <w:ind w:left="1140" w:hanging="368"/>
        <w:spacing w:after="0" w:line="226" w:lineRule="auto"/>
        <w:tabs>
          <w:tab w:leader="none" w:pos="1120" w:val="left"/>
        </w:tabs>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2.1</w:t>
        </w:r>
      </w:hyperlink>
      <w:r>
        <w:rPr>
          <w:rFonts w:ascii="Times New Roman" w:cs="Times New Roman" w:eastAsia="Times New Roman" w:hAnsi="Times New Roman"/>
          <w:sz w:val="18"/>
          <w:szCs w:val="18"/>
          <w:u w:val="single" w:color="auto"/>
          <w:color w:val="0000FF"/>
        </w:rPr>
        <w:tab/>
      </w:r>
      <w:hyperlink r:id="rId52">
        <w:r>
          <w:rPr>
            <w:rFonts w:ascii="Times New Roman" w:cs="Times New Roman" w:eastAsia="Times New Roman" w:hAnsi="Times New Roman"/>
            <w:sz w:val="18"/>
            <w:szCs w:val="18"/>
            <w:u w:val="single" w:color="auto"/>
            <w:color w:val="0000FF"/>
          </w:rPr>
          <w:t>Master Agreement, dated November 14, 2014, by and among Pacific Premier Retail LP, MACPT LLC, Macerich PPR GP LLC, Queens JV</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LP, Macerich Queens JV LP, Queens JV GP LLC, 1700480 Ontario Inc. and the Company (incorporated by reference as an exhibit to the</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Company’s Current Report on Form 8-K, event date November 14, 2014).</w:t>
        </w:r>
      </w:hyperlink>
    </w:p>
    <w:p>
      <w:pPr>
        <w:spacing w:after="0" w:line="9" w:lineRule="exact"/>
        <w:rPr>
          <w:rFonts w:ascii="Times New Roman" w:cs="Times New Roman" w:eastAsia="Times New Roman" w:hAnsi="Times New Roman"/>
          <w:sz w:val="18"/>
          <w:szCs w:val="18"/>
          <w:u w:val="single" w:color="auto"/>
          <w:color w:val="0000FF"/>
        </w:rPr>
      </w:pPr>
    </w:p>
    <w:p>
      <w:pPr>
        <w:ind w:left="1140" w:right="20" w:hanging="368"/>
        <w:spacing w:after="0" w:line="237" w:lineRule="auto"/>
        <w:tabs>
          <w:tab w:leader="none" w:pos="1120" w:val="left"/>
        </w:tabs>
        <w:rPr>
          <w:sz w:val="20"/>
          <w:szCs w:val="20"/>
          <w:color w:val="auto"/>
        </w:rPr>
      </w:pPr>
      <w:r>
        <w:rPr>
          <w:rFonts w:ascii="Times New Roman" w:cs="Times New Roman" w:eastAsia="Times New Roman" w:hAnsi="Times New Roman"/>
          <w:sz w:val="18"/>
          <w:szCs w:val="18"/>
          <w:color w:val="auto"/>
        </w:rPr>
        <w:t>3.1</w:t>
        <w:tab/>
        <w:t>Articles of Amendment and Restatement of the Company (incorporated by reference as an exhibit to the Company's Registration Statement on Form S-11, as amended (No. 33-68964)) (Filed in paper - hyperlink is not required pursuant to Rule 105 of Regulation S-T).</w:t>
      </w:r>
    </w:p>
    <w:p>
      <w:pPr>
        <w:spacing w:after="0" w:line="10" w:lineRule="exact"/>
        <w:rPr>
          <w:rFonts w:ascii="Times New Roman" w:cs="Times New Roman" w:eastAsia="Times New Roman" w:hAnsi="Times New Roman"/>
          <w:sz w:val="18"/>
          <w:szCs w:val="18"/>
          <w:u w:val="single" w:color="auto"/>
          <w:color w:val="0000FF"/>
        </w:rPr>
      </w:pPr>
    </w:p>
    <w:p>
      <w:pPr>
        <w:ind w:left="1140" w:right="340" w:hanging="503"/>
        <w:spacing w:after="0" w:line="237" w:lineRule="auto"/>
        <w:tabs>
          <w:tab w:leader="none" w:pos="1120" w:val="left"/>
        </w:tabs>
        <w:rPr>
          <w:sz w:val="20"/>
          <w:szCs w:val="20"/>
          <w:color w:val="auto"/>
        </w:rPr>
      </w:pPr>
      <w:r>
        <w:rPr>
          <w:rFonts w:ascii="Times New Roman" w:cs="Times New Roman" w:eastAsia="Times New Roman" w:hAnsi="Times New Roman"/>
          <w:sz w:val="18"/>
          <w:szCs w:val="18"/>
          <w:color w:val="auto"/>
        </w:rPr>
        <w:t>3.1.1</w:t>
        <w:tab/>
        <w:t>Articles Supplementary of the Company (incorporated by reference as an exhibit to the Company's Current Report on Form 8-K, event date May 30, 1995) (Filed in paper - hyperlink is not required pursuant to Rule 105 of Regulation S-T).</w:t>
      </w:r>
    </w:p>
    <w:p>
      <w:pPr>
        <w:ind w:left="620"/>
        <w:spacing w:after="0"/>
        <w:tabs>
          <w:tab w:leader="none" w:pos="1120" w:val="left"/>
        </w:tabs>
        <w:rPr>
          <w:rFonts w:ascii="Times New Roman" w:cs="Times New Roman" w:eastAsia="Times New Roman" w:hAnsi="Times New Roman"/>
          <w:sz w:val="17"/>
          <w:szCs w:val="17"/>
          <w:u w:val="single" w:color="auto"/>
          <w:color w:val="0000FF"/>
        </w:rPr>
      </w:pPr>
      <w:hyperlink r:id="rId53">
        <w:r>
          <w:rPr>
            <w:rFonts w:ascii="Times New Roman" w:cs="Times New Roman" w:eastAsia="Times New Roman" w:hAnsi="Times New Roman"/>
            <w:sz w:val="18"/>
            <w:szCs w:val="18"/>
            <w:u w:val="single" w:color="auto"/>
            <w:color w:val="0000FF"/>
          </w:rPr>
          <w:t>3.1.2</w:t>
        </w:r>
      </w:hyperlink>
      <w:r>
        <w:rPr>
          <w:rFonts w:ascii="Times New Roman" w:cs="Times New Roman" w:eastAsia="Times New Roman" w:hAnsi="Times New Roman"/>
          <w:sz w:val="18"/>
          <w:szCs w:val="18"/>
          <w:u w:val="single" w:color="auto"/>
          <w:color w:val="0000FF"/>
        </w:rPr>
        <w:tab/>
      </w:r>
      <w:hyperlink r:id="rId53">
        <w:r>
          <w:rPr>
            <w:rFonts w:ascii="Times New Roman" w:cs="Times New Roman" w:eastAsia="Times New Roman" w:hAnsi="Times New Roman"/>
            <w:sz w:val="17"/>
            <w:szCs w:val="17"/>
            <w:u w:val="single" w:color="auto"/>
            <w:color w:val="0000FF"/>
          </w:rPr>
          <w:t>Articles Supplementary of the Company (with respect to the first paragraph) (incorporated by reference as an exhibit to the Company's</w:t>
        </w:r>
      </w:hyperlink>
    </w:p>
    <w:p>
      <w:pPr>
        <w:ind w:left="1140"/>
        <w:spacing w:after="0"/>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1998 Form 10-K).</w:t>
        </w:r>
      </w:hyperlink>
    </w:p>
    <w:p>
      <w:pPr>
        <w:spacing w:after="0" w:line="16" w:lineRule="exact"/>
        <w:rPr>
          <w:sz w:val="20"/>
          <w:szCs w:val="20"/>
          <w:color w:val="auto"/>
        </w:rPr>
      </w:pPr>
    </w:p>
    <w:p>
      <w:pPr>
        <w:ind w:left="1140" w:right="40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3.1.3</w:t>
        </w:r>
      </w:hyperlink>
      <w:r>
        <w:rPr>
          <w:rFonts w:ascii="Times New Roman" w:cs="Times New Roman" w:eastAsia="Times New Roman" w:hAnsi="Times New Roman"/>
          <w:sz w:val="18"/>
          <w:szCs w:val="18"/>
          <w:u w:val="single" w:color="auto"/>
          <w:color w:val="0000FF"/>
        </w:rPr>
        <w:tab/>
      </w:r>
      <w:hyperlink r:id="rId54">
        <w:r>
          <w:rPr>
            <w:rFonts w:ascii="Times New Roman" w:cs="Times New Roman" w:eastAsia="Times New Roman" w:hAnsi="Times New Roman"/>
            <w:sz w:val="18"/>
            <w:szCs w:val="18"/>
            <w:u w:val="single" w:color="auto"/>
            <w:color w:val="0000FF"/>
          </w:rPr>
          <w:t>Articles Supplementary of the Company (Series D Preferred Stock) (incorporated by reference as an exhibit to the Company's Current</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Report on Form 8-K, event date July 26, 2002).</w:t>
        </w:r>
      </w:hyperlink>
    </w:p>
    <w:p>
      <w:pPr>
        <w:spacing w:after="0" w:line="10" w:lineRule="exact"/>
        <w:rPr>
          <w:rFonts w:ascii="Times New Roman" w:cs="Times New Roman" w:eastAsia="Times New Roman" w:hAnsi="Times New Roman"/>
          <w:sz w:val="18"/>
          <w:szCs w:val="18"/>
          <w:u w:val="single" w:color="auto"/>
          <w:color w:val="0000FF"/>
        </w:rPr>
      </w:pPr>
    </w:p>
    <w:p>
      <w:pPr>
        <w:ind w:left="1140" w:right="6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3.1.4</w:t>
        </w:r>
      </w:hyperlink>
      <w:r>
        <w:rPr>
          <w:rFonts w:ascii="Times New Roman" w:cs="Times New Roman" w:eastAsia="Times New Roman" w:hAnsi="Times New Roman"/>
          <w:sz w:val="18"/>
          <w:szCs w:val="18"/>
          <w:u w:val="single" w:color="auto"/>
          <w:color w:val="0000FF"/>
        </w:rPr>
        <w:tab/>
      </w:r>
      <w:hyperlink r:id="rId55">
        <w:r>
          <w:rPr>
            <w:rFonts w:ascii="Times New Roman" w:cs="Times New Roman" w:eastAsia="Times New Roman" w:hAnsi="Times New Roman"/>
            <w:sz w:val="18"/>
            <w:szCs w:val="18"/>
            <w:u w:val="single" w:color="auto"/>
            <w:color w:val="0000FF"/>
          </w:rPr>
          <w:t>Articles Supplementary of the Company (incorporated by reference as an exhibit to the Company's Registration Statement on Form S-3, as</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amended (No. 333-88718)).</w:t>
        </w:r>
      </w:hyperlink>
    </w:p>
    <w:p>
      <w:pPr>
        <w:spacing w:after="0" w:line="10" w:lineRule="exact"/>
        <w:rPr>
          <w:rFonts w:ascii="Times New Roman" w:cs="Times New Roman" w:eastAsia="Times New Roman" w:hAnsi="Times New Roman"/>
          <w:sz w:val="18"/>
          <w:szCs w:val="18"/>
          <w:u w:val="single" w:color="auto"/>
          <w:color w:val="0000FF"/>
        </w:rPr>
      </w:pPr>
    </w:p>
    <w:p>
      <w:pPr>
        <w:ind w:left="1140" w:right="58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3.1.5</w:t>
        </w:r>
      </w:hyperlink>
      <w:r>
        <w:rPr>
          <w:rFonts w:ascii="Times New Roman" w:cs="Times New Roman" w:eastAsia="Times New Roman" w:hAnsi="Times New Roman"/>
          <w:sz w:val="18"/>
          <w:szCs w:val="18"/>
          <w:u w:val="single" w:color="auto"/>
          <w:color w:val="0000FF"/>
        </w:rPr>
        <w:tab/>
      </w:r>
      <w:hyperlink r:id="rId56">
        <w:r>
          <w:rPr>
            <w:rFonts w:ascii="Times New Roman" w:cs="Times New Roman" w:eastAsia="Times New Roman" w:hAnsi="Times New Roman"/>
            <w:sz w:val="18"/>
            <w:szCs w:val="18"/>
            <w:u w:val="single" w:color="auto"/>
            <w:color w:val="0000FF"/>
          </w:rPr>
          <w:t>Articles of Amendment of the Company (declassification of Board) (incorporated by reference as an exhibit to the Company's 2008</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Form 10-K).</w:t>
        </w:r>
      </w:hyperlink>
    </w:p>
    <w:p>
      <w:pPr>
        <w:spacing w:after="0" w:line="10" w:lineRule="exact"/>
        <w:rPr>
          <w:rFonts w:ascii="Times New Roman" w:cs="Times New Roman" w:eastAsia="Times New Roman" w:hAnsi="Times New Roman"/>
          <w:sz w:val="18"/>
          <w:szCs w:val="18"/>
          <w:u w:val="single" w:color="auto"/>
          <w:color w:val="0000FF"/>
        </w:rPr>
      </w:pPr>
    </w:p>
    <w:p>
      <w:pPr>
        <w:ind w:left="1140" w:right="34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3.1.6</w:t>
        </w:r>
      </w:hyperlink>
      <w:r>
        <w:rPr>
          <w:rFonts w:ascii="Times New Roman" w:cs="Times New Roman" w:eastAsia="Times New Roman" w:hAnsi="Times New Roman"/>
          <w:sz w:val="18"/>
          <w:szCs w:val="18"/>
          <w:u w:val="single" w:color="auto"/>
          <w:color w:val="0000FF"/>
        </w:rPr>
        <w:tab/>
      </w:r>
      <w:hyperlink r:id="rId57">
        <w:r>
          <w:rPr>
            <w:rFonts w:ascii="Times New Roman" w:cs="Times New Roman" w:eastAsia="Times New Roman" w:hAnsi="Times New Roman"/>
            <w:sz w:val="18"/>
            <w:szCs w:val="18"/>
            <w:u w:val="single" w:color="auto"/>
            <w:color w:val="0000FF"/>
          </w:rPr>
          <w:t>Articles Supplementary of the Company (incorporated by reference as an exhibit to the Company's Current Report on Form 8-K, event</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date February 5, 2009).</w:t>
        </w:r>
      </w:hyperlink>
    </w:p>
    <w:p>
      <w:pPr>
        <w:spacing w:after="0" w:line="10" w:lineRule="exact"/>
        <w:rPr>
          <w:rFonts w:ascii="Times New Roman" w:cs="Times New Roman" w:eastAsia="Times New Roman" w:hAnsi="Times New Roman"/>
          <w:sz w:val="18"/>
          <w:szCs w:val="18"/>
          <w:u w:val="single" w:color="auto"/>
          <w:color w:val="0000FF"/>
        </w:rPr>
      </w:pPr>
    </w:p>
    <w:p>
      <w:pPr>
        <w:ind w:left="1140" w:right="6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3.1.7</w:t>
        </w:r>
      </w:hyperlink>
      <w:r>
        <w:rPr>
          <w:rFonts w:ascii="Times New Roman" w:cs="Times New Roman" w:eastAsia="Times New Roman" w:hAnsi="Times New Roman"/>
          <w:sz w:val="18"/>
          <w:szCs w:val="18"/>
          <w:u w:val="single" w:color="auto"/>
          <w:color w:val="0000FF"/>
        </w:rPr>
        <w:tab/>
      </w:r>
      <w:hyperlink r:id="rId58">
        <w:r>
          <w:rPr>
            <w:rFonts w:ascii="Times New Roman" w:cs="Times New Roman" w:eastAsia="Times New Roman" w:hAnsi="Times New Roman"/>
            <w:sz w:val="18"/>
            <w:szCs w:val="18"/>
            <w:u w:val="single" w:color="auto"/>
            <w:color w:val="0000FF"/>
          </w:rPr>
          <w:t>Articles of Amendment of the Company (increased authorized shares) (incorporated by reference as an exhibit to the Company's Quarterly</w:t>
        </w:r>
      </w:hyperlink>
      <w:r>
        <w:rPr>
          <w:rFonts w:ascii="Times New Roman" w:cs="Times New Roman" w:eastAsia="Times New Roman" w:hAnsi="Times New Roman"/>
          <w:sz w:val="18"/>
          <w:szCs w:val="18"/>
          <w:u w:val="single" w:color="auto"/>
          <w:color w:val="0000FF"/>
        </w:rPr>
        <w:t xml:space="preserve"> </w:t>
      </w:r>
      <w:hyperlink r:id="rId58">
        <w:r>
          <w:rPr>
            <w:rFonts w:ascii="Times New Roman" w:cs="Times New Roman" w:eastAsia="Times New Roman" w:hAnsi="Times New Roman"/>
            <w:sz w:val="18"/>
            <w:szCs w:val="18"/>
            <w:u w:val="single" w:color="auto"/>
            <w:color w:val="0000FF"/>
          </w:rPr>
          <w:t>Report on Form 10-Q for the quarter ended June 30, 2009).</w:t>
        </w:r>
      </w:hyperlink>
    </w:p>
    <w:p>
      <w:pPr>
        <w:spacing w:after="0" w:line="10" w:lineRule="exact"/>
        <w:rPr>
          <w:rFonts w:ascii="Times New Roman" w:cs="Times New Roman" w:eastAsia="Times New Roman" w:hAnsi="Times New Roman"/>
          <w:sz w:val="18"/>
          <w:szCs w:val="18"/>
          <w:u w:val="single" w:color="auto"/>
          <w:color w:val="0000FF"/>
        </w:rPr>
      </w:pPr>
    </w:p>
    <w:p>
      <w:pPr>
        <w:jc w:val="center"/>
        <w:ind w:left="880" w:right="60"/>
        <w:spacing w:after="0" w:line="237" w:lineRule="auto"/>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3.1.8  Articles of Amendment of the Company (to eliminate the supermajority vote requirement to amend the charter and to clarify a reference in</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Article NINTH) (incorporated by reference as an exhibit to the Company’s Current Report on Form 8-K, event date May 30, 2014).</w:t>
        </w:r>
      </w:hyperlink>
    </w:p>
    <w:p>
      <w:pPr>
        <w:spacing w:after="0" w:line="10" w:lineRule="exact"/>
        <w:rPr>
          <w:sz w:val="20"/>
          <w:szCs w:val="20"/>
          <w:color w:val="auto"/>
        </w:rPr>
      </w:pPr>
    </w:p>
    <w:p>
      <w:pPr>
        <w:ind w:left="1140" w:right="100" w:hanging="50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3.1.9</w:t>
        </w:r>
      </w:hyperlink>
      <w:r>
        <w:rPr>
          <w:rFonts w:ascii="Times New Roman" w:cs="Times New Roman" w:eastAsia="Times New Roman" w:hAnsi="Times New Roman"/>
          <w:sz w:val="18"/>
          <w:szCs w:val="18"/>
          <w:u w:val="single" w:color="auto"/>
          <w:color w:val="0000FF"/>
        </w:rPr>
        <w:tab/>
      </w:r>
      <w:hyperlink r:id="rId60">
        <w:r>
          <w:rPr>
            <w:rFonts w:ascii="Times New Roman" w:cs="Times New Roman" w:eastAsia="Times New Roman" w:hAnsi="Times New Roman"/>
            <w:sz w:val="18"/>
            <w:szCs w:val="18"/>
            <w:u w:val="single" w:color="auto"/>
            <w:color w:val="0000FF"/>
          </w:rPr>
          <w:t>Articles Supplementary of the Company (election to be subject to Section 3-803 of the Maryland General Corporation Law) (incorporated</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by reference as an exhibit to the Company’s Current Report on Form 8-K, event date March 17, 2015).</w:t>
        </w:r>
      </w:hyperlink>
    </w:p>
    <w:p>
      <w:pPr>
        <w:spacing w:after="0" w:line="10" w:lineRule="exact"/>
        <w:rPr>
          <w:rFonts w:ascii="Times New Roman" w:cs="Times New Roman" w:eastAsia="Times New Roman" w:hAnsi="Times New Roman"/>
          <w:sz w:val="18"/>
          <w:szCs w:val="18"/>
          <w:u w:val="single" w:color="auto"/>
          <w:color w:val="0000FF"/>
        </w:rPr>
      </w:pPr>
    </w:p>
    <w:p>
      <w:pPr>
        <w:ind w:left="1140" w:right="400" w:hanging="59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3.1.10</w:t>
        </w:r>
      </w:hyperlink>
      <w:r>
        <w:rPr>
          <w:rFonts w:ascii="Times New Roman" w:cs="Times New Roman" w:eastAsia="Times New Roman" w:hAnsi="Times New Roman"/>
          <w:sz w:val="18"/>
          <w:szCs w:val="18"/>
          <w:u w:val="single" w:color="auto"/>
          <w:color w:val="0000FF"/>
        </w:rPr>
        <w:tab/>
      </w:r>
      <w:hyperlink r:id="rId61">
        <w:r>
          <w:rPr>
            <w:rFonts w:ascii="Times New Roman" w:cs="Times New Roman" w:eastAsia="Times New Roman" w:hAnsi="Times New Roman"/>
            <w:sz w:val="18"/>
            <w:szCs w:val="18"/>
            <w:u w:val="single" w:color="auto"/>
            <w:color w:val="0000FF"/>
          </w:rPr>
          <w:t>Articles Supplementary of the Company (Series E Preferred Stock) (incorporated by reference as an exhibit to the Company’s Current</w:t>
        </w:r>
      </w:hyperlink>
      <w:r>
        <w:rPr>
          <w:rFonts w:ascii="Times New Roman" w:cs="Times New Roman" w:eastAsia="Times New Roman" w:hAnsi="Times New Roman"/>
          <w:sz w:val="18"/>
          <w:szCs w:val="18"/>
          <w:u w:val="single" w:color="auto"/>
          <w:color w:val="0000FF"/>
        </w:rPr>
        <w:t xml:space="preserve"> </w:t>
      </w:r>
      <w:hyperlink r:id="rId61">
        <w:r>
          <w:rPr>
            <w:rFonts w:ascii="Times New Roman" w:cs="Times New Roman" w:eastAsia="Times New Roman" w:hAnsi="Times New Roman"/>
            <w:sz w:val="18"/>
            <w:szCs w:val="18"/>
            <w:u w:val="single" w:color="auto"/>
            <w:color w:val="0000FF"/>
          </w:rPr>
          <w:t>Report on Form 8-K, event date March 18, 2015).</w:t>
        </w:r>
      </w:hyperlink>
    </w:p>
    <w:p>
      <w:pPr>
        <w:spacing w:after="0" w:line="10" w:lineRule="exact"/>
        <w:rPr>
          <w:rFonts w:ascii="Times New Roman" w:cs="Times New Roman" w:eastAsia="Times New Roman" w:hAnsi="Times New Roman"/>
          <w:sz w:val="18"/>
          <w:szCs w:val="18"/>
          <w:u w:val="single" w:color="auto"/>
          <w:color w:val="0000FF"/>
        </w:rPr>
      </w:pPr>
    </w:p>
    <w:p>
      <w:pPr>
        <w:ind w:left="1140" w:right="160" w:hanging="586"/>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3.1.11</w:t>
        </w:r>
      </w:hyperlink>
      <w:r>
        <w:rPr>
          <w:rFonts w:ascii="Times New Roman" w:cs="Times New Roman" w:eastAsia="Times New Roman" w:hAnsi="Times New Roman"/>
          <w:sz w:val="18"/>
          <w:szCs w:val="18"/>
          <w:u w:val="single" w:color="auto"/>
          <w:color w:val="0000FF"/>
        </w:rPr>
        <w:tab/>
      </w:r>
      <w:hyperlink r:id="rId62">
        <w:r>
          <w:rPr>
            <w:rFonts w:ascii="Times New Roman" w:cs="Times New Roman" w:eastAsia="Times New Roman" w:hAnsi="Times New Roman"/>
            <w:sz w:val="18"/>
            <w:szCs w:val="18"/>
            <w:u w:val="single" w:color="auto"/>
            <w:color w:val="0000FF"/>
          </w:rPr>
          <w:t>Articles Supplementary of the Company (reclassification of Series E Preferred Stock to Preferred Stock) (incorporated by reference as an</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exhibit to the Company’s Current Report on Form 8-K, event date May 7, 2015).</w:t>
        </w:r>
      </w:hyperlink>
    </w:p>
    <w:p>
      <w:pPr>
        <w:spacing w:after="0" w:line="10" w:lineRule="exact"/>
        <w:rPr>
          <w:rFonts w:ascii="Times New Roman" w:cs="Times New Roman" w:eastAsia="Times New Roman" w:hAnsi="Times New Roman"/>
          <w:sz w:val="18"/>
          <w:szCs w:val="18"/>
          <w:u w:val="single" w:color="auto"/>
          <w:color w:val="0000FF"/>
        </w:rPr>
      </w:pPr>
    </w:p>
    <w:p>
      <w:pPr>
        <w:ind w:left="1140" w:right="440" w:hanging="59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3.1.12</w:t>
        </w:r>
      </w:hyperlink>
      <w:r>
        <w:rPr>
          <w:rFonts w:ascii="Times New Roman" w:cs="Times New Roman" w:eastAsia="Times New Roman" w:hAnsi="Times New Roman"/>
          <w:sz w:val="18"/>
          <w:szCs w:val="18"/>
          <w:u w:val="single" w:color="auto"/>
          <w:color w:val="0000FF"/>
        </w:rPr>
        <w:tab/>
      </w:r>
      <w:hyperlink r:id="rId63">
        <w:r>
          <w:rPr>
            <w:rFonts w:ascii="Times New Roman" w:cs="Times New Roman" w:eastAsia="Times New Roman" w:hAnsi="Times New Roman"/>
            <w:sz w:val="18"/>
            <w:szCs w:val="18"/>
            <w:u w:val="single" w:color="auto"/>
            <w:color w:val="0000FF"/>
          </w:rPr>
          <w:t>Articles Supplementary of the Company (repeal of election to be subject to Section 3-803 of the Maryland General Corporation Law)</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(incorporated by reference as an exhibit to the Company’s Current Report on Form 8-K, event date May 28, 2015).</w:t>
        </w:r>
      </w:hyperlink>
    </w:p>
    <w:p>
      <w:pPr>
        <w:spacing w:after="0" w:line="10" w:lineRule="exact"/>
        <w:rPr>
          <w:rFonts w:ascii="Times New Roman" w:cs="Times New Roman" w:eastAsia="Times New Roman" w:hAnsi="Times New Roman"/>
          <w:sz w:val="18"/>
          <w:szCs w:val="18"/>
          <w:u w:val="single" w:color="auto"/>
          <w:color w:val="0000FF"/>
        </w:rPr>
      </w:pPr>
    </w:p>
    <w:p>
      <w:pPr>
        <w:ind w:left="1140" w:right="100" w:hanging="59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3.1.13</w:t>
        </w:r>
      </w:hyperlink>
      <w:r>
        <w:rPr>
          <w:rFonts w:ascii="Times New Roman" w:cs="Times New Roman" w:eastAsia="Times New Roman" w:hAnsi="Times New Roman"/>
          <w:sz w:val="18"/>
          <w:szCs w:val="18"/>
          <w:u w:val="single" w:color="auto"/>
          <w:color w:val="0000FF"/>
        </w:rPr>
        <w:tab/>
      </w:r>
      <w:hyperlink r:id="rId64">
        <w:r>
          <w:rPr>
            <w:rFonts w:ascii="Times New Roman" w:cs="Times New Roman" w:eastAsia="Times New Roman" w:hAnsi="Times New Roman"/>
            <w:sz w:val="18"/>
            <w:szCs w:val="18"/>
            <w:u w:val="single" w:color="auto"/>
            <w:color w:val="0000FF"/>
          </w:rPr>
          <w:t>Articles Supplementary of the Company (opting out of provisions of Subtitle 8 of Title 3 of the Maryland General Corporate Law (MUTA</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provisions)) (incorporated by reference as an exhibit to the Company’s Current Report on Form 8-K, event date April 24, 2019).</w:t>
        </w:r>
      </w:hyperlink>
    </w:p>
    <w:p>
      <w:pPr>
        <w:spacing w:after="0" w:line="10" w:lineRule="exact"/>
        <w:rPr>
          <w:rFonts w:ascii="Times New Roman" w:cs="Times New Roman" w:eastAsia="Times New Roman" w:hAnsi="Times New Roman"/>
          <w:sz w:val="18"/>
          <w:szCs w:val="18"/>
          <w:u w:val="single" w:color="auto"/>
          <w:color w:val="0000FF"/>
        </w:rPr>
      </w:pPr>
    </w:p>
    <w:p>
      <w:pPr>
        <w:ind w:left="1140" w:right="240" w:hanging="593"/>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3.1.14</w:t>
        </w:r>
      </w:hyperlink>
      <w:r>
        <w:rPr>
          <w:rFonts w:ascii="Times New Roman" w:cs="Times New Roman" w:eastAsia="Times New Roman" w:hAnsi="Times New Roman"/>
          <w:sz w:val="18"/>
          <w:szCs w:val="18"/>
          <w:u w:val="single" w:color="auto"/>
          <w:color w:val="0000FF"/>
        </w:rPr>
        <w:tab/>
      </w:r>
      <w:hyperlink r:id="rId65">
        <w:r>
          <w:rPr>
            <w:rFonts w:ascii="Times New Roman" w:cs="Times New Roman" w:eastAsia="Times New Roman" w:hAnsi="Times New Roman"/>
            <w:sz w:val="18"/>
            <w:szCs w:val="18"/>
            <w:u w:val="single" w:color="auto"/>
            <w:color w:val="0000FF"/>
          </w:rPr>
          <w:t>Articles of Amendment of the Company (increased authorized shares) (incorporated by reference as an exhibit to the Company's current</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Report on Form 8-K, event date May 28, 2021).</w:t>
        </w:r>
      </w:hyperlink>
    </w:p>
    <w:p>
      <w:pPr>
        <w:spacing w:after="0" w:line="10" w:lineRule="exact"/>
        <w:rPr>
          <w:rFonts w:ascii="Times New Roman" w:cs="Times New Roman" w:eastAsia="Times New Roman" w:hAnsi="Times New Roman"/>
          <w:sz w:val="18"/>
          <w:szCs w:val="18"/>
          <w:u w:val="single" w:color="auto"/>
          <w:color w:val="0000FF"/>
        </w:rPr>
      </w:pPr>
    </w:p>
    <w:p>
      <w:pPr>
        <w:ind w:left="1140" w:right="220" w:hanging="368"/>
        <w:spacing w:after="0" w:line="237" w:lineRule="auto"/>
        <w:tabs>
          <w:tab w:leader="none" w:pos="1120" w:val="left"/>
        </w:tabs>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66">
        <w:r>
          <w:rPr>
            <w:rFonts w:ascii="Times New Roman" w:cs="Times New Roman" w:eastAsia="Times New Roman" w:hAnsi="Times New Roman"/>
            <w:sz w:val="18"/>
            <w:szCs w:val="18"/>
            <w:u w:val="single" w:color="auto"/>
            <w:color w:val="0000FF"/>
          </w:rPr>
          <w:t>Amended and Restated Bylaws of the Company (incorporated by reference as an exhibit to the Company's Current Report on Form 8-K,</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event date April 24, 2019).</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22" w:lineRule="exact"/>
        <w:rPr>
          <w:rFonts w:ascii="Times New Roman" w:cs="Times New Roman" w:eastAsia="Times New Roman" w:hAnsi="Times New Roman"/>
          <w:sz w:val="18"/>
          <w:szCs w:val="18"/>
          <w:u w:val="single" w:color="auto"/>
          <w:color w:val="0000FF"/>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11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0000FF"/>
              </w:rPr>
              <w:t>Table of Contents</w:t>
            </w:r>
          </w:p>
        </w:tc>
        <w:tc>
          <w:tcPr>
            <w:tcW w:w="8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9"/>
        </w:trPr>
        <w:tc>
          <w:tcPr>
            <w:tcW w:w="1020" w:type="dxa"/>
            <w:vAlign w:val="bottom"/>
            <w:tcBorders>
              <w:top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00" w:type="dxa"/>
            <w:vAlign w:val="bottom"/>
            <w:gridSpan w:val="4"/>
            <w:vMerge w:val="restart"/>
          </w:tcPr>
          <w:p>
            <w:pPr>
              <w:ind w:left="3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1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tcPr>
          <w:p>
            <w:pPr>
              <w:spacing w:after="0"/>
              <w:rPr>
                <w:sz w:val="16"/>
                <w:szCs w:val="16"/>
                <w:color w:val="auto"/>
              </w:rPr>
            </w:pPr>
          </w:p>
        </w:tc>
        <w:tc>
          <w:tcPr>
            <w:tcW w:w="45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80" w:type="dxa"/>
            <w:vAlign w:val="bottom"/>
            <w:gridSpan w:val="3"/>
          </w:tcPr>
          <w:p>
            <w:pPr>
              <w:jc w:val="right"/>
              <w:spacing w:after="0" w:line="19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line="199" w:lineRule="exact"/>
              <w:rPr>
                <w:sz w:val="20"/>
                <w:szCs w:val="20"/>
                <w:color w:val="auto"/>
              </w:rPr>
            </w:pPr>
            <w:r>
              <w:rPr>
                <w:rFonts w:ascii="Times New Roman" w:cs="Times New Roman" w:eastAsia="Times New Roman" w:hAnsi="Times New Roman"/>
                <w:sz w:val="18"/>
                <w:szCs w:val="18"/>
                <w:color w:val="0000FF"/>
              </w:rPr>
              <w:t>Section 302</w:t>
            </w:r>
          </w:p>
        </w:tc>
        <w:tc>
          <w:tcPr>
            <w:tcW w:w="4500" w:type="dxa"/>
            <w:vAlign w:val="bottom"/>
            <w:gridSpan w:val="4"/>
          </w:tcPr>
          <w:p>
            <w:pPr>
              <w:ind w:left="20"/>
              <w:spacing w:after="0" w:line="199" w:lineRule="exact"/>
              <w:rPr>
                <w:sz w:val="20"/>
                <w:szCs w:val="20"/>
                <w:color w:val="auto"/>
              </w:rPr>
            </w:pPr>
            <w:r>
              <w:rPr>
                <w:rFonts w:ascii="Times New Roman" w:cs="Times New Roman" w:eastAsia="Times New Roman" w:hAnsi="Times New Roman"/>
                <w:sz w:val="18"/>
                <w:szCs w:val="18"/>
                <w:color w:val="0000FF"/>
              </w:rPr>
              <w:t>Certification of Thomas O'Hern, Chief Executive Officer</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Section 302</w:t>
            </w:r>
          </w:p>
        </w:tc>
        <w:tc>
          <w:tcPr>
            <w:tcW w:w="4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Certification of Scott Kingsmore, Chief Financial Officer</w:t>
            </w:r>
          </w:p>
        </w:tc>
        <w:tc>
          <w:tcPr>
            <w:tcW w:w="0" w:type="dxa"/>
            <w:vAlign w:val="bottom"/>
          </w:tcPr>
          <w:p>
            <w:pPr>
              <w:spacing w:after="0"/>
              <w:rPr>
                <w:sz w:val="1"/>
                <w:szCs w:val="1"/>
                <w:color w:val="auto"/>
              </w:rPr>
            </w:pPr>
          </w:p>
        </w:tc>
      </w:tr>
      <w:tr>
        <w:trPr>
          <w:trHeight w:val="209"/>
        </w:trPr>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Section 906</w:t>
            </w:r>
          </w:p>
        </w:tc>
        <w:tc>
          <w:tcPr>
            <w:tcW w:w="414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Certifications of Thomas O'Hern and Scott Kingsmore</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20" w:type="dxa"/>
            <w:vAlign w:val="bottom"/>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101.SCH</w:t>
            </w: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101.CAL</w:t>
            </w: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101.LAB</w:t>
            </w: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101.PRE</w:t>
            </w: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101.DEF</w:t>
            </w: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1140" w:hanging="421"/>
        <w:spacing w:after="0"/>
        <w:tabs>
          <w:tab w:leader="none" w:pos="11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p>
      <w:pPr>
        <w:spacing w:after="0" w:line="200" w:lineRule="exact"/>
        <w:rPr>
          <w:rFonts w:ascii="Times New Roman" w:cs="Times New Roman" w:eastAsia="Times New Roman" w:hAnsi="Times New Roman"/>
          <w:sz w:val="17"/>
          <w:szCs w:val="17"/>
          <w:color w:val="auto"/>
        </w:rPr>
      </w:pPr>
    </w:p>
    <w:p>
      <w:pPr>
        <w:spacing w:after="0" w:line="315" w:lineRule="exact"/>
        <w:rPr>
          <w:rFonts w:ascii="Times New Roman" w:cs="Times New Roman" w:eastAsia="Times New Roman" w:hAnsi="Times New Roman"/>
          <w:sz w:val="17"/>
          <w:szCs w:val="17"/>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48" w:lineRule="exact"/>
        <w:rPr>
          <w:sz w:val="20"/>
          <w:szCs w:val="20"/>
          <w:color w:val="auto"/>
        </w:rPr>
      </w:pPr>
    </w:p>
    <w:p>
      <w:pPr>
        <w:ind w:right="18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18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By:</w:t>
            </w: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W. KINGSMORE</w:t>
            </w:r>
          </w:p>
        </w:tc>
      </w:tr>
      <w:tr>
        <w:trPr>
          <w:trHeight w:val="216"/>
        </w:trPr>
        <w:tc>
          <w:tcPr>
            <w:tcW w:w="518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Scott W. Kingsmore</w:t>
            </w:r>
          </w:p>
        </w:tc>
      </w:tr>
      <w:tr>
        <w:trPr>
          <w:trHeight w:val="230"/>
        </w:trPr>
        <w:tc>
          <w:tcPr>
            <w:tcW w:w="518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Senior Executive Vice President, Treasurer and Chief Financial Officer</w:t>
            </w:r>
          </w:p>
        </w:tc>
      </w:t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00"/>
          </w:cols>
          <w:pgMar w:left="320" w:top="118" w:right="67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E. O'Hern, certify that:</w:t>
      </w:r>
    </w:p>
    <w:p>
      <w:pPr>
        <w:spacing w:after="0" w:line="15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 ended March 31, 2022 of The Macerich Company;</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500" w:hanging="324"/>
        <w:spacing w:after="0" w:line="273" w:lineRule="auto"/>
        <w:tabs>
          <w:tab w:leader="none" w:pos="9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28117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4" w:lineRule="exact"/>
        <w:rPr>
          <w:sz w:val="20"/>
          <w:szCs w:val="20"/>
          <w:color w:val="auto"/>
        </w:rPr>
      </w:pPr>
    </w:p>
    <w:p>
      <w:pPr>
        <w:ind w:left="1000"/>
        <w:spacing w:after="0"/>
        <w:tabs>
          <w:tab w:leader="none" w:pos="174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10, 2022</w:t>
      </w:r>
      <w:r>
        <w:rPr>
          <w:sz w:val="20"/>
          <w:szCs w:val="20"/>
          <w:color w:val="auto"/>
        </w:rPr>
        <w:tab/>
      </w:r>
      <w:r>
        <w:rPr>
          <w:rFonts w:ascii="Times New Roman" w:cs="Times New Roman" w:eastAsia="Times New Roman" w:hAnsi="Times New Roman"/>
          <w:sz w:val="17"/>
          <w:szCs w:val="17"/>
          <w:i w:val="1"/>
          <w:iCs w:val="1"/>
          <w:color w:val="auto"/>
        </w:rPr>
        <w:t>Chief Executive Officer</w:t>
      </w:r>
    </w:p>
    <w:p>
      <w:pPr>
        <w:sectPr>
          <w:pgSz w:w="11900" w:h="16838" w:orient="portrait"/>
          <w:cols w:equalWidth="0" w:num="1">
            <w:col w:w="11240"/>
          </w:cols>
          <w:pgMar w:left="320" w:top="98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W. Kingsmore, certify that:</w:t>
      </w:r>
    </w:p>
    <w:p>
      <w:pPr>
        <w:spacing w:after="0" w:line="15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 ended March 31, 2022 of The Macerich Company;</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500" w:hanging="324"/>
        <w:spacing w:after="0" w:line="273" w:lineRule="auto"/>
        <w:tabs>
          <w:tab w:leader="none" w:pos="9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1889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4" w:lineRule="exact"/>
        <w:rPr>
          <w:sz w:val="20"/>
          <w:szCs w:val="20"/>
          <w:color w:val="auto"/>
        </w:rPr>
      </w:pPr>
    </w:p>
    <w:p>
      <w:pPr>
        <w:ind w:left="1000"/>
        <w:spacing w:after="0"/>
        <w:tabs>
          <w:tab w:leader="none" w:pos="1740" w:val="left"/>
          <w:tab w:leader="none" w:pos="5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10, 2022</w:t>
      </w:r>
      <w:r>
        <w:rPr>
          <w:sz w:val="20"/>
          <w:szCs w:val="20"/>
          <w:color w:val="auto"/>
        </w:rPr>
        <w:tab/>
      </w:r>
      <w:r>
        <w:rPr>
          <w:rFonts w:ascii="Times New Roman" w:cs="Times New Roman" w:eastAsia="Times New Roman" w:hAnsi="Times New Roman"/>
          <w:sz w:val="17"/>
          <w:szCs w:val="17"/>
          <w:i w:val="1"/>
          <w:iCs w:val="1"/>
          <w:color w:val="auto"/>
        </w:rPr>
        <w:t>Senior Executive Vice President and Chief Financial Officer</w:t>
      </w:r>
    </w:p>
    <w:p>
      <w:pPr>
        <w:sectPr>
          <w:pgSz w:w="11900" w:h="16838" w:orient="portrait"/>
          <w:cols w:equalWidth="0" w:num="1">
            <w:col w:w="11240"/>
          </w:cols>
          <w:pgMar w:left="320" w:top="98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0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undersigned, Thomas E. O'Hern and Scott W. Kingsmore, the Chief Executive Officer and Chief Financial Officer, respectively, of The Macerich Company (the "Company"), pursuant to 18 U.S.C. §1350, each hereby certifies that, to the best of his knowledge:</w:t>
      </w:r>
    </w:p>
    <w:p>
      <w:pPr>
        <w:spacing w:after="0" w:line="27" w:lineRule="exact"/>
        <w:rPr>
          <w:sz w:val="20"/>
          <w:szCs w:val="20"/>
          <w:color w:val="auto"/>
        </w:rPr>
      </w:pPr>
    </w:p>
    <w:p>
      <w:pPr>
        <w:ind w:left="980" w:right="980" w:hanging="324"/>
        <w:spacing w:after="0" w:line="282" w:lineRule="auto"/>
        <w:tabs>
          <w:tab w:leader="none" w:pos="9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March 31, 2022 of the Company (the "Report") fully complies with the requirements of Section 13(a) and 15(d) of the Securities Exchange Act of 1934, as amended; and</w:t>
      </w:r>
    </w:p>
    <w:p>
      <w:pPr>
        <w:spacing w:after="0" w:line="40"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2022</w:t>
      </w:r>
    </w:p>
    <w:p>
      <w:pPr>
        <w:spacing w:after="0" w:line="5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750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3575050" cy="8890"/>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750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3575050" cy="8890"/>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Senior Executive Vice President and Chief Financial Officer</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2"/>
    </w:lvl>
  </w:abstractNum>
  <w:abstractNum w:abstractNumId="3">
    <w:nsid w:val="109CF92E"/>
    <w:multiLevelType w:val="hybridMultilevel"/>
    <w:lvl w:ilvl="0">
      <w:lvlJc w:val="left"/>
      <w:lvlText w:val="%1"/>
      <w:numFmt w:val="decimal"/>
      <w:start w:val="1"/>
    </w:lvl>
    <w:lvl w:ilvl="1">
      <w:lvlJc w:val="left"/>
      <w:lvlText w:val="(%2)"/>
      <w:numFmt w:val="decimal"/>
      <w:start w:val="1"/>
    </w:lvl>
  </w:abstractNum>
  <w:abstractNum w:abstractNumId="4">
    <w:nsid w:val="DED7263"/>
    <w:multiLevelType w:val="hybridMultilevel"/>
    <w:lvl w:ilvl="0">
      <w:lvlJc w:val="left"/>
      <w:lvlText w:val="%1."/>
      <w:numFmt w:val="decimal"/>
      <w:start w:val="4"/>
    </w:lvl>
    <w:lvl w:ilvl="1">
      <w:lvlJc w:val="left"/>
      <w:lvlText w:val="%2"/>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lvl w:ilvl="1">
      <w:lvlJc w:val="left"/>
      <w:lvlText w:val="(%2)"/>
      <w:numFmt w:val="decimal"/>
      <w:start w:val="1"/>
    </w:lvl>
  </w:abstractNum>
  <w:abstractNum w:abstractNumId="10">
    <w:nsid w:val="25E45D32"/>
    <w:multiLevelType w:val="hybridMultilevel"/>
    <w:lvl w:ilvl="0">
      <w:lvlJc w:val="left"/>
      <w:lvlText w:val="%1."/>
      <w:numFmt w:val="decimal"/>
      <w:start w:val="10"/>
    </w:lvl>
    <w:lvl w:ilvl="1">
      <w:lvlJc w:val="left"/>
      <w:lvlText w:val="%2"/>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0"/>
    </w:lvl>
    <w:lvl w:ilvl="1">
      <w:lvlJc w:val="left"/>
      <w:lvlText w:val="(%2)"/>
      <w:numFmt w:val="decimal"/>
      <w:start w:val="3"/>
    </w:lvl>
  </w:abstractNum>
  <w:abstractNum w:abstractNumId="13">
    <w:nsid w:val="3F2DBA31"/>
    <w:multiLevelType w:val="hybridMultilevel"/>
    <w:lvl w:ilvl="0">
      <w:lvlJc w:val="left"/>
      <w:lvlText w:val="%1."/>
      <w:numFmt w:val="decimal"/>
      <w:start w:val="14"/>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
      <w:numFmt w:val="bullet"/>
      <w:start w:val="1"/>
    </w:lvl>
    <w:lvl w:ilvl="1">
      <w:lvlJc w:val="left"/>
      <w:lvlText w:val="%2"/>
      <w:numFmt w:val="decimal"/>
      <w:start w:val="104"/>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52" Type="http://schemas.openxmlformats.org/officeDocument/2006/relationships/hyperlink" Target="http://www.sec.gov/Archives/edgar/data/912242/000110465914081468/a14-24669_1ex2d1.htm" TargetMode="External"/><Relationship Id="rId53" Type="http://schemas.openxmlformats.org/officeDocument/2006/relationships/hyperlink" Target="http://www.sec.gov/Archives/edgar/data/912242/0001047469-99-012492.txt" TargetMode="External"/><Relationship Id="rId54" Type="http://schemas.openxmlformats.org/officeDocument/2006/relationships/hyperlink" Target="http://www.sec.gov/Archives/edgar/data/912242/000091205702030706/a2086079zex-3_1.htm" TargetMode="External"/><Relationship Id="rId55" Type="http://schemas.openxmlformats.org/officeDocument/2006/relationships/hyperlink" Target="http://www.sec.gov/Archives/edgar/data/912242/000091205702021417/a2080342zex-4_6.htm" TargetMode="External"/><Relationship Id="rId56" Type="http://schemas.openxmlformats.org/officeDocument/2006/relationships/hyperlink" Target="http://www.sec.gov/Archives/edgar/data/912242/000104746909001981/a2189901zex-3_15.htm" TargetMode="External"/><Relationship Id="rId57" Type="http://schemas.openxmlformats.org/officeDocument/2006/relationships/hyperlink" Target="http://www.sec.gov/Archives/edgar/data/912242/000110465909008348/a09-5253_1ex3d1.htm" TargetMode="External"/><Relationship Id="rId58" Type="http://schemas.openxmlformats.org/officeDocument/2006/relationships/hyperlink" Target="http://www.sec.gov/Archives/edgar/data/912242/000104746909007391/a2193924zex-3_17.htm" TargetMode="External"/><Relationship Id="rId59" Type="http://schemas.openxmlformats.org/officeDocument/2006/relationships/hyperlink" Target="http://www.sec.gov/Archives/edgar/data/912242/000110465914043330/a14-14485_1ex3d1.htm" TargetMode="External"/><Relationship Id="rId60" Type="http://schemas.openxmlformats.org/officeDocument/2006/relationships/hyperlink" Target="http://www.sec.gov/Archives/edgar/data/912242/000110465915020412/a15-6870_1ex3d1.htm" TargetMode="External"/><Relationship Id="rId61" Type="http://schemas.openxmlformats.org/officeDocument/2006/relationships/hyperlink" Target="http://www.sec.gov/Archives/edgar/data/912242/000110465915020810/a15-6873_1ex3d1.htm" TargetMode="External"/><Relationship Id="rId62" Type="http://schemas.openxmlformats.org/officeDocument/2006/relationships/hyperlink" Target="http://www.sec.gov/Archives/edgar/data/912242/000110465915037228/a15-11185_1ex3d1.htm" TargetMode="External"/><Relationship Id="rId63" Type="http://schemas.openxmlformats.org/officeDocument/2006/relationships/hyperlink" Target="http://www.sec.gov/Archives/edgar/data/912242/000110465915042631/a15-13305_1ex3d1.htm" TargetMode="External"/><Relationship Id="rId64" Type="http://schemas.openxmlformats.org/officeDocument/2006/relationships/hyperlink" Target="http://www.sec.gov/Archives/edgar/data/912242/000119312519129272/d731295dex31.htm" TargetMode="External"/><Relationship Id="rId65" Type="http://schemas.openxmlformats.org/officeDocument/2006/relationships/hyperlink" Target="https://www.sec.gov/Archives/edgar/data/912242/000119312521182973/d417870dex31.htm" TargetMode="External"/><Relationship Id="rId66" Type="http://schemas.openxmlformats.org/officeDocument/2006/relationships/hyperlink" Target="http://www.sec.gov/Archives/edgar/data/912242/000119312519129272/d7312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2022-05-10T11:44:52Z</dcterms:created>
  <dcterms:modified xsi:type="dcterms:W3CDTF">2022-05-10T11:44:52Z</dcterms:modified>
</cp:coreProperties>
</file>