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1426210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3"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20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color w:val="auto"/>
        </w:rPr>
        <w:t>Maryland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95-4448705</w:t>
      </w:r>
    </w:p>
    <w:p>
      <w:pPr>
        <w:spacing w:after="0" w:line="28" w:lineRule="exact"/>
        <w:rPr>
          <w:sz w:val="24"/>
          <w:szCs w:val="24"/>
          <w:color w:val="auto"/>
        </w:rPr>
      </w:pPr>
    </w:p>
    <w:p>
      <w:pPr>
        <w:sectPr>
          <w:pgSz w:w="11900" w:h="16838" w:orient="portrait"/>
          <w:cols w:equalWidth="0" w:num="2">
            <w:col w:w="7320" w:space="720"/>
            <w:col w:w="3140"/>
          </w:cols>
          <w:pgMar w:left="320" w:top="1440" w:right="39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8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93" w:lineRule="exact"/>
        <w:rPr>
          <w:sz w:val="24"/>
          <w:szCs w:val="24"/>
          <w:color w:val="auto"/>
        </w:rPr>
      </w:pPr>
    </w:p>
    <w:p>
      <w:pPr>
        <w:sectPr>
          <w:pgSz w:w="11900" w:h="16838" w:orient="portrait"/>
          <w:cols w:equalWidth="0" w:num="2">
            <w:col w:w="6380" w:space="720"/>
            <w:col w:w="4080"/>
          </w:cols>
          <w:pgMar w:left="320" w:top="1440" w:right="39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6"/>
          <w:szCs w:val="16"/>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Times New Roman" w:cs="Times New Roman" w:eastAsia="Times New Roman" w:hAnsi="Times New Roman"/>
          <w:sz w:val="16"/>
          <w:szCs w:val="16"/>
          <w:color w:val="auto"/>
        </w:rPr>
        <w:t>90401</w:t>
      </w:r>
    </w:p>
    <w:p>
      <w:pPr>
        <w:spacing w:after="0" w:line="32" w:lineRule="exact"/>
        <w:rPr>
          <w:sz w:val="24"/>
          <w:szCs w:val="24"/>
          <w:color w:val="auto"/>
        </w:rPr>
      </w:pPr>
    </w:p>
    <w:p>
      <w:pPr>
        <w:sectPr>
          <w:pgSz w:w="11900" w:h="16838" w:orient="portrait"/>
          <w:cols w:equalWidth="0" w:num="5">
            <w:col w:w="2000" w:space="420"/>
            <w:col w:w="660" w:space="340"/>
            <w:col w:w="940" w:space="400"/>
            <w:col w:w="2740" w:space="720"/>
            <w:col w:w="2960"/>
          </w:cols>
          <w:pgMar w:left="320" w:top="1440" w:right="39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340" w:space="720"/>
            <w:col w:w="3120"/>
          </w:cols>
          <w:pgMar w:left="320" w:top="1440" w:right="39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80"/>
          </w:cols>
          <w:pgMar w:left="320" w:top="1440" w:right="399" w:bottom="1440" w:gutter="0" w:footer="0" w:header="0"/>
          <w:type w:val="continuous"/>
        </w:sectPr>
      </w:pP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29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80"/>
          </w:cols>
          <w:pgMar w:left="320" w:top="1440" w:right="399" w:bottom="1440" w:gutter="0" w:footer="0" w:header="0"/>
          <w:type w:val="continuous"/>
        </w:sectPr>
      </w:pPr>
    </w:p>
    <w:p>
      <w:pPr>
        <w:spacing w:after="0" w:line="5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000" w:space="720"/>
            <w:col w:w="3700"/>
          </w:cols>
          <w:pgMar w:left="320" w:top="1440" w:right="399" w:bottom="1440" w:gutter="0" w:footer="0" w:header="0"/>
          <w:type w:val="continuous"/>
        </w:sectPr>
      </w:pPr>
    </w:p>
    <w:p>
      <w:pPr>
        <w:spacing w:after="0" w:line="52" w:lineRule="exact"/>
        <w:rPr>
          <w:sz w:val="24"/>
          <w:szCs w:val="24"/>
          <w:color w:val="auto"/>
        </w:rPr>
      </w:pPr>
    </w:p>
    <w:p>
      <w:pPr>
        <w:jc w:val="both"/>
        <w:ind w:right="180" w:firstLine="445"/>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firstLine="445"/>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ind w:right="280" w:firstLine="445"/>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2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both"/>
        <w:ind w:hanging="20"/>
        <w:spacing w:after="0" w:line="316"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sectPr>
          <w:pgSz w:w="11900" w:h="16838" w:orient="portrait"/>
          <w:cols w:equalWidth="0" w:num="8">
            <w:col w:w="1920" w:space="420"/>
            <w:col w:w="180" w:space="480"/>
            <w:col w:w="1120" w:space="440"/>
            <w:col w:w="140" w:space="560"/>
            <w:col w:w="1440" w:space="560"/>
            <w:col w:w="540" w:space="720"/>
            <w:col w:w="1860" w:space="120"/>
            <w:col w:w="680"/>
          </w:cols>
          <w:pgMar w:left="320" w:top="1440" w:right="399" w:bottom="1440" w:gutter="0" w:footer="0" w:header="0"/>
          <w:type w:val="continuous"/>
        </w:sectPr>
      </w:pPr>
    </w:p>
    <w:p>
      <w:pPr>
        <w:ind w:right="80" w:firstLine="445"/>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left="460"/>
        <w:spacing w:after="0" w:line="196" w:lineRule="exact"/>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Number of shares outstanding as of May 5, 2023 of the registrant's common stock, par value $0.01 per share: 215,095,210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580" w:type="dxa"/>
            <w:vAlign w:val="bottom"/>
            <w:gridSpan w:val="9"/>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2023 and December 31,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2023 and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months ended March 31, 2023 and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three months ended March 31, 2023 and 2022</w:t>
            </w:r>
          </w:p>
        </w:tc>
        <w:tc>
          <w:tcPr>
            <w:tcW w:w="1020" w:type="dxa"/>
            <w:vAlign w:val="bottom"/>
            <w:gridSpan w:val="3"/>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months ended March 31, 2023 and 2022</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3"/>
          </w:tcPr>
          <w:p>
            <w:pPr>
              <w:spacing w:after="0"/>
              <w:rPr>
                <w:sz w:val="22"/>
                <w:szCs w:val="22"/>
                <w:color w:val="auto"/>
              </w:rPr>
            </w:pP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64"/>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6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6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6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2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80" w:type="dxa"/>
            <w:vAlign w:val="bottom"/>
            <w:gridSpan w:val="10"/>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64"/>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00" w:type="dxa"/>
            <w:vAlign w:val="bottom"/>
            <w:gridSpan w:val="3"/>
          </w:tcPr>
          <w:p>
            <w:pPr>
              <w:spacing w:after="0"/>
              <w:rPr>
                <w:sz w:val="22"/>
                <w:szCs w:val="22"/>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2"/>
                <w:szCs w:val="22"/>
                <w:color w:val="auto"/>
              </w:rPr>
            </w:pPr>
          </w:p>
        </w:tc>
        <w:tc>
          <w:tcPr>
            <w:tcW w:w="824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00" w:type="dxa"/>
            <w:vAlign w:val="bottom"/>
            <w:gridSpan w:val="3"/>
          </w:tcPr>
          <w:p>
            <w:pPr>
              <w:spacing w:after="0"/>
              <w:rPr>
                <w:sz w:val="22"/>
                <w:szCs w:val="22"/>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40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Signature</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6,091,914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6,127,790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1,224,288</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7,917,511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8,094,139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4,240,596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318,745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143,221</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5,062,097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5,144,790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March 31, 2023 and December 31, 2022,</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215,361,920 and 215,241,129 shares issued and outstanding at March 31, 2023 and December 31, 2022,</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5,506,084</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(2,643,094)</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2,865,773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83,576</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2,949,349</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7,917,511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8,094,139</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9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700" w:type="dxa"/>
        <w:tblCellMar>
          <w:top w:w="0" w:type="dxa"/>
          <w:left w:w="0" w:type="dxa"/>
          <w:bottom w:w="0" w:type="dxa"/>
          <w:right w:w="0" w:type="dxa"/>
        </w:tblCellMar>
      </w:tblPr>
      <w:tr>
        <w:trPr>
          <w:trHeight w:val="200"/>
        </w:trPr>
        <w:tc>
          <w:tcPr>
            <w:tcW w:w="57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203,412</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214,854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216,144</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72,920</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16,945</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72,856</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177,194</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 expense: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43,859</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51,861</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229,055</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(29,097)</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Gain on sale or write down of assets, net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215,291,000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214,819,000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215,291,000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214,819,000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9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680" w:type="dxa"/>
        <w:tblCellMar>
          <w:top w:w="0" w:type="dxa"/>
          <w:left w:w="0" w:type="dxa"/>
          <w:bottom w:w="0" w:type="dxa"/>
          <w:right w:w="0" w:type="dxa"/>
        </w:tblCellMar>
      </w:tblPr>
      <w:tr>
        <w:trPr>
          <w:trHeight w:val="200"/>
        </w:trPr>
        <w:tc>
          <w:tcPr>
            <w:tcW w:w="57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(37,354)</w:t>
            </w: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(37,323)</w:t>
            </w: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(37,151)</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2023 and 2022</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6"/>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215,241,129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5,506,084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(2,643,094)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2,865,773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83,576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2,949,349</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(58,194)</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($0.17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0" w:type="dxa"/>
            <w:vAlign w:val="bottom"/>
          </w:tcPr>
          <w:p>
            <w:pPr>
              <w:spacing w:after="0"/>
              <w:rPr>
                <w:sz w:val="1"/>
                <w:szCs w:val="1"/>
                <w:color w:val="auto"/>
              </w:rPr>
            </w:pPr>
          </w:p>
        </w:tc>
      </w:tr>
      <w:tr>
        <w:trPr>
          <w:trHeight w:val="136"/>
        </w:trPr>
        <w:tc>
          <w:tcPr>
            <w:tcW w:w="18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215,361,920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2,775,892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2,855,414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line="20" w:lineRule="exact"/>
              <w:rPr>
                <w:sz w:val="1"/>
                <w:szCs w:val="1"/>
                <w:color w:val="auto"/>
              </w:rPr>
            </w:pPr>
          </w:p>
        </w:tc>
        <w:tc>
          <w:tcPr>
            <w:tcW w:w="740" w:type="dxa"/>
            <w:vAlign w:val="bottom"/>
            <w:vMerge w:val="restart"/>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1"/>
        </w:trPr>
        <w:tc>
          <w:tcPr>
            <w:tcW w:w="1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214,797,057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5,488,440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(2,443,696)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3,046,867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129,282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3,176,149</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(37,354)</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214,901,377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5,493,662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(2,513,179)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2,982,638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3,103,504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82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2"/>
        </w:trPr>
        <w:tc>
          <w:tcPr>
            <w:tcW w:w="26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5"/>
        </w:trPr>
        <w:tc>
          <w:tcPr>
            <w:tcW w:w="26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75,673</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(Recovery of) provision for doubtful accounts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 of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28,098</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65,444</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40,062</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collection of receivable in connection with sale of joint venture property</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46,954</w:t>
            </w:r>
          </w:p>
        </w:tc>
        <w:tc>
          <w:tcPr>
            <w:tcW w:w="240" w:type="dxa"/>
            <w:vAlign w:val="bottom"/>
          </w:tcPr>
          <w:p>
            <w:pPr>
              <w:spacing w:after="0"/>
              <w:rPr>
                <w:sz w:val="19"/>
                <w:szCs w:val="19"/>
                <w:color w:val="auto"/>
              </w:rPr>
            </w:pPr>
          </w:p>
        </w:tc>
      </w:tr>
      <w:tr>
        <w:trPr>
          <w:trHeight w:val="898"/>
        </w:trPr>
        <w:tc>
          <w:tcPr>
            <w:tcW w:w="848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822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center"/>
              <w:ind w:right="31"/>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(53,237)</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from stock offerings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20" w:type="dxa"/>
            <w:vAlign w:val="bottom"/>
            <w:tcBorders>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34,526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18,881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tcPr>
          <w:p>
            <w:pPr>
              <w:ind w:left="140"/>
              <w:spacing w:after="0" w:line="190" w:lineRule="exact"/>
              <w:rPr>
                <w:sz w:val="20"/>
                <w:szCs w:val="20"/>
                <w:color w:val="auto"/>
              </w:rPr>
            </w:pPr>
            <w:r>
              <w:rPr>
                <w:rFonts w:ascii="Times New Roman" w:cs="Times New Roman" w:eastAsia="Times New Roman" w:hAnsi="Times New Roman"/>
                <w:sz w:val="18"/>
                <w:szCs w:val="18"/>
                <w:color w:val="auto"/>
              </w:rPr>
              <w:t>Lease liabilities recorded in connection with right-of-use assets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2"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March 31, 2023,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2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77" w:lineRule="exact"/>
        <w:rPr>
          <w:sz w:val="20"/>
          <w:szCs w:val="20"/>
          <w:color w:val="auto"/>
        </w:rPr>
      </w:pPr>
    </w:p>
    <w:p>
      <w:pPr>
        <w:ind w:left="420" w:right="7600" w:hanging="412"/>
        <w:spacing w:after="0" w:line="424" w:lineRule="auto"/>
        <w:tabs>
          <w:tab w:leader="none" w:pos="1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99"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452,559</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93,102</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545,661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323,841</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135,340</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459,181</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2022.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2022 has been derived from the audited financial statements but does not include all disclosures required by GAAP.</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112,454</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54,517</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128,244</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55,933</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184,177</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months ended March 31, 2023 and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34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90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EPS—net loss attributable to common stockholders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(37,405)</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6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215,291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214,819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8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attributable to common stockholders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vMerge w:val="restart"/>
          </w:tcPr>
          <w:p>
            <w:pPr>
              <w:jc w:val="right"/>
              <w:ind w:right="4770"/>
              <w:spacing w:after="0"/>
              <w:rPr>
                <w:sz w:val="20"/>
                <w:szCs w:val="20"/>
                <w:color w:val="auto"/>
              </w:rPr>
            </w:pPr>
            <w:r>
              <w:rPr>
                <w:rFonts w:ascii="Times New Roman" w:cs="Times New Roman" w:eastAsia="Times New Roman" w:hAnsi="Times New Roman"/>
                <w:sz w:val="18"/>
                <w:szCs w:val="18"/>
                <w:color w:val="auto"/>
                <w:w w:val="89"/>
              </w:rPr>
              <w:t xml:space="preserve">(shares in thousands):  </w:t>
            </w:r>
            <w:r>
              <w:rPr>
                <w:rFonts w:ascii="Times New Roman" w:cs="Times New Roman" w:eastAsia="Times New Roman" w:hAnsi="Times New Roman"/>
                <w:sz w:val="35"/>
                <w:szCs w:val="35"/>
                <w:color w:val="auto"/>
                <w:w w:val="89"/>
                <w:vertAlign w:val="superscript"/>
              </w:rPr>
              <w:t>Basic and diluted</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20" w:type="dxa"/>
            <w:vAlign w:val="bottom"/>
            <w:gridSpan w:val="2"/>
            <w:vMerge w:val="continue"/>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7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6"/>
        </w:trPr>
        <w:tc>
          <w:tcPr>
            <w:tcW w:w="782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6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("EPS"): (Continued)</w:t>
      </w:r>
    </w:p>
    <w:p>
      <w:pPr>
        <w:spacing w:after="0" w:line="157" w:lineRule="exact"/>
        <w:rPr>
          <w:rFonts w:ascii="Times New Roman" w:cs="Times New Roman" w:eastAsia="Times New Roman" w:hAnsi="Times New Roman"/>
          <w:sz w:val="18"/>
          <w:szCs w:val="18"/>
          <w:b w:val="1"/>
          <w:bCs w:val="1"/>
          <w:color w:val="auto"/>
        </w:rPr>
      </w:pPr>
    </w:p>
    <w:p>
      <w:pPr>
        <w:jc w:val="both"/>
        <w:ind w:left="660" w:right="160" w:hanging="328"/>
        <w:spacing w:after="0" w:line="281" w:lineRule="auto"/>
        <w:tabs>
          <w:tab w:leader="none" w:pos="684"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and 99,565 convertible preferred partnership units for the three months ended March 31, 2023 and 2022, respectively, as their impact was antidilutive. Diluted EPS also excludes 8,978,620 and 8,681,751 Operating Partnership units ("OP Units") for the three months ended March 31, 2023 and 2022, respectively, as their impact was antidilutive.</w:t>
      </w:r>
    </w:p>
    <w:p>
      <w:pPr>
        <w:spacing w:after="0" w:line="298"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5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spacing w:after="0" w:line="95"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MS Portfolio LLC, the Company's joint venture with Seritage Growth Properties, for a total purchase price of approximately $24,544. As a result of this transaction and the shortening of holding periods on certain other assets in the joint venture, an impairment loss was recorded for the twelve months ending December 31, 2022. The Company's share of the impairment loss was $27,054. Effective as of August 2, 2022, the Company now owns and has consolidated its 100% interest in these two former Sears parcels in its consolidated financial statements (See Note 15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Acquisitions).</w:t>
      </w:r>
    </w:p>
    <w:p>
      <w:pPr>
        <w:spacing w:after="0" w:line="116"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closed on a four-year maturity date extension for the existing loan to November 1, 2026, including extension options. The Company's joint venture repaid $15,000 ($9,000 at the Company's pro rata share) of the outstanding loan balance. The loan bears interest at SOFR plus 4.0% and is covered by an interest rate cap agreement that effectively prevents SOFR from exceeding 4.0%.</w:t>
      </w:r>
    </w:p>
    <w:p>
      <w:pPr>
        <w:spacing w:after="0" w:line="112"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8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0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the Company recorded an impairment loss as a result of shortening the holding period on certain assets in a joint venture. The Company's share of the impairment loss was $50,197.</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8,020,407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8,156,632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664,036</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8,698,257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8,820,668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5,776,143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5,491,250</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451,511</w:t>
            </w:r>
          </w:p>
        </w:tc>
      </w:tr>
      <w:tr>
        <w:trPr>
          <w:trHeight w:val="229"/>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1,528,348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1,349,559</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8,698,257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8,820,668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1,528,348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(425,153)</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1,224,288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(121,093)</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1,103,195</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47" w:lineRule="exact"/>
        <w:rPr>
          <w:sz w:val="20"/>
          <w:szCs w:val="20"/>
          <w:color w:val="auto"/>
        </w:rPr>
      </w:pPr>
    </w:p>
    <w:p>
      <w:pPr>
        <w:ind w:left="420" w:right="80" w:hanging="412"/>
        <w:spacing w:after="0" w:line="302" w:lineRule="auto"/>
        <w:tabs>
          <w:tab w:leader="none" w:pos="36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$2,675,841 and $2,690,651 of Pacific Premier Retail LLC (the "PPR Portfolio") as of March 31, 2023 and December 31, 2022, respectively, and liabilities of $1,609,503 and $1,611,661 of the PPR Portfolio as of March 31, 2023 and December 31, 2022, respectively.</w:t>
      </w:r>
    </w:p>
    <w:p>
      <w:pPr>
        <w:spacing w:after="0" w:line="80" w:lineRule="exact"/>
        <w:rPr>
          <w:rFonts w:ascii="Times New Roman" w:cs="Times New Roman" w:eastAsia="Times New Roman" w:hAnsi="Times New Roman"/>
          <w:sz w:val="14"/>
          <w:szCs w:val="14"/>
          <w:color w:val="auto"/>
        </w:rPr>
      </w:pPr>
    </w:p>
    <w:p>
      <w:pPr>
        <w:ind w:left="420" w:right="60" w:hanging="412"/>
        <w:spacing w:after="0" w:line="302" w:lineRule="auto"/>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(loss) income on a straight-line basis consistent with the lives of the underlying assets. The amortization of this difference was $(12,554) and $2,575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2"/>
                <w:szCs w:val="12"/>
                <w:color w:val="auto"/>
              </w:rPr>
            </w:pPr>
          </w:p>
        </w:tc>
        <w:tc>
          <w:tcPr>
            <w:tcW w:w="12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Joint</w:t>
            </w:r>
          </w:p>
        </w:tc>
        <w:tc>
          <w:tcPr>
            <w:tcW w:w="32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2023</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ectPr>
          <w:pgSz w:w="11900" w:h="16838" w:orient="portrait"/>
          <w:cols w:equalWidth="0" w:num="1">
            <w:col w:w="10700"/>
          </w:cols>
          <w:pgMar w:left="320" w:top="26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65" w:right="8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6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income related to the marking-to-market of derivative instruments of $120 and $31 for the three months ended March 31, 2023 and 2022, respectively. The entire $120 in other comprehensive income at March 31, 2023 is the Company's pro rata share of hedged derivative instruments from certain unconsolidated joint ventures.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derivatives were outstanding at March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1"/>
                <w:szCs w:val="11"/>
                <w:color w:val="auto"/>
              </w:rPr>
            </w:pPr>
          </w:p>
        </w:tc>
        <w:tc>
          <w:tcPr>
            <w:tcW w:w="1060" w:type="dxa"/>
            <w:vAlign w:val="bottom"/>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80" w:type="dxa"/>
            <w:vAlign w:val="bottom"/>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2,006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Sold Cap</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1,425,211</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6,378,736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711,007</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186,767</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218,859</w:t>
            </w:r>
          </w:p>
        </w:tc>
      </w:tr>
      <w:tr>
        <w:trPr>
          <w:trHeight w:val="223"/>
        </w:trPr>
        <w:tc>
          <w:tcPr>
            <w:tcW w:w="6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8,920,580</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(2,823,070)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(2,792,790)</w:t>
            </w:r>
          </w:p>
        </w:tc>
      </w:tr>
      <w:tr>
        <w:trPr>
          <w:trHeight w:val="223"/>
        </w:trPr>
        <w:tc>
          <w:tcPr>
            <w:tcW w:w="6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6,091,914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6,127,790</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140" w:hanging="484"/>
        <w:spacing w:after="0" w:line="302" w:lineRule="auto"/>
        <w:tabs>
          <w:tab w:leader="none" w:pos="103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March 31, 2023 and December 31, 2022 (See Note 8—Leases).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$67,064 and $67,786 for the three months ended March 31, 2023 and 2022, respectively.</w:t>
      </w: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Gain on sale or write-down of assets, net for the three months ended March 31, 2023 and 2022 consist of the following:</w:t>
      </w:r>
    </w:p>
    <w:p>
      <w:pPr>
        <w:spacing w:after="0" w:line="184"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3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write-down of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land sales,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w:t>
            </w:r>
          </w:p>
        </w:tc>
      </w:tr>
      <w:tr>
        <w:trPr>
          <w:trHeight w:val="248"/>
        </w:trPr>
        <w:tc>
          <w:tcPr>
            <w:tcW w:w="5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months ended March 31, 2023 and 2022, as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7"/>
                <w:szCs w:val="17"/>
                <w:color w:val="auto"/>
              </w:rPr>
            </w:pPr>
          </w:p>
        </w:tc>
        <w:tc>
          <w:tcPr>
            <w:tcW w:w="1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260" w:type="dxa"/>
            <w:vAlign w:val="bottom"/>
          </w:tcPr>
          <w:p>
            <w:pPr>
              <w:spacing w:after="0"/>
              <w:rPr>
                <w:sz w:val="17"/>
                <w:szCs w:val="17"/>
                <w:color w:val="auto"/>
              </w:rPr>
            </w:pPr>
          </w:p>
        </w:tc>
        <w:tc>
          <w:tcPr>
            <w:tcW w:w="14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Total Fair Value</w:t>
            </w:r>
          </w:p>
        </w:tc>
        <w:tc>
          <w:tcPr>
            <w:tcW w:w="12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32"/>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
                <w:szCs w:val="2"/>
                <w:color w:val="auto"/>
              </w:rPr>
            </w:pPr>
          </w:p>
        </w:tc>
        <w:tc>
          <w:tcPr>
            <w:tcW w:w="1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
                <w:szCs w:val="2"/>
                <w:color w:val="auto"/>
              </w:rPr>
            </w:pPr>
          </w:p>
        </w:tc>
        <w:tc>
          <w:tcPr>
            <w:tcW w:w="14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line="20" w:lineRule="exact"/>
              <w:rPr>
                <w:sz w:val="1"/>
                <w:szCs w:val="1"/>
                <w:color w:val="auto"/>
              </w:rPr>
            </w:pPr>
          </w:p>
        </w:tc>
      </w:tr>
      <w:tr>
        <w:trPr>
          <w:trHeight w:val="243"/>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20" w:type="dxa"/>
            <w:vAlign w:val="bottom"/>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relating to the 2022 impairment was based on a sales contract and is classified within Level 2 of the fair value hierarchy.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$7,990 and $10,741 at March 31, 2023 and December 31, 2022, respectively. Also included in tenant and other receivables, net are accrued percentage rents of $3,325 and $18,010 at March 31, 2023 and December 31, 2022, respectively, and a deferred rent receivable due to straight-line rent adjustments of $108,373 and $110,155 at March 31, 2023 and December 31,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46"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months ended March 31, 2023 and 2022:</w:t>
      </w:r>
    </w:p>
    <w:p>
      <w:pPr>
        <w:spacing w:after="0" w:line="18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of (provision for) doubtful accounts, net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4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203,412</w:t>
            </w:r>
          </w:p>
        </w:tc>
      </w:tr>
      <w:tr>
        <w:trPr>
          <w:trHeight w:val="21"/>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March 31,</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419,064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353,530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172,565</w:t>
            </w:r>
          </w:p>
        </w:tc>
      </w:tr>
      <w:tr>
        <w:trPr>
          <w:trHeight w:val="230"/>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536,251</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months ended March 31, 2023 and 2022:</w:t>
      </w:r>
    </w:p>
    <w:p>
      <w:pPr>
        <w:spacing w:after="0" w:line="18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2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5"/>
        </w:trPr>
        <w:tc>
          <w:tcPr>
            <w:tcW w:w="40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8,629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9,478</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109,158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164,995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13,328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168,621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13,328</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(85,001)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(86,315)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79,994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82,306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years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years</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53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40" w:type="dxa"/>
            <w:vAlign w:val="bottom"/>
            <w:tcBorders>
              <w:bottom w:val="single" w:sz="8" w:color="CCEEFF"/>
            </w:tcBorders>
          </w:tcPr>
          <w:p>
            <w:pPr>
              <w:spacing w:after="0"/>
              <w:rPr>
                <w:sz w:val="17"/>
                <w:szCs w:val="17"/>
                <w:color w:val="auto"/>
              </w:rPr>
            </w:pPr>
          </w:p>
        </w:tc>
        <w:tc>
          <w:tcPr>
            <w:tcW w:w="3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247,424</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80" w:hanging="324"/>
        <w:spacing w:after="0" w:line="271" w:lineRule="auto"/>
        <w:tabs>
          <w:tab w:leader="none" w:pos="9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$40,849 and $44,362 relating to in-place lease values, leasing commissions and legal costs at March 31, 2023 and December 31, 2022, respectively. Amortization expense of in-place lease values, leasing commissions and legal costs was $1,909 and $1,667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6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0" w:type="dxa"/>
            <w:vAlign w:val="bottom"/>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6"/>
              </w:rPr>
              <w:t>68,811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71,304</w:t>
            </w:r>
          </w:p>
        </w:tc>
      </w:tr>
      <w:tr>
        <w:trPr>
          <w:trHeight w:val="229"/>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(34,276)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(35,156)</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34,535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36,148</w:t>
            </w:r>
          </w:p>
        </w:tc>
      </w:tr>
      <w:tr>
        <w:trPr>
          <w:trHeight w:val="20"/>
        </w:trPr>
        <w:tc>
          <w:tcPr>
            <w:tcW w:w="640" w:type="dxa"/>
            <w:vAlign w:val="bottom"/>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95,132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97,026</w:t>
            </w:r>
          </w:p>
        </w:tc>
      </w:tr>
      <w:tr>
        <w:trPr>
          <w:trHeight w:val="230"/>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(41,637)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(40,797)</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53,495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56,229</w:t>
            </w:r>
          </w:p>
        </w:tc>
      </w:tr>
      <w:tr>
        <w:trPr>
          <w:trHeight w:val="21"/>
        </w:trPr>
        <w:tc>
          <w:tcPr>
            <w:tcW w:w="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6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47" w:lineRule="exact"/>
        <w:rPr>
          <w:sz w:val="20"/>
          <w:szCs w:val="20"/>
          <w:color w:val="auto"/>
        </w:rPr>
      </w:pPr>
    </w:p>
    <w:p>
      <w:pPr>
        <w:ind w:left="940" w:hanging="284"/>
        <w:spacing w:after="0"/>
        <w:tabs>
          <w:tab w:leader="none" w:pos="9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Below-market leases are included in other accrued liabilities.</w:t>
      </w:r>
    </w:p>
    <w:p>
      <w:pPr>
        <w:spacing w:after="0" w:line="200" w:lineRule="exact"/>
        <w:rPr>
          <w:rFonts w:ascii="Times New Roman" w:cs="Times New Roman" w:eastAsia="Times New Roman" w:hAnsi="Times New Roman"/>
          <w:sz w:val="14"/>
          <w:szCs w:val="14"/>
          <w:color w:val="auto"/>
        </w:rPr>
      </w:pPr>
    </w:p>
    <w:p>
      <w:pPr>
        <w:spacing w:after="0" w:line="34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Mortgage notes payable at March 31, 2023 and December 31, 2022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255,782</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Commons(8)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Mall(9)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536,442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Oaks, The(10)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Towne Mall(13)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4,203,678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4,240,596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820" w:hanging="407"/>
        <w:spacing w:after="0" w:line="302" w:lineRule="auto"/>
        <w:tabs>
          <w:tab w:leader="none" w:pos="8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$25,084 and $13,830 at March 31, 2023 and December 31, 2022, respectively.</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65" w:right="5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63" w:lineRule="exact"/>
        <w:rPr>
          <w:rFonts w:ascii="Times New Roman" w:cs="Times New Roman" w:eastAsia="Times New Roman" w:hAnsi="Times New Roman"/>
          <w:sz w:val="14"/>
          <w:szCs w:val="14"/>
          <w:color w:val="auto"/>
        </w:rPr>
      </w:pPr>
    </w:p>
    <w:p>
      <w:pPr>
        <w:ind w:left="820" w:right="100" w:hanging="407"/>
        <w:spacing w:after="0" w:line="302"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149" w:lineRule="exact"/>
        <w:rPr>
          <w:rFonts w:ascii="Times New Roman" w:cs="Times New Roman" w:eastAsia="Times New Roman" w:hAnsi="Times New Roman"/>
          <w:sz w:val="14"/>
          <w:szCs w:val="14"/>
          <w:color w:val="auto"/>
        </w:rPr>
      </w:pPr>
    </w:p>
    <w:p>
      <w:pPr>
        <w:ind w:left="820" w:right="180" w:hanging="407"/>
        <w:spacing w:after="0" w:line="271"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 On July 1, 2022, the Company further extended the loan maturity to July 1, 2023. The interest rate remained unchanged at 5.5%, and the Company repaid $10,000 of the outstanding loan balance at closing.</w:t>
      </w:r>
    </w:p>
    <w:p>
      <w:pPr>
        <w:spacing w:after="0" w:line="103" w:lineRule="exact"/>
        <w:rPr>
          <w:rFonts w:ascii="Times New Roman" w:cs="Times New Roman" w:eastAsia="Times New Roman" w:hAnsi="Times New Roman"/>
          <w:sz w:val="14"/>
          <w:szCs w:val="14"/>
          <w:color w:val="auto"/>
        </w:rPr>
      </w:pPr>
    </w:p>
    <w:p>
      <w:pPr>
        <w:jc w:val="both"/>
        <w:ind w:left="820" w:right="140" w:hanging="407"/>
        <w:spacing w:after="0" w:line="295"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26, 2022 and November 28, 2022, the Company repaid $83,058 and $7,117, respectively, of the outstanding loan balance to satisfy certain loan conditions. On January 20, 2023, the Company repaid $26,107 of the outstanding loan balance and exercised its one-year extension option of the loan to January 22, 2024. The interest rate is SOFR plus 3.60%.</w:t>
      </w:r>
    </w:p>
    <w:p>
      <w:pPr>
        <w:spacing w:after="0" w:line="265" w:lineRule="exact"/>
        <w:rPr>
          <w:rFonts w:ascii="Times New Roman" w:cs="Times New Roman" w:eastAsia="Times New Roman" w:hAnsi="Times New Roman"/>
          <w:sz w:val="14"/>
          <w:szCs w:val="14"/>
          <w:color w:val="auto"/>
        </w:rPr>
      </w:pPr>
    </w:p>
    <w:p>
      <w:pPr>
        <w:ind w:left="820" w:right="200" w:hanging="407"/>
        <w:spacing w:after="0" w:line="281"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the Company closed on a two-year extension of the loan to March 29, 2023. The interest rate is LIBOR plus 2.75% and the Company repaid $4,680 of the outstanding loan balance at closing. On January 3, 2023, the Company closed on a five-year $370,000 combined refinance of Green Acres Mall and Green Acres Commons. The new interest only loan bears interest at a fixed rate of 5.90% and matures on January 6, 2028.</w:t>
      </w:r>
    </w:p>
    <w:p>
      <w:pPr>
        <w:spacing w:after="0" w:line="96" w:lineRule="exact"/>
        <w:rPr>
          <w:rFonts w:ascii="Times New Roman" w:cs="Times New Roman" w:eastAsia="Times New Roman" w:hAnsi="Times New Roman"/>
          <w:sz w:val="14"/>
          <w:szCs w:val="14"/>
          <w:color w:val="auto"/>
        </w:rPr>
      </w:pPr>
    </w:p>
    <w:p>
      <w:pPr>
        <w:ind w:left="820" w:right="100" w:hanging="407"/>
        <w:spacing w:after="0" w:line="279" w:lineRule="auto"/>
        <w:tabs>
          <w:tab w:leader="none" w:pos="8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 On January 3, 2023, the Company closed on a five-year $370,000 combined refinance of Green Acres Mall and Green Acres Commons. The new interest only loan bears interest at a fixed rate of 5.90% and matures on January 6, 2028.</w:t>
      </w:r>
    </w:p>
    <w:p>
      <w:pPr>
        <w:spacing w:after="0" w:line="275" w:lineRule="exact"/>
        <w:rPr>
          <w:rFonts w:ascii="Times New Roman" w:cs="Times New Roman" w:eastAsia="Times New Roman" w:hAnsi="Times New Roman"/>
          <w:sz w:val="14"/>
          <w:szCs w:val="14"/>
          <w:color w:val="auto"/>
        </w:rPr>
      </w:pPr>
    </w:p>
    <w:p>
      <w:pPr>
        <w:ind w:left="820" w:right="40" w:hanging="407"/>
        <w:spacing w:after="0" w:line="302" w:lineRule="auto"/>
        <w:tabs>
          <w:tab w:leader="none" w:pos="81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w:t>
      </w:r>
    </w:p>
    <w:p>
      <w:pPr>
        <w:spacing w:after="0" w:line="80" w:lineRule="exact"/>
        <w:rPr>
          <w:rFonts w:ascii="Times New Roman" w:cs="Times New Roman" w:eastAsia="Times New Roman" w:hAnsi="Times New Roman"/>
          <w:sz w:val="14"/>
          <w:szCs w:val="14"/>
          <w:color w:val="auto"/>
        </w:rPr>
      </w:pPr>
    </w:p>
    <w:p>
      <w:pPr>
        <w:ind w:left="800" w:hanging="387"/>
        <w:spacing w:after="0"/>
        <w:tabs>
          <w:tab w:leader="none" w:pos="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29, 2022, the Company closed on a new $72,000 loan with a fixed rate of 5.29% that matures on May 6, 2032.</w:t>
      </w:r>
    </w:p>
    <w:p>
      <w:pPr>
        <w:spacing w:after="0" w:line="163" w:lineRule="exact"/>
        <w:rPr>
          <w:rFonts w:ascii="Times New Roman" w:cs="Times New Roman" w:eastAsia="Times New Roman" w:hAnsi="Times New Roman"/>
          <w:sz w:val="14"/>
          <w:szCs w:val="14"/>
          <w:color w:val="auto"/>
        </w:rPr>
      </w:pPr>
    </w:p>
    <w:p>
      <w:pPr>
        <w:ind w:left="820" w:hanging="407"/>
        <w:spacing w:after="0" w:line="271" w:lineRule="auto"/>
        <w:tabs>
          <w:tab w:leader="none" w:pos="81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to be converted to SOFR plus 1.59%. The loan is covered by an interest rate cap agreement that effectively prevents LIBOR from exceeding 4.0% during the period ending December 9, 2023.</w:t>
      </w:r>
    </w:p>
    <w:p>
      <w:pPr>
        <w:spacing w:after="0" w:line="116"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completed transition of the property to a receiver, but is still the owner of record.</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5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 with the exception of Towne Mall as noted above.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interest expense capitalized was $4,844 and $1,851 for the three months ended March 31, 2023 and 2022,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March 31, 2023 and December 31, 2022 was $3,853,581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$3,894,588, respectively, based on current interest rates for comparable loans. Fair value was determined using a present value model and an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included a credit value adjustment based on the estimated value of the property that serves as collateral for the underlying debt.</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60"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a $525,000 revolving loan facility that matures on April 14, 2024. The revolving loan facility can be expanded up to $800,000, subject to receipt of lender commitments and other conditions. All obligations under the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the Company’s overall leverage level. On March 22, 2023, the Company executed the one-year extension option to April 14, 2024. Additionally, effective March 13, 2023, the credit facility converted from LIBOR to 1-month Term SOFR with an applicable benchmark replacement adjustment. As of March 31, 2023, the borrowing rate was SOFR plus a spread of 2.25%. As of March 31, 2023, borrowings under the facility were $78,000, less unamortized deferred finance costs of $6,306, for the revolving loan facility at a total interest rate of 8.35%. As of March 31, 2023, the Company's availability under the revolving loan facility for additional borrowings was $446,787. The estimated fair value (Level 2 measurement) of borrowings under the credit facility at March 31, 2023 was $78,422 for the revolving loan facility based on a present value model using a credit interest rate spread offered to the Company for comparable debt.</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2023 and December 31, 2022,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6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1,320,000 square foot regional shopping center in Chandler, Arizona, and Freehold Raceway Mall, a 1,549,000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March 31, 2023 and December 31, 2022 was based upon a terminal capitalization rate of approximately 6.50% and 6.25%, respectively, a discount rate at March 31, 2023 and December 31, 2022 of 8.25% and 7.75%, respectively,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(income) expense in the Company's consolidated statements of operations.</w:t>
      </w:r>
    </w:p>
    <w:p>
      <w:pPr>
        <w:spacing w:after="0" w:line="111"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recognized related party interest (income) expense in the Company's consolidated statements of operations in connection with the financing arrangement as follows:</w:t>
      </w:r>
    </w:p>
    <w:p>
      <w:pPr>
        <w:spacing w:after="0" w:line="128"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6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(loss)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(loss)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6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200" w:lineRule="exact"/>
        <w:rPr>
          <w:sz w:val="20"/>
          <w:szCs w:val="20"/>
          <w:color w:val="auto"/>
        </w:rPr>
      </w:pPr>
    </w:p>
    <w:p>
      <w:pPr>
        <w:spacing w:after="0" w:line="32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net income (loss) of the Operating Partnership based on the weighted average ownership interest during the period. The net income (loss)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March 31, 2023 and December 31, 2022. The remaining 4% limited partnership interest as of March 31, 2023 and December 31, 2022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2023 and December 31, 2022, the aggregate redemption value of the then-outstanding OP Units not owned by the Company was $87,429 and $103,023, respectively.</w:t>
      </w:r>
    </w:p>
    <w:p>
      <w:pPr>
        <w:spacing w:after="0" w:line="12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6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spacing w:after="0" w:line="10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did not issue any shares of common stock under the March 2021 ATM Program. As of March 31, 2023,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6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three months ended March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62"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Deptford Mall and Vintage Faire Mall: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(above-market leases)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48"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and 2022, the Company sold various land parcels in separate transactions, resulting in gains on sale of land of $4,374 and $15,082, respectively. The Company used its share of the proceeds from these sales to pay down debt and for other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2023, the Company was contingently liable for $40,931 in letters of credit guaranteeing performance by the Company of certain obligations relating to the Centers. As of March 31, 2023, $40,680 of these letters of credit were secured by restricted cash. The Company does not believe that these letters of credit will result in a liability to the Company.</w:t>
      </w:r>
    </w:p>
    <w:p>
      <w:pPr>
        <w:spacing w:after="0" w:line="9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March 31, 2023, the Company had $9,002 in outstanding obligations, which it believes will be settled in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4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6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48"/>
        </w:trPr>
        <w:tc>
          <w:tcPr>
            <w:tcW w:w="3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 (Continued)</w:t>
      </w:r>
    </w:p>
    <w:p>
      <w:pPr>
        <w:spacing w:after="0" w:line="162"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Interest (income) expense from related party transactions includes $(9,407) and $8,002 for the three months ended March 31, 2023 and 2022, respectively, in connection with the financing arrangement (See Note 12—Financing Arrangement).</w:t>
      </w:r>
    </w:p>
    <w:p>
      <w:pPr>
        <w:spacing w:after="0" w:line="94"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Due from affiliates includes $7,891 and $3,299 of unreimbursed costs and fees from unconsolidated joint ventures due to the Management Companies at March 31, 2023 and December 31, 2022,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6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6"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granted the following LTI Units: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LTI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577,255</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1,030,077</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January 1, 2023 was estimated on the date of grant using a Monte Carlo Simulation model that assumed a three-year risk-free interest rate of 4.21% and an expected volatility of 74.23%.</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11"/>
        </w:trPr>
        <w:tc>
          <w:tcPr>
            <w:tcW w:w="2720" w:type="dxa"/>
            <w:vAlign w:val="bottom"/>
          </w:tcPr>
          <w:p>
            <w:pPr>
              <w:spacing w:after="0"/>
              <w:rPr>
                <w:sz w:val="18"/>
                <w:szCs w:val="18"/>
                <w:color w:val="auto"/>
              </w:rPr>
            </w:pPr>
          </w:p>
        </w:tc>
        <w:tc>
          <w:tcPr>
            <w:tcW w:w="11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20" w:type="dxa"/>
            <w:vAlign w:val="bottom"/>
          </w:tcPr>
          <w:p>
            <w:pPr>
              <w:spacing w:after="0"/>
              <w:rPr>
                <w:sz w:val="18"/>
                <w:szCs w:val="18"/>
                <w:color w:val="auto"/>
              </w:rPr>
            </w:pPr>
          </w:p>
        </w:tc>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30"/>
        </w:trPr>
        <w:tc>
          <w:tcPr>
            <w:tcW w:w="2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2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ectPr>
          <w:pgSz w:w="11900" w:h="16838" w:orient="portrait"/>
          <w:cols w:equalWidth="0" w:num="1">
            <w:col w:w="11180"/>
          </w:cols>
          <w:pgMar w:left="32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the stock options outstanding:</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11"/>
        </w:trPr>
        <w:tc>
          <w:tcPr>
            <w:tcW w:w="3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1920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92"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4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49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$1,077 and $1,193 for the three months ended March 31, 2023 and 2022, respectively. Unrecognized compensation costs of share and unit-based plans at March 31, 2023 consisted of $16,936 from LTI Units, $1,402 from stock units and $424 from phantom stock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6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4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 income tax provision of the TRSs are as follows:</w:t>
            </w:r>
          </w:p>
        </w:tc>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benefit (expense)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84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$24,996 and $23,114 were included in deferred charges and other assets, net at March 31, 2023 and December 31, 2022, respectively.</w:t>
      </w:r>
    </w:p>
    <w:p>
      <w:pPr>
        <w:spacing w:after="0" w:line="10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w:t>
      </w:r>
    </w:p>
    <w:p>
      <w:pPr>
        <w:sectPr>
          <w:pgSz w:w="11900" w:h="16838" w:orient="portrait"/>
          <w:cols w:equalWidth="0" w:num="1">
            <w:col w:w="11180"/>
          </w:cols>
          <w:pgMar w:left="32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scheduled reversal of deferred tax liabilities, tax planning strategies and projected future taxable income in making this assessment. As of March 31, 2023, the Company had no valuation allowance recorded.</w:t>
      </w:r>
    </w:p>
    <w:p>
      <w:pPr>
        <w:spacing w:after="0" w:line="9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tax years 2019 through 2021 remain open to examination by the taxing jurisdictions to which the Company is subject. The Company does not expect that the total amount of unrecognized tax benefit will materially change within the next twelve months.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On April 28, 2023, the Company announced a dividend/distribution of $0.17 per share for common stockholders and OP Unitholders of record on May 19, 2023. All dividends/distributions will be paid 100% in cash on June 2, 2023.</w:t>
      </w:r>
    </w:p>
    <w:p>
      <w:pPr>
        <w:spacing w:after="0" w:line="94"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$23,500, which resulted in a gain on sale of assets of approximately $10,200. The Company used the net proceeds to pay down debt.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65" w:right="5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8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IMPORTANT INFORMATION RELATED TO FORWARD-LOOKING STATEMENTS</w:t>
      </w: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2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right="580" w:hanging="644"/>
        <w:spacing w:after="0" w:line="281"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the Company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2022,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2023, the Operating Partnership owned or had an ownership interest in 44 regional town centers (including office, hotel and residential space adjacent to these shopping centers), five community/power shopping centers, one office property and one redevelopment property. These 51 regional town centers, community/power shopping centers, office and redevelopment properties consist of approximately 47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herein as the "Management Companies"). The Company is a self-administered and self-managed real estate investment trust ("REIT") and conducts all of its operations through the Operating Partnership and the Management Companies.</w:t>
      </w:r>
    </w:p>
    <w:p>
      <w:pPr>
        <w:spacing w:after="0" w:line="8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months ended March 31, 2023 and 2022. It compares the results of operations for the three months ended March 31, 2023 to the results of operations for the three months ended March 31,</w:t>
      </w:r>
    </w:p>
    <w:p>
      <w:pPr>
        <w:ind w:right="240"/>
        <w:spacing w:after="0" w:line="260" w:lineRule="auto"/>
        <w:rPr>
          <w:sz w:val="20"/>
          <w:szCs w:val="20"/>
          <w:color w:val="auto"/>
        </w:rPr>
      </w:pPr>
      <w:r>
        <w:rPr>
          <w:rFonts w:ascii="Times New Roman" w:cs="Times New Roman" w:eastAsia="Times New Roman" w:hAnsi="Times New Roman"/>
          <w:sz w:val="18"/>
          <w:szCs w:val="18"/>
          <w:color w:val="auto"/>
        </w:rPr>
        <w:t>2022. It also compares the results of operations and cash flows for the three months ended March 31, 2023 to the results of operations and cash flows for the three months ended March 31, 2022.</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 million. Effective as of August 2, 2022, the Company now owns and has consolidated its 100% interest in these two former Sears parcels in its consolidated financial statements (See Note 15— Acquisitions in the Notes to the Consolidated Financial Statements).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6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9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Company and certain joint venture partners sold various land parcels in separate transactions, resulting in the Company's share of the gain on sale of land of $2.6 million. The Company used its share of the proceeds from these sales of $3.0 million to pay down debt and for other general corporate purposes.</w:t>
      </w:r>
    </w:p>
    <w:p>
      <w:pPr>
        <w:spacing w:after="0" w:line="10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 million. The Company used the net proceeds to pay down debt. (See "Liquidity and Capital Resources").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April 29, 2022, the Company replaced the existing $110.6 million loan on Pacific View with a new $72.0 million loan that bears interest at a fixed rate of 5.29% and matures on May 6, 2032.</w:t>
      </w:r>
    </w:p>
    <w:p>
      <w:pPr>
        <w:spacing w:after="0" w:line="94"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8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94"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has completed the process of transitioning the property to a loan receiver.</w:t>
      </w:r>
    </w:p>
    <w:p>
      <w:pPr>
        <w:spacing w:after="0" w:line="9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2023. The joint venture repaid $15.0 million ($9.0 million at the Company's pro rata share) of the loan at closing.</w:t>
      </w:r>
    </w:p>
    <w:p>
      <w:pPr>
        <w:spacing w:after="0" w:line="9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December 9, 2022, the Company extended the maturity date on the $300.0 million loan on Santa Monica Place to December 9, 2025, including extension options. The loan bears interest at a floating interest rate of LIBOR plus 1.48%.</w:t>
      </w:r>
    </w:p>
    <w:p>
      <w:pPr>
        <w:spacing w:after="0" w:line="9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81"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7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the credit facility to April 14, 2024. Effective March 13, 2023, the credit facility converted from LIBOR to 1-month Term SOFR (See "Liquidity and Capital Resources").</w:t>
      </w:r>
    </w:p>
    <w:p>
      <w:pPr>
        <w:spacing w:after="0" w:line="9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6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The Company has funded $38.6 million of the total $77.2 million incurred by the joint venture as of March 31, 2023.</w:t>
      </w:r>
    </w:p>
    <w:p>
      <w:pPr>
        <w:spacing w:after="0" w:line="108"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is redeveloping an approximately 150,000 square foot, three-level space (formerly occupied by Bloomingdale’s and Arclight Theatre) at Santa Monica Place, a 534,000 square foot regional town center in Santa Monica, California, with an entertainment destination use, high-end fitness, and co-working space. The total cost of the project is estimated to be between $35.0 million and $40.0 million. The Company has incurred approximately $1.4 million as of March 31, 2023. The anticipated opening is in 2024.</w:t>
      </w:r>
    </w:p>
    <w:p>
      <w:pPr>
        <w:spacing w:after="0" w:line="9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1,881,000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Company’s pro rata share. The Company has incurred $5.7 million of the total $11.3 million incurred by the joint venture as of March 31, 2023. The anticipated opening is in 2024.</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declared a cash dividend of $0.15 per share of its common stock for each of the first three quarters of 2022 and a cash dividend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$0.17 per share of its common stock for the fourth quarter of 2022. On January 27, 2023, the Company declared a first quarter cash dividend of $0.17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its common stock, which was paid on March 3, 2023 to stockholders of record on February 17, 2023. On April 28, 2023, the Company announced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second quarter cash dividend of $0.17 per share of its common stock, which will be paid on June 2, 2023 to stockholders of record on May 19,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amount will be reviewed by the Board on a quarterly basis.</w:t>
      </w:r>
    </w:p>
    <w:p>
      <w:pPr>
        <w:spacing w:after="0" w:line="126" w:lineRule="exact"/>
        <w:rPr>
          <w:sz w:val="20"/>
          <w:szCs w:val="20"/>
          <w:color w:val="auto"/>
        </w:rPr>
      </w:pPr>
    </w:p>
    <w:p>
      <w:pPr>
        <w:ind w:right="240" w:firstLine="445"/>
        <w:spacing w:after="0" w:line="255"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March 31, 2023, the Company had approximately $151.7 million of gross sales of its common stock available under the March 2021 ATM Program. The February 2021 ATM Program was fully utilized as of June 30, 2021 and is no longer active.</w:t>
      </w:r>
    </w:p>
    <w:p>
      <w:pPr>
        <w:spacing w:after="0" w:line="121"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4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 Summary of Significant Accounting Policies in the Company's Notes to the Consolidated Financial Statements. However, the following policies are deemed to be critical.</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60"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95" w:lineRule="exact"/>
        <w:rPr>
          <w:sz w:val="20"/>
          <w:szCs w:val="20"/>
          <w:color w:val="auto"/>
        </w:rPr>
      </w:pPr>
    </w:p>
    <w:p>
      <w:pPr>
        <w:jc w:val="both"/>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1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0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right="580" w:firstLine="445"/>
        <w:spacing w:after="0" w:line="26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Properties (as defined below).</w:t>
      </w:r>
    </w:p>
    <w:p>
      <w:pPr>
        <w:spacing w:after="0" w:line="108"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12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For the comparison of the three months ended March 31, 2023 to the three months ended March 31, 2022, the JV Transition Centers are the two former Sears parcels at Deptford Mall and Vintage Faire Mall (See “Acquisitions” in Management’s Overview and Summary). For the comparison of the three months ended March 31, 2023 to the three months ended March 31, 2022, there are no Redevelopment Properties or Disposition Properties.</w:t>
      </w:r>
    </w:p>
    <w:p>
      <w:pPr>
        <w:spacing w:after="0" w:line="95"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9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comparable tenant sales for spaces less than 10,000 square feet across the portfolio increased by 0.1% relative to the first quarter of 2022. The leased occupancy rate of 92.2% at March 31, 2023 represented a 0.9% increase from 91.3% at March 31, 2022. Releasing spreads increased as the Company executed leases at an average rent of $60.29 for new and renewal leases executed compared to $56.54 on leases expiring, resulting in a releasing spread increase of $3.75 per square foot, or 6.6%, for the trailing twelve months ended March 31, 2023.</w:t>
      </w:r>
    </w:p>
    <w:p>
      <w:pPr>
        <w:spacing w:after="0" w:line="11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2023, however, due to a variety of factors, the Company cannot be certain of its ability to sign, renew or replace leases expiring in 2023 or beyond. The remaining 2023 lease expirations continue to be an important focal point for the Company. As of March 31, 2023, the Company has executed renewal leases or commitments on 67% of its 2023 expiring square footage of space that is not otherwise expected to close, with another 20% in the letter of intent stage.</w:t>
      </w:r>
    </w:p>
    <w:p>
      <w:pPr>
        <w:spacing w:after="0" w:line="112"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2023, the Company signed 80 new leases and 176 renewal leases comprising approximately 949,000 square feet of GLA. The average tenant allowance was $34.61 per square foot.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town centers. Although fundamentals at the Centers continued to improve during 2022 and into the first quarter of 2023, operating results in 2023 could be negatively impacted by certain macro-economic factors, including any continued increase in inflation and interest rates or an economic slowdown or recession.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Traffic at the Company’s Centers were generally consistent throughout all of 2022 and the first quarter of 2023 when compared to pre-pandemic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levels. Traffic levels averaged approximately 97% during the first quarter of 2023 as compared to 2022. Portfolio tenant sales from spaces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square feet were $866 compared to $869 for the trailing twelve months ended December 31, 2022. Comparable tenant sales from spaces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square feet across the portfolio for the trailing twelve months ended March 31, 2023 increased by 0.1% compared to the same timeframe in 2022.</w:t>
      </w:r>
    </w:p>
    <w:p>
      <w:pPr>
        <w:spacing w:after="0" w:line="12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During 2022, the Company leased 3.8 million square feet, which represented the strongest year of leasing volume for the Company when measured on a comparable center basis since before the 2009 Global Financial Crisis, and leasing volumes for the first quarter of 2023 significantly exceeded those from the first quarter of 2022. During the first quarter of 2023, the Company signed 256 leases for approximately 949,000 square feet, compared to 214 leases and 598,000 square feet leased during the first quarter of 2022, representing a 59% increase in the amount of square footage leased and a 20% increase in the number of leases signed on a comparable basis.</w:t>
      </w:r>
    </w:p>
    <w:p>
      <w:pPr>
        <w:spacing w:after="0" w:line="11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March 31, 2023, the Company opened new stores with new-to-Macerich portfolio uses for over 103,000 square feet, with another 179,000 square feet of such new-to-Macerich portfolio leases currently in negotiation as of the date of this Quarterly Report on Form 10-Q. During the twelve months ended December 31, 2022, the Company signed 101 leases for new stores with new-to-Macerich portfolio uses totaling approximately 441,000 square feet.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2023, the leased occupancy rate was 92.2%, a 0.9% increase compared to the leased occupancy rate at March 31, 2022 of 91.3%.</w:t>
      </w:r>
    </w:p>
    <w:p>
      <w:pPr>
        <w:spacing w:after="0" w:line="14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10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During 2022, the pace of bankruptcy filings involving the Company’s tenants decreased substantially as compared to 2021, with only two bankruptcy filings involving three of the Company’s tenants representing approximately 111,000 square feet of leased space and $2.2 million of annual leasing revenue at the Company’s share. The Company continues to expect that the pace of bankruptcy filings in 2023 will be relatively low compared to 2020. Year-to-date in 2023, there have been five bankruptcy filings involving the Company’s tenants totaling ten leases and representing approximately 83,000 square feet of leased space and $2.5 million of annual leasing revenue at the Company's share.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During 2023,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w:t>
      </w:r>
    </w:p>
    <w:p>
      <w:pPr>
        <w:spacing w:after="0" w:line="9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make substantial progress addressing its near-term, non-recourse loan maturities, with five completed transactions since the start of the fourth quarter of 2022 totaling over $2.0 billion, or approximately $1.4 billion at the Company’s pro rata share. For additional information on the Company’s financing transactions in the year ended 2022 through the date of this Quarterly Report on Form 10-Q, see “Financing Activities” in Management’s Overview and Summary.</w:t>
      </w:r>
    </w:p>
    <w:p>
      <w:pPr>
        <w:spacing w:after="0" w:line="11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2023 and 2022</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Leasing revenue decreased by $4.4 million, or 2.1%, from 2022 to 2023. The decrease in leasing revenue is attributed to decreases of $5.7 million from the Same Centers offset in part by an increase of $1.3 million from the JV Transition Centers. Leasing revenue includes the amortization of above and below-market leases, the amortization of straight-line rents, lease termination income, percentage rent and the recovery of bad debts. The amortization of above and below-market leases increased from $0.6 million in 2022 to $1.1 million in 2023. Straight-line rents increased from $(2.0) million in 2022 to $(1.8) million in 2023. Lease termination income decreased from $11.8 million in 2022 to $1.8 million in 2023. Percentage rent decreased from $8.6 million in 2022 to $5.5 million in 2023. Recovery of (provision for) bad debts increased from $(0.6) million in 2022 to $1.0 million in 2023. The decrease in lease revenue at the Same Centers is primarily due to the decrease in lease termination and percentage rent income offset by increases in tenant recoveries income and recovery of bad debts.</w:t>
      </w:r>
    </w:p>
    <w:p>
      <w:pPr>
        <w:spacing w:after="0" w:line="12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from $6.3 million in 2022 to $9.1 million in 2023. This increase is primarily due to parking income and interest income related to the Same Centers.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revenue increased from $6.4 million in 2022 to $6.8 million in 2023 due to an increase in leasing and development fees.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6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Shopping center and operating expenses decreased $2.4 million, or 3.3%, from 2022 to 2023. The decrease in shopping center and operating expenses is attributed to decreases of $2.8 million from the Same Centers, which is primarily from a decrease in property taxes and is offset in part by an increase of $0.4 million from the JV Transition Centers.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increased from $7.6 million in 2022 to $9.7 million in 2023 due to an increase in compensation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operating expenses increased $2.0 million from 2022 to 2023 due to an increase in compensation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general and administrative expenses increased $0.1 million from 2022 to 2023.</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$1.4 million from 2022 to 2023. The decrease in depreciation and amortization is attributed to decreases of $2.0 million from the Same Centers offset in part by an increase of $0.6 million from the JV Transition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46"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Interest expense decreased $12.4 million from 2022 to 2023. The decrease in interest expense is attributed to a decrease of $17.4 million from the financing arrangement discussed in Note 12 in the Company's Notes to the Consolidated Financial Statements offset in part by increases of $3.3 million from the Same Centers and $2.0 million from higher interest rates and outstanding balances on the Company's revolving line of credit. The decrease in interest expense from the financing arrangement is primarily due to the change in fair value of the underlying properties and the mortgage notes payable on the underlying properties.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60"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Equity in loss of unconsolidated joint ventures increased $32.7 million from 2022 to 2023. The increase in equity in loss of unconsolidated joint ventures is primarily due to the write-down of assets as a result of the reduction in the estimated holding period in a joint venture.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Gain on Sale or Write Down of Assets, net: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Gain on sale or write down of assets, net decreased $2.7 million from 2022 to 2023. The decrease is primarily due to fewer land sales in 2023.</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decreased $20.8 million from 2022 to 2023. The decrease in net loss is primarily due to the variances noted above.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60"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21.0% from $112.4 million in 2022 to $88.7 million in 2023. For a reconciliation of net loss attributable to the Company, the most directly comparable GAAP financial measure, to FFO attributable to common stockholders and unit holders— diluted, and FFO attributable to common stockholders and unit holders, excluding financing expense in connection with Chandler Freehold—diluted, see "Funds From Operations ("FFO")" below.</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increased $15.3 million from 2022 to 2023. The increase is primarily due to the changes in assets and liabilities and the results, as discussed above.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increased $71.2 million from 2022 to 2023. The increase in cash provided by investing activities is primarily attributed to an increase in distributions from unconsolidated joint ventures of $122.1 million offset in part by decreases in proceeds from the sale of assets of $21.1 million and proceeds from collection of receivable in connection with sale of joint venture property of $21.0 million. The increase in distributions from unconsolidated joint ventures is primarily due to the distribution of net loan proceeds from the Scottsdale Fashion Square refinance (See “—Financing Activities” in Management’s Overview and Summary).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$79.1 million from 2022 to 2023. The increase in cash used in financing activities is primarily due to the increase in payments on mortgages, bank and other notes payable of $115.4 million offset by proceeds received from proceeds from mortgages, bank and other notes payable of $50.0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comparable to 2022. The Company expects to incur approximately $160.0 million during 2023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6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For example, the Company sold The Marketplace at Flagstaff in Flagstaff, Arizona on May 2, 2023 and sold Paradise Valley Mall in Phoenix, Arizona and Tucson La Encantada in Tucson, Arizona during the year ended December 31, 2021. The Company used the proceeds from these sales to pay down its line of credit and other debt obligations. During the year ended December 31, 2022 and three months ended March 31, 2023, the Company and certain joint venture partners sold various land parcels in separate transactions for aggregate proceeds of $63.3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each of February 1, 2021 and March 26, 2021, the Company registered a separate "at the market" offering program, pursuant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issue and sell shares of its common stock having an aggregate offering price of up to $500 million under each ATM Program, or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billion under the ATM Programs, in amounts and at times to be determined by the Company. The February 2021 ATM Program was fully utilized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and is no longer active. During the three months ended March 31, 2023, no shares were issued under the March 2021 ATM Program.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the Company had approximately $151.7 million of gross sales of its common stock available under the March 2021 ATM Program.</w:t>
      </w:r>
    </w:p>
    <w:p>
      <w:pPr>
        <w:spacing w:after="0" w:line="13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 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duration of any such impact is unknown.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March 31, 2023 was $6.84 billion (consisting of $4.28 billion of consolidated debt, less $0.40 billion of noncontrolling interests, plus $2.96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Towne Mall (See “—Financing Activities” in Management’s Overview and Summary).</w:t>
      </w:r>
    </w:p>
    <w:p>
      <w:pPr>
        <w:spacing w:after="0" w:line="102"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0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Additionally, as of March 31, 2023, the Company was contingently liable for $40.9 million in letters of credit guaranteeing performance by the Company of certain obligations relating to the Centers. As of March 31, 2023, $40.7 million of these letters of credit were secured by restricted cash. The Company does not believe that these letters of credit will result in a liability to the Company.</w:t>
      </w:r>
    </w:p>
    <w:p>
      <w:pPr>
        <w:spacing w:after="0" w:line="95"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make substantial progress addressing its near-term, non-recourse loan maturities, with five completed transactions since the start of the fourth quarter of 2022 totaling over $2.0 billion, or approximately $1.4 billion at the Company’s pro rata share. For additional information on the Company’s financing transactions in the year ended 2022 through the date of this Quarterly Report on Form 10-Q, see “Financing Activities” in Management’s Overview and Summary.</w:t>
      </w:r>
    </w:p>
    <w:p>
      <w:pPr>
        <w:spacing w:after="0" w:line="11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has a $525 million revolving loan facility that matures on April 14, 2024. The revolving 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Company’s overall leverage level. On March 22, 2023, the Company executed the one-year extension option to April 14, 2024. Additionally, effective March 13, 2023, the credit facility converted from LIBOR to 1-month Term SOFR with an applicable benchmark replacement adjustment. As of March 31, 2023, the borrowing rate was SOFR plus a spread of 2.25%. As of March 31, 2023, borrowings under the credit facility were $78.0 million less unamortized deferred finance costs of $6.3 million for the revolving loan facility at a total interest rate of 8.35%. As of March 31, 2023, the Company’s availability under the revolving loan facility for additional borrowings was $446.8 million.</w:t>
      </w:r>
    </w:p>
    <w:p>
      <w:pPr>
        <w:spacing w:after="0" w:line="12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Cash dividends and distributions for the three months ended March 31, 2023 were $41.8 million (including distributions from consolidated joint ventures of $3.2 million), which were funded by operations.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2023, the Company was in compliance with all applicable loan covenants under its agreements.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2023, the Company had cash and cash equivalents of $112.2 million.</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16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March 31, 2023 for the consolidated Centers over the periods in which they are expected to be paid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37"/>
              <w:spacing w:after="0" w:line="129"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7"/>
                <w:szCs w:val="17"/>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2"/>
        </w:trPr>
        <w:tc>
          <w:tcPr>
            <w:tcW w:w="35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5,061,807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540,145</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1,654,952</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109,158</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1,764,110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March 31, 2023.</w:t>
      </w:r>
    </w:p>
    <w:p>
      <w:pPr>
        <w:spacing w:after="0" w:line="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ectPr>
          <w:pgSz w:w="11900" w:h="16838" w:orient="portrait"/>
          <w:cols w:equalWidth="0" w:num="1">
            <w:col w:w="10800"/>
          </w:cols>
          <w:pgMar w:left="320" w:top="11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48"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w:t>
      </w:r>
    </w:p>
    <w:p>
      <w:pPr>
        <w:spacing w:after="0" w:line="144"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24"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10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reconciles net loss attributable to the Company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attributable to common stockholders and unit holders-basic and diluted, excluding financing expense in connection with Chandler Freehold for the three months ended March 31, 2023 and 2022 (dollars and shares in thousands):</w:t>
      </w:r>
    </w:p>
    <w:p>
      <w:pPr>
        <w:spacing w:after="0" w:line="129"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(37,182)</w:t>
            </w:r>
          </w:p>
        </w:tc>
        <w:tc>
          <w:tcPr>
            <w:tcW w:w="0" w:type="dxa"/>
            <w:vAlign w:val="bottom"/>
          </w:tcPr>
          <w:p>
            <w:pPr>
              <w:spacing w:after="0"/>
              <w:rPr>
                <w:sz w:val="1"/>
                <w:szCs w:val="1"/>
                <w:color w:val="auto"/>
              </w:rPr>
            </w:pPr>
          </w:p>
        </w:tc>
      </w:tr>
      <w:tr>
        <w:trPr>
          <w:trHeight w:val="162"/>
        </w:trPr>
        <w:tc>
          <w:tcPr>
            <w:tcW w:w="6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 FFO attributable to</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stockholders and unit holders—basic and 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or write down of assets, net—consolidated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w:t>
            </w:r>
          </w:p>
        </w:tc>
        <w:tc>
          <w:tcPr>
            <w:tcW w:w="0" w:type="dxa"/>
            <w:vAlign w:val="bottom"/>
          </w:tcPr>
          <w:p>
            <w:pPr>
              <w:spacing w:after="0"/>
              <w:rPr>
                <w:sz w:val="1"/>
                <w:szCs w:val="1"/>
                <w:color w:val="auto"/>
              </w:rPr>
            </w:pPr>
          </w:p>
        </w:tc>
      </w:tr>
      <w:tr>
        <w:trPr>
          <w:trHeight w:val="165"/>
        </w:trPr>
        <w:tc>
          <w:tcPr>
            <w:tcW w:w="63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share of gain of undepreciated assets—consolidated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write-down of non-real estate assets—consolidated assets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29,827</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assets—unconsolidated joint ventures(1)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72,856</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44,401</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104,866</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0" w:type="dxa"/>
            <w:vAlign w:val="bottom"/>
          </w:tcPr>
          <w:p>
            <w:pPr>
              <w:spacing w:after="0"/>
              <w:rPr>
                <w:sz w:val="1"/>
                <w:szCs w:val="1"/>
                <w:color w:val="auto"/>
              </w:rPr>
            </w:pPr>
          </w:p>
        </w:tc>
      </w:tr>
      <w:tr>
        <w:trPr>
          <w:trHeight w:val="145"/>
        </w:trPr>
        <w:tc>
          <w:tcPr>
            <w:tcW w:w="63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112,371</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223,501</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224,271</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223,501</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53" w:lineRule="exact"/>
        <w:rPr>
          <w:rFonts w:ascii="Times New Roman" w:cs="Times New Roman" w:eastAsia="Times New Roman" w:hAnsi="Times New Roman"/>
          <w:sz w:val="16"/>
          <w:szCs w:val="16"/>
          <w:color w:val="auto"/>
        </w:rPr>
      </w:pPr>
    </w:p>
    <w:p>
      <w:pPr>
        <w:ind w:left="420" w:right="360" w:hanging="412"/>
        <w:spacing w:after="0" w:line="280" w:lineRule="auto"/>
        <w:tabs>
          <w:tab w:leader="none" w:pos="40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9.0 million and 8.7 million of OP Units outstanding for the three months ended March 31, 2023 and 2022, respectively.</w:t>
      </w:r>
    </w:p>
    <w:p>
      <w:pPr>
        <w:spacing w:after="0" w:line="97" w:lineRule="exact"/>
        <w:rPr>
          <w:rFonts w:ascii="Times New Roman" w:cs="Times New Roman" w:eastAsia="Times New Roman" w:hAnsi="Times New Roman"/>
          <w:sz w:val="16"/>
          <w:szCs w:val="16"/>
          <w:color w:val="auto"/>
        </w:rPr>
      </w:pPr>
    </w:p>
    <w:p>
      <w:pPr>
        <w:ind w:left="420" w:right="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8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as of March 31, 2023 concerning the Company's long-term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twelve months ending March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276,242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1,129,704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219,286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326,052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373,457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1,525,702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3,850,443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3,488,241</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78,320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456,320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443,762</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354,562</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1,207,704</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519,286</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326,052</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373,457</w:t>
            </w:r>
          </w:p>
        </w:tc>
        <w:tc>
          <w:tcPr>
            <w:tcW w:w="12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1,525,702</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4,306,763</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3,932,003</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8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UNCONSOLIDATED</w:t>
            </w: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127,763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665,071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946,006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451,062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2,878,272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2,705,922</w:t>
            </w: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80,295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89,477</w:t>
            </w:r>
          </w:p>
        </w:tc>
        <w:tc>
          <w:tcPr>
            <w:tcW w:w="0" w:type="dxa"/>
            <w:vAlign w:val="bottom"/>
          </w:tcPr>
          <w:p>
            <w:pPr>
              <w:spacing w:after="0"/>
              <w:rPr>
                <w:sz w:val="1"/>
                <w:szCs w:val="1"/>
                <w:color w:val="auto"/>
              </w:rPr>
            </w:pPr>
          </w:p>
        </w:tc>
      </w:tr>
      <w:tr>
        <w:trPr>
          <w:trHeight w:val="196"/>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472,217</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208,058</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227,653</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665,071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946,144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451,062</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2,970,205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2,795,399</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20" w:right="180" w:hanging="412"/>
        <w:spacing w:after="0" w:line="272" w:lineRule="auto"/>
        <w:tabs>
          <w:tab w:leader="none" w:pos="40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 (See “—Financing Activities” in Management’s Overview and Summary).</w:t>
      </w:r>
    </w:p>
    <w:p>
      <w:pPr>
        <w:spacing w:after="0" w:line="9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March 31, 2023 and December 31, 2022 was $3.9 billion and $3.7 billion, respectively. The average interest rate on the fixed rate debt at March 31, 2023 and December 31, 2022 was 4.22% and 4.01%, respectively. The Consolidated Centers' total floating rate debt at March 31, 2023 and December 31, 2022 was $456.3 million and $700.7 million, respectively. The average interest rate on the floating rate debt at March 31, 2023 and December 31, 2022 was 6.69% and 6.53%, respectively.</w:t>
      </w:r>
    </w:p>
    <w:p>
      <w:pPr>
        <w:spacing w:after="0" w:line="11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March 31, 2023 and December 31, 2022 was $2.9 billion and $2.7 billion, respectively. The average interest rate on the fixed rate debt at March 31, 2023 and December 31, 2022 was 4.77% and 4.46%, respectively. The Company's pro rata share of the unconsolidated joint venture Centers' floating rate debt at March 31, 2023 and December 31, 2022 was $91.9 million and $90.7 million, respectively. The average interest rate on the floating rate debt at March 31, 2023 and December 31, 2022 was 6.31% and 5.81%, respectively.</w:t>
      </w:r>
    </w:p>
    <w:p>
      <w:pPr>
        <w:spacing w:after="0" w:line="10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2023, the Company has interest rate cap agreements in place (See Note 4—Investments in Unconsolidated Joint Ventures and Note 5— Derivative Instruments and Hedging Activities in the Company's Notes to the Consolidated Financial Statements). The respective loans each require an interest rate cap agreement to be in place at all times, which limits how high the prevailing floating loan rate index (i.e., LIBOR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or SOFR) for the loans can rise. As of the date of this Quarterly Report on Form 10-Q, LIBOR/SOFR for each of these loans exceeded the strike interest rate (the "Strike Rate") within the required interest rate cap agreement. If LIBOR/SOFR does exceed the Strike Rate, each of these loans would then be considered fixed rate debt. If LIBOR/SOFR for these respective loans thereafter no longer exceeds the Strike Rate, then these loans would once again be considered floating rate debt.</w:t>
      </w:r>
    </w:p>
    <w:p>
      <w:pPr>
        <w:spacing w:after="0" w:line="9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$5.5 million per year based on $548.3 million of floating rate debt outstanding at March 31, 2023.</w:t>
      </w:r>
    </w:p>
    <w:p>
      <w:pPr>
        <w:spacing w:after="0" w:line="94"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2"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The Company expects that all LIBOR settings relevant to it will cease to be published or will no longer be representative after June 30, 2023. The discontinuation of LIBOR has not affected the Company’s ability to borrow or maintain already outstanding borrowings or hedging transactions. As of March 31, 2023, each of the agreements governing the Company’s variable rate debt has been converted to a SOFR-based interest rate, with the exception of the Santa Monica Place LIBOR-based loan. The Company has not incurred significant costs in completing such conversions to SOFR, nor have the Company’s borrowing costs changed significantly from such conversions. The Company is in the process of converting the Santa Monica Place loan to SOFR, and expects to complete this conversion during the second quarter of 2023. The Company does not expect that the costs of converting the Santa Monica Place loan will be significant, nor does it expect the borrowing costs on this loan to change significantly.</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2023,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24"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4"/>
                <w:szCs w:val="14"/>
                <w:color w:val="auto"/>
              </w:rPr>
            </w:pPr>
          </w:p>
        </w:tc>
        <w:tc>
          <w:tcPr>
            <w:tcW w:w="1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Programs (1)</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2023 to January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2023 to February 28,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2023 to March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220" w:hanging="564"/>
        <w:spacing w:after="0" w:line="280" w:lineRule="auto"/>
        <w:tabs>
          <w:tab w:leader="none" w:pos="1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 w:lineRule="exact"/>
        <w:rPr>
          <w:sz w:val="20"/>
          <w:szCs w:val="20"/>
          <w:color w:val="auto"/>
        </w:rPr>
      </w:pPr>
    </w:p>
    <w:p>
      <w:pPr>
        <w:ind w:left="1140" w:hanging="36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55">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LP, 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9" w:lineRule="exact"/>
        <w:rPr>
          <w:rFonts w:ascii="Times New Roman" w:cs="Times New Roman" w:eastAsia="Times New Roman" w:hAnsi="Times New Roman"/>
          <w:sz w:val="18"/>
          <w:szCs w:val="18"/>
          <w:u w:val="single" w:color="auto"/>
          <w:color w:val="0000FF"/>
        </w:rPr>
      </w:pPr>
    </w:p>
    <w:p>
      <w:pPr>
        <w:ind w:left="1140" w:right="20" w:hanging="368"/>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ind w:left="620"/>
        <w:spacing w:after="0"/>
        <w:tabs>
          <w:tab w:leader="none" w:pos="1120" w:val="left"/>
        </w:tabs>
        <w:rPr>
          <w:rFonts w:ascii="Times New Roman" w:cs="Times New Roman" w:eastAsia="Times New Roman" w:hAnsi="Times New Roman"/>
          <w:sz w:val="17"/>
          <w:szCs w:val="17"/>
          <w:u w:val="single" w:color="auto"/>
          <w:color w:val="0000FF"/>
        </w:rPr>
      </w:pPr>
      <w:hyperlink r:id="rId56">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56">
        <w:r>
          <w:rPr>
            <w:rFonts w:ascii="Times New Roman" w:cs="Times New Roman" w:eastAsia="Times New Roman" w:hAnsi="Times New Roman"/>
            <w:sz w:val="17"/>
            <w:szCs w:val="17"/>
            <w:u w:val="single" w:color="auto"/>
            <w:color w:val="0000FF"/>
          </w:rPr>
          <w:t>Articles Supplementary of the Company (with respect to the first paragraph) (incorporated by reference as an exhibit to the Company's</w:t>
        </w:r>
      </w:hyperlink>
    </w:p>
    <w:p>
      <w:pPr>
        <w:ind w:left="114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1998 Form 10-K).</w:t>
        </w:r>
      </w:hyperlink>
    </w:p>
    <w:p>
      <w:pPr>
        <w:spacing w:after="0" w:line="16" w:lineRule="exact"/>
        <w:rPr>
          <w:sz w:val="20"/>
          <w:szCs w:val="20"/>
          <w:color w:val="auto"/>
        </w:rPr>
      </w:pPr>
    </w:p>
    <w:p>
      <w:pPr>
        <w:ind w:left="1140" w:right="4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57">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Report on Form 8-K, event date July 26, 2002).</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58">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amended (No. 333-88718)).</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59">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Form 10-K).</w:t>
        </w:r>
      </w:hyperlink>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60">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date February 5, 2009).</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61">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10" w:lineRule="exact"/>
        <w:rPr>
          <w:rFonts w:ascii="Times New Roman" w:cs="Times New Roman" w:eastAsia="Times New Roman" w:hAnsi="Times New Roman"/>
          <w:sz w:val="18"/>
          <w:szCs w:val="18"/>
          <w:u w:val="single" w:color="auto"/>
          <w:color w:val="0000FF"/>
        </w:rPr>
      </w:pPr>
    </w:p>
    <w:p>
      <w:pPr>
        <w:jc w:val="center"/>
        <w:ind w:left="880" w:right="60"/>
        <w:spacing w:after="0" w:line="237"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Article NINTH) (incorporated by reference as an exhibit to the Company’s Current Report on Form 8-K, event date May 30, 2014).</w:t>
        </w:r>
      </w:hyperlink>
    </w:p>
    <w:p>
      <w:pPr>
        <w:spacing w:after="0" w:line="10" w:lineRule="exact"/>
        <w:rPr>
          <w:sz w:val="20"/>
          <w:szCs w:val="20"/>
          <w:color w:val="auto"/>
        </w:rPr>
      </w:pPr>
    </w:p>
    <w:p>
      <w:pPr>
        <w:ind w:left="1140" w:right="1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by reference as an exhibit to the Company’s Current Report on Form 8-K, event date March 17,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Report on Form 8-K, event date March 18,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60" w:hanging="586"/>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67">
        <w:r>
          <w:rPr>
            <w:rFonts w:ascii="Times New Roman" w:cs="Times New Roman" w:eastAsia="Times New Roman" w:hAnsi="Times New Roman"/>
            <w:sz w:val="18"/>
            <w:szCs w:val="18"/>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provisions)) (incorporated by reference as an exhibit to the Company’s Current Report on Form 8-K, event date April 24, 2019).</w:t>
        </w:r>
      </w:hyperlink>
    </w:p>
    <w:p>
      <w:pPr>
        <w:spacing w:after="0" w:line="10" w:lineRule="exact"/>
        <w:rPr>
          <w:rFonts w:ascii="Times New Roman" w:cs="Times New Roman" w:eastAsia="Times New Roman" w:hAnsi="Times New Roman"/>
          <w:sz w:val="18"/>
          <w:szCs w:val="18"/>
          <w:u w:val="single" w:color="auto"/>
          <w:color w:val="0000FF"/>
        </w:rPr>
      </w:pPr>
    </w:p>
    <w:p>
      <w:pPr>
        <w:ind w:left="1140" w:right="2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Report on Form 8-K, event date May 28, 2021).</w:t>
        </w:r>
      </w:hyperlink>
    </w:p>
    <w:p>
      <w:pPr>
        <w:spacing w:after="0" w:line="10" w:lineRule="exact"/>
        <w:rPr>
          <w:rFonts w:ascii="Times New Roman" w:cs="Times New Roman" w:eastAsia="Times New Roman" w:hAnsi="Times New Roman"/>
          <w:sz w:val="18"/>
          <w:szCs w:val="18"/>
          <w:u w:val="single" w:color="auto"/>
          <w:color w:val="0000FF"/>
        </w:rPr>
      </w:pPr>
    </w:p>
    <w:p>
      <w:pPr>
        <w:ind w:left="1140" w:right="220" w:hanging="36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event date January 26, 2023).</w:t>
        </w:r>
      </w:hyperlink>
    </w:p>
    <w:p>
      <w:pPr>
        <w:spacing w:after="0" w:line="10" w:lineRule="exact"/>
        <w:rPr>
          <w:rFonts w:ascii="Times New Roman" w:cs="Times New Roman" w:eastAsia="Times New Roman" w:hAnsi="Times New Roman"/>
          <w:sz w:val="18"/>
          <w:szCs w:val="18"/>
          <w:u w:val="single" w:color="auto"/>
          <w:color w:val="0000FF"/>
        </w:rPr>
      </w:pPr>
    </w:p>
    <w:p>
      <w:pPr>
        <w:ind w:left="1140" w:hanging="54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Eligible Directors' Deferred Compensation/Phantom Stock Plan (as amended and restated as of January 1, 2023) (incorporated by reference</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as an exhibit to the Company's Annual Report on Form 10-K for the year ended December 31, 2022).</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2"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0000FF"/>
              </w:rPr>
              <w:t>Table of Contents</w:t>
            </w:r>
          </w:p>
        </w:tc>
        <w:tc>
          <w:tcPr>
            <w:tcW w:w="8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00" w:type="dxa"/>
            <w:vAlign w:val="bottom"/>
            <w:gridSpan w:val="4"/>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Pr>
          <w:p>
            <w:pPr>
              <w:spacing w:after="0"/>
              <w:rPr>
                <w:sz w:val="16"/>
                <w:szCs w:val="16"/>
                <w:color w:val="auto"/>
              </w:rPr>
            </w:pPr>
          </w:p>
        </w:tc>
        <w:tc>
          <w:tcPr>
            <w:tcW w:w="4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0000FF"/>
              </w:rPr>
              <w:t>Section 302</w:t>
            </w:r>
          </w:p>
        </w:tc>
        <w:tc>
          <w:tcPr>
            <w:tcW w:w="4500" w:type="dxa"/>
            <w:vAlign w:val="bottom"/>
            <w:gridSpan w:val="4"/>
          </w:tcPr>
          <w:p>
            <w:pPr>
              <w:ind w:left="20"/>
              <w:spacing w:after="0" w:line="199" w:lineRule="exact"/>
              <w:rPr>
                <w:sz w:val="20"/>
                <w:szCs w:val="20"/>
                <w:color w:val="auto"/>
              </w:rPr>
            </w:pPr>
            <w:r>
              <w:rPr>
                <w:rFonts w:ascii="Times New Roman" w:cs="Times New Roman" w:eastAsia="Times New Roman" w:hAnsi="Times New Roman"/>
                <w:sz w:val="18"/>
                <w:szCs w:val="18"/>
                <w:color w:val="0000FF"/>
              </w:rPr>
              <w:t>Certification of Thomas O'Hern, Chief Executive Officer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Scott Kingsmore, Chief Financial Officer</w:t>
            </w:r>
          </w:p>
        </w:tc>
        <w:tc>
          <w:tcPr>
            <w:tcW w:w="0" w:type="dxa"/>
            <w:vAlign w:val="bottom"/>
          </w:tcPr>
          <w:p>
            <w:pPr>
              <w:spacing w:after="0"/>
              <w:rPr>
                <w:sz w:val="1"/>
                <w:szCs w:val="1"/>
                <w:color w:val="auto"/>
              </w:rPr>
            </w:pPr>
          </w:p>
        </w:tc>
      </w:tr>
      <w:tr>
        <w:trPr>
          <w:trHeight w:val="209"/>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906</w:t>
            </w:r>
          </w:p>
        </w:tc>
        <w:tc>
          <w:tcPr>
            <w:tcW w:w="414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Certifications of Thomas O'Hern and Scott Kingsmore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firstLine="719"/>
        <w:spacing w:after="0" w:line="623" w:lineRule="auto"/>
        <w:tabs>
          <w:tab w:leader="none" w:pos="11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right="1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W. KINGSMORE</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W. Kingsmore</w:t>
            </w:r>
          </w:p>
        </w:tc>
      </w:tr>
      <w:tr>
        <w:trPr>
          <w:trHeight w:val="230"/>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Executive Vice President, Treasurer and Chief Financial Officer</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2023</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00"/>
          </w:cols>
          <w:pgMar w:left="320" w:top="118" w:right="6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2023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811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2023</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2023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1889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2023</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27" w:lineRule="exact"/>
        <w:rPr>
          <w:sz w:val="20"/>
          <w:szCs w:val="20"/>
          <w:color w:val="auto"/>
        </w:rPr>
      </w:pPr>
    </w:p>
    <w:p>
      <w:pPr>
        <w:ind w:left="980" w:right="980" w:hanging="324"/>
        <w:spacing w:after="0" w:line="282" w:lineRule="auto"/>
        <w:tabs>
          <w:tab w:leader="none" w:pos="9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2023 of the Company (the "Report") fully complies with the requirements of Section 13(a) and 15(d) of the Securities Exchange Act of 1934, as amended; and</w:t>
      </w:r>
    </w:p>
    <w:p>
      <w:pPr>
        <w:spacing w:after="0" w:line="4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lvl w:ilvl="1">
      <w:lvlJc w:val="left"/>
      <w:lvlText w:val="(%2)"/>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2)"/>
      <w:numFmt w:val="decimal"/>
      <w:start w:val="1"/>
    </w:lvl>
  </w:abstractNum>
  <w:abstractNum w:abstractNumId="8">
    <w:nsid w:val="41A7C4C9"/>
    <w:multiLevelType w:val="hybridMultilevel"/>
    <w:lvl w:ilvl="0">
      <w:lvlJc w:val="left"/>
      <w:lvlText w:val="%1."/>
      <w:numFmt w:val="decimal"/>
      <w:start w:val="10"/>
    </w:lvl>
    <w:lvl w:ilvl="1">
      <w:lvlJc w:val="left"/>
      <w:lvlText w:val="%2"/>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0"/>
    </w:lvl>
    <w:lvl w:ilvl="1">
      <w:lvlJc w:val="left"/>
      <w:lvlText w:val="(%2)"/>
      <w:numFmt w:val="decimal"/>
      <w:start w:val="3"/>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lvl w:ilvl="1">
      <w:lvlJc w:val="left"/>
      <w:lvlText w:val="%2"/>
      <w:numFmt w:val="decimal"/>
      <w:start w:val="104"/>
    </w:lvl>
  </w:abstractNum>
  <w:abstractNum w:abstractNumId="18">
    <w:nsid w:val="436C6125"/>
    <w:multiLevelType w:val="hybridMultilevel"/>
    <w:lvl w:ilvl="0">
      <w:lvlJc w:val="left"/>
      <w:lvlText w:val="**"/>
      <w:numFmt w:val="bullet"/>
      <w:start w:val="1"/>
    </w:lvl>
    <w:lvl w:ilvl="1">
      <w:lvlJc w:val="left"/>
      <w:lvlText w:val="%2"/>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55" Type="http://schemas.openxmlformats.org/officeDocument/2006/relationships/hyperlink" Target="http://www.sec.gov/Archives/edgar/data/912242/000110465914081468/a14-24669_1ex2d1.htm" TargetMode="External"/><Relationship Id="rId56" Type="http://schemas.openxmlformats.org/officeDocument/2006/relationships/hyperlink" Target="http://www.sec.gov/Archives/edgar/data/912242/0001047469-99-012492.txt" TargetMode="External"/><Relationship Id="rId57" Type="http://schemas.openxmlformats.org/officeDocument/2006/relationships/hyperlink" Target="http://www.sec.gov/Archives/edgar/data/912242/000091205702030706/a2086079zex-3_1.htm" TargetMode="External"/><Relationship Id="rId58" Type="http://schemas.openxmlformats.org/officeDocument/2006/relationships/hyperlink" Target="http://www.sec.gov/Archives/edgar/data/912242/000091205702021417/a2080342zex-4_6.htm" TargetMode="External"/><Relationship Id="rId59" Type="http://schemas.openxmlformats.org/officeDocument/2006/relationships/hyperlink" Target="http://www.sec.gov/Archives/edgar/data/912242/000104746909001981/a2189901zex-3_15.htm" TargetMode="External"/><Relationship Id="rId60" Type="http://schemas.openxmlformats.org/officeDocument/2006/relationships/hyperlink" Target="http://www.sec.gov/Archives/edgar/data/912242/000110465909008348/a09-5253_1ex3d1.htm" TargetMode="External"/><Relationship Id="rId61" Type="http://schemas.openxmlformats.org/officeDocument/2006/relationships/hyperlink" Target="http://www.sec.gov/Archives/edgar/data/912242/000104746909007391/a2193924zex-3_17.htm" TargetMode="External"/><Relationship Id="rId62" Type="http://schemas.openxmlformats.org/officeDocument/2006/relationships/hyperlink" Target="http://www.sec.gov/Archives/edgar/data/912242/000110465914043330/a14-14485_1ex3d1.htm" TargetMode="External"/><Relationship Id="rId63" Type="http://schemas.openxmlformats.org/officeDocument/2006/relationships/hyperlink" Target="http://www.sec.gov/Archives/edgar/data/912242/000110465915020412/a15-6870_1ex3d1.htm" TargetMode="External"/><Relationship Id="rId64" Type="http://schemas.openxmlformats.org/officeDocument/2006/relationships/hyperlink" Target="http://www.sec.gov/Archives/edgar/data/912242/000110465915020810/a15-6873_1ex3d1.htm" TargetMode="External"/><Relationship Id="rId65" Type="http://schemas.openxmlformats.org/officeDocument/2006/relationships/hyperlink" Target="http://www.sec.gov/Archives/edgar/data/912242/000110465915037228/a15-11185_1ex3d1.htm" TargetMode="External"/><Relationship Id="rId66" Type="http://schemas.openxmlformats.org/officeDocument/2006/relationships/hyperlink" Target="http://www.sec.gov/Archives/edgar/data/912242/000110465915042631/a15-13305_1ex3d1.htm" TargetMode="External"/><Relationship Id="rId67" Type="http://schemas.openxmlformats.org/officeDocument/2006/relationships/hyperlink" Target="http://www.sec.gov/Archives/edgar/data/912242/000119312519129272/d731295dex31.htm" TargetMode="External"/><Relationship Id="rId68" Type="http://schemas.openxmlformats.org/officeDocument/2006/relationships/hyperlink" Target="https://www.sec.gov/Archives/edgar/data/912242/000119312521182973/d417870dex31.htm" TargetMode="External"/><Relationship Id="rId69" Type="http://schemas.openxmlformats.org/officeDocument/2006/relationships/hyperlink" Target="http://www.sec.gov/Archives/edgar/data/912242/000119312519129272/d731295dex32.htm" TargetMode="External"/><Relationship Id="rId70" Type="http://schemas.openxmlformats.org/officeDocument/2006/relationships/hyperlink" Target="https://www.sec.gov/Archives/edgar/data/912242/000091224223000007/mac-20221231x10k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2023-05-08T09:09:33Z</dcterms:created>
  <dcterms:modified xsi:type="dcterms:W3CDTF">2023-05-08T09:09:33Z</dcterms:modified>
</cp:coreProperties>
</file>