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139065</wp:posOffset>
            </wp:positionH>
            <wp:positionV relativeFrom="page">
              <wp:posOffset>139065</wp:posOffset>
            </wp:positionV>
            <wp:extent cx="72828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4127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x QUARTERLY REPORT PURSUANT TO SECTION 13 OR 15(d) OF THE SECURITIES EXCHANGE ACT OF 1934</w:t>
      </w:r>
    </w:p>
    <w:p>
      <w:pPr>
        <w:spacing w:after="0" w:line="24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2019</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TRANSITION REPORT PURSUANT TO SECTION 13 OR 15(d) OF THE SECURITIES EXCHANGE ACT OF 1934</w:t>
      </w:r>
    </w:p>
    <w:p>
      <w:pPr>
        <w:spacing w:after="0" w:line="24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color w:val="auto"/>
        </w:rPr>
        <w:t xml:space="preserve">For the transition period from ___________ to </w:t>
      </w:r>
      <w:r>
        <w:rPr>
          <w:rFonts w:ascii="Times New Roman" w:cs="Times New Roman" w:eastAsia="Times New Roman" w:hAnsi="Times New Roman"/>
          <w:sz w:val="17"/>
          <w:szCs w:val="17"/>
          <w:b w:val="1"/>
          <w:bCs w:val="1"/>
          <w:color w:val="auto"/>
        </w:rPr>
        <w:t>___________</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No. 1-12504</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THE MACERICH COMPANY</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59" w:lineRule="exact"/>
        <w:rPr>
          <w:sz w:val="24"/>
          <w:szCs w:val="24"/>
          <w:color w:val="auto"/>
        </w:rPr>
      </w:pPr>
    </w:p>
    <w:tbl>
      <w:tblPr>
        <w:tblLayout w:type="fixed"/>
        <w:tblInd w:w="880" w:type="dxa"/>
        <w:tblCellMar>
          <w:top w:w="0" w:type="dxa"/>
          <w:left w:w="0" w:type="dxa"/>
          <w:bottom w:w="0" w:type="dxa"/>
          <w:right w:w="0" w:type="dxa"/>
        </w:tblCellMar>
      </w:tblPr>
      <w:tr>
        <w:trPr>
          <w:trHeight w:val="197"/>
        </w:trPr>
        <w:tc>
          <w:tcPr>
            <w:tcW w:w="6440" w:type="dxa"/>
            <w:vAlign w:val="bottom"/>
          </w:tcPr>
          <w:p>
            <w:pPr>
              <w:jc w:val="center"/>
              <w:ind w:right="2525"/>
              <w:spacing w:after="0"/>
              <w:rPr>
                <w:sz w:val="20"/>
                <w:szCs w:val="20"/>
                <w:color w:val="auto"/>
              </w:rPr>
            </w:pPr>
            <w:r>
              <w:rPr>
                <w:rFonts w:ascii="Times New Roman" w:cs="Times New Roman" w:eastAsia="Times New Roman" w:hAnsi="Times New Roman"/>
                <w:sz w:val="15"/>
                <w:szCs w:val="15"/>
                <w:b w:val="1"/>
                <w:bCs w:val="1"/>
                <w:color w:val="auto"/>
                <w:w w:val="98"/>
              </w:rPr>
              <w:t>MARYLAND</w:t>
            </w:r>
          </w:p>
        </w:tc>
        <w:tc>
          <w:tcPr>
            <w:tcW w:w="2460" w:type="dxa"/>
            <w:vAlign w:val="bottom"/>
          </w:tcPr>
          <w:p>
            <w:pPr>
              <w:jc w:val="right"/>
              <w:ind w:right="765"/>
              <w:spacing w:after="0"/>
              <w:rPr>
                <w:sz w:val="20"/>
                <w:szCs w:val="20"/>
                <w:color w:val="auto"/>
              </w:rPr>
            </w:pPr>
            <w:r>
              <w:rPr>
                <w:rFonts w:ascii="Times New Roman" w:cs="Times New Roman" w:eastAsia="Times New Roman" w:hAnsi="Times New Roman"/>
                <w:sz w:val="15"/>
                <w:szCs w:val="15"/>
                <w:b w:val="1"/>
                <w:bCs w:val="1"/>
                <w:color w:val="auto"/>
              </w:rPr>
              <w:t>95-4448705</w:t>
            </w:r>
          </w:p>
        </w:tc>
      </w:tr>
      <w:tr>
        <w:trPr>
          <w:trHeight w:val="242"/>
        </w:trPr>
        <w:tc>
          <w:tcPr>
            <w:tcW w:w="6440" w:type="dxa"/>
            <w:vAlign w:val="bottom"/>
          </w:tcPr>
          <w:p>
            <w:pPr>
              <w:jc w:val="center"/>
              <w:ind w:right="2525"/>
              <w:spacing w:after="0"/>
              <w:rPr>
                <w:sz w:val="20"/>
                <w:szCs w:val="20"/>
                <w:color w:val="auto"/>
              </w:rPr>
            </w:pPr>
            <w:r>
              <w:rPr>
                <w:rFonts w:ascii="Times New Roman" w:cs="Times New Roman" w:eastAsia="Times New Roman" w:hAnsi="Times New Roman"/>
                <w:sz w:val="15"/>
                <w:szCs w:val="15"/>
                <w:color w:val="auto"/>
                <w:w w:val="98"/>
              </w:rPr>
              <w:t>(State or other jurisdiction of</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(I.R.S. Employer Identification Number)</w:t>
            </w:r>
          </w:p>
        </w:tc>
      </w:tr>
      <w:tr>
        <w:trPr>
          <w:trHeight w:val="193"/>
        </w:trPr>
        <w:tc>
          <w:tcPr>
            <w:tcW w:w="6440" w:type="dxa"/>
            <w:vAlign w:val="bottom"/>
          </w:tcPr>
          <w:p>
            <w:pPr>
              <w:jc w:val="center"/>
              <w:ind w:right="2525"/>
              <w:spacing w:after="0"/>
              <w:rPr>
                <w:sz w:val="20"/>
                <w:szCs w:val="20"/>
                <w:color w:val="auto"/>
              </w:rPr>
            </w:pPr>
            <w:r>
              <w:rPr>
                <w:rFonts w:ascii="Times New Roman" w:cs="Times New Roman" w:eastAsia="Times New Roman" w:hAnsi="Times New Roman"/>
                <w:sz w:val="15"/>
                <w:szCs w:val="15"/>
                <w:color w:val="auto"/>
                <w:w w:val="99"/>
              </w:rPr>
              <w:t>incorporation or organization)</w:t>
            </w:r>
          </w:p>
        </w:tc>
        <w:tc>
          <w:tcPr>
            <w:tcW w:w="2460" w:type="dxa"/>
            <w:vAlign w:val="bottom"/>
          </w:tcPr>
          <w:p>
            <w:pPr>
              <w:spacing w:after="0"/>
              <w:rPr>
                <w:sz w:val="16"/>
                <w:szCs w:val="16"/>
                <w:color w:val="auto"/>
              </w:rPr>
            </w:pPr>
          </w:p>
        </w:tc>
      </w:tr>
      <w:tr>
        <w:trPr>
          <w:trHeight w:val="248"/>
        </w:trPr>
        <w:tc>
          <w:tcPr>
            <w:tcW w:w="6440" w:type="dxa"/>
            <w:vAlign w:val="bottom"/>
          </w:tcPr>
          <w:p>
            <w:pPr>
              <w:jc w:val="center"/>
              <w:ind w:right="2525"/>
              <w:spacing w:after="0"/>
              <w:rPr>
                <w:sz w:val="20"/>
                <w:szCs w:val="20"/>
                <w:color w:val="auto"/>
              </w:rPr>
            </w:pPr>
            <w:r>
              <w:rPr>
                <w:rFonts w:ascii="Times New Roman" w:cs="Times New Roman" w:eastAsia="Times New Roman" w:hAnsi="Times New Roman"/>
                <w:sz w:val="15"/>
                <w:szCs w:val="15"/>
                <w:b w:val="1"/>
                <w:bCs w:val="1"/>
                <w:color w:val="auto"/>
                <w:w w:val="99"/>
              </w:rPr>
              <w:t>401 Wilshire Boulevard, Suite 700, Santa Monica, California</w:t>
            </w:r>
          </w:p>
        </w:tc>
        <w:tc>
          <w:tcPr>
            <w:tcW w:w="2460" w:type="dxa"/>
            <w:vAlign w:val="bottom"/>
          </w:tcPr>
          <w:p>
            <w:pPr>
              <w:jc w:val="right"/>
              <w:ind w:right="925"/>
              <w:spacing w:after="0"/>
              <w:rPr>
                <w:sz w:val="20"/>
                <w:szCs w:val="20"/>
                <w:color w:val="auto"/>
              </w:rPr>
            </w:pPr>
            <w:r>
              <w:rPr>
                <w:rFonts w:ascii="Times New Roman" w:cs="Times New Roman" w:eastAsia="Times New Roman" w:hAnsi="Times New Roman"/>
                <w:sz w:val="15"/>
                <w:szCs w:val="15"/>
                <w:b w:val="1"/>
                <w:bCs w:val="1"/>
                <w:color w:val="auto"/>
              </w:rPr>
              <w:t>90,401</w:t>
            </w:r>
          </w:p>
        </w:tc>
      </w:tr>
      <w:tr>
        <w:trPr>
          <w:trHeight w:val="248"/>
        </w:trPr>
        <w:tc>
          <w:tcPr>
            <w:tcW w:w="6440" w:type="dxa"/>
            <w:vAlign w:val="bottom"/>
          </w:tcPr>
          <w:p>
            <w:pPr>
              <w:jc w:val="center"/>
              <w:ind w:right="2525"/>
              <w:spacing w:after="0"/>
              <w:rPr>
                <w:sz w:val="20"/>
                <w:szCs w:val="20"/>
                <w:color w:val="auto"/>
              </w:rPr>
            </w:pPr>
            <w:r>
              <w:rPr>
                <w:rFonts w:ascii="Times New Roman" w:cs="Times New Roman" w:eastAsia="Times New Roman" w:hAnsi="Times New Roman"/>
                <w:sz w:val="15"/>
                <w:szCs w:val="15"/>
                <w:color w:val="auto"/>
                <w:w w:val="99"/>
              </w:rPr>
              <w:t>(Address of principal executive office, including zip code)</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(Zip Code)</w:t>
            </w:r>
          </w:p>
        </w:tc>
      </w:tr>
      <w:tr>
        <w:trPr>
          <w:trHeight w:val="230"/>
        </w:trPr>
        <w:tc>
          <w:tcPr>
            <w:tcW w:w="6440" w:type="dxa"/>
            <w:vAlign w:val="bottom"/>
          </w:tcPr>
          <w:p>
            <w:pPr>
              <w:jc w:val="right"/>
              <w:ind w:right="1065"/>
              <w:spacing w:after="0"/>
              <w:rPr>
                <w:sz w:val="20"/>
                <w:szCs w:val="20"/>
                <w:color w:val="auto"/>
              </w:rPr>
            </w:pPr>
            <w:r>
              <w:rPr>
                <w:rFonts w:ascii="Times New Roman" w:cs="Times New Roman" w:eastAsia="Times New Roman" w:hAnsi="Times New Roman"/>
                <w:sz w:val="15"/>
                <w:szCs w:val="15"/>
                <w:b w:val="1"/>
                <w:bCs w:val="1"/>
                <w:color w:val="auto"/>
              </w:rPr>
              <w:t>(310) 394-6000</w:t>
            </w:r>
          </w:p>
        </w:tc>
        <w:tc>
          <w:tcPr>
            <w:tcW w:w="2460" w:type="dxa"/>
            <w:vAlign w:val="bottom"/>
          </w:tcPr>
          <w:p>
            <w:pPr>
              <w:spacing w:after="0"/>
              <w:rPr>
                <w:sz w:val="19"/>
                <w:szCs w:val="19"/>
                <w:color w:val="auto"/>
              </w:rPr>
            </w:pPr>
          </w:p>
        </w:tc>
      </w:tr>
      <w:tr>
        <w:trPr>
          <w:trHeight w:val="193"/>
        </w:trPr>
        <w:tc>
          <w:tcPr>
            <w:tcW w:w="6440" w:type="dxa"/>
            <w:vAlign w:val="bottom"/>
          </w:tcPr>
          <w:p>
            <w:pPr>
              <w:ind w:left="3280"/>
              <w:spacing w:after="0"/>
              <w:rPr>
                <w:sz w:val="20"/>
                <w:szCs w:val="20"/>
                <w:color w:val="auto"/>
              </w:rPr>
            </w:pPr>
            <w:r>
              <w:rPr>
                <w:rFonts w:ascii="Times New Roman" w:cs="Times New Roman" w:eastAsia="Times New Roman" w:hAnsi="Times New Roman"/>
                <w:sz w:val="15"/>
                <w:szCs w:val="15"/>
                <w:color w:val="auto"/>
                <w:w w:val="99"/>
              </w:rPr>
              <w:t>(Registrant's telephone number, including area code)</w:t>
            </w:r>
          </w:p>
        </w:tc>
        <w:tc>
          <w:tcPr>
            <w:tcW w:w="2460" w:type="dxa"/>
            <w:vAlign w:val="bottom"/>
          </w:tcPr>
          <w:p>
            <w:pPr>
              <w:spacing w:after="0"/>
              <w:rPr>
                <w:sz w:val="16"/>
                <w:szCs w:val="16"/>
                <w:color w:val="auto"/>
              </w:rPr>
            </w:pPr>
          </w:p>
        </w:tc>
      </w:tr>
      <w:tr>
        <w:trPr>
          <w:trHeight w:val="236"/>
        </w:trPr>
        <w:tc>
          <w:tcPr>
            <w:tcW w:w="6440" w:type="dxa"/>
            <w:vAlign w:val="bottom"/>
          </w:tcPr>
          <w:p>
            <w:pPr>
              <w:jc w:val="center"/>
              <w:ind w:left="3145"/>
              <w:spacing w:after="0"/>
              <w:rPr>
                <w:sz w:val="20"/>
                <w:szCs w:val="20"/>
                <w:color w:val="auto"/>
              </w:rPr>
            </w:pPr>
            <w:r>
              <w:rPr>
                <w:rFonts w:ascii="Times New Roman" w:cs="Times New Roman" w:eastAsia="Times New Roman" w:hAnsi="Times New Roman"/>
                <w:sz w:val="15"/>
                <w:szCs w:val="15"/>
                <w:b w:val="1"/>
                <w:bCs w:val="1"/>
                <w:color w:val="auto"/>
              </w:rPr>
              <w:t>N/A</w:t>
            </w:r>
          </w:p>
        </w:tc>
        <w:tc>
          <w:tcPr>
            <w:tcW w:w="2460" w:type="dxa"/>
            <w:vAlign w:val="bottom"/>
          </w:tcPr>
          <w:p>
            <w:pPr>
              <w:spacing w:after="0"/>
              <w:rPr>
                <w:sz w:val="20"/>
                <w:szCs w:val="20"/>
                <w:color w:val="auto"/>
              </w:rPr>
            </w:pPr>
          </w:p>
        </w:tc>
      </w:tr>
    </w:tbl>
    <w:p>
      <w:pPr>
        <w:jc w:val="center"/>
        <w:ind w:right="-59"/>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156" w:lineRule="exact"/>
        <w:rPr>
          <w:sz w:val="24"/>
          <w:szCs w:val="24"/>
          <w:color w:val="auto"/>
        </w:rPr>
      </w:pPr>
    </w:p>
    <w:p>
      <w:pPr>
        <w:ind w:right="200" w:firstLine="398"/>
        <w:spacing w:after="0" w:line="30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x NO o</w:t>
      </w:r>
    </w:p>
    <w:p>
      <w:pPr>
        <w:spacing w:after="0" w:line="186" w:lineRule="exact"/>
        <w:rPr>
          <w:sz w:val="24"/>
          <w:szCs w:val="24"/>
          <w:color w:val="auto"/>
        </w:rPr>
      </w:pPr>
    </w:p>
    <w:p>
      <w:pPr>
        <w:ind w:right="400" w:firstLine="398"/>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during the preceding twelve (12) months (or for such shorter period that the registrant was required to submit such files). YES x NO o</w:t>
      </w:r>
    </w:p>
    <w:p>
      <w:pPr>
        <w:spacing w:after="0" w:line="221" w:lineRule="exact"/>
        <w:rPr>
          <w:sz w:val="24"/>
          <w:szCs w:val="24"/>
          <w:color w:val="auto"/>
        </w:rPr>
      </w:pPr>
    </w:p>
    <w:p>
      <w:pPr>
        <w:ind w:right="60" w:firstLine="398"/>
        <w:spacing w:after="0" w:line="30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3" w:lineRule="exact"/>
        <w:rPr>
          <w:sz w:val="24"/>
          <w:szCs w:val="24"/>
          <w:color w:val="auto"/>
        </w:rPr>
      </w:pPr>
    </w:p>
    <w:p>
      <w:pPr>
        <w:ind w:left="560"/>
        <w:spacing w:after="0"/>
        <w:tabs>
          <w:tab w:leader="none" w:pos="3560" w:val="left"/>
          <w:tab w:leader="none" w:pos="6140" w:val="left"/>
          <w:tab w:leader="none" w:pos="9400" w:val="left"/>
        </w:tabs>
        <w:rPr>
          <w:sz w:val="20"/>
          <w:szCs w:val="20"/>
          <w:color w:val="auto"/>
        </w:rPr>
      </w:pPr>
      <w:r>
        <w:rPr>
          <w:rFonts w:ascii="Times New Roman" w:cs="Times New Roman" w:eastAsia="Times New Roman" w:hAnsi="Times New Roman"/>
          <w:sz w:val="17"/>
          <w:szCs w:val="17"/>
          <w:color w:val="auto"/>
        </w:rPr>
        <w:t>Large accelerated filer x</w:t>
      </w:r>
      <w:r>
        <w:rPr>
          <w:sz w:val="20"/>
          <w:szCs w:val="20"/>
          <w:color w:val="auto"/>
        </w:rPr>
        <w:tab/>
      </w:r>
      <w:r>
        <w:rPr>
          <w:rFonts w:ascii="Times New Roman" w:cs="Times New Roman" w:eastAsia="Times New Roman" w:hAnsi="Times New Roman"/>
          <w:sz w:val="17"/>
          <w:szCs w:val="17"/>
          <w:color w:val="auto"/>
        </w:rPr>
        <w:t>Accelerated filer o</w:t>
      </w:r>
      <w:r>
        <w:rPr>
          <w:sz w:val="20"/>
          <w:szCs w:val="20"/>
          <w:color w:val="auto"/>
        </w:rPr>
        <w:tab/>
      </w:r>
      <w:r>
        <w:rPr>
          <w:rFonts w:ascii="Times New Roman" w:cs="Times New Roman" w:eastAsia="Times New Roman" w:hAnsi="Times New Roman"/>
          <w:sz w:val="17"/>
          <w:szCs w:val="17"/>
          <w:color w:val="auto"/>
        </w:rPr>
        <w:t>Non-accelerated filer o</w:t>
      </w:r>
      <w:r>
        <w:rPr>
          <w:sz w:val="20"/>
          <w:szCs w:val="20"/>
          <w:color w:val="auto"/>
        </w:rPr>
        <w:tab/>
      </w:r>
      <w:r>
        <w:rPr>
          <w:rFonts w:ascii="Times New Roman" w:cs="Times New Roman" w:eastAsia="Times New Roman" w:hAnsi="Times New Roman"/>
          <w:sz w:val="16"/>
          <w:szCs w:val="16"/>
          <w:color w:val="auto"/>
        </w:rPr>
        <w:t>Smaller reporting company o</w:t>
      </w:r>
    </w:p>
    <w:p>
      <w:pPr>
        <w:spacing w:after="0" w:line="25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81" w:lineRule="exact"/>
        <w:rPr>
          <w:sz w:val="24"/>
          <w:szCs w:val="24"/>
          <w:color w:val="auto"/>
        </w:rPr>
      </w:pPr>
    </w:p>
    <w:p>
      <w:pPr>
        <w:ind w:right="640" w:firstLine="398"/>
        <w:spacing w:after="0" w:line="270"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ectPr>
          <w:pgSz w:w="11900" w:h="16838" w:orient="portrait"/>
          <w:cols w:equalWidth="0" w:num="1">
            <w:col w:w="11400"/>
          </w:cols>
          <w:pgMar w:left="240" w:top="329" w:right="259" w:bottom="1440" w:gutter="0" w:footer="0" w:header="0"/>
        </w:sectPr>
      </w:pPr>
    </w:p>
    <w:p>
      <w:pPr>
        <w:spacing w:after="0" w:line="20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 x</w:t>
      </w:r>
    </w:p>
    <w:p>
      <w:pPr>
        <w:spacing w:after="0" w:line="200" w:lineRule="exact"/>
        <w:rPr>
          <w:sz w:val="24"/>
          <w:szCs w:val="24"/>
          <w:color w:val="auto"/>
        </w:rPr>
      </w:pPr>
    </w:p>
    <w:p>
      <w:pPr>
        <w:sectPr>
          <w:pgSz w:w="11900" w:h="16838" w:orient="portrait"/>
          <w:cols w:equalWidth="0" w:num="2">
            <w:col w:w="7600" w:space="260"/>
            <w:col w:w="3540"/>
          </w:cols>
          <w:pgMar w:left="240" w:top="329" w:right="259" w:bottom="1440" w:gutter="0" w:footer="0" w:header="0"/>
          <w:type w:val="continuous"/>
        </w:sectPr>
      </w:pPr>
    </w:p>
    <w:p>
      <w:pPr>
        <w:spacing w:after="0" w:line="6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Act:</w:t>
      </w:r>
    </w:p>
    <w:p>
      <w:pPr>
        <w:sectPr>
          <w:pgSz w:w="11900" w:h="16838" w:orient="portrait"/>
          <w:cols w:equalWidth="0" w:num="1">
            <w:col w:w="11400"/>
          </w:cols>
          <w:pgMar w:left="240" w:top="329" w:right="259" w:bottom="1440" w:gutter="0" w:footer="0" w:header="0"/>
          <w:type w:val="continuous"/>
        </w:sectPr>
      </w:pPr>
    </w:p>
    <w:p>
      <w:pPr>
        <w:spacing w:after="0" w:line="158"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79" w:lineRule="exact"/>
        <w:rPr>
          <w:sz w:val="24"/>
          <w:szCs w:val="24"/>
          <w:color w:val="auto"/>
        </w:rPr>
      </w:pPr>
    </w:p>
    <w:p>
      <w:pPr>
        <w:sectPr>
          <w:pgSz w:w="11900" w:h="16838" w:orient="portrait"/>
          <w:cols w:equalWidth="0" w:num="3">
            <w:col w:w="4220" w:space="720"/>
            <w:col w:w="2220" w:space="720"/>
            <w:col w:w="3520"/>
          </w:cols>
          <w:pgMar w:left="240" w:top="329" w:right="25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MAC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00" w:lineRule="exact"/>
        <w:rPr>
          <w:sz w:val="24"/>
          <w:szCs w:val="24"/>
          <w:color w:val="auto"/>
        </w:rPr>
      </w:pPr>
    </w:p>
    <w:p>
      <w:pPr>
        <w:sectPr>
          <w:pgSz w:w="11900" w:h="16838" w:orient="portrait"/>
          <w:cols w:equalWidth="0" w:num="3">
            <w:col w:w="4540" w:space="720"/>
            <w:col w:w="2480" w:space="720"/>
            <w:col w:w="2940"/>
          </w:cols>
          <w:pgMar w:left="240" w:top="329" w:right="259" w:bottom="1440" w:gutter="0" w:footer="0" w:header="0"/>
          <w:type w:val="continuous"/>
        </w:sectPr>
      </w:pPr>
    </w:p>
    <w:p>
      <w:pPr>
        <w:spacing w:after="0" w:line="9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Number of shares outstanding as of May 3, 2019 of the registrant's common stock, par value $0.01 per share: 141,238,583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145415</wp:posOffset>
            </wp:positionV>
            <wp:extent cx="72828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type w:val="continuous"/>
        </w:sectPr>
      </w:pPr>
    </w:p>
    <w:bookmarkStart w:id="1" w:name="page2"/>
    <w:bookmarkEnd w:id="1"/>
    <w:tbl>
      <w:tblPr>
        <w:tblLayout w:type="fixed"/>
        <w:tblInd w:w="30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60" w:type="dxa"/>
            <w:vAlign w:val="bottom"/>
            <w:gridSpan w:val="8"/>
          </w:tcPr>
          <w:p>
            <w:pPr>
              <w:jc w:val="center"/>
              <w:ind w:right="2680"/>
              <w:spacing w:after="0"/>
              <w:rPr>
                <w:sz w:val="20"/>
                <w:szCs w:val="20"/>
                <w:color w:val="auto"/>
              </w:rPr>
            </w:pPr>
            <w:r>
              <w:rPr>
                <w:rFonts w:ascii="Times New Roman" w:cs="Times New Roman" w:eastAsia="Times New Roman" w:hAnsi="Times New Roman"/>
                <w:sz w:val="17"/>
                <w:szCs w:val="17"/>
                <w:b w:val="1"/>
                <w:bCs w:val="1"/>
                <w:color w:val="auto"/>
                <w:w w:val="96"/>
              </w:rPr>
              <w:t>THE MACERICH COMPANY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7"/>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gridSpan w:val="7"/>
          </w:tcPr>
          <w:p>
            <w:pPr>
              <w:jc w:val="center"/>
              <w:ind w:right="3360"/>
              <w:spacing w:after="0"/>
              <w:rPr>
                <w:sz w:val="20"/>
                <w:szCs w:val="20"/>
                <w:color w:val="auto"/>
              </w:rPr>
            </w:pPr>
            <w:r>
              <w:rPr>
                <w:rFonts w:ascii="Times New Roman" w:cs="Times New Roman" w:eastAsia="Times New Roman" w:hAnsi="Times New Roman"/>
                <w:sz w:val="17"/>
                <w:szCs w:val="17"/>
                <w:b w:val="1"/>
                <w:bCs w:val="1"/>
                <w:color w:val="auto"/>
                <w:w w:val="97"/>
              </w:rPr>
              <w:t>FORM 10-Q</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7"/>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gridSpan w:val="7"/>
          </w:tcPr>
          <w:p>
            <w:pPr>
              <w:jc w:val="center"/>
              <w:ind w:right="3360"/>
              <w:spacing w:after="0"/>
              <w:rPr>
                <w:sz w:val="20"/>
                <w:szCs w:val="20"/>
                <w:color w:val="auto"/>
              </w:rPr>
            </w:pPr>
            <w:r>
              <w:rPr>
                <w:rFonts w:ascii="Times New Roman" w:cs="Times New Roman" w:eastAsia="Times New Roman" w:hAnsi="Times New Roman"/>
                <w:sz w:val="17"/>
                <w:szCs w:val="17"/>
                <w:b w:val="1"/>
                <w:bCs w:val="1"/>
                <w:color w:val="auto"/>
                <w:w w:val="98"/>
              </w:rPr>
              <w:t>INDEX</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2"/>
        </w:trPr>
        <w:tc>
          <w:tcPr>
            <w:tcW w:w="8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2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3"/>
        </w:trPr>
        <w:tc>
          <w:tcPr>
            <w:tcW w:w="480" w:type="dxa"/>
            <w:vAlign w:val="bottom"/>
          </w:tcPr>
          <w:p>
            <w:pPr>
              <w:spacing w:after="0"/>
              <w:rPr>
                <w:rFonts w:ascii="Times New Roman" w:cs="Times New Roman" w:eastAsia="Times New Roman" w:hAnsi="Times New Roman"/>
                <w:sz w:val="17"/>
                <w:szCs w:val="17"/>
                <w:color w:val="0000FF"/>
                <w:w w:val="95"/>
              </w:rPr>
            </w:pPr>
            <w:hyperlink w:anchor="page3">
              <w:r>
                <w:rPr>
                  <w:rFonts w:ascii="Times New Roman" w:cs="Times New Roman" w:eastAsia="Times New Roman" w:hAnsi="Times New Roman"/>
                  <w:sz w:val="17"/>
                  <w:szCs w:val="17"/>
                  <w:color w:val="0000FF"/>
                  <w:w w:val="95"/>
                </w:rPr>
                <w:t>Item 1.</w:t>
              </w:r>
            </w:hyperlink>
          </w:p>
        </w:tc>
        <w:tc>
          <w:tcPr>
            <w:tcW w:w="320" w:type="dxa"/>
            <w:vAlign w:val="bottom"/>
            <w:gridSpan w:val="3"/>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FF"/>
              </w:rPr>
            </w:pPr>
            <w:hyperlink w:anchor="page3">
              <w:r>
                <w:rPr>
                  <w:rFonts w:ascii="Times New Roman" w:cs="Times New Roman" w:eastAsia="Times New Roman" w:hAnsi="Times New Roman"/>
                  <w:sz w:val="17"/>
                  <w:szCs w:val="17"/>
                  <w:color w:val="0000FF"/>
                </w:rPr>
                <w:t>Financial Statements (Unaudited)</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3">
              <w:r>
                <w:rPr>
                  <w:rFonts w:ascii="Times New Roman" w:cs="Times New Roman" w:eastAsia="Times New Roman" w:hAnsi="Times New Roman"/>
                  <w:sz w:val="17"/>
                  <w:szCs w:val="17"/>
                  <w:color w:val="0000FF"/>
                </w:rPr>
                <w:t>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7"/>
              </w:rPr>
            </w:pPr>
            <w:hyperlink w:anchor="page3">
              <w:r>
                <w:rPr>
                  <w:rFonts w:ascii="Times New Roman" w:cs="Times New Roman" w:eastAsia="Times New Roman" w:hAnsi="Times New Roman"/>
                  <w:sz w:val="17"/>
                  <w:szCs w:val="17"/>
                  <w:color w:val="0000EE"/>
                  <w:w w:val="97"/>
                </w:rPr>
                <w:t>Consolidated Balance Sheets as of March 31, 2019 and December 31, 2018</w:t>
              </w:r>
            </w:hyperlink>
          </w:p>
        </w:tc>
        <w:tc>
          <w:tcPr>
            <w:tcW w:w="2280" w:type="dxa"/>
            <w:vAlign w:val="bottom"/>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3">
              <w:r>
                <w:rPr>
                  <w:rFonts w:ascii="Times New Roman" w:cs="Times New Roman" w:eastAsia="Times New Roman" w:hAnsi="Times New Roman"/>
                  <w:sz w:val="16"/>
                  <w:szCs w:val="16"/>
                  <w:color w:val="0000FF"/>
                  <w:w w:val="74"/>
                </w:rPr>
                <w:t>3</w:t>
              </w:r>
            </w:hyperlink>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7"/>
              </w:rPr>
            </w:pPr>
            <w:hyperlink w:anchor="page4">
              <w:r>
                <w:rPr>
                  <w:rFonts w:ascii="Times New Roman" w:cs="Times New Roman" w:eastAsia="Times New Roman" w:hAnsi="Times New Roman"/>
                  <w:sz w:val="17"/>
                  <w:szCs w:val="17"/>
                  <w:color w:val="0000EE"/>
                  <w:w w:val="97"/>
                </w:rPr>
                <w:t>Consolidated Statements of Operations for the three months ended March 31, 2019 and 2018</w:t>
              </w:r>
            </w:hyperlink>
          </w:p>
        </w:tc>
        <w:tc>
          <w:tcPr>
            <w:tcW w:w="112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4">
              <w:r>
                <w:rPr>
                  <w:rFonts w:ascii="Times New Roman" w:cs="Times New Roman" w:eastAsia="Times New Roman" w:hAnsi="Times New Roman"/>
                  <w:sz w:val="16"/>
                  <w:szCs w:val="16"/>
                  <w:color w:val="0000FF"/>
                  <w:w w:val="74"/>
                </w:rPr>
                <w:t>4</w:t>
              </w:r>
            </w:hyperlink>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EE"/>
                <w:w w:val="99"/>
              </w:rPr>
            </w:pPr>
            <w:hyperlink w:anchor="page5">
              <w:r>
                <w:rPr>
                  <w:rFonts w:ascii="Times New Roman" w:cs="Times New Roman" w:eastAsia="Times New Roman" w:hAnsi="Times New Roman"/>
                  <w:sz w:val="17"/>
                  <w:szCs w:val="17"/>
                  <w:color w:val="0000EE"/>
                  <w:w w:val="99"/>
                </w:rPr>
                <w:t>Consolidated Statements of Comprehensive Income (Loss) for the three months ended March 31, 2019 and</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79" w:lineRule="exact"/>
              <w:rPr>
                <w:rFonts w:ascii="Times New Roman" w:cs="Times New Roman" w:eastAsia="Times New Roman" w:hAnsi="Times New Roman"/>
                <w:sz w:val="17"/>
                <w:szCs w:val="17"/>
                <w:color w:val="0000EE"/>
                <w:w w:val="88"/>
              </w:rPr>
            </w:pPr>
            <w:hyperlink w:anchor="page5">
              <w:r>
                <w:rPr>
                  <w:rFonts w:ascii="Times New Roman" w:cs="Times New Roman" w:eastAsia="Times New Roman" w:hAnsi="Times New Roman"/>
                  <w:sz w:val="17"/>
                  <w:szCs w:val="17"/>
                  <w:color w:val="0000EE"/>
                  <w:w w:val="88"/>
                </w:rPr>
                <w:t>2018</w:t>
              </w:r>
            </w:hyperlink>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79" w:lineRule="exact"/>
              <w:rPr>
                <w:rFonts w:ascii="Times New Roman" w:cs="Times New Roman" w:eastAsia="Times New Roman" w:hAnsi="Times New Roman"/>
                <w:sz w:val="16"/>
                <w:szCs w:val="16"/>
                <w:color w:val="0000EE"/>
                <w:w w:val="74"/>
              </w:rPr>
            </w:pPr>
            <w:hyperlink w:anchor="page5">
              <w:r>
                <w:rPr>
                  <w:rFonts w:ascii="Times New Roman" w:cs="Times New Roman" w:eastAsia="Times New Roman" w:hAnsi="Times New Roman"/>
                  <w:sz w:val="16"/>
                  <w:szCs w:val="16"/>
                  <w:color w:val="0000EE"/>
                  <w:w w:val="74"/>
                </w:rPr>
                <w:t>5</w:t>
              </w:r>
            </w:hyperlink>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Equity for the three months ended March 31, 2019 and 2018</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6">
              <w:r>
                <w:rPr>
                  <w:rFonts w:ascii="Times New Roman" w:cs="Times New Roman" w:eastAsia="Times New Roman" w:hAnsi="Times New Roman"/>
                  <w:sz w:val="17"/>
                  <w:szCs w:val="17"/>
                  <w:color w:val="0000FF"/>
                </w:rPr>
                <w:t>6</w:t>
              </w:r>
            </w:hyperlink>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Consolidated Statements of Cash Flows for the three months ended March 31, 2019 and 2018</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7">
              <w:r>
                <w:rPr>
                  <w:rFonts w:ascii="Times New Roman" w:cs="Times New Roman" w:eastAsia="Times New Roman" w:hAnsi="Times New Roman"/>
                  <w:sz w:val="17"/>
                  <w:szCs w:val="17"/>
                  <w:color w:val="0000FF"/>
                </w:rPr>
                <w:t>7</w:t>
              </w:r>
            </w:hyperlink>
          </w:p>
        </w:tc>
      </w:tr>
      <w:tr>
        <w:trPr>
          <w:trHeight w:val="34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bottom w:val="single" w:sz="8" w:color="0000FF"/>
            </w:tcBorders>
            <w:gridSpan w:val="8"/>
          </w:tcPr>
          <w:p>
            <w:pPr>
              <w:spacing w:after="0"/>
              <w:rPr>
                <w:rFonts w:ascii="Times New Roman" w:cs="Times New Roman" w:eastAsia="Times New Roman" w:hAnsi="Times New Roman"/>
                <w:sz w:val="17"/>
                <w:szCs w:val="17"/>
                <w:color w:val="0000FF"/>
                <w:w w:val="96"/>
              </w:rPr>
            </w:pPr>
            <w:hyperlink w:anchor="page9">
              <w:r>
                <w:rPr>
                  <w:rFonts w:ascii="Times New Roman" w:cs="Times New Roman" w:eastAsia="Times New Roman" w:hAnsi="Times New Roman"/>
                  <w:sz w:val="17"/>
                  <w:szCs w:val="17"/>
                  <w:color w:val="0000FF"/>
                  <w:w w:val="96"/>
                </w:rPr>
                <w:t>Notes to Consolidated Financial Statements</w:t>
              </w:r>
            </w:hyperlink>
          </w:p>
        </w:tc>
        <w:tc>
          <w:tcPr>
            <w:tcW w:w="3300" w:type="dxa"/>
            <w:vAlign w:val="bottom"/>
            <w:tcBorders>
              <w:top w:val="single" w:sz="8" w:color="0000EE"/>
            </w:tcBorders>
            <w:gridSpan w:val="5"/>
          </w:tcPr>
          <w:p>
            <w:pPr>
              <w:spacing w:after="0"/>
              <w:rPr>
                <w:sz w:val="24"/>
                <w:szCs w:val="24"/>
                <w:color w:val="auto"/>
              </w:rPr>
            </w:pPr>
          </w:p>
        </w:tc>
        <w:tc>
          <w:tcPr>
            <w:tcW w:w="108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rFonts w:ascii="Times New Roman" w:cs="Times New Roman" w:eastAsia="Times New Roman" w:hAnsi="Times New Roman"/>
                <w:sz w:val="16"/>
                <w:szCs w:val="16"/>
                <w:color w:val="0000FF"/>
                <w:w w:val="74"/>
              </w:rPr>
            </w:pPr>
            <w:hyperlink w:anchor="page9">
              <w:r>
                <w:rPr>
                  <w:rFonts w:ascii="Times New Roman" w:cs="Times New Roman" w:eastAsia="Times New Roman" w:hAnsi="Times New Roman"/>
                  <w:sz w:val="16"/>
                  <w:szCs w:val="16"/>
                  <w:color w:val="0000FF"/>
                  <w:w w:val="74"/>
                </w:rPr>
                <w:t>9</w:t>
              </w:r>
            </w:hyperlink>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26">
              <w:r>
                <w:rPr>
                  <w:rFonts w:ascii="Times New Roman" w:cs="Times New Roman" w:eastAsia="Times New Roman" w:hAnsi="Times New Roman"/>
                  <w:sz w:val="17"/>
                  <w:szCs w:val="17"/>
                  <w:color w:val="0000FF"/>
                  <w:w w:val="95"/>
                </w:rPr>
                <w:t>Item 2.</w:t>
              </w:r>
            </w:hyperlink>
          </w:p>
        </w:tc>
        <w:tc>
          <w:tcPr>
            <w:tcW w:w="320" w:type="dxa"/>
            <w:vAlign w:val="bottom"/>
            <w:gridSpan w:val="3"/>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Management's Discussion and Analysis of Financial Condition and Results of Operations</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26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38">
              <w:r>
                <w:rPr>
                  <w:rFonts w:ascii="Times New Roman" w:cs="Times New Roman" w:eastAsia="Times New Roman" w:hAnsi="Times New Roman"/>
                  <w:sz w:val="17"/>
                  <w:szCs w:val="17"/>
                  <w:color w:val="0000FF"/>
                  <w:w w:val="95"/>
                </w:rPr>
                <w:t>Item 3.</w:t>
              </w:r>
            </w:hyperlink>
          </w:p>
        </w:tc>
        <w:tc>
          <w:tcPr>
            <w:tcW w:w="320" w:type="dxa"/>
            <w:vAlign w:val="bottom"/>
            <w:gridSpan w:val="3"/>
          </w:tcPr>
          <w:p>
            <w:pPr>
              <w:spacing w:after="0"/>
              <w:rPr>
                <w:sz w:val="24"/>
                <w:szCs w:val="24"/>
                <w:color w:val="auto"/>
              </w:rPr>
            </w:pPr>
          </w:p>
        </w:tc>
        <w:tc>
          <w:tcPr>
            <w:tcW w:w="4000" w:type="dxa"/>
            <w:vAlign w:val="bottom"/>
            <w:gridSpan w:val="9"/>
          </w:tcPr>
          <w:p>
            <w:pPr>
              <w:spacing w:after="0"/>
              <w:rPr>
                <w:rFonts w:ascii="Times New Roman" w:cs="Times New Roman" w:eastAsia="Times New Roman" w:hAnsi="Times New Roman"/>
                <w:sz w:val="17"/>
                <w:szCs w:val="17"/>
                <w:color w:val="0000FF"/>
                <w:w w:val="96"/>
              </w:rPr>
            </w:pPr>
            <w:hyperlink w:anchor="page38">
              <w:r>
                <w:rPr>
                  <w:rFonts w:ascii="Times New Roman" w:cs="Times New Roman" w:eastAsia="Times New Roman" w:hAnsi="Times New Roman"/>
                  <w:sz w:val="17"/>
                  <w:szCs w:val="17"/>
                  <w:color w:val="0000FF"/>
                  <w:w w:val="96"/>
                </w:rPr>
                <w:t>Quantitative and Qualitative Disclosures About Market Risk</w:t>
              </w:r>
            </w:hyperlink>
          </w:p>
        </w:tc>
        <w:tc>
          <w:tcPr>
            <w:tcW w:w="1860" w:type="dxa"/>
            <w:vAlign w:val="bottom"/>
            <w:gridSpan w:val="2"/>
          </w:tcPr>
          <w:p>
            <w:pPr>
              <w:spacing w:after="0"/>
              <w:rPr>
                <w:sz w:val="24"/>
                <w:szCs w:val="24"/>
                <w:color w:val="auto"/>
              </w:rPr>
            </w:pPr>
          </w:p>
        </w:tc>
        <w:tc>
          <w:tcPr>
            <w:tcW w:w="1420" w:type="dxa"/>
            <w:vAlign w:val="bottom"/>
            <w:gridSpan w:val="4"/>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38">
              <w:r>
                <w:rPr>
                  <w:rFonts w:ascii="Times New Roman" w:cs="Times New Roman" w:eastAsia="Times New Roman" w:hAnsi="Times New Roman"/>
                  <w:sz w:val="17"/>
                  <w:szCs w:val="17"/>
                  <w:color w:val="0000FF"/>
                </w:rPr>
                <w:t>38</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39">
              <w:r>
                <w:rPr>
                  <w:rFonts w:ascii="Times New Roman" w:cs="Times New Roman" w:eastAsia="Times New Roman" w:hAnsi="Times New Roman"/>
                  <w:sz w:val="17"/>
                  <w:szCs w:val="17"/>
                  <w:color w:val="0000FF"/>
                  <w:w w:val="95"/>
                </w:rPr>
                <w:t>Item 4.</w:t>
              </w:r>
            </w:hyperlink>
          </w:p>
        </w:tc>
        <w:tc>
          <w:tcPr>
            <w:tcW w:w="320" w:type="dxa"/>
            <w:vAlign w:val="bottom"/>
            <w:gridSpan w:val="3"/>
          </w:tcPr>
          <w:p>
            <w:pPr>
              <w:spacing w:after="0"/>
              <w:rPr>
                <w:sz w:val="24"/>
                <w:szCs w:val="24"/>
                <w:color w:val="auto"/>
              </w:rPr>
            </w:pPr>
          </w:p>
        </w:tc>
        <w:tc>
          <w:tcPr>
            <w:tcW w:w="4000" w:type="dxa"/>
            <w:vAlign w:val="bottom"/>
            <w:gridSpan w:val="9"/>
          </w:tcPr>
          <w:p>
            <w:pPr>
              <w:spacing w:after="0"/>
              <w:rPr>
                <w:rFonts w:ascii="Times New Roman" w:cs="Times New Roman" w:eastAsia="Times New Roman" w:hAnsi="Times New Roman"/>
                <w:sz w:val="17"/>
                <w:szCs w:val="17"/>
                <w:color w:val="0000FF"/>
              </w:rPr>
            </w:pPr>
            <w:hyperlink w:anchor="page39">
              <w:r>
                <w:rPr>
                  <w:rFonts w:ascii="Times New Roman" w:cs="Times New Roman" w:eastAsia="Times New Roman" w:hAnsi="Times New Roman"/>
                  <w:sz w:val="17"/>
                  <w:szCs w:val="17"/>
                  <w:color w:val="0000FF"/>
                </w:rPr>
                <w:t>Controls and Procedures</w:t>
              </w:r>
            </w:hyperlink>
          </w:p>
        </w:tc>
        <w:tc>
          <w:tcPr>
            <w:tcW w:w="3280" w:type="dxa"/>
            <w:vAlign w:val="bottom"/>
            <w:gridSpan w:val="6"/>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39">
              <w:r>
                <w:rPr>
                  <w:rFonts w:ascii="Times New Roman" w:cs="Times New Roman" w:eastAsia="Times New Roman" w:hAnsi="Times New Roman"/>
                  <w:sz w:val="17"/>
                  <w:szCs w:val="17"/>
                  <w:color w:val="0000FF"/>
                </w:rPr>
                <w:t>39</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78"/>
        </w:trPr>
        <w:tc>
          <w:tcPr>
            <w:tcW w:w="8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72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3"/>
        </w:trPr>
        <w:tc>
          <w:tcPr>
            <w:tcW w:w="480" w:type="dxa"/>
            <w:vAlign w:val="bottom"/>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1.</w:t>
              </w:r>
            </w:hyperlink>
          </w:p>
        </w:tc>
        <w:tc>
          <w:tcPr>
            <w:tcW w:w="320" w:type="dxa"/>
            <w:vAlign w:val="bottom"/>
            <w:gridSpan w:val="3"/>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Legal Proceedings</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600" w:type="dxa"/>
            <w:vAlign w:val="bottom"/>
            <w:gridSpan w:val="2"/>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1A.</w:t>
              </w:r>
            </w:hyperlink>
          </w:p>
        </w:tc>
        <w:tc>
          <w:tcPr>
            <w:tcW w:w="200" w:type="dxa"/>
            <w:vAlign w:val="bottom"/>
            <w:gridSpan w:val="2"/>
          </w:tcPr>
          <w:p>
            <w:pPr>
              <w:spacing w:after="0"/>
              <w:rPr>
                <w:sz w:val="24"/>
                <w:szCs w:val="24"/>
                <w:color w:val="auto"/>
              </w:rPr>
            </w:pPr>
          </w:p>
        </w:tc>
        <w:tc>
          <w:tcPr>
            <w:tcW w:w="7280" w:type="dxa"/>
            <w:vAlign w:val="bottom"/>
            <w:gridSpan w:val="15"/>
          </w:tcPr>
          <w:p>
            <w:pPr>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Risk Factors</w:t>
              </w:r>
            </w:hyperlink>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2.</w:t>
              </w:r>
            </w:hyperlink>
          </w:p>
        </w:tc>
        <w:tc>
          <w:tcPr>
            <w:tcW w:w="1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00" w:type="dxa"/>
            <w:vAlign w:val="bottom"/>
            <w:gridSpan w:val="9"/>
          </w:tcPr>
          <w:p>
            <w:pPr>
              <w:spacing w:after="0"/>
              <w:rPr>
                <w:rFonts w:ascii="Times New Roman" w:cs="Times New Roman" w:eastAsia="Times New Roman" w:hAnsi="Times New Roman"/>
                <w:sz w:val="17"/>
                <w:szCs w:val="17"/>
                <w:color w:val="0000FF"/>
                <w:w w:val="96"/>
              </w:rPr>
            </w:pPr>
            <w:hyperlink w:anchor="page40">
              <w:r>
                <w:rPr>
                  <w:rFonts w:ascii="Times New Roman" w:cs="Times New Roman" w:eastAsia="Times New Roman" w:hAnsi="Times New Roman"/>
                  <w:sz w:val="17"/>
                  <w:szCs w:val="17"/>
                  <w:color w:val="0000FF"/>
                  <w:w w:val="96"/>
                </w:rPr>
                <w:t>Unregistered Sales of Equity Securities and Use of Proceeds</w:t>
              </w:r>
            </w:hyperlink>
          </w:p>
        </w:tc>
        <w:tc>
          <w:tcPr>
            <w:tcW w:w="3280" w:type="dxa"/>
            <w:vAlign w:val="bottom"/>
            <w:gridSpan w:val="6"/>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3.</w:t>
              </w:r>
            </w:hyperlink>
          </w:p>
        </w:tc>
        <w:tc>
          <w:tcPr>
            <w:tcW w:w="320" w:type="dxa"/>
            <w:vAlign w:val="bottom"/>
            <w:gridSpan w:val="3"/>
          </w:tcPr>
          <w:p>
            <w:pPr>
              <w:spacing w:after="0"/>
              <w:rPr>
                <w:sz w:val="24"/>
                <w:szCs w:val="24"/>
                <w:color w:val="auto"/>
              </w:rPr>
            </w:pPr>
          </w:p>
        </w:tc>
        <w:tc>
          <w:tcPr>
            <w:tcW w:w="2140" w:type="dxa"/>
            <w:vAlign w:val="bottom"/>
            <w:gridSpan w:val="6"/>
          </w:tcPr>
          <w:p>
            <w:pPr>
              <w:spacing w:after="0"/>
              <w:rPr>
                <w:rFonts w:ascii="Times New Roman" w:cs="Times New Roman" w:eastAsia="Times New Roman" w:hAnsi="Times New Roman"/>
                <w:sz w:val="17"/>
                <w:szCs w:val="17"/>
                <w:color w:val="0000FF"/>
                <w:w w:val="96"/>
              </w:rPr>
            </w:pPr>
            <w:hyperlink w:anchor="page40">
              <w:r>
                <w:rPr>
                  <w:rFonts w:ascii="Times New Roman" w:cs="Times New Roman" w:eastAsia="Times New Roman" w:hAnsi="Times New Roman"/>
                  <w:sz w:val="17"/>
                  <w:szCs w:val="17"/>
                  <w:color w:val="0000FF"/>
                  <w:w w:val="96"/>
                </w:rPr>
                <w:t>Defaults Upon Senior Securities</w:t>
              </w:r>
            </w:hyperlink>
          </w:p>
        </w:tc>
        <w:tc>
          <w:tcPr>
            <w:tcW w:w="1860" w:type="dxa"/>
            <w:vAlign w:val="bottom"/>
            <w:gridSpan w:val="3"/>
          </w:tcPr>
          <w:p>
            <w:pPr>
              <w:spacing w:after="0"/>
              <w:rPr>
                <w:sz w:val="24"/>
                <w:szCs w:val="24"/>
                <w:color w:val="auto"/>
              </w:rPr>
            </w:pPr>
          </w:p>
        </w:tc>
        <w:tc>
          <w:tcPr>
            <w:tcW w:w="3280" w:type="dxa"/>
            <w:vAlign w:val="bottom"/>
            <w:gridSpan w:val="6"/>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4.</w:t>
              </w:r>
            </w:hyperlink>
          </w:p>
        </w:tc>
        <w:tc>
          <w:tcPr>
            <w:tcW w:w="320" w:type="dxa"/>
            <w:vAlign w:val="bottom"/>
            <w:gridSpan w:val="3"/>
          </w:tcPr>
          <w:p>
            <w:pPr>
              <w:spacing w:after="0"/>
              <w:rPr>
                <w:sz w:val="24"/>
                <w:szCs w:val="24"/>
                <w:color w:val="auto"/>
              </w:rPr>
            </w:pPr>
          </w:p>
        </w:tc>
        <w:tc>
          <w:tcPr>
            <w:tcW w:w="2140" w:type="dxa"/>
            <w:vAlign w:val="bottom"/>
            <w:gridSpan w:val="6"/>
          </w:tcPr>
          <w:p>
            <w:pPr>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Mine Safety Disclosures</w:t>
              </w:r>
            </w:hyperlink>
          </w:p>
        </w:tc>
        <w:tc>
          <w:tcPr>
            <w:tcW w:w="5140" w:type="dxa"/>
            <w:vAlign w:val="bottom"/>
            <w:gridSpan w:val="9"/>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40">
              <w:r>
                <w:rPr>
                  <w:rFonts w:ascii="Times New Roman" w:cs="Times New Roman" w:eastAsia="Times New Roman" w:hAnsi="Times New Roman"/>
                  <w:sz w:val="17"/>
                  <w:szCs w:val="17"/>
                  <w:color w:val="0000FF"/>
                  <w:w w:val="95"/>
                </w:rPr>
                <w:t>Item 5.</w:t>
              </w:r>
            </w:hyperlink>
          </w:p>
        </w:tc>
        <w:tc>
          <w:tcPr>
            <w:tcW w:w="320" w:type="dxa"/>
            <w:vAlign w:val="bottom"/>
            <w:gridSpan w:val="3"/>
          </w:tcPr>
          <w:p>
            <w:pPr>
              <w:spacing w:after="0"/>
              <w:rPr>
                <w:sz w:val="24"/>
                <w:szCs w:val="24"/>
                <w:color w:val="auto"/>
              </w:rPr>
            </w:pPr>
          </w:p>
        </w:tc>
        <w:tc>
          <w:tcPr>
            <w:tcW w:w="1620" w:type="dxa"/>
            <w:vAlign w:val="bottom"/>
            <w:gridSpan w:val="5"/>
          </w:tcPr>
          <w:p>
            <w:pPr>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Other Information</w:t>
              </w:r>
            </w:hyperlink>
          </w:p>
        </w:tc>
        <w:tc>
          <w:tcPr>
            <w:tcW w:w="5660" w:type="dxa"/>
            <w:vAlign w:val="bottom"/>
            <w:gridSpan w:val="10"/>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0">
              <w:r>
                <w:rPr>
                  <w:rFonts w:ascii="Times New Roman" w:cs="Times New Roman" w:eastAsia="Times New Roman" w:hAnsi="Times New Roman"/>
                  <w:sz w:val="17"/>
                  <w:szCs w:val="17"/>
                  <w:color w:val="0000FF"/>
                </w:rPr>
                <w:t>40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8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480" w:type="dxa"/>
            <w:vAlign w:val="bottom"/>
          </w:tcPr>
          <w:p>
            <w:pPr>
              <w:spacing w:after="0"/>
              <w:rPr>
                <w:rFonts w:ascii="Times New Roman" w:cs="Times New Roman" w:eastAsia="Times New Roman" w:hAnsi="Times New Roman"/>
                <w:sz w:val="17"/>
                <w:szCs w:val="17"/>
                <w:color w:val="0000FF"/>
                <w:w w:val="95"/>
              </w:rPr>
            </w:pPr>
            <w:hyperlink w:anchor="page41">
              <w:r>
                <w:rPr>
                  <w:rFonts w:ascii="Times New Roman" w:cs="Times New Roman" w:eastAsia="Times New Roman" w:hAnsi="Times New Roman"/>
                  <w:sz w:val="17"/>
                  <w:szCs w:val="17"/>
                  <w:color w:val="0000FF"/>
                  <w:w w:val="95"/>
                </w:rPr>
                <w:t>Item 6.</w:t>
              </w:r>
            </w:hyperlink>
          </w:p>
        </w:tc>
        <w:tc>
          <w:tcPr>
            <w:tcW w:w="320" w:type="dxa"/>
            <w:vAlign w:val="bottom"/>
            <w:gridSpan w:val="3"/>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7"/>
                <w:szCs w:val="17"/>
                <w:color w:val="0000FF"/>
              </w:rPr>
            </w:pPr>
            <w:hyperlink w:anchor="page41">
              <w:r>
                <w:rPr>
                  <w:rFonts w:ascii="Times New Roman" w:cs="Times New Roman" w:eastAsia="Times New Roman" w:hAnsi="Times New Roman"/>
                  <w:sz w:val="17"/>
                  <w:szCs w:val="17"/>
                  <w:color w:val="0000FF"/>
                </w:rPr>
                <w:t>Exhibits</w:t>
              </w:r>
            </w:hyperlink>
          </w:p>
        </w:tc>
        <w:tc>
          <w:tcPr>
            <w:tcW w:w="6080" w:type="dxa"/>
            <w:vAlign w:val="bottom"/>
            <w:gridSpan w:val="11"/>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1">
              <w:r>
                <w:rPr>
                  <w:rFonts w:ascii="Times New Roman" w:cs="Times New Roman" w:eastAsia="Times New Roman" w:hAnsi="Times New Roman"/>
                  <w:sz w:val="17"/>
                  <w:szCs w:val="17"/>
                  <w:color w:val="0000FF"/>
                </w:rPr>
                <w:t>41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340"/>
        </w:trPr>
        <w:tc>
          <w:tcPr>
            <w:tcW w:w="800" w:type="dxa"/>
            <w:vAlign w:val="bottom"/>
            <w:gridSpan w:val="4"/>
          </w:tcPr>
          <w:p>
            <w:pPr>
              <w:spacing w:after="0"/>
              <w:rPr>
                <w:rFonts w:ascii="Times New Roman" w:cs="Times New Roman" w:eastAsia="Times New Roman" w:hAnsi="Times New Roman"/>
                <w:sz w:val="17"/>
                <w:szCs w:val="17"/>
                <w:b w:val="1"/>
                <w:bCs w:val="1"/>
                <w:color w:val="0000FF"/>
              </w:rPr>
            </w:pPr>
            <w:hyperlink w:anchor="page43">
              <w:r>
                <w:rPr>
                  <w:rFonts w:ascii="Times New Roman" w:cs="Times New Roman" w:eastAsia="Times New Roman" w:hAnsi="Times New Roman"/>
                  <w:sz w:val="17"/>
                  <w:szCs w:val="17"/>
                  <w:b w:val="1"/>
                  <w:bCs w:val="1"/>
                  <w:color w:val="0000FF"/>
                </w:rPr>
                <w:t>Signature</w:t>
              </w:r>
            </w:hyperlink>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FF"/>
              </w:rPr>
            </w:pPr>
            <w:hyperlink w:anchor="page43">
              <w:r>
                <w:rPr>
                  <w:rFonts w:ascii="Times New Roman" w:cs="Times New Roman" w:eastAsia="Times New Roman" w:hAnsi="Times New Roman"/>
                  <w:sz w:val="17"/>
                  <w:szCs w:val="17"/>
                  <w:color w:val="0000FF"/>
                </w:rPr>
                <w:t>43</w:t>
              </w:r>
            </w:hyperlink>
          </w:p>
        </w:tc>
      </w:tr>
      <w:tr>
        <w:trPr>
          <w:trHeight w:val="465"/>
        </w:trPr>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9"/>
          </w:tcPr>
          <w:p>
            <w:pPr>
              <w:jc w:val="center"/>
              <w:ind w:left="2757"/>
              <w:spacing w:after="0"/>
              <w:rPr>
                <w:sz w:val="20"/>
                <w:szCs w:val="20"/>
                <w:color w:val="auto"/>
              </w:rPr>
            </w:pPr>
            <w:r>
              <w:rPr>
                <w:rFonts w:ascii="Times New Roman" w:cs="Times New Roman" w:eastAsia="Times New Roman" w:hAnsi="Times New Roman"/>
                <w:sz w:val="17"/>
                <w:szCs w:val="17"/>
                <w:color w:val="auto"/>
                <w:w w:val="93"/>
              </w:rPr>
              <w:t>2</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9019"/>
          </w:cols>
          <w:pgMar w:left="1440" w:top="343" w:right="1440" w:bottom="1440" w:gutter="0" w:footer="0" w:header="0"/>
        </w:sectPr>
      </w:pPr>
    </w:p>
    <w:bookmarkStart w:id="2" w:name="page3"/>
    <w:bookmarkEnd w:id="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(Dollars in thousands, except par value)</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2"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6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Property,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6,737,198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6,785,776</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111,022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102,711</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43,053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46,590</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Tenant and other receivables, net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104,738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123,492</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net</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156,260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and other assets, net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307,667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390,403</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Due from affiliates</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85,181</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1,528,080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1,492,655</w:t>
            </w:r>
          </w:p>
        </w:tc>
      </w:tr>
      <w:tr>
        <w:trPr>
          <w:trHeight w:val="275"/>
        </w:trPr>
        <w:tc>
          <w:tcPr>
            <w:tcW w:w="61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9,002,921</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9,026,808</w:t>
            </w:r>
          </w:p>
        </w:tc>
      </w:tr>
      <w:tr>
        <w:trPr>
          <w:trHeight w:val="21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Mortgage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4,162,072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4,073,916</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and other notes payable</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848,948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908,544</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59,024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59,392</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122,105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244,649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303,051</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in excess of investments in unconsolidated joint ventures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116,634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114,988</w:t>
            </w: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Financing arrangement obligation</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364,220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378,485</w:t>
            </w:r>
          </w:p>
        </w:tc>
      </w:tr>
      <w:tr>
        <w:trPr>
          <w:trHeight w:val="25"/>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1"/>
        </w:trPr>
        <w:tc>
          <w:tcPr>
            <w:tcW w:w="61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5,917,652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5,838,376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$0.01 par value, 250,000,000 shares authorized, 141,332,786 and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9"/>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8"/>
              </w:rPr>
              <w:t>141,221,712 shares issued and outstanding at March 31, 2019 and December 31, 2018,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0"/>
        </w:trPr>
        <w:tc>
          <w:tcPr>
            <w:tcW w:w="6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1,412</w:t>
            </w:r>
          </w:p>
        </w:tc>
      </w:tr>
      <w:tr>
        <w:trPr>
          <w:trHeight w:val="224"/>
        </w:trPr>
        <w:tc>
          <w:tcPr>
            <w:tcW w:w="6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4,574,600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4,567,643</w:t>
            </w:r>
          </w:p>
        </w:tc>
      </w:tr>
      <w:tr>
        <w:trPr>
          <w:trHeight w:val="25"/>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6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(1,714,789)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(1,614,357)</w:t>
            </w:r>
          </w:p>
        </w:tc>
      </w:tr>
      <w:tr>
        <w:trPr>
          <w:trHeight w:val="224"/>
        </w:trPr>
        <w:tc>
          <w:tcPr>
            <w:tcW w:w="6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(4,466)</w:t>
            </w:r>
          </w:p>
        </w:tc>
      </w:tr>
      <w:tr>
        <w:trPr>
          <w:trHeight w:val="25"/>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1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2,854,713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2,950,232</w:t>
            </w:r>
          </w:p>
        </w:tc>
      </w:tr>
      <w:tr>
        <w:trPr>
          <w:trHeight w:val="224"/>
        </w:trPr>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230,556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238,200</w:t>
            </w:r>
          </w:p>
        </w:tc>
      </w:tr>
      <w:tr>
        <w:trPr>
          <w:trHeight w:val="25"/>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1"/>
        </w:trPr>
        <w:tc>
          <w:tcPr>
            <w:tcW w:w="61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3,085,269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3,188,432</w:t>
            </w:r>
          </w:p>
        </w:tc>
      </w:tr>
      <w:tr>
        <w:trPr>
          <w:trHeight w:val="235"/>
        </w:trPr>
        <w:tc>
          <w:tcPr>
            <w:tcW w:w="61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9,002,921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9,026,808</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5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219"/>
          </w:cols>
          <w:pgMar w:left="240" w:top="120" w:right="1440" w:bottom="1440" w:gutter="0" w:footer="0" w:header="0"/>
        </w:sectPr>
      </w:pPr>
    </w:p>
    <w:bookmarkStart w:id="3" w:name="page4"/>
    <w:bookmarkEnd w:id="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11430</wp:posOffset>
            </wp:positionV>
            <wp:extent cx="1183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7620"/>
                    </a:xfrm>
                    <a:prstGeom prst="rect">
                      <a:avLst/>
                    </a:prstGeom>
                    <a:noFill/>
                  </pic:spPr>
                </pic:pic>
              </a:graphicData>
            </a:graphic>
          </wp:anchor>
        </w:drawing>
      </w:r>
    </w:p>
    <w:p>
      <w:pPr>
        <w:spacing w:after="0" w:line="75" w:lineRule="exact"/>
        <w:rPr>
          <w:sz w:val="20"/>
          <w:szCs w:val="20"/>
          <w:color w:val="auto"/>
        </w:rPr>
      </w:pPr>
    </w:p>
    <w:tbl>
      <w:tblPr>
        <w:tblLayout w:type="fixed"/>
        <w:tblInd w:w="2620" w:type="dxa"/>
        <w:tblCellMar>
          <w:top w:w="0" w:type="dxa"/>
          <w:left w:w="0" w:type="dxa"/>
          <w:bottom w:w="0" w:type="dxa"/>
          <w:right w:w="0" w:type="dxa"/>
        </w:tblCellMar>
      </w:tblPr>
      <w:tr>
        <w:trPr>
          <w:trHeight w:val="179"/>
        </w:trPr>
        <w:tc>
          <w:tcPr>
            <w:tcW w:w="4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Leasing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211,008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218,112</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8,080</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Management Companies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10,180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10,542</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226,522</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236,734</w:t>
            </w:r>
          </w:p>
        </w:tc>
        <w:tc>
          <w:tcPr>
            <w:tcW w:w="0" w:type="dxa"/>
            <w:vAlign w:val="bottom"/>
          </w:tcPr>
          <w:p>
            <w:pPr>
              <w:spacing w:after="0"/>
              <w:rPr>
                <w:sz w:val="1"/>
                <w:szCs w:val="1"/>
                <w:color w:val="auto"/>
              </w:rPr>
            </w:pPr>
          </w:p>
        </w:tc>
      </w:tr>
      <w:tr>
        <w:trPr>
          <w:trHeight w:val="224"/>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Shopping center and operating expenses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69,604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74,510</w:t>
            </w:r>
          </w:p>
        </w:tc>
        <w:tc>
          <w:tcPr>
            <w:tcW w:w="0" w:type="dxa"/>
            <w:vAlign w:val="bottom"/>
          </w:tcPr>
          <w:p>
            <w:pPr>
              <w:spacing w:after="0"/>
              <w:rPr>
                <w:sz w:val="1"/>
                <w:szCs w:val="1"/>
                <w:color w:val="auto"/>
              </w:rPr>
            </w:pPr>
          </w:p>
        </w:tc>
      </w:tr>
      <w:tr>
        <w:trPr>
          <w:trHeight w:val="244"/>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Leasing expenses</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3,334</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Management Companies' operating expenses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19,014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34,989</w:t>
            </w:r>
          </w:p>
        </w:tc>
        <w:tc>
          <w:tcPr>
            <w:tcW w:w="0" w:type="dxa"/>
            <w:vAlign w:val="bottom"/>
          </w:tcPr>
          <w:p>
            <w:pPr>
              <w:spacing w:after="0"/>
              <w:rPr>
                <w:sz w:val="1"/>
                <w:szCs w:val="1"/>
                <w:color w:val="auto"/>
              </w:rPr>
            </w:pPr>
          </w:p>
        </w:tc>
      </w:tr>
      <w:tr>
        <w:trPr>
          <w:trHeight w:val="244"/>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REIT general and administrative expenses</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8,019</w:t>
            </w:r>
          </w:p>
        </w:tc>
        <w:tc>
          <w:tcPr>
            <w:tcW w:w="0" w:type="dxa"/>
            <w:vAlign w:val="bottom"/>
          </w:tcPr>
          <w:p>
            <w:pPr>
              <w:spacing w:after="0"/>
              <w:rPr>
                <w:sz w:val="1"/>
                <w:szCs w:val="1"/>
                <w:color w:val="auto"/>
              </w:rPr>
            </w:pPr>
          </w:p>
        </w:tc>
      </w:tr>
      <w:tr>
        <w:trPr>
          <w:trHeight w:val="248"/>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81,468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79,937</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184,552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200,789</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Related parties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10,169</w:t>
            </w:r>
          </w:p>
        </w:tc>
        <w:tc>
          <w:tcPr>
            <w:tcW w:w="0" w:type="dxa"/>
            <w:vAlign w:val="bottom"/>
          </w:tcPr>
          <w:p>
            <w:pPr>
              <w:spacing w:after="0"/>
              <w:rPr>
                <w:sz w:val="1"/>
                <w:szCs w:val="1"/>
                <w:color w:val="auto"/>
              </w:rPr>
            </w:pPr>
          </w:p>
        </w:tc>
      </w:tr>
      <w:tr>
        <w:trPr>
          <w:trHeight w:val="248"/>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42,466</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52,635</w:t>
            </w:r>
          </w:p>
        </w:tc>
        <w:tc>
          <w:tcPr>
            <w:tcW w:w="0" w:type="dxa"/>
            <w:vAlign w:val="bottom"/>
          </w:tcPr>
          <w:p>
            <w:pPr>
              <w:spacing w:after="0"/>
              <w:rPr>
                <w:sz w:val="1"/>
                <w:szCs w:val="1"/>
                <w:color w:val="auto"/>
              </w:rPr>
            </w:pPr>
          </w:p>
        </w:tc>
      </w:tr>
      <w:tr>
        <w:trPr>
          <w:trHeight w:val="248"/>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extinguishment of debt, net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1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223,260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253,424</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income of unconsolidated joint ventures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12,243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16,872</w:t>
            </w:r>
          </w:p>
        </w:tc>
        <w:tc>
          <w:tcPr>
            <w:tcW w:w="0" w:type="dxa"/>
            <w:vAlign w:val="bottom"/>
          </w:tcPr>
          <w:p>
            <w:pPr>
              <w:spacing w:after="0"/>
              <w:rPr>
                <w:sz w:val="1"/>
                <w:szCs w:val="1"/>
                <w:color w:val="auto"/>
              </w:rPr>
            </w:pPr>
          </w:p>
        </w:tc>
      </w:tr>
      <w:tr>
        <w:trPr>
          <w:trHeight w:val="244"/>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2,949</w:t>
            </w:r>
          </w:p>
        </w:tc>
        <w:tc>
          <w:tcPr>
            <w:tcW w:w="0" w:type="dxa"/>
            <w:vAlign w:val="bottom"/>
          </w:tcPr>
          <w:p>
            <w:pPr>
              <w:spacing w:after="0"/>
              <w:rPr>
                <w:sz w:val="1"/>
                <w:szCs w:val="1"/>
                <w:color w:val="auto"/>
              </w:rPr>
            </w:pPr>
          </w:p>
        </w:tc>
      </w:tr>
      <w:tr>
        <w:trPr>
          <w:trHeight w:val="24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sale or write down of assets, net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(37,512)</w:t>
            </w: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8,843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(34,381)</w:t>
            </w:r>
          </w:p>
        </w:tc>
        <w:tc>
          <w:tcPr>
            <w:tcW w:w="0" w:type="dxa"/>
            <w:vAlign w:val="bottom"/>
          </w:tcPr>
          <w:p>
            <w:pPr>
              <w:spacing w:after="0"/>
              <w:rPr>
                <w:sz w:val="1"/>
                <w:szCs w:val="1"/>
                <w:color w:val="auto"/>
              </w:rPr>
            </w:pPr>
          </w:p>
        </w:tc>
      </w:tr>
      <w:tr>
        <w:trPr>
          <w:trHeight w:val="24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0" w:type="dxa"/>
            <w:vAlign w:val="bottom"/>
          </w:tcPr>
          <w:p>
            <w:pPr>
              <w:spacing w:after="0"/>
              <w:rPr>
                <w:sz w:val="1"/>
                <w:szCs w:val="1"/>
                <w:color w:val="auto"/>
              </w:rPr>
            </w:pPr>
          </w:p>
        </w:tc>
      </w:tr>
      <w:tr>
        <w:trPr>
          <w:trHeight w:val="261"/>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the Company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7,824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(33,573)</w:t>
            </w: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share—attributable to common stockholders: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Weighted average number of common shares outstanding:</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141,262,000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141,024,000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141,262,000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141,050,000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219"/>
          </w:cols>
          <w:pgMar w:left="240" w:top="120" w:right="1440" w:bottom="1440" w:gutter="0" w:footer="0" w:header="0"/>
        </w:sectPr>
      </w:pPr>
    </w:p>
    <w:bookmarkStart w:id="4" w:name="page5"/>
    <w:bookmarkEnd w:id="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9"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11430</wp:posOffset>
            </wp:positionV>
            <wp:extent cx="1175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7620"/>
                    </a:xfrm>
                    <a:prstGeom prst="rect">
                      <a:avLst/>
                    </a:prstGeom>
                    <a:noFill/>
                  </pic:spPr>
                </pic:pic>
              </a:graphicData>
            </a:graphic>
          </wp:anchor>
        </w:drawing>
      </w:r>
    </w:p>
    <w:p>
      <w:pPr>
        <w:spacing w:after="0" w:line="75" w:lineRule="exact"/>
        <w:rPr>
          <w:sz w:val="20"/>
          <w:szCs w:val="20"/>
          <w:color w:val="auto"/>
        </w:rPr>
      </w:pPr>
    </w:p>
    <w:tbl>
      <w:tblPr>
        <w:tblLayout w:type="fixed"/>
        <w:tblInd w:w="2620" w:type="dxa"/>
        <w:tblCellMar>
          <w:top w:w="0" w:type="dxa"/>
          <w:left w:w="0" w:type="dxa"/>
          <w:bottom w:w="0" w:type="dxa"/>
          <w:right w:w="0" w:type="dxa"/>
        </w:tblCellMar>
      </w:tblPr>
      <w:tr>
        <w:trPr>
          <w:trHeight w:val="179"/>
        </w:trPr>
        <w:tc>
          <w:tcPr>
            <w:tcW w:w="4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8,843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(34,381)</w:t>
            </w:r>
          </w:p>
        </w:tc>
      </w:tr>
      <w:tr>
        <w:trPr>
          <w:trHeight w:val="244"/>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61</w:t>
            </w: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2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(34,320)</w:t>
            </w:r>
          </w:p>
        </w:tc>
      </w:tr>
      <w:tr>
        <w:trPr>
          <w:trHeight w:val="24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r>
      <w:tr>
        <w:trPr>
          <w:trHeight w:val="221"/>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(loss) attributable to the Company</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5,779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(33,512)</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19"/>
          </w:cols>
          <w:pgMar w:left="240" w:top="120" w:right="1440" w:bottom="1440" w:gutter="0" w:footer="0" w:header="0"/>
        </w:sectPr>
      </w:pPr>
    </w:p>
    <w:bookmarkStart w:id="5" w:name="page6"/>
    <w:bookmarkEnd w:id="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25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4" w:lineRule="exact"/>
        <w:rPr>
          <w:sz w:val="20"/>
          <w:szCs w:val="20"/>
          <w:color w:val="auto"/>
        </w:rPr>
      </w:pPr>
    </w:p>
    <w:tbl>
      <w:tblPr>
        <w:tblLayout w:type="fixed"/>
        <w:tblInd w:w="154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14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9"/>
        </w:trPr>
        <w:tc>
          <w:tcPr>
            <w:tcW w:w="9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141,221,712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4,567,643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(1,614,357)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2,950,232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238,200</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$ 3,188,432</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2019</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8,843</w:t>
            </w: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Cumulative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effect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adoption of</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ASC 842</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Interest rate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cap/swap</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Amortization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of share and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unit-based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6,664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6,665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declared ($0.75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(106,053)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(106,053)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(106,053)</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Distributions to</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(8,343)</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(8,343)</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Conversion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interests to</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Redemption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Adjustment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0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Balance at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141,332,786</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4,574,600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(1,714,789)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2,854,713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230,556</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$ 3,085,269</w:t>
            </w: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31, 2019</w:t>
            </w: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9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14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(Loss) Income</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9"/>
        </w:trPr>
        <w:tc>
          <w:tcPr>
            <w:tcW w:w="9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140,993,985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4,510,489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(830,279)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3,681,578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286,421</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$ 3,967,999</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2018</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(34,381)</w:t>
            </w: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Cumulative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effect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adoption of</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ASU 2014-09</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Interest rate</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Amortization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of share and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unit-based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13,611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13,612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declared ($0.74</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(104,707)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(104,707)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(104,707)</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Distributions to</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Conversion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interests to</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Redemption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82"/>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Adjustment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25,694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25,694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(25,694)</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0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Balance at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141,104,587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4,549,748</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(1,393,418)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3,157,760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250,825</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$ 3,408,585</w:t>
            </w: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31, 2018</w:t>
            </w: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0219"/>
          </w:cols>
          <w:pgMar w:left="240" w:top="120" w:right="1440" w:bottom="375" w:gutter="0" w:footer="0" w:header="0"/>
        </w:sectPr>
      </w:pPr>
    </w:p>
    <w:p>
      <w:pPr>
        <w:spacing w:after="0" w:line="35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19"/>
          </w:cols>
          <w:pgMar w:left="240" w:top="120" w:right="1440" w:bottom="375" w:gutter="0" w:footer="0" w:header="0"/>
          <w:type w:val="continuous"/>
        </w:sectPr>
      </w:pPr>
    </w:p>
    <w:bookmarkStart w:id="6" w:name="page7"/>
    <w:bookmarkEnd w:id="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11430</wp:posOffset>
            </wp:positionV>
            <wp:extent cx="12382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spacing w:after="0" w:line="75" w:lineRule="exact"/>
        <w:rPr>
          <w:sz w:val="20"/>
          <w:szCs w:val="20"/>
          <w:color w:val="auto"/>
        </w:rPr>
      </w:pPr>
    </w:p>
    <w:tbl>
      <w:tblPr>
        <w:tblLayout w:type="fixed"/>
        <w:tblInd w:w="1660" w:type="dxa"/>
        <w:tblCellMar>
          <w:top w:w="0" w:type="dxa"/>
          <w:left w:w="0" w:type="dxa"/>
          <w:bottom w:w="0" w:type="dxa"/>
          <w:right w:w="0" w:type="dxa"/>
        </w:tblCellMar>
      </w:tblPr>
      <w:tr>
        <w:trPr>
          <w:trHeight w:val="179"/>
        </w:trPr>
        <w:tc>
          <w:tcPr>
            <w:tcW w:w="6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8,843</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(34,381)</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on extinguishment of debt, net</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Loss on sale or write down of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6,316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37,512</w:t>
            </w: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83,233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81,524</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Amortization of premium on mortgage notes payable</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Amortization of share and unit-based plans</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11,003</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Straight-line rent and amortization of above and below market leases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Equity in income of unconsolidated joint ventures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(16,872)</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Distributions of income from unconsolidated joint ventures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4"/>
        </w:trPr>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Change in fair value of financing arrangement obligation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Changes in assets and liabilities, net of dispositions: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Tenant and other receivables</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11,699</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9,284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11,473</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Due from affiliates</w:t>
            </w:r>
          </w:p>
        </w:tc>
        <w:tc>
          <w:tcPr>
            <w:tcW w:w="20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8,715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13,239</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(17,893)</w:t>
            </w:r>
          </w:p>
        </w:tc>
        <w:tc>
          <w:tcPr>
            <w:tcW w:w="0" w:type="dxa"/>
            <w:vAlign w:val="bottom"/>
          </w:tcPr>
          <w:p>
            <w:pPr>
              <w:spacing w:after="0"/>
              <w:rPr>
                <w:sz w:val="1"/>
                <w:szCs w:val="1"/>
                <w:color w:val="auto"/>
              </w:rPr>
            </w:pPr>
          </w:p>
        </w:tc>
      </w:tr>
      <w:tr>
        <w:trPr>
          <w:trHeight w:val="25"/>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98,840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94,968</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Development, redevelopment, expansion and renovation of properties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(49,242)</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improvements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repayment of notes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65,348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leasing costs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(13,384)</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from unconsolidated joint ventures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41,439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418,333</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Contributions to unconsolidated joint ventures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(40,990)</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0" w:type="dxa"/>
            <w:vAlign w:val="bottom"/>
          </w:tcPr>
          <w:p>
            <w:pPr>
              <w:spacing w:after="0"/>
              <w:rPr>
                <w:sz w:val="1"/>
                <w:szCs w:val="1"/>
                <w:color w:val="auto"/>
              </w:rPr>
            </w:pPr>
          </w:p>
        </w:tc>
      </w:tr>
      <w:tr>
        <w:trPr>
          <w:trHeight w:val="216"/>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311,401</w:t>
            </w:r>
          </w:p>
        </w:tc>
        <w:tc>
          <w:tcPr>
            <w:tcW w:w="0" w:type="dxa"/>
            <w:vAlign w:val="bottom"/>
          </w:tcPr>
          <w:p>
            <w:pPr>
              <w:spacing w:after="0"/>
              <w:rPr>
                <w:sz w:val="1"/>
                <w:szCs w:val="1"/>
                <w:color w:val="auto"/>
              </w:rPr>
            </w:pPr>
          </w:p>
        </w:tc>
      </w:tr>
      <w:tr>
        <w:trPr>
          <w:trHeight w:val="25"/>
        </w:trPr>
        <w:tc>
          <w:tcPr>
            <w:tcW w:w="6160" w:type="dxa"/>
            <w:vAlign w:val="bottom"/>
            <w:vMerge w:val="restart"/>
          </w:tcPr>
          <w:p>
            <w:pPr>
              <w:ind w:left="4020"/>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6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0" w:right="1440" w:bottom="1440" w:gutter="0" w:footer="0" w:header="0"/>
        </w:sectPr>
      </w:pPr>
    </w:p>
    <w:bookmarkStart w:id="7" w:name="page8"/>
    <w:bookmarkEnd w:id="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1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9" w:lineRule="exact"/>
        <w:rPr>
          <w:sz w:val="20"/>
          <w:szCs w:val="20"/>
          <w:color w:val="auto"/>
        </w:rPr>
      </w:pPr>
    </w:p>
    <w:tbl>
      <w:tblPr>
        <w:tblLayout w:type="fixed"/>
        <w:tblInd w:w="1660" w:type="dxa"/>
        <w:tblCellMar>
          <w:top w:w="0" w:type="dxa"/>
          <w:left w:w="0" w:type="dxa"/>
          <w:bottom w:w="0" w:type="dxa"/>
          <w:right w:w="0" w:type="dxa"/>
        </w:tblCellMar>
      </w:tblPr>
      <w:tr>
        <w:trPr>
          <w:trHeight w:val="251"/>
        </w:trPr>
        <w:tc>
          <w:tcPr>
            <w:tcW w:w="6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mortgages, bank and other notes payable</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mortgages, bank and other notes payable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(387,643)</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financing costs</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deposits</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of noncontrolling interests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 and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(113,782)</w:t>
            </w:r>
          </w:p>
        </w:tc>
        <w:tc>
          <w:tcPr>
            <w:tcW w:w="0" w:type="dxa"/>
            <w:vAlign w:val="bottom"/>
          </w:tcPr>
          <w:p>
            <w:pPr>
              <w:spacing w:after="0"/>
              <w:rPr>
                <w:sz w:val="1"/>
                <w:szCs w:val="1"/>
                <w:color w:val="auto"/>
              </w:rPr>
            </w:pPr>
          </w:p>
        </w:tc>
      </w:tr>
      <w:tr>
        <w:trPr>
          <w:trHeight w:val="216"/>
        </w:trPr>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(381,622)</w:t>
            </w:r>
          </w:p>
        </w:tc>
        <w:tc>
          <w:tcPr>
            <w:tcW w:w="0" w:type="dxa"/>
            <w:vAlign w:val="bottom"/>
          </w:tcPr>
          <w:p>
            <w:pPr>
              <w:spacing w:after="0"/>
              <w:rPr>
                <w:sz w:val="1"/>
                <w:szCs w:val="1"/>
                <w:color w:val="auto"/>
              </w:rPr>
            </w:pPr>
          </w:p>
        </w:tc>
      </w:tr>
      <w:tr>
        <w:trPr>
          <w:trHeight w:val="25"/>
        </w:trPr>
        <w:tc>
          <w:tcPr>
            <w:tcW w:w="6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4,774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24,747</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6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149,301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143,105</w:t>
            </w:r>
          </w:p>
        </w:tc>
        <w:tc>
          <w:tcPr>
            <w:tcW w:w="0" w:type="dxa"/>
            <w:vAlign w:val="bottom"/>
          </w:tcPr>
          <w:p>
            <w:pPr>
              <w:spacing w:after="0"/>
              <w:rPr>
                <w:sz w:val="1"/>
                <w:szCs w:val="1"/>
                <w:color w:val="auto"/>
              </w:rPr>
            </w:pPr>
          </w:p>
        </w:tc>
      </w:tr>
      <w:tr>
        <w:trPr>
          <w:trHeight w:val="25"/>
        </w:trPr>
        <w:tc>
          <w:tcPr>
            <w:tcW w:w="6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154,075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167,852</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payments for interest, net of amounts capitalized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50,650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46,418</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transactions: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8"/>
              </w:rPr>
              <w:t>Accrued development costs included in accounts payable and accrued expenses and other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42,539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36,286</w:t>
            </w:r>
          </w:p>
        </w:tc>
        <w:tc>
          <w:tcPr>
            <w:tcW w:w="0" w:type="dxa"/>
            <w:vAlign w:val="bottom"/>
          </w:tcPr>
          <w:p>
            <w:pPr>
              <w:spacing w:after="0"/>
              <w:rPr>
                <w:sz w:val="1"/>
                <w:szCs w:val="1"/>
                <w:color w:val="auto"/>
              </w:rPr>
            </w:pPr>
          </w:p>
        </w:tc>
      </w:tr>
      <w:tr>
        <w:trPr>
          <w:trHeight w:val="222"/>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219"/>
          </w:cols>
          <w:pgMar w:left="240" w:top="120" w:right="1440" w:bottom="1440" w:gutter="0" w:footer="0" w:header="0"/>
        </w:sectPr>
      </w:pPr>
    </w:p>
    <w:bookmarkStart w:id="8" w:name="page9"/>
    <w:bookmarkEnd w:id="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56" w:lineRule="exact"/>
        <w:rPr>
          <w:sz w:val="20"/>
          <w:szCs w:val="20"/>
          <w:color w:val="auto"/>
        </w:rPr>
      </w:pPr>
    </w:p>
    <w:p>
      <w:pPr>
        <w:ind w:right="700" w:firstLine="398"/>
        <w:spacing w:after="0" w:line="268" w:lineRule="auto"/>
        <w:rPr>
          <w:sz w:val="20"/>
          <w:szCs w:val="20"/>
          <w:color w:val="auto"/>
        </w:rPr>
      </w:pPr>
      <w:r>
        <w:rPr>
          <w:rFonts w:ascii="Times New Roman" w:cs="Times New Roman" w:eastAsia="Times New Roman" w:hAnsi="Times New Roman"/>
          <w:sz w:val="17"/>
          <w:szCs w:val="17"/>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09" w:lineRule="exact"/>
        <w:rPr>
          <w:sz w:val="20"/>
          <w:szCs w:val="20"/>
          <w:color w:val="auto"/>
        </w:rPr>
      </w:pPr>
    </w:p>
    <w:p>
      <w:pPr>
        <w:ind w:firstLine="398"/>
        <w:spacing w:after="0" w:line="256" w:lineRule="auto"/>
        <w:rPr>
          <w:sz w:val="20"/>
          <w:szCs w:val="20"/>
          <w:color w:val="auto"/>
        </w:rPr>
      </w:pPr>
      <w:r>
        <w:rPr>
          <w:rFonts w:ascii="Times New Roman" w:cs="Times New Roman" w:eastAsia="Times New Roman" w:hAnsi="Times New Roman"/>
          <w:sz w:val="17"/>
          <w:szCs w:val="17"/>
          <w:color w:val="auto"/>
        </w:rPr>
        <w:t>The Company commenced operations effective with the completion of its initial public offering on March 16, 1994. As of March 31, 2019,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19" w:lineRule="exact"/>
        <w:rPr>
          <w:sz w:val="20"/>
          <w:szCs w:val="20"/>
          <w:color w:val="auto"/>
        </w:rPr>
      </w:pPr>
    </w:p>
    <w:p>
      <w:pPr>
        <w:ind w:right="100" w:firstLine="398"/>
        <w:spacing w:after="0" w:line="248" w:lineRule="auto"/>
        <w:rPr>
          <w:sz w:val="20"/>
          <w:szCs w:val="20"/>
          <w:color w:val="auto"/>
        </w:rPr>
      </w:pPr>
      <w:r>
        <w:rPr>
          <w:rFonts w:ascii="Times New Roman" w:cs="Times New Roman" w:eastAsia="Times New Roman" w:hAnsi="Times New Roman"/>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229" w:lineRule="exact"/>
        <w:rPr>
          <w:sz w:val="20"/>
          <w:szCs w:val="20"/>
          <w:color w:val="auto"/>
        </w:rPr>
      </w:pPr>
    </w:p>
    <w:p>
      <w:pPr>
        <w:ind w:right="80" w:firstLine="398"/>
        <w:spacing w:after="0" w:line="268" w:lineRule="auto"/>
        <w:rPr>
          <w:sz w:val="20"/>
          <w:szCs w:val="20"/>
          <w:color w:val="auto"/>
        </w:rPr>
      </w:pPr>
      <w:r>
        <w:rPr>
          <w:rFonts w:ascii="Times New Roman" w:cs="Times New Roman" w:eastAsia="Times New Roman" w:hAnsi="Times New Roman"/>
          <w:sz w:val="17"/>
          <w:szCs w:val="17"/>
          <w:color w:val="auto"/>
        </w:rPr>
        <w:t>All references to the Company in this Quarterly Report on Form 10-Q include the Company, those entities owned or controlled by the Company and predecessors of the Company, unless the context indicates otherwise.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4" w:lineRule="exact"/>
        <w:rPr>
          <w:sz w:val="20"/>
          <w:szCs w:val="20"/>
          <w:color w:val="auto"/>
        </w:rPr>
      </w:pPr>
    </w:p>
    <w:p>
      <w:pPr>
        <w:jc w:val="both"/>
        <w:ind w:right="40" w:firstLine="398"/>
        <w:spacing w:after="0" w:line="256"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219" w:lineRule="exact"/>
        <w:rPr>
          <w:sz w:val="20"/>
          <w:szCs w:val="20"/>
          <w:color w:val="auto"/>
        </w:rPr>
      </w:pPr>
    </w:p>
    <w:p>
      <w:pPr>
        <w:jc w:val="both"/>
        <w:ind w:right="20" w:firstLine="398"/>
        <w:spacing w:after="0" w:line="300" w:lineRule="auto"/>
        <w:rPr>
          <w:sz w:val="20"/>
          <w:szCs w:val="20"/>
          <w:color w:val="auto"/>
        </w:rPr>
      </w:pPr>
      <w:r>
        <w:rPr>
          <w:rFonts w:ascii="Times New Roman" w:cs="Times New Roman" w:eastAsia="Times New Roman" w:hAnsi="Times New Roman"/>
          <w:sz w:val="16"/>
          <w:szCs w:val="16"/>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Operating Partnership's consolidated VIEs included the following assets and liabilities:</w:t>
      </w:r>
    </w:p>
    <w:p>
      <w:pPr>
        <w:spacing w:after="0" w:line="382"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79"/>
        </w:trPr>
        <w:tc>
          <w:tcPr>
            <w:tcW w:w="5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4"/>
        </w:trPr>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263,511</w:t>
            </w:r>
          </w:p>
        </w:tc>
      </w:tr>
      <w:tr>
        <w:trPr>
          <w:trHeight w:val="25"/>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23,001</w:t>
            </w:r>
          </w:p>
        </w:tc>
      </w:tr>
      <w:tr>
        <w:trPr>
          <w:trHeight w:val="275"/>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287,344</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286,512</w:t>
            </w:r>
          </w:p>
        </w:tc>
      </w:tr>
      <w:tr>
        <w:trPr>
          <w:trHeight w:val="212"/>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24"/>
        </w:trPr>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notes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125,273</w:t>
            </w:r>
          </w:p>
        </w:tc>
      </w:tr>
      <w:tr>
        <w:trPr>
          <w:trHeight w:val="25"/>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32,503</w:t>
            </w:r>
          </w:p>
        </w:tc>
      </w:tr>
      <w:tr>
        <w:trPr>
          <w:trHeight w:val="235"/>
        </w:trPr>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157,391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157,776</w:t>
            </w: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intercompany accounts and transactions have been eliminated in the consolidated financial statements.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380"/>
          </w:cols>
          <w:pgMar w:left="240" w:top="120" w:right="279" w:bottom="1440" w:gutter="0" w:footer="0" w:header="0"/>
        </w:sectPr>
      </w:pPr>
    </w:p>
    <w:bookmarkStart w:id="9" w:name="page10"/>
    <w:bookmarkEnd w:id="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79"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The unaudited interim consolidated financial statements should be read in conjunction with the Company's audited consolidated financial statements and notes thereto included in the Company's Annual Report on Form 10-K for the year ended December 31, 2018.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2018 has been derived from the audited financial statements but does not include all disclosures required by GAAP.</w:t>
      </w:r>
    </w:p>
    <w:p>
      <w:pPr>
        <w:spacing w:after="0" w:line="102" w:lineRule="exact"/>
        <w:rPr>
          <w:sz w:val="20"/>
          <w:szCs w:val="20"/>
          <w:color w:val="auto"/>
        </w:rPr>
      </w:pPr>
    </w:p>
    <w:p>
      <w:pPr>
        <w:ind w:right="520" w:firstLine="360"/>
        <w:spacing w:after="0" w:line="268" w:lineRule="auto"/>
        <w:rPr>
          <w:sz w:val="20"/>
          <w:szCs w:val="20"/>
          <w:color w:val="auto"/>
        </w:rPr>
      </w:pPr>
      <w:r>
        <w:rPr>
          <w:rFonts w:ascii="Times New Roman" w:cs="Times New Roman" w:eastAsia="Times New Roman" w:hAnsi="Times New Roman"/>
          <w:sz w:val="17"/>
          <w:szCs w:val="17"/>
          <w:color w:val="auto"/>
        </w:rPr>
        <w:t>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11430</wp:posOffset>
            </wp:positionV>
            <wp:extent cx="11912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7620"/>
                    </a:xfrm>
                    <a:prstGeom prst="rect">
                      <a:avLst/>
                    </a:prstGeom>
                    <a:noFill/>
                  </pic:spPr>
                </pic:pic>
              </a:graphicData>
            </a:graphic>
          </wp:anchor>
        </w:drawing>
      </w:r>
    </w:p>
    <w:p>
      <w:pPr>
        <w:spacing w:after="0" w:line="75" w:lineRule="exact"/>
        <w:rPr>
          <w:sz w:val="20"/>
          <w:szCs w:val="20"/>
          <w:color w:val="auto"/>
        </w:rPr>
      </w:pPr>
    </w:p>
    <w:tbl>
      <w:tblPr>
        <w:tblLayout w:type="fixed"/>
        <w:tblInd w:w="1660" w:type="dxa"/>
        <w:tblCellMar>
          <w:top w:w="0" w:type="dxa"/>
          <w:left w:w="0" w:type="dxa"/>
          <w:bottom w:w="0" w:type="dxa"/>
          <w:right w:w="0" w:type="dxa"/>
        </w:tblCellMar>
      </w:tblPr>
      <w:tr>
        <w:trPr>
          <w:trHeight w:val="179"/>
        </w:trPr>
        <w:tc>
          <w:tcPr>
            <w:tcW w:w="6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102,711</w:t>
            </w:r>
          </w:p>
        </w:tc>
        <w:tc>
          <w:tcPr>
            <w:tcW w:w="8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91,038</w:t>
            </w:r>
          </w:p>
        </w:tc>
      </w:tr>
      <w:tr>
        <w:trPr>
          <w:trHeight w:val="25"/>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52,067</w:t>
            </w:r>
          </w:p>
        </w:tc>
      </w:tr>
      <w:tr>
        <w:trPr>
          <w:trHeight w:val="275"/>
        </w:trPr>
        <w:tc>
          <w:tcPr>
            <w:tcW w:w="6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149,301</w:t>
            </w:r>
          </w:p>
        </w:tc>
        <w:tc>
          <w:tcPr>
            <w:tcW w:w="8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143,105</w:t>
            </w:r>
          </w:p>
        </w:tc>
      </w:tr>
      <w:tr>
        <w:trPr>
          <w:trHeight w:val="21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111,022</w:t>
            </w:r>
          </w:p>
        </w:tc>
        <w:tc>
          <w:tcPr>
            <w:tcW w:w="8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118,175</w:t>
            </w:r>
          </w:p>
        </w:tc>
      </w:tr>
      <w:tr>
        <w:trPr>
          <w:trHeight w:val="25"/>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49,677</w:t>
            </w:r>
          </w:p>
        </w:tc>
      </w:tr>
      <w:tr>
        <w:trPr>
          <w:trHeight w:val="235"/>
        </w:trPr>
        <w:tc>
          <w:tcPr>
            <w:tcW w:w="6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154,075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167,852</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Adoption of New Lease Standard:</w:t>
      </w:r>
    </w:p>
    <w:p>
      <w:pPr>
        <w:spacing w:after="0" w:line="254" w:lineRule="exact"/>
        <w:rPr>
          <w:sz w:val="20"/>
          <w:szCs w:val="20"/>
          <w:color w:val="auto"/>
        </w:rPr>
      </w:pPr>
    </w:p>
    <w:p>
      <w:pPr>
        <w:ind w:right="40" w:firstLine="398"/>
        <w:spacing w:after="0" w:line="248" w:lineRule="auto"/>
        <w:rPr>
          <w:sz w:val="20"/>
          <w:szCs w:val="20"/>
          <w:color w:val="auto"/>
        </w:rPr>
      </w:pPr>
      <w:r>
        <w:rPr>
          <w:rFonts w:ascii="Times New Roman" w:cs="Times New Roman" w:eastAsia="Times New Roman" w:hAnsi="Times New Roman"/>
          <w:sz w:val="17"/>
          <w:szCs w:val="17"/>
          <w:color w:val="auto"/>
        </w:rPr>
        <w:t>On January 1, 2019, the Company adopted Accounting Standards Codification ("ASC") 842 "Leases", under the cumulative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229" w:lineRule="exact"/>
        <w:rPr>
          <w:sz w:val="20"/>
          <w:szCs w:val="20"/>
          <w:color w:val="auto"/>
        </w:rPr>
      </w:pPr>
    </w:p>
    <w:p>
      <w:pPr>
        <w:ind w:right="20" w:firstLine="398"/>
        <w:spacing w:after="0" w:line="246" w:lineRule="auto"/>
        <w:rPr>
          <w:sz w:val="20"/>
          <w:szCs w:val="20"/>
          <w:color w:val="auto"/>
        </w:rPr>
      </w:pPr>
      <w:r>
        <w:rPr>
          <w:rFonts w:ascii="Times New Roman" w:cs="Times New Roman" w:eastAsia="Times New Roman" w:hAnsi="Times New Roman"/>
          <w:sz w:val="17"/>
          <w:szCs w:val="17"/>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three months ended March 31, 2018, to conform to the presentation for the three months ended March 31, 2019.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 of operations. For comparison purposes, the Company has reclassified minimum rents, percentage rents, tenant recoveries and other leasing income to leasing revenue for the three months ended March 31, 2018, to conform to the presentation for the three months ended March 31,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420"/>
          </w:cols>
          <w:pgMar w:left="240" w:top="244" w:right="239" w:bottom="1440" w:gutter="0" w:footer="0" w:header="0"/>
        </w:sectPr>
      </w:pPr>
    </w:p>
    <w:bookmarkStart w:id="10" w:name="page11"/>
    <w:bookmarkEnd w:id="10"/>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that were in litigation or bankruptcy.</w:t>
      </w:r>
    </w:p>
    <w:p>
      <w:pPr>
        <w:spacing w:after="0" w:line="252" w:lineRule="exact"/>
        <w:rPr>
          <w:sz w:val="20"/>
          <w:szCs w:val="20"/>
          <w:color w:val="auto"/>
        </w:rPr>
      </w:pPr>
    </w:p>
    <w:p>
      <w:pPr>
        <w:ind w:left="1" w:firstLine="398"/>
        <w:spacing w:after="0" w:line="267" w:lineRule="auto"/>
        <w:rPr>
          <w:sz w:val="20"/>
          <w:szCs w:val="20"/>
          <w:color w:val="auto"/>
        </w:rPr>
      </w:pPr>
      <w:r>
        <w:rPr>
          <w:rFonts w:ascii="Times New Roman" w:cs="Times New Roman" w:eastAsia="Times New Roman" w:hAnsi="Times New Roman"/>
          <w:sz w:val="16"/>
          <w:szCs w:val="16"/>
          <w:color w:val="auto"/>
        </w:rPr>
        <w:t>The standard requires lessees to classify its leases as either finance or operating leases. The lessee records a right-of-use ("ROU") asset and a lease liability for all leases with a term of greater than twelve months, regardless of their lease classification. Upon adoption, the Company recognized initial ROU assets and corresponding lease liabilities of $109,299, representing the discounted value of future lease payments required for leases classified as operating leases. In addition, the Company reclassified $59,736 from deferred charges and other assets, net, $5,978 from accounts payable and accrued expenses and $4,342 from other accrued liabilities, relating to existing intangible assets and straight-line rent liabilities. The Company's lease liabilities were increased at adoption by $15,268 for lease liabilities associated with finance leases that were previously included in other accrued liabilities. See Note 8—Leases for further disclosure on the Company's adoption of the new standard.</w:t>
      </w:r>
    </w:p>
    <w:p>
      <w:pPr>
        <w:spacing w:after="0" w:line="21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7"/>
          <w:szCs w:val="17"/>
          <w:i w:val="1"/>
          <w:iCs w:val="1"/>
          <w:color w:val="auto"/>
        </w:rPr>
        <w:t>Other Recent Accounting Pronouncements:</w:t>
      </w:r>
    </w:p>
    <w:p>
      <w:pPr>
        <w:spacing w:after="0" w:line="254" w:lineRule="exact"/>
        <w:rPr>
          <w:sz w:val="20"/>
          <w:szCs w:val="20"/>
          <w:color w:val="auto"/>
        </w:rPr>
      </w:pPr>
    </w:p>
    <w:p>
      <w:pPr>
        <w:ind w:left="1" w:right="220" w:firstLine="398"/>
        <w:spacing w:after="0" w:line="252" w:lineRule="auto"/>
        <w:rPr>
          <w:sz w:val="20"/>
          <w:szCs w:val="20"/>
          <w:color w:val="auto"/>
        </w:rPr>
      </w:pPr>
      <w:r>
        <w:rPr>
          <w:rFonts w:ascii="Times New Roman" w:cs="Times New Roman" w:eastAsia="Times New Roman" w:hAnsi="Times New Roman"/>
          <w:sz w:val="17"/>
          <w:szCs w:val="17"/>
          <w:color w:val="auto"/>
        </w:rPr>
        <w:t>In August 2017, the FASB issued ASU 2017-12, “Targeted Improvements to Accounting for Hedging Activities,” which aims to (i) improve the transparency and understandability of information conveyed to financial statement users about an entity’s risk management activities by better aligning the entity’s financial reporting for hedging relationships with those risk management activities and (ii) reduce the complexity of and simplify the application of hedge accounting by preparers. The Company's adoption of the standard on January 1, 2019 did not have an impact on its consolidated financial statements.</w:t>
      </w:r>
    </w:p>
    <w:p>
      <w:pPr>
        <w:spacing w:after="0" w:line="2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3. Earnings Per Share ("EPS"):</w:t>
      </w:r>
    </w:p>
    <w:p>
      <w:pPr>
        <w:spacing w:after="0" w:line="256" w:lineRule="exact"/>
        <w:rPr>
          <w:sz w:val="20"/>
          <w:szCs w:val="20"/>
          <w:color w:val="auto"/>
        </w:rPr>
      </w:pPr>
    </w:p>
    <w:p>
      <w:pPr>
        <w:ind w:left="1" w:right="420" w:firstLine="398"/>
        <w:spacing w:after="0" w:line="268" w:lineRule="auto"/>
        <w:rPr>
          <w:sz w:val="20"/>
          <w:szCs w:val="20"/>
          <w:color w:val="auto"/>
        </w:rPr>
      </w:pPr>
      <w:r>
        <w:rPr>
          <w:rFonts w:ascii="Times New Roman" w:cs="Times New Roman" w:eastAsia="Times New Roman" w:hAnsi="Times New Roman"/>
          <w:sz w:val="17"/>
          <w:szCs w:val="17"/>
          <w:color w:val="auto"/>
        </w:rPr>
        <w:t>The following table reconciles the numerator and denominator used in the computation of EPS for the three months ended March 31, 2019 and 2018 (shares in thousands):</w:t>
      </w:r>
    </w:p>
    <w:p>
      <w:pPr>
        <w:spacing w:after="0" w:line="216" w:lineRule="exact"/>
        <w:rPr>
          <w:sz w:val="20"/>
          <w:szCs w:val="20"/>
          <w:color w:val="auto"/>
        </w:rPr>
      </w:pPr>
    </w:p>
    <w:tbl>
      <w:tblPr>
        <w:tblLayout w:type="fixed"/>
        <w:tblInd w:w="1481"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26"/>
        </w:trPr>
        <w:tc>
          <w:tcPr>
            <w:tcW w:w="920" w:type="dxa"/>
            <w:vAlign w:val="bottom"/>
          </w:tcPr>
          <w:p>
            <w:pPr>
              <w:spacing w:after="0"/>
              <w:rPr>
                <w:sz w:val="19"/>
                <w:szCs w:val="19"/>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(34,381)</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92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the Company</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(33,573)</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92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Allocation of earnings to participating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49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7"/>
                <w:szCs w:val="17"/>
                <w:color w:val="auto"/>
              </w:rPr>
              <w:t>Numerator for basic and diluted EPS—net income attributable to</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7,543</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(33,817)</w:t>
            </w: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common stockholders</w:t>
            </w:r>
          </w:p>
        </w:tc>
        <w:tc>
          <w:tcPr>
            <w:tcW w:w="140" w:type="dxa"/>
            <w:vAlign w:val="bottom"/>
            <w:tcBorders>
              <w:bottom w:val="single" w:sz="8" w:color="auto"/>
            </w:tcBorders>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Denominator for basic EPS—weighted average number of common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outstanding</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141,262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141,024</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20" w:type="dxa"/>
            <w:vAlign w:val="bottom"/>
          </w:tcPr>
          <w:p>
            <w:pPr>
              <w:spacing w:after="0"/>
              <w:rPr>
                <w:sz w:val="19"/>
                <w:szCs w:val="19"/>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securities(1):</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Share and unit-based compensation plans</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490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Denominator for diluted EPS—weighted average number of common</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141,262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141,050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outstanding</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EPS—net income (loss) attributable to common stockholders: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0" w:type="dxa"/>
            <w:vAlign w:val="bottom"/>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2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2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81" w:right="380" w:hanging="381"/>
        <w:spacing w:after="0" w:line="306" w:lineRule="auto"/>
        <w:tabs>
          <w:tab w:leader="none" w:pos="381"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90,619 convertible preferred partnership units for the three months ended March 31, 2019 and 2018, as their impact was antidilutive. Diluted EPS excludes 10,415,190 and 10,291,217 Operating Partnership units ("OP Units") for the three months ended March 31, 2019 and 2018, respectively, as their impact was antidilutive.</w:t>
      </w:r>
    </w:p>
    <w:p>
      <w:pPr>
        <w:sectPr>
          <w:pgSz w:w="11900" w:h="16838" w:orient="portrait"/>
          <w:cols w:equalWidth="0" w:num="1">
            <w:col w:w="11341"/>
          </w:cols>
          <w:pgMar w:left="239" w:top="244" w:right="319" w:bottom="1440" w:gutter="0" w:footer="0" w:header="0"/>
        </w:sectPr>
      </w:pP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341"/>
          </w:cols>
          <w:pgMar w:left="239" w:top="244" w:right="319" w:bottom="1440" w:gutter="0" w:footer="0" w:header="0"/>
          <w:type w:val="continuous"/>
        </w:sectPr>
      </w:pPr>
    </w:p>
    <w:bookmarkStart w:id="11" w:name="page12"/>
    <w:bookmarkEnd w:id="1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has made the following recent investments and dispositions in its unconsolidated joint ventures:</w:t>
      </w:r>
    </w:p>
    <w:p>
      <w:pPr>
        <w:spacing w:after="0" w:line="252" w:lineRule="exact"/>
        <w:rPr>
          <w:sz w:val="20"/>
          <w:szCs w:val="20"/>
          <w:color w:val="auto"/>
        </w:rPr>
      </w:pPr>
    </w:p>
    <w:p>
      <w:pPr>
        <w:ind w:right="20" w:firstLine="398"/>
        <w:spacing w:after="0" w:line="256" w:lineRule="auto"/>
        <w:rPr>
          <w:sz w:val="20"/>
          <w:szCs w:val="20"/>
          <w:color w:val="auto"/>
        </w:rPr>
      </w:pPr>
      <w:r>
        <w:rPr>
          <w:rFonts w:ascii="Times New Roman" w:cs="Times New Roman" w:eastAsia="Times New Roman" w:hAnsi="Times New Roman"/>
          <w:sz w:val="17"/>
          <w:szCs w:val="17"/>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19" w:lineRule="exact"/>
        <w:rPr>
          <w:sz w:val="20"/>
          <w:szCs w:val="20"/>
          <w:color w:val="auto"/>
        </w:rPr>
      </w:pPr>
    </w:p>
    <w:p>
      <w:pPr>
        <w:ind w:firstLine="398"/>
        <w:spacing w:after="0" w:line="247" w:lineRule="auto"/>
        <w:rPr>
          <w:sz w:val="20"/>
          <w:szCs w:val="20"/>
          <w:color w:val="auto"/>
        </w:rPr>
      </w:pPr>
      <w:r>
        <w:rPr>
          <w:rFonts w:ascii="Times New Roman" w:cs="Times New Roman" w:eastAsia="Times New Roman" w:hAnsi="Times New Roman"/>
          <w:sz w:val="17"/>
          <w:szCs w:val="17"/>
          <w:color w:val="auto"/>
        </w:rPr>
        <w:t>On March 1, 2018, the Company formed a 25/75 joint venture with Hudson Pacific Properties, whereby the Company agreed to contribute Westside Pavilion (also referred to as One Westside), a 680,000 square foot regional shopping center in Los Angeles, California in exchange for $142,500. From March 1, 2018 to August 31, 2018, the Company accounted for its interest in the property as a collaborative arrangement (See Note 15—Collaborative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 a $149,175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under the equity method of accounting.</w:t>
      </w:r>
    </w:p>
    <w:p>
      <w:pPr>
        <w:spacing w:after="0" w:line="227" w:lineRule="exact"/>
        <w:rPr>
          <w:sz w:val="20"/>
          <w:szCs w:val="20"/>
          <w:color w:val="auto"/>
        </w:rPr>
      </w:pPr>
    </w:p>
    <w:p>
      <w:pPr>
        <w:ind w:right="180" w:firstLine="398"/>
        <w:spacing w:after="0" w:line="252" w:lineRule="auto"/>
        <w:rPr>
          <w:sz w:val="20"/>
          <w:szCs w:val="20"/>
          <w:color w:val="auto"/>
        </w:rPr>
      </w:pPr>
      <w:r>
        <w:rPr>
          <w:rFonts w:ascii="Times New Roman" w:cs="Times New Roman" w:eastAsia="Times New Roman" w:hAnsi="Times New Roman"/>
          <w:sz w:val="17"/>
          <w:szCs w:val="17"/>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223" w:lineRule="exact"/>
        <w:rPr>
          <w:sz w:val="20"/>
          <w:szCs w:val="20"/>
          <w:color w:val="auto"/>
        </w:rPr>
      </w:pPr>
    </w:p>
    <w:p>
      <w:pPr>
        <w:ind w:right="140" w:firstLine="398"/>
        <w:spacing w:after="0" w:line="256" w:lineRule="auto"/>
        <w:rPr>
          <w:sz w:val="20"/>
          <w:szCs w:val="20"/>
          <w:color w:val="auto"/>
        </w:rPr>
      </w:pPr>
      <w:r>
        <w:rPr>
          <w:rFonts w:ascii="Times New Roman" w:cs="Times New Roman" w:eastAsia="Times New Roman" w:hAnsi="Times New Roman"/>
          <w:sz w:val="17"/>
          <w:szCs w:val="17"/>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joint venture expects to complete the first phase of the development in Fall 2021.</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20"/>
          </w:cols>
          <w:pgMar w:left="240" w:top="244" w:right="239" w:bottom="1440" w:gutter="0" w:footer="0" w:header="0"/>
        </w:sectPr>
      </w:pPr>
    </w:p>
    <w:bookmarkStart w:id="12" w:name="page13"/>
    <w:bookmarkEnd w:id="12"/>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355"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Combined and condensed balance sheets and statements of operations are presented below for all unconsolidated joint ventures.</w:t>
      </w:r>
    </w:p>
    <w:p>
      <w:pPr>
        <w:spacing w:after="0" w:line="248"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b w:val="1"/>
          <w:bCs w:val="1"/>
          <w:color w:val="auto"/>
        </w:rPr>
        <w:t>Combined and Condensed Balance Sheets of Unconsolidated Joint Ventures:</w:t>
      </w:r>
    </w:p>
    <w:p>
      <w:pPr>
        <w:spacing w:after="0" w:line="262" w:lineRule="exact"/>
        <w:rPr>
          <w:sz w:val="20"/>
          <w:szCs w:val="20"/>
          <w:color w:val="auto"/>
        </w:rPr>
      </w:pPr>
    </w:p>
    <w:tbl>
      <w:tblPr>
        <w:tblLayout w:type="fixed"/>
        <w:tblInd w:w="1481"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20" w:type="dxa"/>
            <w:vAlign w:val="bottom"/>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Assets(1):</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Property,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9,267,357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9,241,003</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777,348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703,861</w:t>
            </w:r>
          </w:p>
        </w:tc>
      </w:tr>
      <w:tr>
        <w:trPr>
          <w:trHeight w:val="275"/>
        </w:trPr>
        <w:tc>
          <w:tcPr>
            <w:tcW w:w="20" w:type="dxa"/>
            <w:vAlign w:val="bottom"/>
          </w:tcPr>
          <w:p>
            <w:pPr>
              <w:spacing w:after="0"/>
              <w:rPr>
                <w:sz w:val="23"/>
                <w:szCs w:val="23"/>
                <w:color w:val="auto"/>
              </w:rPr>
            </w:pPr>
          </w:p>
        </w:tc>
        <w:tc>
          <w:tcPr>
            <w:tcW w:w="6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10,044,705</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9,944,864</w:t>
            </w:r>
          </w:p>
        </w:tc>
      </w:tr>
      <w:tr>
        <w:trPr>
          <w:trHeight w:val="212"/>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partners' capital(1):</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Mortgage and other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6,053,545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6,050,930</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424,462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388,509</w:t>
            </w:r>
          </w:p>
        </w:tc>
      </w:tr>
      <w:tr>
        <w:trPr>
          <w:trHeight w:val="224"/>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Company's capital</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1,938,931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1,913,475</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Outside partners' capital</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1,627,767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1,591,950</w:t>
            </w:r>
          </w:p>
        </w:tc>
      </w:tr>
      <w:tr>
        <w:trPr>
          <w:trHeight w:val="275"/>
        </w:trPr>
        <w:tc>
          <w:tcPr>
            <w:tcW w:w="20" w:type="dxa"/>
            <w:vAlign w:val="bottom"/>
          </w:tcPr>
          <w:p>
            <w:pPr>
              <w:spacing w:after="0"/>
              <w:rPr>
                <w:sz w:val="23"/>
                <w:szCs w:val="23"/>
                <w:color w:val="auto"/>
              </w:rPr>
            </w:pPr>
          </w:p>
        </w:tc>
        <w:tc>
          <w:tcPr>
            <w:tcW w:w="6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10,044,705</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9,944,864</w:t>
            </w:r>
          </w:p>
        </w:tc>
      </w:tr>
      <w:tr>
        <w:trPr>
          <w:trHeight w:val="212"/>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Company's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1,938,931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1,913,475</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Basis adjustment(2)</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(535,808)</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1,411,446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1,377,667</w:t>
            </w:r>
          </w:p>
        </w:tc>
      </w:tr>
      <w:tr>
        <w:trPr>
          <w:trHeight w:val="65"/>
        </w:trPr>
        <w:tc>
          <w:tcPr>
            <w:tcW w:w="20" w:type="dxa"/>
            <w:vAlign w:val="bottom"/>
          </w:tcPr>
          <w:p>
            <w:pPr>
              <w:spacing w:after="0"/>
              <w:rPr>
                <w:sz w:val="5"/>
                <w:szCs w:val="5"/>
                <w:color w:val="auto"/>
              </w:rPr>
            </w:pPr>
          </w:p>
        </w:tc>
        <w:tc>
          <w:tcPr>
            <w:tcW w:w="49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75"/>
        </w:trPr>
        <w:tc>
          <w:tcPr>
            <w:tcW w:w="20" w:type="dxa"/>
            <w:vAlign w:val="bottom"/>
          </w:tcPr>
          <w:p>
            <w:pPr>
              <w:spacing w:after="0"/>
              <w:rPr>
                <w:sz w:val="23"/>
                <w:szCs w:val="23"/>
                <w:color w:val="auto"/>
              </w:rPr>
            </w:pPr>
          </w:p>
        </w:tc>
        <w:tc>
          <w:tcPr>
            <w:tcW w:w="4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Assets—Investments in unconsolidated joint ventures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1,528,080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1,492,655</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Liabilities—Distributions in excess of investments in unconsolidated joint ventures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(114,988)</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1,411,446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1,377,667</w:t>
            </w:r>
          </w:p>
        </w:tc>
      </w:tr>
      <w:tr>
        <w:trPr>
          <w:trHeight w:val="25"/>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220" w:lineRule="exact"/>
        <w:rPr>
          <w:sz w:val="20"/>
          <w:szCs w:val="20"/>
          <w:color w:val="auto"/>
        </w:rPr>
      </w:pPr>
    </w:p>
    <w:p>
      <w:pPr>
        <w:ind w:left="381" w:hanging="381"/>
        <w:spacing w:after="0" w:line="268" w:lineRule="auto"/>
        <w:tabs>
          <w:tab w:leader="none" w:pos="38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include the assets of $3,023,148 and $3,047,851 of Pacific Premier Retail LLC (the "PPR Portfolio") as of March 31, 2019 and December 31, 2018, respectively, and liabilities of $1,852,923 and $1,859,637 of the PPR Portfolio as of March 31, 2019 and December 31, 2018, respectively.</w:t>
      </w:r>
    </w:p>
    <w:p>
      <w:pPr>
        <w:spacing w:after="0" w:line="209" w:lineRule="exact"/>
        <w:rPr>
          <w:rFonts w:ascii="Times New Roman" w:cs="Times New Roman" w:eastAsia="Times New Roman" w:hAnsi="Times New Roman"/>
          <w:sz w:val="17"/>
          <w:szCs w:val="17"/>
          <w:color w:val="auto"/>
        </w:rPr>
      </w:pPr>
    </w:p>
    <w:p>
      <w:pPr>
        <w:ind w:left="381" w:hanging="381"/>
        <w:spacing w:after="0" w:line="256" w:lineRule="auto"/>
        <w:tabs>
          <w:tab w:leader="none" w:pos="38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$4,539 and $4,103 for the three months ended March 31, 2019 and 2018, respectively.</w:t>
      </w:r>
    </w:p>
    <w:p>
      <w:pPr>
        <w:spacing w:after="0" w:line="3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21"/>
          </w:cols>
          <w:pgMar w:left="239" w:top="244" w:right="439" w:bottom="1440" w:gutter="0" w:footer="0" w:header="0"/>
        </w:sectPr>
      </w:pPr>
    </w:p>
    <w:bookmarkStart w:id="13" w:name="page14"/>
    <w:bookmarkEnd w:id="13"/>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351"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b w:val="1"/>
          <w:bCs w:val="1"/>
          <w:color w:val="auto"/>
        </w:rPr>
        <w:t>Combined and Condensed Statements of Operations of Unconsolidated Joint Ventures:</w:t>
      </w:r>
    </w:p>
    <w:p>
      <w:pPr>
        <w:spacing w:after="0" w:line="200" w:lineRule="exact"/>
        <w:rPr>
          <w:sz w:val="20"/>
          <w:szCs w:val="20"/>
          <w:color w:val="auto"/>
        </w:rPr>
      </w:pPr>
    </w:p>
    <w:p>
      <w:pPr>
        <w:spacing w:after="0" w:line="261" w:lineRule="exact"/>
        <w:rPr>
          <w:sz w:val="20"/>
          <w:szCs w:val="20"/>
          <w:color w:val="auto"/>
        </w:rPr>
      </w:pPr>
    </w:p>
    <w:tbl>
      <w:tblPr>
        <w:tblLayout w:type="fixed"/>
        <w:tblInd w:w="2061"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PPR Portfolio</w:t>
            </w:r>
          </w:p>
        </w:tc>
        <w:tc>
          <w:tcPr>
            <w:tcW w:w="200" w:type="dxa"/>
            <w:vAlign w:val="bottom"/>
          </w:tcPr>
          <w:p>
            <w:pPr>
              <w:spacing w:after="0"/>
              <w:rPr>
                <w:sz w:val="11"/>
                <w:szCs w:val="11"/>
                <w:color w:val="auto"/>
              </w:rPr>
            </w:pPr>
          </w:p>
        </w:tc>
        <w:tc>
          <w:tcPr>
            <w:tcW w:w="9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Joint</w:t>
            </w:r>
          </w:p>
        </w:tc>
        <w:tc>
          <w:tcPr>
            <w:tcW w:w="260" w:type="dxa"/>
            <w:vAlign w:val="bottom"/>
          </w:tcPr>
          <w:p>
            <w:pPr>
              <w:spacing w:after="0"/>
              <w:rPr>
                <w:sz w:val="11"/>
                <w:szCs w:val="11"/>
                <w:color w:val="auto"/>
              </w:rPr>
            </w:pPr>
          </w:p>
        </w:tc>
        <w:tc>
          <w:tcPr>
            <w:tcW w:w="820" w:type="dxa"/>
            <w:vAlign w:val="bottom"/>
            <w:vMerge w:val="restart"/>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Ventures</w:t>
            </w: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Three Months Ended March 31, 2019</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Leasing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219,544</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12,246</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231,790</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Shopping center and operating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69,322</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Leasing expenses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53,862</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89,981</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215,339</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sale or write down of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Company's equity in 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12,243</w:t>
            </w: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Three Months Ended March 31, 2018</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Leasing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225,863</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8,439</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234,302</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Shopping center and operating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71,002</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49,758</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86,896</w:t>
            </w:r>
          </w:p>
        </w:tc>
        <w:tc>
          <w:tcPr>
            <w:tcW w:w="0" w:type="dxa"/>
            <w:vAlign w:val="bottom"/>
          </w:tcPr>
          <w:p>
            <w:pPr>
              <w:spacing w:after="0"/>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50,891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207,656</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or write down of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0" w:type="dxa"/>
            <w:vAlign w:val="bottom"/>
          </w:tcPr>
          <w:p>
            <w:pPr>
              <w:spacing w:after="0"/>
              <w:rPr>
                <w:sz w:val="1"/>
                <w:szCs w:val="1"/>
                <w:color w:val="auto"/>
              </w:rPr>
            </w:pPr>
          </w:p>
        </w:tc>
      </w:tr>
      <w:tr>
        <w:trPr>
          <w:trHeight w:val="275"/>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(5,303)</w:t>
            </w: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32,919</w:t>
            </w:r>
          </w:p>
        </w:tc>
        <w:tc>
          <w:tcPr>
            <w:tcW w:w="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27,616</w:t>
            </w:r>
          </w:p>
        </w:tc>
        <w:tc>
          <w:tcPr>
            <w:tcW w:w="0" w:type="dxa"/>
            <w:vAlign w:val="bottom"/>
          </w:tcPr>
          <w:p>
            <w:pPr>
              <w:spacing w:after="0"/>
              <w:rPr>
                <w:sz w:val="1"/>
                <w:szCs w:val="1"/>
                <w:color w:val="auto"/>
              </w:rPr>
            </w:pPr>
          </w:p>
        </w:tc>
      </w:tr>
      <w:tr>
        <w:trPr>
          <w:trHeight w:val="22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equity in 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01" w:hanging="401"/>
        <w:spacing w:after="0" w:line="573" w:lineRule="auto"/>
        <w:tabs>
          <w:tab w:leader="none" w:pos="3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includes $4,958 related to a mortgage notes payable to an affiliate of Northwestern Mutual Life ("NML") (See Note 18—Related Party Transactions). Significant accounting policies used by the unconsolidated joint ventures are similar to those used by the Company.</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01"/>
          </w:cols>
          <w:pgMar w:left="239" w:top="244" w:right="259" w:bottom="1440" w:gutter="0" w:footer="0" w:header="0"/>
        </w:sectPr>
      </w:pPr>
    </w:p>
    <w:bookmarkStart w:id="14" w:name="page15"/>
    <w:bookmarkEnd w:id="1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 and Hedging Activities:</w:t>
      </w:r>
    </w:p>
    <w:p>
      <w:pPr>
        <w:spacing w:after="0" w:line="256" w:lineRule="exact"/>
        <w:rPr>
          <w:sz w:val="20"/>
          <w:szCs w:val="20"/>
          <w:color w:val="auto"/>
        </w:rPr>
      </w:pPr>
    </w:p>
    <w:p>
      <w:pPr>
        <w:ind w:right="400" w:firstLine="398"/>
        <w:spacing w:after="0" w:line="300" w:lineRule="auto"/>
        <w:rPr>
          <w:sz w:val="20"/>
          <w:szCs w:val="20"/>
          <w:color w:val="auto"/>
        </w:rPr>
      </w:pPr>
      <w:r>
        <w:rPr>
          <w:rFonts w:ascii="Times New Roman" w:cs="Times New Roman" w:eastAsia="Times New Roman" w:hAnsi="Times New Roman"/>
          <w:sz w:val="16"/>
          <w:szCs w:val="16"/>
          <w:color w:val="auto"/>
        </w:rPr>
        <w:t>The Company uses interest rate cap and interest rate swap agreements to manage the interest rate risk of its floating rate debt. The Company recorded other comprehensive loss related to the marking-to-market of derivative instruments of $(2,045) and $61 for the three months ended March 31, 2019 and 2018, respectively.</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derivatives were outstanding at March 31, 2019:</w:t>
      </w:r>
    </w:p>
    <w:p>
      <w:pPr>
        <w:spacing w:after="0" w:line="200" w:lineRule="exact"/>
        <w:rPr>
          <w:sz w:val="20"/>
          <w:szCs w:val="20"/>
          <w:color w:val="auto"/>
        </w:rPr>
      </w:pP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3"/>
          </w:tcPr>
          <w:p>
            <w:pPr>
              <w:jc w:val="right"/>
              <w:ind w:right="765"/>
              <w:spacing w:after="0"/>
              <w:rPr>
                <w:sz w:val="20"/>
                <w:szCs w:val="20"/>
                <w:color w:val="auto"/>
              </w:rPr>
            </w:pPr>
            <w:r>
              <w:rPr>
                <w:rFonts w:ascii="Times New Roman" w:cs="Times New Roman" w:eastAsia="Times New Roman" w:hAnsi="Times New Roman"/>
                <w:sz w:val="15"/>
                <w:szCs w:val="15"/>
                <w:color w:val="auto"/>
              </w:rPr>
              <w:t>Fair Value</w:t>
            </w:r>
          </w:p>
        </w:tc>
      </w:tr>
      <w:tr>
        <w:trPr>
          <w:trHeight w:val="31"/>
        </w:trPr>
        <w:tc>
          <w:tcPr>
            <w:tcW w:w="2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27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Notional Amount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Product</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LIBOR Rate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Maturity</w:t>
            </w:r>
          </w:p>
        </w:tc>
        <w:tc>
          <w:tcPr>
            <w:tcW w:w="180" w:type="dxa"/>
            <w:vAlign w:val="bottom"/>
          </w:tcPr>
          <w:p>
            <w:pPr>
              <w:spacing w:after="0"/>
              <w:rPr>
                <w:sz w:val="18"/>
                <w:szCs w:val="18"/>
                <w:color w:val="auto"/>
              </w:rPr>
            </w:pPr>
          </w:p>
        </w:tc>
        <w:tc>
          <w:tcPr>
            <w:tcW w:w="98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3/31/2019</w:t>
            </w:r>
          </w:p>
        </w:tc>
        <w:tc>
          <w:tcPr>
            <w:tcW w:w="220" w:type="dxa"/>
            <w:vAlign w:val="bottom"/>
          </w:tcPr>
          <w:p>
            <w:pPr>
              <w:spacing w:after="0"/>
              <w:rPr>
                <w:sz w:val="18"/>
                <w:szCs w:val="18"/>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12/31/2018</w:t>
            </w:r>
          </w:p>
        </w:tc>
      </w:tr>
      <w:tr>
        <w:trPr>
          <w:trHeight w:val="31"/>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Santa Monica Place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300,000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12/9/2019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18"/>
        </w:trPr>
        <w:tc>
          <w:tcPr>
            <w:tcW w:w="27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The Macerich Partnership, L.P.</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400,000</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Swaps</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9/30/2021</w:t>
            </w:r>
          </w:p>
        </w:tc>
        <w:tc>
          <w:tcPr>
            <w:tcW w:w="100" w:type="dxa"/>
            <w:vAlign w:val="bottom"/>
          </w:tcPr>
          <w:p>
            <w:pPr>
              <w:spacing w:after="0"/>
              <w:rPr>
                <w:sz w:val="18"/>
                <w:szCs w:val="18"/>
                <w:color w:val="auto"/>
              </w:rPr>
            </w:pP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(6,511)</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(4,413)</w:t>
            </w:r>
          </w:p>
        </w:tc>
      </w:tr>
    </w:tbl>
    <w:p>
      <w:pPr>
        <w:spacing w:after="0" w:line="263" w:lineRule="exact"/>
        <w:rPr>
          <w:sz w:val="20"/>
          <w:szCs w:val="20"/>
          <w:color w:val="auto"/>
        </w:rPr>
      </w:pPr>
    </w:p>
    <w:p>
      <w:pPr>
        <w:ind w:right="60" w:firstLine="726"/>
        <w:spacing w:after="0" w:line="250" w:lineRule="auto"/>
        <w:rPr>
          <w:sz w:val="20"/>
          <w:szCs w:val="20"/>
          <w:color w:val="auto"/>
        </w:rPr>
      </w:pPr>
      <w:r>
        <w:rPr>
          <w:rFonts w:ascii="Times New Roman" w:cs="Times New Roman" w:eastAsia="Times New Roman" w:hAnsi="Times New Roman"/>
          <w:sz w:val="17"/>
          <w:szCs w:val="17"/>
          <w:color w:val="auto"/>
        </w:rPr>
        <w:t>The above derivative instruments were designated as hedging instruments with an aggregate fair value (Level 2 measurement) and were included in deferred charges and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24"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Property, net consists of the following:</w:t>
      </w:r>
    </w:p>
    <w:p>
      <w:pPr>
        <w:spacing w:after="0" w:line="258"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5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1,506,232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1,506,678</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6,292,157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6,288,308</w:t>
            </w:r>
          </w:p>
        </w:tc>
      </w:tr>
      <w:tr>
        <w:trPr>
          <w:trHeight w:val="25"/>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improvements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682,655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678,110</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furnishings(1)</w:t>
            </w:r>
          </w:p>
        </w:tc>
        <w:tc>
          <w:tcPr>
            <w:tcW w:w="1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210,709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206,398</w:t>
            </w:r>
          </w:p>
        </w:tc>
      </w:tr>
      <w:tr>
        <w:trPr>
          <w:trHeight w:val="25"/>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200,893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199,326</w:t>
            </w:r>
          </w:p>
        </w:tc>
      </w:tr>
      <w:tr>
        <w:trPr>
          <w:trHeight w:val="216"/>
        </w:trPr>
        <w:tc>
          <w:tcPr>
            <w:tcW w:w="5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8,892,646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8,878,820</w:t>
            </w:r>
          </w:p>
        </w:tc>
      </w:tr>
      <w:tr>
        <w:trPr>
          <w:trHeight w:val="25"/>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depreciation(1)</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(2,093,044)</w:t>
            </w:r>
          </w:p>
        </w:tc>
      </w:tr>
      <w:tr>
        <w:trPr>
          <w:trHeight w:val="216"/>
        </w:trPr>
        <w:tc>
          <w:tcPr>
            <w:tcW w:w="50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6,737,198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6,785,776</w:t>
            </w:r>
          </w:p>
        </w:tc>
      </w:tr>
      <w:tr>
        <w:trPr>
          <w:trHeight w:val="25"/>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40" w:right="60" w:hanging="444"/>
        <w:spacing w:after="0" w:line="268" w:lineRule="auto"/>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and furnishings and accumulated depreciation include the cost and accumulated amortization of ROU assets in connection with finance leases at March 31, 2019 (See Note 8—Leases).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Depreciation expense was $70,717 and $67,944 for the three months ended March 31, 2019 and 2018,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244" w:right="239" w:bottom="1440" w:gutter="0" w:footer="0" w:header="0"/>
        </w:sectPr>
      </w:pPr>
    </w:p>
    <w:bookmarkStart w:id="15" w:name="page16"/>
    <w:bookmarkEnd w:id="1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firstLine="398"/>
        <w:spacing w:after="0" w:line="252" w:lineRule="auto"/>
        <w:rPr>
          <w:sz w:val="20"/>
          <w:szCs w:val="20"/>
          <w:color w:val="auto"/>
        </w:rPr>
      </w:pPr>
      <w:r>
        <w:rPr>
          <w:rFonts w:ascii="Times New Roman" w:cs="Times New Roman" w:eastAsia="Times New Roman" w:hAnsi="Times New Roman"/>
          <w:sz w:val="17"/>
          <w:szCs w:val="17"/>
          <w:color w:val="auto"/>
        </w:rPr>
        <w:t>The loss on sale or write down of assets, net was $6,316 and $37,512 for the three months ended March 31, 2019 and 2018, respectively. The loss on sale or write down of assets, net for the three months ended March 31, 2019 consists of a write down of development costs of $6,850 offset in part by a gain of $534 on the sale of land. The loss on sale or write down of assets, net for the three months ended March 31, 2018 includes impairment losses of $36,338 on SouthPark Mall and $1,043 on Promenade at Casa Grande. The impairment losses were due to the reduction of the estimated holding periods of the properties.</w:t>
      </w:r>
    </w:p>
    <w:p>
      <w:pPr>
        <w:spacing w:after="0" w:line="98" w:lineRule="exact"/>
        <w:rPr>
          <w:sz w:val="20"/>
          <w:szCs w:val="20"/>
          <w:color w:val="auto"/>
        </w:rPr>
      </w:pPr>
    </w:p>
    <w:p>
      <w:pPr>
        <w:ind w:right="40" w:firstLine="596"/>
        <w:spacing w:after="0" w:line="268" w:lineRule="auto"/>
        <w:rPr>
          <w:sz w:val="20"/>
          <w:szCs w:val="20"/>
          <w:color w:val="auto"/>
        </w:rPr>
      </w:pPr>
      <w:r>
        <w:rPr>
          <w:rFonts w:ascii="Times New Roman" w:cs="Times New Roman" w:eastAsia="Times New Roman" w:hAnsi="Times New Roman"/>
          <w:sz w:val="17"/>
          <w:szCs w:val="17"/>
          <w:color w:val="auto"/>
        </w:rPr>
        <w:t>The following table summarizes certain of the Company's assets that were measured on a nonrecurring basis as a result of impairment losses recorded for the three months ended March 31, 2018, as described above:</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Quoted Prices in Active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9"/>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Markets for Identical</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Significant Other</w:t>
            </w:r>
          </w:p>
        </w:tc>
        <w:tc>
          <w:tcPr>
            <w:tcW w:w="120" w:type="dxa"/>
            <w:vAlign w:val="bottom"/>
          </w:tcPr>
          <w:p>
            <w:pPr>
              <w:spacing w:after="0"/>
              <w:rPr>
                <w:sz w:val="17"/>
                <w:szCs w:val="17"/>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Significant</w:t>
            </w:r>
          </w:p>
        </w:tc>
      </w:tr>
      <w:tr>
        <w:trPr>
          <w:trHeight w:val="248"/>
        </w:trPr>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4"/>
              </w:rPr>
              <w:t>Total Fair Value</w:t>
            </w:r>
          </w:p>
        </w:tc>
        <w:tc>
          <w:tcPr>
            <w:tcW w:w="100" w:type="dxa"/>
            <w:vAlign w:val="bottom"/>
          </w:tcPr>
          <w:p>
            <w:pPr>
              <w:spacing w:after="0"/>
              <w:rPr>
                <w:sz w:val="21"/>
                <w:szCs w:val="21"/>
                <w:color w:val="auto"/>
              </w:rPr>
            </w:pP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Unobservable Inputs</w:t>
            </w:r>
          </w:p>
        </w:tc>
        <w:tc>
          <w:tcPr>
            <w:tcW w:w="120" w:type="dxa"/>
            <w:vAlign w:val="bottom"/>
          </w:tcPr>
          <w:p>
            <w:pPr>
              <w:spacing w:after="0"/>
              <w:rPr>
                <w:sz w:val="21"/>
                <w:szCs w:val="21"/>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Unobservable Inputs</w:t>
            </w:r>
          </w:p>
        </w:tc>
      </w:tr>
      <w:tr>
        <w:trPr>
          <w:trHeight w:val="220"/>
        </w:trPr>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Measurement</w:t>
            </w:r>
          </w:p>
        </w:tc>
        <w:tc>
          <w:tcPr>
            <w:tcW w:w="100" w:type="dxa"/>
            <w:vAlign w:val="bottom"/>
          </w:tcPr>
          <w:p>
            <w:pPr>
              <w:spacing w:after="0"/>
              <w:rPr>
                <w:sz w:val="19"/>
                <w:szCs w:val="19"/>
                <w:color w:val="auto"/>
              </w:rPr>
            </w:pPr>
          </w:p>
        </w:tc>
        <w:tc>
          <w:tcPr>
            <w:tcW w:w="18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(Level 2)</w:t>
            </w:r>
          </w:p>
        </w:tc>
        <w:tc>
          <w:tcPr>
            <w:tcW w:w="120" w:type="dxa"/>
            <w:vAlign w:val="bottom"/>
          </w:tcPr>
          <w:p>
            <w:pPr>
              <w:spacing w:after="0"/>
              <w:rPr>
                <w:sz w:val="19"/>
                <w:szCs w:val="19"/>
                <w:color w:val="auto"/>
              </w:rPr>
            </w:pPr>
          </w:p>
        </w:tc>
        <w:tc>
          <w:tcPr>
            <w:tcW w:w="162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25"/>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2018</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   $</w:t>
            </w:r>
          </w:p>
        </w:tc>
        <w:tc>
          <w:tcPr>
            <w:tcW w:w="1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values relating to the impairments were based on sales contracts.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Tenant and Other Receivables, net:</w:t>
      </w:r>
    </w:p>
    <w:p>
      <w:pPr>
        <w:spacing w:after="0" w:line="256" w:lineRule="exact"/>
        <w:rPr>
          <w:sz w:val="20"/>
          <w:szCs w:val="20"/>
          <w:color w:val="auto"/>
        </w:rPr>
      </w:pPr>
    </w:p>
    <w:p>
      <w:pPr>
        <w:ind w:firstLine="398"/>
        <w:spacing w:after="0" w:line="256" w:lineRule="auto"/>
        <w:rPr>
          <w:sz w:val="20"/>
          <w:szCs w:val="20"/>
          <w:color w:val="auto"/>
        </w:rPr>
      </w:pPr>
      <w:r>
        <w:rPr>
          <w:rFonts w:ascii="Times New Roman" w:cs="Times New Roman" w:eastAsia="Times New Roman" w:hAnsi="Times New Roman"/>
          <w:sz w:val="17"/>
          <w:szCs w:val="17"/>
          <w:color w:val="auto"/>
        </w:rPr>
        <w:t>Included in tenant and other receivables, net is an allowance for doubtful accounts of $4,319 and $2,919 at March 31, 2019 and December 31, 2018, respectively. Also included in tenant and other receivables, net are accrued percentage rents of $1,280 and $8,949 at March 31, 2019 and December 31, 2018, respectively, and a deferred rent receivable due to straight-line rent adjustments of $74,041 and $72,456 at March 31, 2019 and December 31, 2018,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Lessor Leases:</w:t>
      </w:r>
    </w:p>
    <w:p>
      <w:pPr>
        <w:spacing w:after="0" w:line="254" w:lineRule="exact"/>
        <w:rPr>
          <w:sz w:val="20"/>
          <w:szCs w:val="20"/>
          <w:color w:val="auto"/>
        </w:rPr>
      </w:pPr>
    </w:p>
    <w:p>
      <w:pPr>
        <w:ind w:right="140" w:firstLine="398"/>
        <w:spacing w:after="0" w:line="250" w:lineRule="auto"/>
        <w:rPr>
          <w:sz w:val="20"/>
          <w:szCs w:val="20"/>
          <w:color w:val="auto"/>
        </w:rPr>
      </w:pPr>
      <w:r>
        <w:rPr>
          <w:rFonts w:ascii="Times New Roman" w:cs="Times New Roman" w:eastAsia="Times New Roman" w:hAnsi="Times New Roman"/>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components of leasing revenue for the three months ended March 31, 2019:</w:t>
      </w:r>
    </w:p>
    <w:p>
      <w:pPr>
        <w:spacing w:after="0" w:line="392" w:lineRule="exact"/>
        <w:rPr>
          <w:sz w:val="20"/>
          <w:szCs w:val="20"/>
          <w:color w:val="auto"/>
        </w:rPr>
      </w:pPr>
    </w:p>
    <w:tbl>
      <w:tblPr>
        <w:tblLayout w:type="fixed"/>
        <w:tblInd w:w="1040" w:type="dxa"/>
        <w:tblCellMar>
          <w:top w:w="0" w:type="dxa"/>
          <w:left w:w="0" w:type="dxa"/>
          <w:bottom w:w="0" w:type="dxa"/>
          <w:right w:w="0" w:type="dxa"/>
        </w:tblCellMar>
      </w:tblPr>
      <w:tr>
        <w:trPr>
          <w:trHeight w:val="248"/>
        </w:trPr>
        <w:tc>
          <w:tcPr>
            <w:tcW w:w="8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Leasing revenue - fixed payments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164,061</w:t>
            </w:r>
          </w:p>
        </w:tc>
      </w:tr>
      <w:tr>
        <w:trPr>
          <w:trHeight w:val="224"/>
        </w:trPr>
        <w:tc>
          <w:tcPr>
            <w:tcW w:w="84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Leasing revenue - variable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46,947</w:t>
            </w:r>
          </w:p>
        </w:tc>
      </w:tr>
      <w:tr>
        <w:trPr>
          <w:trHeight w:val="25"/>
        </w:trPr>
        <w:tc>
          <w:tcPr>
            <w:tcW w:w="7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8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Leasing revenue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211,008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20"/>
          </w:cols>
          <w:pgMar w:left="240" w:top="244" w:right="239" w:bottom="1440" w:gutter="0" w:footer="0" w:header="0"/>
        </w:sectPr>
      </w:pPr>
    </w:p>
    <w:bookmarkStart w:id="16" w:name="page17"/>
    <w:bookmarkEnd w:id="1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7420" w:type="dxa"/>
            <w:vAlign w:val="bottom"/>
            <w:gridSpan w:val="2"/>
          </w:tcPr>
          <w:p>
            <w:pPr>
              <w:jc w:val="center"/>
              <w:ind w:left="1317"/>
              <w:spacing w:after="0"/>
              <w:rPr>
                <w:sz w:val="20"/>
                <w:szCs w:val="20"/>
                <w:color w:val="auto"/>
              </w:rPr>
            </w:pPr>
            <w:r>
              <w:rPr>
                <w:rFonts w:ascii="Times New Roman" w:cs="Times New Roman" w:eastAsia="Times New Roman" w:hAnsi="Times New Roman"/>
                <w:sz w:val="17"/>
                <w:szCs w:val="17"/>
                <w:b w:val="1"/>
                <w:bCs w:val="1"/>
                <w:color w:val="auto"/>
                <w:w w:val="96"/>
              </w:rPr>
              <w:t>THE MACERICH COMPANY</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7"/>
        </w:trPr>
        <w:tc>
          <w:tcPr>
            <w:tcW w:w="1300" w:type="dxa"/>
            <w:vAlign w:val="bottom"/>
          </w:tcPr>
          <w:p>
            <w:pPr>
              <w:spacing w:after="0"/>
              <w:rPr>
                <w:sz w:val="24"/>
                <w:szCs w:val="24"/>
                <w:color w:val="auto"/>
              </w:rPr>
            </w:pPr>
          </w:p>
        </w:tc>
        <w:tc>
          <w:tcPr>
            <w:tcW w:w="7420" w:type="dxa"/>
            <w:vAlign w:val="bottom"/>
            <w:gridSpan w:val="2"/>
          </w:tcPr>
          <w:p>
            <w:pPr>
              <w:jc w:val="center"/>
              <w:ind w:left="1337"/>
              <w:spacing w:after="0"/>
              <w:rPr>
                <w:sz w:val="20"/>
                <w:szCs w:val="20"/>
                <w:color w:val="auto"/>
              </w:rPr>
            </w:pPr>
            <w:r>
              <w:rPr>
                <w:rFonts w:ascii="Times New Roman" w:cs="Times New Roman" w:eastAsia="Times New Roman" w:hAnsi="Times New Roman"/>
                <w:sz w:val="17"/>
                <w:szCs w:val="17"/>
                <w:b w:val="1"/>
                <w:bCs w:val="1"/>
                <w:color w:val="auto"/>
                <w:w w:val="96"/>
              </w:rPr>
              <w:t>NOTES TO CONSOLIDATED FINANCIAL STATEMENTS (Continued)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7"/>
        </w:trPr>
        <w:tc>
          <w:tcPr>
            <w:tcW w:w="1300" w:type="dxa"/>
            <w:vAlign w:val="bottom"/>
          </w:tcPr>
          <w:p>
            <w:pPr>
              <w:spacing w:after="0"/>
              <w:rPr>
                <w:sz w:val="24"/>
                <w:szCs w:val="24"/>
                <w:color w:val="auto"/>
              </w:rPr>
            </w:pPr>
          </w:p>
        </w:tc>
        <w:tc>
          <w:tcPr>
            <w:tcW w:w="7420" w:type="dxa"/>
            <w:vAlign w:val="bottom"/>
            <w:gridSpan w:val="2"/>
          </w:tcPr>
          <w:p>
            <w:pPr>
              <w:jc w:val="center"/>
              <w:ind w:left="1337"/>
              <w:spacing w:after="0"/>
              <w:rPr>
                <w:sz w:val="20"/>
                <w:szCs w:val="20"/>
                <w:color w:val="auto"/>
              </w:rPr>
            </w:pPr>
            <w:r>
              <w:rPr>
                <w:rFonts w:ascii="Times New Roman" w:cs="Times New Roman" w:eastAsia="Times New Roman" w:hAnsi="Times New Roman"/>
                <w:sz w:val="17"/>
                <w:szCs w:val="17"/>
                <w:b w:val="1"/>
                <w:bCs w:val="1"/>
                <w:color w:val="auto"/>
                <w:w w:val="97"/>
              </w:rPr>
              <w:t>(Dollars in thousands, except per share and square foot amounts)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7"/>
        </w:trPr>
        <w:tc>
          <w:tcPr>
            <w:tcW w:w="1300" w:type="dxa"/>
            <w:vAlign w:val="bottom"/>
          </w:tcPr>
          <w:p>
            <w:pPr>
              <w:spacing w:after="0"/>
              <w:rPr>
                <w:sz w:val="24"/>
                <w:szCs w:val="24"/>
                <w:color w:val="auto"/>
              </w:rPr>
            </w:pPr>
          </w:p>
        </w:tc>
        <w:tc>
          <w:tcPr>
            <w:tcW w:w="7420" w:type="dxa"/>
            <w:vAlign w:val="bottom"/>
            <w:gridSpan w:val="2"/>
          </w:tcPr>
          <w:p>
            <w:pPr>
              <w:jc w:val="center"/>
              <w:ind w:left="1317"/>
              <w:spacing w:after="0"/>
              <w:rPr>
                <w:sz w:val="20"/>
                <w:szCs w:val="20"/>
                <w:color w:val="auto"/>
              </w:rPr>
            </w:pPr>
            <w:r>
              <w:rPr>
                <w:rFonts w:ascii="Times New Roman" w:cs="Times New Roman" w:eastAsia="Times New Roman" w:hAnsi="Times New Roman"/>
                <w:sz w:val="17"/>
                <w:szCs w:val="17"/>
                <w:b w:val="1"/>
                <w:bCs w:val="1"/>
                <w:color w:val="auto"/>
                <w:w w:val="97"/>
              </w:rPr>
              <w:t>(Unaudited)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7"/>
        </w:trPr>
        <w:tc>
          <w:tcPr>
            <w:tcW w:w="8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8. Leases: (Continued)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minimum rental payments to the Company:</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2"/>
        </w:trPr>
        <w:tc>
          <w:tcPr>
            <w:tcW w:w="1300" w:type="dxa"/>
            <w:vAlign w:val="bottom"/>
          </w:tcPr>
          <w:p>
            <w:pPr>
              <w:spacing w:after="0"/>
              <w:rPr>
                <w:sz w:val="24"/>
                <w:szCs w:val="24"/>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ending March 31,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
        </w:trPr>
        <w:tc>
          <w:tcPr>
            <w:tcW w:w="8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1300" w:type="dxa"/>
            <w:vAlign w:val="bottom"/>
          </w:tcPr>
          <w:p>
            <w:pPr>
              <w:spacing w:after="0"/>
              <w:rPr>
                <w:sz w:val="19"/>
                <w:szCs w:val="19"/>
                <w:color w:val="auto"/>
              </w:rPr>
            </w:pPr>
          </w:p>
        </w:tc>
        <w:tc>
          <w:tcPr>
            <w:tcW w:w="6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502,144</w:t>
            </w:r>
          </w:p>
        </w:tc>
      </w:tr>
      <w:tr>
        <w:trPr>
          <w:trHeight w:val="224"/>
        </w:trPr>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2021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427,470</w:t>
            </w:r>
          </w:p>
        </w:tc>
      </w:tr>
      <w:tr>
        <w:trPr>
          <w:trHeight w:val="25"/>
        </w:trPr>
        <w:tc>
          <w:tcPr>
            <w:tcW w:w="8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130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369,955</w:t>
            </w:r>
          </w:p>
        </w:tc>
      </w:tr>
      <w:tr>
        <w:trPr>
          <w:trHeight w:val="224"/>
        </w:trPr>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2023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319,094</w:t>
            </w:r>
          </w:p>
        </w:tc>
      </w:tr>
      <w:tr>
        <w:trPr>
          <w:trHeight w:val="25"/>
        </w:trPr>
        <w:tc>
          <w:tcPr>
            <w:tcW w:w="8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130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273,412</w:t>
            </w:r>
          </w:p>
        </w:tc>
      </w:tr>
      <w:tr>
        <w:trPr>
          <w:trHeight w:val="224"/>
        </w:trPr>
        <w:tc>
          <w:tcPr>
            <w:tcW w:w="1300" w:type="dxa"/>
            <w:vAlign w:val="bottom"/>
          </w:tcPr>
          <w:p>
            <w:pPr>
              <w:spacing w:after="0"/>
              <w:rPr>
                <w:sz w:val="19"/>
                <w:szCs w:val="19"/>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769,564</w:t>
            </w:r>
          </w:p>
        </w:tc>
      </w:tr>
      <w:tr>
        <w:trPr>
          <w:trHeight w:val="25"/>
        </w:trPr>
        <w:tc>
          <w:tcPr>
            <w:tcW w:w="130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6"/>
        </w:trPr>
        <w:tc>
          <w:tcPr>
            <w:tcW w:w="1300" w:type="dxa"/>
            <w:vAlign w:val="bottom"/>
          </w:tcPr>
          <w:p>
            <w:pPr>
              <w:spacing w:after="0"/>
              <w:rPr>
                <w:sz w:val="20"/>
                <w:szCs w:val="20"/>
                <w:color w:val="auto"/>
              </w:rPr>
            </w:pPr>
          </w:p>
        </w:tc>
        <w:tc>
          <w:tcPr>
            <w:tcW w:w="6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2,661,639</w:t>
            </w:r>
          </w:p>
        </w:tc>
      </w:tr>
      <w:tr>
        <w:trPr>
          <w:trHeight w:val="20"/>
        </w:trPr>
        <w:tc>
          <w:tcPr>
            <w:tcW w:w="130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Lessee Leases:</w:t>
      </w:r>
    </w:p>
    <w:p>
      <w:pPr>
        <w:spacing w:after="0" w:line="254" w:lineRule="exact"/>
        <w:rPr>
          <w:sz w:val="20"/>
          <w:szCs w:val="20"/>
          <w:color w:val="auto"/>
        </w:rPr>
      </w:pPr>
    </w:p>
    <w:p>
      <w:pPr>
        <w:ind w:right="120" w:firstLine="398"/>
        <w:spacing w:after="0" w:line="256" w:lineRule="auto"/>
        <w:rPr>
          <w:sz w:val="20"/>
          <w:szCs w:val="20"/>
          <w:color w:val="auto"/>
        </w:rPr>
      </w:pPr>
      <w:r>
        <w:rPr>
          <w:rFonts w:ascii="Times New Roman" w:cs="Times New Roman" w:eastAsia="Times New Roman" w:hAnsi="Times New Roman"/>
          <w:sz w:val="17"/>
          <w:szCs w:val="17"/>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three finance leases that expire at various times through 2022.</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lease costs for the three months ended March 31, 2019:</w:t>
      </w:r>
    </w:p>
    <w:p>
      <w:pPr>
        <w:spacing w:after="0" w:line="392" w:lineRule="exact"/>
        <w:rPr>
          <w:sz w:val="20"/>
          <w:szCs w:val="20"/>
          <w:color w:val="auto"/>
        </w:rPr>
      </w:pPr>
    </w:p>
    <w:tbl>
      <w:tblPr>
        <w:tblLayout w:type="fixed"/>
        <w:tblInd w:w="2680" w:type="dxa"/>
        <w:tblCellMar>
          <w:top w:w="0" w:type="dxa"/>
          <w:left w:w="0" w:type="dxa"/>
          <w:bottom w:w="0" w:type="dxa"/>
          <w:right w:w="0" w:type="dxa"/>
        </w:tblCellMar>
      </w:tblPr>
      <w:tr>
        <w:trPr>
          <w:trHeight w:val="248"/>
        </w:trPr>
        <w:tc>
          <w:tcPr>
            <w:tcW w:w="4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Operating lease costs</w:t>
            </w:r>
          </w:p>
        </w:tc>
        <w:tc>
          <w:tcPr>
            <w:tcW w:w="5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w:t>
            </w:r>
          </w:p>
        </w:tc>
      </w:tr>
      <w:tr>
        <w:trPr>
          <w:trHeight w:val="224"/>
        </w:trPr>
        <w:tc>
          <w:tcPr>
            <w:tcW w:w="4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Finance lease costs:</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
        </w:trPr>
        <w:tc>
          <w:tcPr>
            <w:tcW w:w="4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4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r>
      <w:tr>
        <w:trPr>
          <w:trHeight w:val="224"/>
        </w:trPr>
        <w:tc>
          <w:tcPr>
            <w:tcW w:w="4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5"/>
        </w:trPr>
        <w:tc>
          <w:tcPr>
            <w:tcW w:w="4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4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Total lease costs</w:t>
            </w:r>
          </w:p>
        </w:tc>
        <w:tc>
          <w:tcPr>
            <w:tcW w:w="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w:t>
            </w:r>
          </w:p>
        </w:tc>
      </w:tr>
      <w:tr>
        <w:trPr>
          <w:trHeight w:val="20"/>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rental payments required under the leases are as follows:</w:t>
      </w:r>
    </w:p>
    <w:p>
      <w:pPr>
        <w:spacing w:after="0" w:line="277"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97"/>
              <w:spacing w:after="0"/>
              <w:rPr>
                <w:sz w:val="20"/>
                <w:szCs w:val="20"/>
                <w:color w:val="auto"/>
              </w:rPr>
            </w:pPr>
            <w:r>
              <w:rPr>
                <w:rFonts w:ascii="Times New Roman" w:cs="Times New Roman" w:eastAsia="Times New Roman" w:hAnsi="Times New Roman"/>
                <w:sz w:val="17"/>
                <w:szCs w:val="17"/>
                <w:color w:val="auto"/>
              </w:rPr>
              <w:t>March 31, 2019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gridSpan w:val="4"/>
          </w:tcPr>
          <w:p>
            <w:pPr>
              <w:jc w:val="right"/>
              <w:ind w:right="637"/>
              <w:spacing w:after="0"/>
              <w:rPr>
                <w:sz w:val="20"/>
                <w:szCs w:val="20"/>
                <w:color w:val="auto"/>
              </w:rPr>
            </w:pPr>
            <w:r>
              <w:rPr>
                <w:rFonts w:ascii="Times New Roman" w:cs="Times New Roman" w:eastAsia="Times New Roman" w:hAnsi="Times New Roman"/>
                <w:sz w:val="17"/>
                <w:szCs w:val="17"/>
                <w:color w:val="auto"/>
              </w:rPr>
              <w:t>December 31, 2018</w:t>
            </w:r>
          </w:p>
        </w:tc>
      </w:tr>
      <w:tr>
        <w:trPr>
          <w:trHeight w:val="25"/>
        </w:trPr>
        <w:tc>
          <w:tcPr>
            <w:tcW w:w="448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ending</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3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Finance Leases</w:t>
            </w:r>
          </w:p>
        </w:tc>
        <w:tc>
          <w:tcPr>
            <w:tcW w:w="10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tcPr>
          <w:p>
            <w:pPr>
              <w:spacing w:after="0"/>
              <w:rPr>
                <w:sz w:val="18"/>
                <w:szCs w:val="18"/>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7"/>
              </w:rPr>
              <w:t>Finance Leases</w:t>
            </w:r>
          </w:p>
        </w:tc>
      </w:tr>
      <w:tr>
        <w:trPr>
          <w:trHeight w:val="25"/>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12,635</w:t>
            </w:r>
          </w:p>
        </w:tc>
        <w:tc>
          <w:tcPr>
            <w:tcW w:w="100" w:type="dxa"/>
            <w:vAlign w:val="bottom"/>
          </w:tcPr>
          <w:p>
            <w:pPr>
              <w:spacing w:after="0"/>
              <w:rPr>
                <w:sz w:val="18"/>
                <w:szCs w:val="18"/>
                <w:color w:val="auto"/>
              </w:rPr>
            </w:pPr>
          </w:p>
        </w:tc>
        <w:tc>
          <w:tcPr>
            <w:tcW w:w="60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1,699</w:t>
            </w:r>
          </w:p>
        </w:tc>
        <w:tc>
          <w:tcPr>
            <w:tcW w:w="50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16,627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2,106</w:t>
            </w:r>
          </w:p>
        </w:tc>
      </w:tr>
      <w:tr>
        <w:trPr>
          <w:trHeight w:val="25"/>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17,144</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2,106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17,183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2,106</w:t>
            </w:r>
          </w:p>
        </w:tc>
      </w:tr>
      <w:tr>
        <w:trPr>
          <w:trHeight w:val="22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16,992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10,440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10,440</w:t>
            </w:r>
          </w:p>
        </w:tc>
      </w:tr>
      <w:tr>
        <w:trPr>
          <w:trHeight w:val="25"/>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16,855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17,450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2,418</w:t>
            </w:r>
          </w:p>
        </w:tc>
      </w:tr>
      <w:tr>
        <w:trPr>
          <w:trHeight w:val="22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11,043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140,403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140,562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undiscounted rental payments</w:t>
            </w:r>
          </w:p>
        </w:tc>
        <w:tc>
          <w:tcPr>
            <w:tcW w:w="120" w:type="dxa"/>
            <w:vAlign w:val="bottom"/>
            <w:tcBorders>
              <w:top w:val="single" w:sz="8" w:color="auto"/>
              <w:bottom w:val="single" w:sz="8" w:color="CCEEFF"/>
            </w:tcBorders>
          </w:tcPr>
          <w:p>
            <w:pPr>
              <w:spacing w:after="0"/>
              <w:rPr>
                <w:sz w:val="23"/>
                <w:szCs w:val="23"/>
                <w:color w:val="auto"/>
              </w:rPr>
            </w:pPr>
          </w:p>
        </w:tc>
        <w:tc>
          <w:tcPr>
            <w:tcW w:w="1320" w:type="dxa"/>
            <w:vAlign w:val="bottom"/>
            <w:tcBorders>
              <w:top w:val="single" w:sz="8" w:color="auto"/>
              <w:bottom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215,072</w:t>
            </w:r>
          </w:p>
        </w:tc>
        <w:tc>
          <w:tcPr>
            <w:tcW w:w="100" w:type="dxa"/>
            <w:vAlign w:val="bottom"/>
            <w:tcBorders>
              <w:top w:val="single" w:sz="8" w:color="auto"/>
              <w:bottom w:val="single" w:sz="8" w:color="CCEEFF"/>
            </w:tcBorders>
          </w:tcPr>
          <w:p>
            <w:pPr>
              <w:spacing w:after="0"/>
              <w:rPr>
                <w:sz w:val="23"/>
                <w:szCs w:val="23"/>
                <w:color w:val="auto"/>
              </w:rPr>
            </w:pPr>
          </w:p>
        </w:tc>
        <w:tc>
          <w:tcPr>
            <w:tcW w:w="600" w:type="dxa"/>
            <w:vAlign w:val="bottom"/>
            <w:tcBorders>
              <w:top w:val="single" w:sz="8" w:color="auto"/>
              <w:bottom w:val="single" w:sz="8" w:color="CCEEFF"/>
            </w:tcBorders>
          </w:tcPr>
          <w:p>
            <w:pPr>
              <w:spacing w:after="0"/>
              <w:rPr>
                <w:sz w:val="23"/>
                <w:szCs w:val="23"/>
                <w:color w:val="auto"/>
              </w:rPr>
            </w:pPr>
          </w:p>
        </w:tc>
        <w:tc>
          <w:tcPr>
            <w:tcW w:w="720" w:type="dxa"/>
            <w:vAlign w:val="bottom"/>
            <w:tcBorders>
              <w:top w:val="single" w:sz="8" w:color="auto"/>
              <w:bottom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16,663</w:t>
            </w:r>
          </w:p>
        </w:tc>
        <w:tc>
          <w:tcPr>
            <w:tcW w:w="100" w:type="dxa"/>
            <w:vAlign w:val="bottom"/>
            <w:tcBorders>
              <w:bottom w:val="single" w:sz="8" w:color="CCEEFF"/>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220,336</w:t>
            </w:r>
          </w:p>
        </w:tc>
        <w:tc>
          <w:tcPr>
            <w:tcW w:w="1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17,070</w:t>
            </w:r>
          </w:p>
        </w:tc>
      </w:tr>
      <w:tr>
        <w:trPr>
          <w:trHeight w:val="23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(107,957)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107,115</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14,990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Company's weighted average remaining lease term for its operating and finance leases at March 31, 2019 was 30.8 years and 2.4 years, respectively. The Company's weighted average incremental borrowing rate of its operating and finance leases at March 31, 2019 was 7.7% and 4.2%, respectively.</w:t>
      </w:r>
    </w:p>
    <w:p>
      <w:pPr>
        <w:sectPr>
          <w:pgSz w:w="11900" w:h="16838" w:orient="portrait"/>
          <w:cols w:equalWidth="0" w:num="1">
            <w:col w:w="11200"/>
          </w:cols>
          <w:pgMar w:left="240" w:top="244" w:right="459" w:bottom="1440" w:gutter="0" w:footer="0" w:header="0"/>
        </w:sectPr>
      </w:pPr>
    </w:p>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00"/>
          </w:cols>
          <w:pgMar w:left="240" w:top="244" w:right="459" w:bottom="1440" w:gutter="0" w:footer="0" w:header="0"/>
          <w:type w:val="continuous"/>
        </w:sectPr>
      </w:pPr>
    </w:p>
    <w:bookmarkStart w:id="17" w:name="page18"/>
    <w:bookmarkEnd w:id="1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Deferred Charges and Other Assets, net:</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Deferred charges and other assets, net consist of the following:</w:t>
      </w:r>
    </w:p>
    <w:p>
      <w:pPr>
        <w:spacing w:after="0" w:line="258"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28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280" w:type="dxa"/>
            <w:vAlign w:val="bottom"/>
          </w:tcPr>
          <w:p>
            <w:pPr>
              <w:spacing w:after="0"/>
              <w:rPr>
                <w:sz w:val="19"/>
                <w:szCs w:val="19"/>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226,885</w:t>
            </w: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80" w:type="dxa"/>
            <w:vAlign w:val="bottom"/>
          </w:tcPr>
          <w:p>
            <w:pPr>
              <w:spacing w:after="0"/>
              <w:rPr>
                <w:sz w:val="19"/>
                <w:szCs w:val="19"/>
                <w:color w:val="auto"/>
              </w:rPr>
            </w:pPr>
          </w:p>
        </w:tc>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In-place lease values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94,966</w:t>
            </w:r>
          </w:p>
        </w:tc>
      </w:tr>
      <w:tr>
        <w:trPr>
          <w:trHeight w:val="224"/>
        </w:trPr>
        <w:tc>
          <w:tcPr>
            <w:tcW w:w="280" w:type="dxa"/>
            <w:vAlign w:val="bottom"/>
          </w:tcPr>
          <w:p>
            <w:pPr>
              <w:spacing w:after="0"/>
              <w:rPr>
                <w:sz w:val="19"/>
                <w:szCs w:val="19"/>
                <w:color w:val="auto"/>
              </w:rPr>
            </w:pP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Leasing commissions and legal costs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23,508</w:t>
            </w: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80" w:type="dxa"/>
            <w:vAlign w:val="bottom"/>
          </w:tcPr>
          <w:p>
            <w:pPr>
              <w:spacing w:after="0"/>
              <w:rPr>
                <w:sz w:val="19"/>
                <w:szCs w:val="19"/>
                <w:color w:val="auto"/>
              </w:rPr>
            </w:pPr>
          </w:p>
        </w:tc>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Above-market leases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140,889</w:t>
            </w: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32,197</w:t>
            </w: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80" w:type="dxa"/>
            <w:vAlign w:val="bottom"/>
          </w:tcPr>
          <w:p>
            <w:pPr>
              <w:spacing w:after="0"/>
              <w:rPr>
                <w:sz w:val="19"/>
                <w:szCs w:val="19"/>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45,857</w:t>
            </w: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75,497</w:t>
            </w:r>
          </w:p>
        </w:tc>
      </w:tr>
      <w:tr>
        <w:trPr>
          <w:trHeight w:val="25"/>
        </w:trPr>
        <w:tc>
          <w:tcPr>
            <w:tcW w:w="28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28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639,799</w:t>
            </w: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(249,396)</w:t>
            </w:r>
          </w:p>
        </w:tc>
      </w:tr>
      <w:tr>
        <w:trPr>
          <w:trHeight w:val="25"/>
        </w:trPr>
        <w:tc>
          <w:tcPr>
            <w:tcW w:w="28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6"/>
        </w:trPr>
        <w:tc>
          <w:tcPr>
            <w:tcW w:w="28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390,403</w:t>
            </w:r>
          </w:p>
        </w:tc>
      </w:tr>
      <w:tr>
        <w:trPr>
          <w:trHeight w:val="20"/>
        </w:trPr>
        <w:tc>
          <w:tcPr>
            <w:tcW w:w="28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280" w:type="dxa"/>
            <w:vAlign w:val="bottom"/>
            <w:tcBorders>
              <w:bottom w:val="single" w:sz="8" w:color="auto"/>
            </w:tcBorders>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49" w:lineRule="exact"/>
        <w:rPr>
          <w:sz w:val="20"/>
          <w:szCs w:val="20"/>
          <w:color w:val="auto"/>
        </w:rPr>
      </w:pPr>
    </w:p>
    <w:p>
      <w:pPr>
        <w:ind w:left="900" w:hanging="304"/>
        <w:spacing w:after="0" w:line="256" w:lineRule="auto"/>
        <w:tabs>
          <w:tab w:leader="none" w:pos="9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Accumulated amortization includes $67,094 and $72,286 relating to in-place lease values, leasing commissions and legal costs at March 31, 2019 and December 31, 2018, respectively. Amortization expense of in-place lease values, leasing commissions and legal costs was $3,205 and $3,835 for the three months ended March 31, 2019 and 2018, respectively.</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allocated values of above-market leases and below-market leases consist of the following:</w:t>
      </w:r>
    </w:p>
    <w:p>
      <w:pPr>
        <w:spacing w:after="0" w:line="258"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28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280" w:type="dxa"/>
            <w:vAlign w:val="bottom"/>
          </w:tcPr>
          <w:p>
            <w:pPr>
              <w:spacing w:after="0"/>
              <w:rPr>
                <w:sz w:val="19"/>
                <w:szCs w:val="19"/>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Above-Market Leases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65,195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140,889</w:t>
            </w: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8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(49,847)</w:t>
            </w:r>
          </w:p>
        </w:tc>
      </w:tr>
      <w:tr>
        <w:trPr>
          <w:trHeight w:val="216"/>
        </w:trPr>
        <w:tc>
          <w:tcPr>
            <w:tcW w:w="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29,791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91,042</w:t>
            </w:r>
          </w:p>
        </w:tc>
      </w:tr>
      <w:tr>
        <w:trPr>
          <w:trHeight w:val="65"/>
        </w:trPr>
        <w:tc>
          <w:tcPr>
            <w:tcW w:w="280" w:type="dxa"/>
            <w:vAlign w:val="bottom"/>
          </w:tcPr>
          <w:p>
            <w:pPr>
              <w:spacing w:after="0"/>
              <w:rPr>
                <w:sz w:val="5"/>
                <w:szCs w:val="5"/>
                <w:color w:val="auto"/>
              </w:rPr>
            </w:pPr>
          </w:p>
        </w:tc>
        <w:tc>
          <w:tcPr>
            <w:tcW w:w="468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6"/>
        </w:trPr>
        <w:tc>
          <w:tcPr>
            <w:tcW w:w="280" w:type="dxa"/>
            <w:vAlign w:val="bottom"/>
          </w:tcPr>
          <w:p>
            <w:pPr>
              <w:spacing w:after="0"/>
              <w:rPr>
                <w:sz w:val="17"/>
                <w:szCs w:val="17"/>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Below-Market Leases(1)</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24"/>
        </w:trPr>
        <w:tc>
          <w:tcPr>
            <w:tcW w:w="2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102,621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108,330</w:t>
            </w: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28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(56,345)</w:t>
            </w:r>
          </w:p>
        </w:tc>
      </w:tr>
      <w:tr>
        <w:trPr>
          <w:trHeight w:val="216"/>
        </w:trPr>
        <w:tc>
          <w:tcPr>
            <w:tcW w:w="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47,325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51,985</w:t>
            </w:r>
          </w:p>
        </w:tc>
      </w:tr>
      <w:tr>
        <w:trPr>
          <w:trHeight w:val="25"/>
        </w:trPr>
        <w:tc>
          <w:tcPr>
            <w:tcW w:w="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1"/>
        </w:trPr>
        <w:tc>
          <w:tcPr>
            <w:tcW w:w="28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224" w:lineRule="exact"/>
        <w:rPr>
          <w:sz w:val="20"/>
          <w:szCs w:val="20"/>
          <w:color w:val="auto"/>
        </w:rPr>
      </w:pPr>
    </w:p>
    <w:p>
      <w:pPr>
        <w:ind w:left="600"/>
        <w:spacing w:after="0"/>
        <w:tabs>
          <w:tab w:leader="none" w:pos="88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Below-market leases are included in other accrued liabilities.</w:t>
      </w: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320"/>
          </w:cols>
          <w:pgMar w:left="240" w:top="244" w:right="339" w:bottom="1440" w:gutter="0" w:footer="0" w:header="0"/>
        </w:sectPr>
      </w:pPr>
    </w:p>
    <w:bookmarkStart w:id="18" w:name="page19"/>
    <w:bookmarkEnd w:id="1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Mortgage Notes Payable: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Mortgage notes payable at March 31, 2019 and December 31, 2018 consist of the following:</w:t>
      </w:r>
    </w:p>
    <w:p>
      <w:pPr>
        <w:spacing w:after="0" w:line="27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Carrying Amount of</w:t>
      </w:r>
    </w:p>
    <w:p>
      <w:pPr>
        <w:spacing w:after="0" w:line="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Mortgage Notes(1)</w:t>
      </w:r>
    </w:p>
    <w:p>
      <w:pPr>
        <w:spacing w:after="0" w:line="9" w:lineRule="exact"/>
        <w:rPr>
          <w:sz w:val="20"/>
          <w:szCs w:val="20"/>
          <w:color w:val="auto"/>
        </w:rPr>
      </w:pPr>
    </w:p>
    <w:tbl>
      <w:tblPr>
        <w:tblLayout w:type="fixed"/>
        <w:tblInd w:w="2660" w:type="dxa"/>
        <w:tblCellMar>
          <w:top w:w="0" w:type="dxa"/>
          <w:left w:w="0" w:type="dxa"/>
          <w:bottom w:w="0" w:type="dxa"/>
          <w:right w:w="0" w:type="dxa"/>
        </w:tblCellMar>
      </w:tblPr>
      <w:tr>
        <w:trPr>
          <w:trHeight w:val="129"/>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Monthly</w:t>
            </w: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0" w:type="dxa"/>
            <w:vAlign w:val="bottom"/>
          </w:tcPr>
          <w:p>
            <w:pPr>
              <w:spacing w:after="0"/>
              <w:rPr>
                <w:sz w:val="1"/>
                <w:szCs w:val="1"/>
                <w:color w:val="auto"/>
              </w:rPr>
            </w:pPr>
          </w:p>
        </w:tc>
      </w:tr>
      <w:tr>
        <w:trPr>
          <w:trHeight w:val="137"/>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Pledged as Collateral</w:t>
            </w:r>
          </w:p>
        </w:tc>
        <w:tc>
          <w:tcPr>
            <w:tcW w:w="100" w:type="dxa"/>
            <w:vAlign w:val="bottom"/>
            <w:vMerge w:val="restart"/>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Debt</w:t>
            </w: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Rate(2)</w:t>
            </w: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Service(3)</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Date(4)</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Chandler Fashion Center(5)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199,989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Danbury Fair Mall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202,158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Fashion Outlets of Chicago(6)</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46"/>
        </w:trPr>
        <w:tc>
          <w:tcPr>
            <w:tcW w:w="2100" w:type="dxa"/>
            <w:vAlign w:val="bottom"/>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Fashion Outlets of Niagara Falls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109,651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8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USA</w:t>
            </w: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Freehold Raceway Mall(5)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398,212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Fresno Fashion Fair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323,509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Green Acres Commons(7)</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Green Acres Mall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Kings Plaza Shopping Center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Oaks, The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Pacific View</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Queens Center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Santa Monica Place(8)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SanTan Village Regional Center(9)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Towne Mall</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25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Tucson La Encantada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65,361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24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Victor Valley, Mall of</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248"/>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Vintage Faire Mall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258,207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900" w:hanging="124"/>
        <w:spacing w:after="0"/>
        <w:tabs>
          <w:tab w:leader="none" w:pos="490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4,162,072   $   4,073,916</w:t>
      </w:r>
    </w:p>
    <w:p>
      <w:pPr>
        <w:spacing w:after="0" w:line="248" w:lineRule="exact"/>
        <w:rPr>
          <w:rFonts w:ascii="Times New Roman" w:cs="Times New Roman" w:eastAsia="Times New Roman" w:hAnsi="Times New Roman"/>
          <w:sz w:val="13"/>
          <w:szCs w:val="13"/>
          <w:color w:val="auto"/>
        </w:rPr>
      </w:pPr>
    </w:p>
    <w:p>
      <w:pPr>
        <w:ind w:left="740" w:hanging="368"/>
        <w:spacing w:after="0" w:line="257"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mortgage notes payable balances includes an unamortized debt premium. Debt premiums represent the excess of the fair value of debt over the principal value of debt assumed in various acquisitions and are amortized into interest expense over the remaining term of the related debt in a manner that approximates the effective interest method. The loan on Fashion Outlets of Niagara Falls USA had a premium of $1,469 and $1,701 at March 31, 2019 and December 31, 2018, respectively.</w:t>
      </w:r>
    </w:p>
    <w:p>
      <w:pPr>
        <w:spacing w:after="0" w:line="91" w:lineRule="exact"/>
        <w:rPr>
          <w:rFonts w:ascii="Times New Roman" w:cs="Times New Roman" w:eastAsia="Times New Roman" w:hAnsi="Times New Roman"/>
          <w:sz w:val="13"/>
          <w:szCs w:val="13"/>
          <w:color w:val="auto"/>
        </w:rPr>
      </w:pPr>
    </w:p>
    <w:p>
      <w:pPr>
        <w:ind w:left="740" w:right="380"/>
        <w:spacing w:after="0" w:line="27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$12,524 and $13,053 at March 31, 2019 and December 31, 2018, respectively.</w:t>
      </w:r>
    </w:p>
    <w:p>
      <w:pPr>
        <w:spacing w:after="0" w:line="204" w:lineRule="exact"/>
        <w:rPr>
          <w:rFonts w:ascii="Times New Roman" w:cs="Times New Roman" w:eastAsia="Times New Roman" w:hAnsi="Times New Roman"/>
          <w:sz w:val="13"/>
          <w:szCs w:val="13"/>
          <w:color w:val="auto"/>
        </w:rPr>
      </w:pPr>
    </w:p>
    <w:p>
      <w:pPr>
        <w:ind w:left="740" w:hanging="36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disclosed represents the effective interest rate, including the impact of debt premium and deferred finance costs.</w:t>
      </w:r>
    </w:p>
    <w:p>
      <w:pPr>
        <w:spacing w:after="0" w:line="248" w:lineRule="exact"/>
        <w:rPr>
          <w:rFonts w:ascii="Times New Roman" w:cs="Times New Roman" w:eastAsia="Times New Roman" w:hAnsi="Times New Roman"/>
          <w:sz w:val="13"/>
          <w:szCs w:val="13"/>
          <w:color w:val="auto"/>
        </w:rPr>
      </w:pPr>
    </w:p>
    <w:p>
      <w:pPr>
        <w:ind w:left="740" w:hanging="36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monthly debt service represents the payment of principal and interest.</w:t>
      </w:r>
    </w:p>
    <w:p>
      <w:pPr>
        <w:spacing w:after="0" w:line="248" w:lineRule="exact"/>
        <w:rPr>
          <w:rFonts w:ascii="Times New Roman" w:cs="Times New Roman" w:eastAsia="Times New Roman" w:hAnsi="Times New Roman"/>
          <w:sz w:val="13"/>
          <w:szCs w:val="13"/>
          <w:color w:val="auto"/>
        </w:rPr>
      </w:pPr>
    </w:p>
    <w:p>
      <w:pPr>
        <w:ind w:left="740" w:right="360" w:hanging="368"/>
        <w:spacing w:after="0" w:line="275"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04" w:lineRule="exact"/>
        <w:rPr>
          <w:rFonts w:ascii="Times New Roman" w:cs="Times New Roman" w:eastAsia="Times New Roman" w:hAnsi="Times New Roman"/>
          <w:sz w:val="13"/>
          <w:szCs w:val="13"/>
          <w:color w:val="auto"/>
        </w:rPr>
      </w:pPr>
    </w:p>
    <w:p>
      <w:pPr>
        <w:ind w:left="740" w:hanging="36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49.9% interest in the loan has been assumed by a third party in connection with the Company's joint venture in Chandler Freehold (See Note 12—Financing Arrangement).</w:t>
      </w:r>
    </w:p>
    <w:p>
      <w:pPr>
        <w:spacing w:after="0" w:line="248" w:lineRule="exact"/>
        <w:rPr>
          <w:rFonts w:ascii="Times New Roman" w:cs="Times New Roman" w:eastAsia="Times New Roman" w:hAnsi="Times New Roman"/>
          <w:sz w:val="13"/>
          <w:szCs w:val="13"/>
          <w:color w:val="auto"/>
        </w:rPr>
      </w:pPr>
    </w:p>
    <w:p>
      <w:pPr>
        <w:ind w:left="740" w:hanging="36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January 10, 2019, the Company replaced the existing loan on the property with a new $300,000 loan that bears interest at an effective rate of 4.61% and matures on February 1, 2031.</w:t>
      </w:r>
    </w:p>
    <w:p>
      <w:pPr>
        <w:spacing w:after="0" w:line="248" w:lineRule="exact"/>
        <w:rPr>
          <w:rFonts w:ascii="Times New Roman" w:cs="Times New Roman" w:eastAsia="Times New Roman" w:hAnsi="Times New Roman"/>
          <w:sz w:val="13"/>
          <w:szCs w:val="13"/>
          <w:color w:val="auto"/>
        </w:rPr>
      </w:pPr>
    </w:p>
    <w:p>
      <w:pPr>
        <w:ind w:left="740" w:hanging="36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loan bears interest at LIBOR plus 2.15%. At March 31, 2019 and December 31, 2018, the total interest rate was 5.20% and 5.06%, respectively.</w:t>
      </w:r>
    </w:p>
    <w:p>
      <w:pPr>
        <w:spacing w:after="0" w:line="248" w:lineRule="exact"/>
        <w:rPr>
          <w:rFonts w:ascii="Times New Roman" w:cs="Times New Roman" w:eastAsia="Times New Roman" w:hAnsi="Times New Roman"/>
          <w:sz w:val="13"/>
          <w:szCs w:val="13"/>
          <w:color w:val="auto"/>
        </w:rPr>
      </w:pPr>
    </w:p>
    <w:p>
      <w:pPr>
        <w:ind w:left="740" w:right="140" w:hanging="368"/>
        <w:spacing w:after="0" w:line="275"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loan bears interest at LIBOR plus 1.35%. The loan is covered by an interest rate cap agreement that effectively prevents LIBOR from exceeding 4.0% during the period ending December 9, 2019 (See Note 5—Derivative Instruments and Hedging Activities). At March 31, 2019 and December 31, 2018, the total interest rate was 4.08% and 4.01%,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-2673350</wp:posOffset>
            </wp:positionV>
            <wp:extent cx="104140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0" cy="23495"/>
                    </a:xfrm>
                    <a:prstGeom prst="rect">
                      <a:avLst/>
                    </a:prstGeom>
                    <a:noFill/>
                  </pic:spPr>
                </pic:pic>
              </a:graphicData>
            </a:graphic>
          </wp:anchor>
        </w:drawing>
      </w:r>
    </w:p>
    <w:p>
      <w:pPr>
        <w:sectPr>
          <w:pgSz w:w="11900" w:h="16838" w:orient="portrait"/>
          <w:cols w:equalWidth="0" w:num="1">
            <w:col w:w="11420"/>
          </w:cols>
          <w:pgMar w:left="240" w:top="244" w:right="239" w:bottom="144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244" w:right="239" w:bottom="1440" w:gutter="0" w:footer="0" w:header="0"/>
          <w:type w:val="continuous"/>
        </w:sectPr>
      </w:pPr>
    </w:p>
    <w:bookmarkStart w:id="19" w:name="page20"/>
    <w:bookmarkEnd w:id="1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Mortgage Notes Payable: (Continued)</w:t>
      </w:r>
    </w:p>
    <w:p>
      <w:pPr>
        <w:spacing w:after="0" w:line="200" w:lineRule="exact"/>
        <w:rPr>
          <w:sz w:val="20"/>
          <w:szCs w:val="20"/>
          <w:color w:val="auto"/>
        </w:rPr>
      </w:pPr>
    </w:p>
    <w:p>
      <w:pPr>
        <w:spacing w:after="0" w:line="276" w:lineRule="exact"/>
        <w:rPr>
          <w:sz w:val="20"/>
          <w:szCs w:val="20"/>
          <w:color w:val="auto"/>
        </w:rPr>
      </w:pPr>
    </w:p>
    <w:p>
      <w:pPr>
        <w:ind w:left="740" w:right="180" w:hanging="368"/>
        <w:spacing w:after="0" w:line="275"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13, 2019, the Company’s joint venture in SanTan Village Regional Center entered into a commitment for a ten-year $220,000 loan to replace the existing loan on the property. The new loan will bear interest at a fixed rate of 4.30% and is expected to close during the second quarter of 2019.</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Most of the mortgage loan agreements contain a prepayment penalty provision for the early extinguishment of the debt.</w:t>
      </w:r>
    </w:p>
    <w:p>
      <w:pPr>
        <w:spacing w:after="0" w:line="252" w:lineRule="exact"/>
        <w:rPr>
          <w:sz w:val="20"/>
          <w:szCs w:val="20"/>
          <w:color w:val="auto"/>
        </w:rPr>
      </w:pPr>
    </w:p>
    <w:p>
      <w:pPr>
        <w:ind w:right="540" w:firstLine="398"/>
        <w:spacing w:after="0" w:line="268" w:lineRule="auto"/>
        <w:rPr>
          <w:sz w:val="20"/>
          <w:szCs w:val="20"/>
          <w:color w:val="auto"/>
        </w:rPr>
      </w:pPr>
      <w:r>
        <w:rPr>
          <w:rFonts w:ascii="Times New Roman" w:cs="Times New Roman" w:eastAsia="Times New Roman" w:hAnsi="Times New Roman"/>
          <w:sz w:val="17"/>
          <w:szCs w:val="17"/>
          <w:color w:val="auto"/>
        </w:rPr>
        <w:t>The Company's mortgage notes payable are secured by the properties on which they are placed and with the exception of $65,000 of the loan on Green Acres Commons, are non-recourse to the Company.</w:t>
      </w:r>
    </w:p>
    <w:p>
      <w:pPr>
        <w:spacing w:after="0" w:line="209" w:lineRule="exact"/>
        <w:rPr>
          <w:sz w:val="20"/>
          <w:szCs w:val="20"/>
          <w:color w:val="auto"/>
        </w:rPr>
      </w:pPr>
    </w:p>
    <w:p>
      <w:pPr>
        <w:ind w:right="220" w:firstLine="398"/>
        <w:spacing w:after="0" w:line="268" w:lineRule="auto"/>
        <w:rPr>
          <w:sz w:val="20"/>
          <w:szCs w:val="20"/>
          <w:color w:val="auto"/>
        </w:rPr>
      </w:pPr>
      <w:r>
        <w:rPr>
          <w:rFonts w:ascii="Times New Roman" w:cs="Times New Roman" w:eastAsia="Times New Roman" w:hAnsi="Times New Roman"/>
          <w:sz w:val="17"/>
          <w:szCs w:val="17"/>
          <w:color w:val="auto"/>
        </w:rPr>
        <w:t>The Company expects that all loan maturities during the next twelve months will be refinanced, restructured, extended and/or paid-off from the Company's line of credit or with cash on hand.</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Total interest expense capitalized was $2,710 and $4,331 for the three months ended March 31, 2019 and 2018, respectively.</w:t>
      </w:r>
    </w:p>
    <w:p>
      <w:pPr>
        <w:spacing w:after="0" w:line="252" w:lineRule="exact"/>
        <w:rPr>
          <w:sz w:val="20"/>
          <w:szCs w:val="20"/>
          <w:color w:val="auto"/>
        </w:rPr>
      </w:pPr>
    </w:p>
    <w:p>
      <w:pPr>
        <w:ind w:right="40" w:firstLine="398"/>
        <w:spacing w:after="0" w:line="256" w:lineRule="auto"/>
        <w:rPr>
          <w:sz w:val="20"/>
          <w:szCs w:val="20"/>
          <w:color w:val="auto"/>
        </w:rPr>
      </w:pPr>
      <w:r>
        <w:rPr>
          <w:rFonts w:ascii="Times New Roman" w:cs="Times New Roman" w:eastAsia="Times New Roman" w:hAnsi="Times New Roman"/>
          <w:sz w:val="17"/>
          <w:szCs w:val="17"/>
          <w:color w:val="auto"/>
        </w:rPr>
        <w:t>The estimated fair value (Level 2 measurement) of mortgage notes payable at March 31, 2019 and December 31, 2018 was $4,209,689 and $4,082,448,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Bank and Other Notes Payable: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Bank and other notes payable consist of the following:</w:t>
      </w: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Line of Credit:</w:t>
      </w:r>
    </w:p>
    <w:p>
      <w:pPr>
        <w:spacing w:after="0" w:line="254" w:lineRule="exact"/>
        <w:rPr>
          <w:sz w:val="20"/>
          <w:szCs w:val="20"/>
          <w:color w:val="auto"/>
        </w:rPr>
      </w:pPr>
    </w:p>
    <w:p>
      <w:pPr>
        <w:ind w:right="80" w:firstLine="398"/>
        <w:spacing w:after="0" w:line="256" w:lineRule="auto"/>
        <w:rPr>
          <w:sz w:val="20"/>
          <w:szCs w:val="20"/>
          <w:color w:val="auto"/>
        </w:rPr>
      </w:pPr>
      <w:r>
        <w:rPr>
          <w:rFonts w:ascii="Times New Roman" w:cs="Times New Roman" w:eastAsia="Times New Roman" w:hAnsi="Times New Roman"/>
          <w:sz w:val="17"/>
          <w:szCs w:val="17"/>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19"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Based on the Company's leverage level as of March 31, 2019, the borrowing rate on the facility was LIBOR plus 1.45%. The Company has four interest rate swap agreements that effectively convert a total of $400,000 of the outstanding balance from floating rate debt of LIBOR plus 1.45% to fixed rate debt of 4.30% until September 30, 2021 (See Note 5—Derivative Instruments and Hedging Activities). As of March 31, 2019 and December 31, 2018, borrowings under the line of credit were $850,000 and $910,000, respectively, less unamortized deferred finance costs of $4,523 and $5,145, respectively, at a total interest rate of 4.20%. As of March 31, 2019 and December 31, 2018, the Company's availability under the line of credit for additional borrowings was $649,719 and $589,719, respectively, The estimated fair value (Level 2 measurement) of the line of credit at March 31, 2019 and December 31, 2018 was $855,862 and $912,163, respectively, based on a present value model using a credit interest rate spread offered to the Company for comparable debt.</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Prasada Note:</w:t>
      </w:r>
    </w:p>
    <w:p>
      <w:pPr>
        <w:spacing w:after="0" w:line="254"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7"/>
          <w:szCs w:val="17"/>
          <w:color w:val="auto"/>
        </w:rPr>
        <w:t>On March 29, 2013, the Company issued a $13,330 note payable that bears interest at 5.25% and matures on May 30, 2021. The note payable is collateralized by a portion of a development reimbursement agreement with the City of Surprise, Arizona. At March 31, 2019 and December 31, 2018, the note had a balance of $3,471 and $3,689, respectively. The estimated fair value (Level 2 measurement) of the note at March 31, 2019 and December 31, 2018 was $3,487 and $3,690,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March 31, 2019 and December 31, 2018, the Company was in compliance with all applicable financial loan covenants.</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360"/>
          </w:cols>
          <w:pgMar w:left="240" w:top="244" w:right="299" w:bottom="1440" w:gutter="0" w:footer="0" w:header="0"/>
        </w:sectPr>
      </w:pPr>
    </w:p>
    <w:bookmarkStart w:id="20" w:name="page21"/>
    <w:bookmarkEnd w:id="2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Financing Arrangement:</w:t>
      </w:r>
    </w:p>
    <w:p>
      <w:pPr>
        <w:spacing w:after="0" w:line="256" w:lineRule="exact"/>
        <w:rPr>
          <w:sz w:val="20"/>
          <w:szCs w:val="20"/>
          <w:color w:val="auto"/>
        </w:rPr>
      </w:pPr>
    </w:p>
    <w:p>
      <w:pPr>
        <w:ind w:firstLine="398"/>
        <w:spacing w:after="0" w:line="247" w:lineRule="auto"/>
        <w:rPr>
          <w:sz w:val="20"/>
          <w:szCs w:val="20"/>
          <w:color w:val="auto"/>
        </w:rPr>
      </w:pPr>
      <w:r>
        <w:rPr>
          <w:rFonts w:ascii="Times New Roman" w:cs="Times New Roman" w:eastAsia="Times New Roman" w:hAnsi="Times New Roman"/>
          <w:sz w:val="17"/>
          <w:szCs w:val="17"/>
          <w:color w:val="auto"/>
        </w:rPr>
        <w:t>On September 30, 2009, the Company formed a joint venture, whereby a third party acquired a 49.9% interest in Chandler Fashion Center, a 1,318,000 square foot regional shopping center in Chandler, Arizona, and Freehold Raceway Mall, a 1,672,000 square foot regional shopping center in Freehold, New Jersey,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March 31, 2019 and December 31, 2018 was based upon a multiple on net operating income of 21 times, a discount rate of 5.8% and market rents per square foot of $30 to $100. The fair value of the financing arrangement obligation is sensitive to these significant unobservable inputs and a change in these inputs may result in a significantly higher or lower fair value measurement. Distributions to the partner and changes in fair value of the financing arrangement obligation are recognized as interest (income) expense in the Company's consolidated statements of operations.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During the three months ended March 31, 2019 and 2018, the Company incurred interest (income) expense in connection with the financing arrangement as follows:</w:t>
      </w:r>
    </w:p>
    <w:p>
      <w:pPr>
        <w:spacing w:after="0" w:line="200" w:lineRule="exact"/>
        <w:rPr>
          <w:sz w:val="20"/>
          <w:szCs w:val="20"/>
          <w:color w:val="auto"/>
        </w:rPr>
      </w:pPr>
    </w:p>
    <w:p>
      <w:pPr>
        <w:spacing w:after="0" w:line="207"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3"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11430</wp:posOffset>
            </wp:positionV>
            <wp:extent cx="1049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spacing w:after="0" w:line="75" w:lineRule="exact"/>
        <w:rPr>
          <w:sz w:val="20"/>
          <w:szCs w:val="20"/>
          <w:color w:val="auto"/>
        </w:rPr>
      </w:pPr>
    </w:p>
    <w:tbl>
      <w:tblPr>
        <w:tblLayout w:type="fixed"/>
        <w:tblInd w:w="2540" w:type="dxa"/>
        <w:tblCellMar>
          <w:top w:w="0" w:type="dxa"/>
          <w:left w:w="0" w:type="dxa"/>
          <w:bottom w:w="0" w:type="dxa"/>
          <w:right w:w="0" w:type="dxa"/>
        </w:tblCellMar>
      </w:tblPr>
      <w:tr>
        <w:trPr>
          <w:trHeight w:val="179"/>
        </w:trPr>
        <w:tc>
          <w:tcPr>
            <w:tcW w:w="4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of the partner's share of 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1,897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in excess of the partner's share of net income</w:t>
            </w:r>
          </w:p>
        </w:tc>
        <w:tc>
          <w:tcPr>
            <w:tcW w:w="1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5"/>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 to fair value of financing arrangement obligation</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r>
      <w:tr>
        <w:trPr>
          <w:trHeight w:val="216"/>
        </w:trPr>
        <w:tc>
          <w:tcPr>
            <w:tcW w:w="47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(10,447)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8,022</w:t>
            </w:r>
          </w:p>
        </w:tc>
      </w:tr>
      <w:tr>
        <w:trPr>
          <w:trHeight w:val="25"/>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Noncontrolling Interests:</w:t>
      </w:r>
    </w:p>
    <w:p>
      <w:pPr>
        <w:spacing w:after="0" w:line="256" w:lineRule="exact"/>
        <w:rPr>
          <w:sz w:val="20"/>
          <w:szCs w:val="20"/>
          <w:color w:val="auto"/>
        </w:rPr>
      </w:pPr>
    </w:p>
    <w:p>
      <w:pPr>
        <w:ind w:firstLine="398"/>
        <w:spacing w:after="0" w:line="247" w:lineRule="auto"/>
        <w:rPr>
          <w:sz w:val="20"/>
          <w:szCs w:val="20"/>
          <w:color w:val="auto"/>
        </w:rPr>
      </w:pPr>
      <w:r>
        <w:rPr>
          <w:rFonts w:ascii="Times New Roman" w:cs="Times New Roman" w:eastAsia="Times New Roman" w:hAnsi="Times New Roman"/>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March 31, 2019 and December 31, 2018. The remaining 7% limited partnership interest as of March 31, 2019 and December 31, 2018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2019 and December 31, 2018, the aggregate redemption value of the then-outstanding OP Units not owned by the Company was $451,189 and $448,116, respectively.</w:t>
      </w:r>
    </w:p>
    <w:p>
      <w:pPr>
        <w:spacing w:after="0" w:line="227" w:lineRule="exact"/>
        <w:rPr>
          <w:sz w:val="20"/>
          <w:szCs w:val="20"/>
          <w:color w:val="auto"/>
        </w:rPr>
      </w:pPr>
    </w:p>
    <w:p>
      <w:pPr>
        <w:ind w:right="140" w:firstLine="398"/>
        <w:spacing w:after="0" w:line="256" w:lineRule="auto"/>
        <w:rPr>
          <w:sz w:val="20"/>
          <w:szCs w:val="20"/>
          <w:color w:val="auto"/>
        </w:rPr>
      </w:pPr>
      <w:r>
        <w:rPr>
          <w:rFonts w:ascii="Times New Roman" w:cs="Times New Roman" w:eastAsia="Times New Roman" w:hAnsi="Times New Roman"/>
          <w:sz w:val="17"/>
          <w:szCs w:val="17"/>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19" w:lineRule="exact"/>
        <w:rPr>
          <w:sz w:val="20"/>
          <w:szCs w:val="20"/>
          <w:color w:val="auto"/>
        </w:rPr>
      </w:pPr>
    </w:p>
    <w:p>
      <w:pPr>
        <w:ind w:right="20" w:firstLine="398"/>
        <w:spacing w:after="0" w:line="268" w:lineRule="auto"/>
        <w:rPr>
          <w:sz w:val="20"/>
          <w:szCs w:val="20"/>
          <w:color w:val="auto"/>
        </w:rPr>
      </w:pPr>
      <w:r>
        <w:rPr>
          <w:rFonts w:ascii="Times New Roman" w:cs="Times New Roman" w:eastAsia="Times New Roman" w:hAnsi="Times New Roman"/>
          <w:sz w:val="17"/>
          <w:szCs w:val="17"/>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00"/>
          </w:cols>
          <w:pgMar w:left="240" w:top="244" w:right="259" w:bottom="1440" w:gutter="0" w:footer="0" w:header="0"/>
        </w:sectPr>
      </w:pPr>
    </w:p>
    <w:bookmarkStart w:id="21" w:name="page22"/>
    <w:bookmarkEnd w:id="2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Stockholders' Equity:</w:t>
      </w:r>
    </w:p>
    <w:p>
      <w:pPr>
        <w:spacing w:after="0" w:line="256"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7"/>
          <w:szCs w:val="17"/>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"2017 Stock Buyback Program".</w:t>
      </w:r>
    </w:p>
    <w:p>
      <w:pPr>
        <w:spacing w:after="0" w:line="223" w:lineRule="exact"/>
        <w:rPr>
          <w:sz w:val="20"/>
          <w:szCs w:val="20"/>
          <w:color w:val="auto"/>
        </w:rPr>
      </w:pPr>
    </w:p>
    <w:p>
      <w:pPr>
        <w:ind w:right="100" w:firstLine="398"/>
        <w:spacing w:after="0" w:line="268" w:lineRule="auto"/>
        <w:rPr>
          <w:sz w:val="20"/>
          <w:szCs w:val="20"/>
          <w:color w:val="auto"/>
        </w:rPr>
      </w:pPr>
      <w:r>
        <w:rPr>
          <w:rFonts w:ascii="Times New Roman" w:cs="Times New Roman" w:eastAsia="Times New Roman" w:hAnsi="Times New Roman"/>
          <w:sz w:val="17"/>
          <w:szCs w:val="17"/>
          <w:color w:val="auto"/>
        </w:rPr>
        <w:t>There were no repurchases under the 2017 Stock Buyback Program during the three months ended March 31, 2019 or 2018. At March 31, 2019, there was $278,707 available under the 2017 Stock Buyback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Collaborative Arrangement:</w:t>
      </w:r>
    </w:p>
    <w:p>
      <w:pPr>
        <w:spacing w:after="0" w:line="256" w:lineRule="exact"/>
        <w:rPr>
          <w:sz w:val="20"/>
          <w:szCs w:val="20"/>
          <w:color w:val="auto"/>
        </w:rPr>
      </w:pPr>
    </w:p>
    <w:p>
      <w:pPr>
        <w:ind w:right="280" w:firstLine="398"/>
        <w:spacing w:after="0" w:line="268" w:lineRule="auto"/>
        <w:rPr>
          <w:sz w:val="20"/>
          <w:szCs w:val="20"/>
          <w:color w:val="auto"/>
        </w:rPr>
      </w:pPr>
      <w:r>
        <w:rPr>
          <w:rFonts w:ascii="Times New Roman" w:cs="Times New Roman" w:eastAsia="Times New Roman" w:hAnsi="Times New Roman"/>
          <w:sz w:val="17"/>
          <w:szCs w:val="17"/>
          <w:color w:val="auto"/>
        </w:rPr>
        <w:t>On March 1, 2018, the Company formed a 25/75 joint venture with a third party, whereby the Company agreed to contribute One Westside, a 680,000 square foot regional shopping center in Los Angeles, California in exchange for $142,500. The Company completed the transfer on August 31, 2018.</w:t>
      </w:r>
    </w:p>
    <w:p>
      <w:pPr>
        <w:spacing w:after="0" w:line="209" w:lineRule="exact"/>
        <w:rPr>
          <w:sz w:val="20"/>
          <w:szCs w:val="20"/>
          <w:color w:val="auto"/>
        </w:rPr>
      </w:pPr>
    </w:p>
    <w:p>
      <w:pPr>
        <w:ind w:right="40" w:firstLine="398"/>
        <w:spacing w:after="0" w:line="248" w:lineRule="auto"/>
        <w:rPr>
          <w:sz w:val="20"/>
          <w:szCs w:val="20"/>
          <w:color w:val="auto"/>
        </w:rPr>
      </w:pPr>
      <w:r>
        <w:rPr>
          <w:rFonts w:ascii="Times New Roman" w:cs="Times New Roman" w:eastAsia="Times New Roman" w:hAnsi="Times New Roman"/>
          <w:sz w:val="17"/>
          <w:szCs w:val="17"/>
          <w:color w:val="auto"/>
        </w:rPr>
        <w:t>During the period from March 1, 2018 to August 31, 2018, the Company accounted for the operations of One Westside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leasing revenue,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One Westside under the equity method of accounting (See Note 4—Investments in Unconsolidated Joint Ventures).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Dispositions:</w:t>
      </w:r>
    </w:p>
    <w:p>
      <w:pPr>
        <w:spacing w:after="0" w:line="256" w:lineRule="exact"/>
        <w:rPr>
          <w:sz w:val="20"/>
          <w:szCs w:val="20"/>
          <w:color w:val="auto"/>
        </w:rPr>
      </w:pPr>
    </w:p>
    <w:p>
      <w:pPr>
        <w:ind w:right="160" w:firstLine="398"/>
        <w:spacing w:after="0" w:line="268" w:lineRule="auto"/>
        <w:rPr>
          <w:sz w:val="20"/>
          <w:szCs w:val="20"/>
          <w:color w:val="auto"/>
        </w:rPr>
      </w:pPr>
      <w:r>
        <w:rPr>
          <w:rFonts w:ascii="Times New Roman" w:cs="Times New Roman" w:eastAsia="Times New Roman" w:hAnsi="Times New Roman"/>
          <w:sz w:val="17"/>
          <w:szCs w:val="17"/>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256" w:lineRule="exact"/>
        <w:rPr>
          <w:sz w:val="20"/>
          <w:szCs w:val="20"/>
          <w:color w:val="auto"/>
        </w:rPr>
      </w:pPr>
    </w:p>
    <w:p>
      <w:pPr>
        <w:jc w:val="both"/>
        <w:ind w:right="40" w:firstLine="398"/>
        <w:spacing w:after="0" w:line="268" w:lineRule="auto"/>
        <w:rPr>
          <w:sz w:val="20"/>
          <w:szCs w:val="20"/>
          <w:color w:val="auto"/>
        </w:rPr>
      </w:pPr>
      <w:r>
        <w:rPr>
          <w:rFonts w:ascii="Times New Roman" w:cs="Times New Roman" w:eastAsia="Times New Roman" w:hAnsi="Times New Roman"/>
          <w:sz w:val="17"/>
          <w:szCs w:val="17"/>
          <w:color w:val="auto"/>
        </w:rPr>
        <w:t>As of March 31, 2019, the Company was contingently liable for $65,814 in letters of credit guaranteeing performance by the Company of certain obligations relating to the Centers. The Company does not believe that these letters of credit will result in a liability to the Company.</w:t>
      </w:r>
    </w:p>
    <w:p>
      <w:pPr>
        <w:spacing w:after="0" w:line="209" w:lineRule="exact"/>
        <w:rPr>
          <w:sz w:val="20"/>
          <w:szCs w:val="20"/>
          <w:color w:val="auto"/>
        </w:rPr>
      </w:pPr>
    </w:p>
    <w:p>
      <w:pPr>
        <w:jc w:val="both"/>
        <w:ind w:right="60" w:firstLine="398"/>
        <w:spacing w:after="0" w:line="256" w:lineRule="auto"/>
        <w:rPr>
          <w:sz w:val="20"/>
          <w:szCs w:val="20"/>
          <w:color w:val="auto"/>
        </w:rPr>
      </w:pPr>
      <w:r>
        <w:rPr>
          <w:rFonts w:ascii="Times New Roman" w:cs="Times New Roman" w:eastAsia="Times New Roman" w:hAnsi="Times New Roman"/>
          <w:sz w:val="17"/>
          <w:szCs w:val="17"/>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March 31, 2019, the Company had $13,068 in outstanding obligations which it believes will be settled in the next twelve months.</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380"/>
          </w:cols>
          <w:pgMar w:left="240" w:top="244" w:right="279" w:bottom="1440" w:gutter="0" w:footer="0" w:header="0"/>
        </w:sectPr>
      </w:pPr>
    </w:p>
    <w:bookmarkStart w:id="22" w:name="page23"/>
    <w:bookmarkEnd w:id="2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Party Transactions:</w:t>
      </w:r>
    </w:p>
    <w:p>
      <w:pPr>
        <w:spacing w:after="0" w:line="256" w:lineRule="exact"/>
        <w:rPr>
          <w:sz w:val="20"/>
          <w:szCs w:val="20"/>
          <w:color w:val="auto"/>
        </w:rPr>
      </w:pPr>
    </w:p>
    <w:p>
      <w:pPr>
        <w:ind w:right="300" w:firstLine="398"/>
        <w:spacing w:after="0" w:line="256" w:lineRule="auto"/>
        <w:rPr>
          <w:sz w:val="20"/>
          <w:szCs w:val="20"/>
          <w:color w:val="auto"/>
        </w:rPr>
      </w:pPr>
      <w:r>
        <w:rPr>
          <w:rFonts w:ascii="Times New Roman" w:cs="Times New Roman" w:eastAsia="Times New Roman" w:hAnsi="Times New Roman"/>
          <w:sz w:val="17"/>
          <w:szCs w:val="17"/>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are fees charged to unconsolidated joint ventures:</w:t>
      </w:r>
    </w:p>
    <w:p>
      <w:pPr>
        <w:spacing w:after="0" w:line="271"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3"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11430</wp:posOffset>
            </wp:positionV>
            <wp:extent cx="9937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3775" cy="7620"/>
                    </a:xfrm>
                    <a:prstGeom prst="rect">
                      <a:avLst/>
                    </a:prstGeom>
                    <a:noFill/>
                  </pic:spPr>
                </pic:pic>
              </a:graphicData>
            </a:graphic>
          </wp:anchor>
        </w:drawing>
      </w:r>
    </w:p>
    <w:p>
      <w:pPr>
        <w:spacing w:after="0" w:line="75" w:lineRule="exact"/>
        <w:rPr>
          <w:sz w:val="20"/>
          <w:szCs w:val="20"/>
          <w:color w:val="auto"/>
        </w:rPr>
      </w:pPr>
    </w:p>
    <w:tbl>
      <w:tblPr>
        <w:tblLayout w:type="fixed"/>
        <w:tblInd w:w="3480" w:type="dxa"/>
        <w:tblCellMar>
          <w:top w:w="0" w:type="dxa"/>
          <w:left w:w="0" w:type="dxa"/>
          <w:bottom w:w="0" w:type="dxa"/>
          <w:right w:w="0" w:type="dxa"/>
        </w:tblCellMar>
      </w:tblPr>
      <w:tr>
        <w:trPr>
          <w:trHeight w:val="179"/>
        </w:trPr>
        <w:tc>
          <w:tcPr>
            <w:tcW w:w="2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w:t>
            </w:r>
          </w:p>
        </w:tc>
      </w:tr>
      <w:tr>
        <w:trPr>
          <w:trHeight w:val="22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Development and leasing fees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w:t>
            </w:r>
          </w:p>
        </w:tc>
      </w:tr>
      <w:tr>
        <w:trPr>
          <w:trHeight w:val="25"/>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6"/>
        </w:trPr>
        <w:tc>
          <w:tcPr>
            <w:tcW w:w="2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firstLine="398"/>
        <w:spacing w:after="0" w:line="256" w:lineRule="auto"/>
        <w:rPr>
          <w:sz w:val="20"/>
          <w:szCs w:val="20"/>
          <w:color w:val="auto"/>
        </w:rPr>
      </w:pPr>
      <w:r>
        <w:rPr>
          <w:rFonts w:ascii="Times New Roman" w:cs="Times New Roman" w:eastAsia="Times New Roman" w:hAnsi="Times New Roman"/>
          <w:sz w:val="17"/>
          <w:szCs w:val="17"/>
          <w:color w:val="auto"/>
        </w:rPr>
        <w:t>Certain mortgage notes on the properties are held by NML. NML was considered a related party due its ownership interest in Broadway Plaza until it sold its ownership interest in the property to a third party on October 12, 2018. Interest expense in connection with these notes, during the period NML that was a related party, was $2,147 for the three months ended March 31, 2018.</w:t>
      </w:r>
    </w:p>
    <w:p>
      <w:pPr>
        <w:spacing w:after="0" w:line="219" w:lineRule="exact"/>
        <w:rPr>
          <w:sz w:val="20"/>
          <w:szCs w:val="20"/>
          <w:color w:val="auto"/>
        </w:rPr>
      </w:pPr>
    </w:p>
    <w:p>
      <w:pPr>
        <w:ind w:right="200" w:firstLine="398"/>
        <w:spacing w:after="0" w:line="268" w:lineRule="auto"/>
        <w:rPr>
          <w:sz w:val="20"/>
          <w:szCs w:val="20"/>
          <w:color w:val="auto"/>
        </w:rPr>
      </w:pPr>
      <w:r>
        <w:rPr>
          <w:rFonts w:ascii="Times New Roman" w:cs="Times New Roman" w:eastAsia="Times New Roman" w:hAnsi="Times New Roman"/>
          <w:sz w:val="17"/>
          <w:szCs w:val="17"/>
          <w:color w:val="auto"/>
        </w:rPr>
        <w:t>Interest (income) expense from related party transactions also includes $(10,447) and $8,022 for the three months ended March 31, 2019 and 2018, respectively, in connection with the Financing Arrangement (See Note 12—Financing Arrangement).</w:t>
      </w:r>
    </w:p>
    <w:p>
      <w:pPr>
        <w:spacing w:after="0" w:line="209" w:lineRule="exact"/>
        <w:rPr>
          <w:sz w:val="20"/>
          <w:szCs w:val="20"/>
          <w:color w:val="auto"/>
        </w:rPr>
      </w:pPr>
    </w:p>
    <w:p>
      <w:pPr>
        <w:ind w:right="680" w:firstLine="398"/>
        <w:spacing w:after="0" w:line="268" w:lineRule="auto"/>
        <w:rPr>
          <w:sz w:val="20"/>
          <w:szCs w:val="20"/>
          <w:color w:val="auto"/>
        </w:rPr>
      </w:pPr>
      <w:r>
        <w:rPr>
          <w:rFonts w:ascii="Times New Roman" w:cs="Times New Roman" w:eastAsia="Times New Roman" w:hAnsi="Times New Roman"/>
          <w:sz w:val="17"/>
          <w:szCs w:val="17"/>
          <w:color w:val="auto"/>
        </w:rPr>
        <w:t>Due from affiliates includes unreimbursed costs and fees from unconsolidated joint ventures due to the Management Companies. As of March 31, 2019 and December 31, 2018, the amounts due from the unconsolidated joint ventures was $11,432 and $6,385, respectively.</w:t>
      </w:r>
    </w:p>
    <w:p>
      <w:pPr>
        <w:spacing w:after="0" w:line="209"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7"/>
          <w:szCs w:val="17"/>
          <w:color w:val="auto"/>
        </w:rPr>
        <w:t>In addition, due from affiliates at March 31, 2019 and December 31, 2018 included a note receivable from RED/303 LLC ("RED") that bears interest at 5.25% and matures on May 30, 2021. Interest income earned on this note was $48 and $60 for the three months ended March 31, 2019 and 2018, respectively. The balance on this note was $3,471 and $3,689 at March 31, 2019 and December 31, 2018, respectively. RED is considered a related party because it is a partner in a joint venture development project. The note is collateralized by RED's membership interest in the development project.</w:t>
      </w:r>
    </w:p>
    <w:p>
      <w:pPr>
        <w:spacing w:after="0" w:line="223"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7"/>
          <w:szCs w:val="17"/>
          <w:color w:val="auto"/>
        </w:rPr>
        <w:t>Also included in due from affiliates at December 31, 2018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paid off on February 13, 2019. Interest income earned on this note was $1,112 and $749 for the three months ended March 31, 2019 and 2018, respectively. The balance on this note, including interest, was $75,107 at December 31, 2018. Lennar Corporation was considered a related party because it was a joint venture partner in the project.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w:t>
      </w:r>
    </w:p>
    <w:p>
      <w:pPr>
        <w:spacing w:after="0" w:line="256"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7"/>
          <w:szCs w:val="17"/>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00"/>
          </w:cols>
          <w:pgMar w:left="240" w:top="244" w:right="259" w:bottom="1440" w:gutter="0" w:footer="0" w:header="0"/>
        </w:sectPr>
      </w:pPr>
    </w:p>
    <w:bookmarkStart w:id="23" w:name="page24"/>
    <w:bookmarkEnd w:id="2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200" w:lineRule="exact"/>
        <w:rPr>
          <w:sz w:val="20"/>
          <w:szCs w:val="20"/>
          <w:color w:val="auto"/>
        </w:rPr>
      </w:pPr>
    </w:p>
    <w:p>
      <w:pPr>
        <w:spacing w:after="0" w:line="279" w:lineRule="exact"/>
        <w:rPr>
          <w:sz w:val="20"/>
          <w:szCs w:val="20"/>
          <w:color w:val="auto"/>
        </w:rPr>
      </w:pPr>
    </w:p>
    <w:p>
      <w:pPr>
        <w:ind w:firstLine="398"/>
        <w:spacing w:after="0" w:line="268" w:lineRule="auto"/>
        <w:rPr>
          <w:sz w:val="20"/>
          <w:szCs w:val="20"/>
          <w:color w:val="auto"/>
        </w:rPr>
      </w:pPr>
      <w:r>
        <w:rPr>
          <w:rFonts w:ascii="Times New Roman" w:cs="Times New Roman" w:eastAsia="Times New Roman" w:hAnsi="Times New Roman"/>
          <w:sz w:val="17"/>
          <w:szCs w:val="17"/>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months ended March 31, 2019, the Company granted the following LTIP Units:</w:t>
      </w:r>
    </w:p>
    <w:p>
      <w:pPr>
        <w:spacing w:after="0" w:line="200" w:lineRule="exact"/>
        <w:rPr>
          <w:sz w:val="20"/>
          <w:szCs w:val="20"/>
          <w:color w:val="auto"/>
        </w:rPr>
      </w:pPr>
    </w:p>
    <w:p>
      <w:pPr>
        <w:spacing w:after="0" w:line="201" w:lineRule="exact"/>
        <w:rPr>
          <w:sz w:val="20"/>
          <w:szCs w:val="20"/>
          <w:color w:val="auto"/>
        </w:rPr>
      </w:pPr>
    </w:p>
    <w:tbl>
      <w:tblPr>
        <w:tblLayout w:type="fixed"/>
        <w:tblInd w:w="286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 per</w:t>
            </w:r>
          </w:p>
        </w:tc>
        <w:tc>
          <w:tcPr>
            <w:tcW w:w="980" w:type="dxa"/>
            <w:vAlign w:val="bottom"/>
          </w:tcPr>
          <w:p>
            <w:pPr>
              <w:spacing w:after="0"/>
              <w:rPr>
                <w:sz w:val="16"/>
                <w:szCs w:val="16"/>
                <w:color w:val="auto"/>
              </w:rPr>
            </w:pPr>
          </w:p>
        </w:tc>
      </w:tr>
      <w:tr>
        <w:trPr>
          <w:trHeight w:val="197"/>
        </w:trPr>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00" w:type="dxa"/>
            <w:vAlign w:val="bottom"/>
          </w:tcPr>
          <w:p>
            <w:pPr>
              <w:spacing w:after="0"/>
              <w:rPr>
                <w:sz w:val="17"/>
                <w:szCs w:val="17"/>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LTIP Unit</w:t>
            </w:r>
          </w:p>
        </w:tc>
        <w:tc>
          <w:tcPr>
            <w:tcW w:w="9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Vest Date</w:t>
            </w:r>
          </w:p>
        </w:tc>
      </w:tr>
      <w:tr>
        <w:trPr>
          <w:trHeight w:val="31"/>
        </w:trPr>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1/1/2019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12/31/2021</w:t>
            </w:r>
          </w:p>
        </w:tc>
      </w:tr>
      <w:tr>
        <w:trPr>
          <w:trHeight w:val="224"/>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250,852</w:t>
            </w:r>
          </w:p>
        </w:tc>
        <w:tc>
          <w:tcPr>
            <w:tcW w:w="10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Market-indexed</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00" w:type="dxa"/>
            <w:vAlign w:val="bottom"/>
          </w:tcPr>
          <w:p>
            <w:pPr>
              <w:spacing w:after="0"/>
              <w:rPr>
                <w:sz w:val="19"/>
                <w:szCs w:val="19"/>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12/31/2021</w:t>
            </w:r>
          </w:p>
        </w:tc>
      </w:tr>
      <w:tr>
        <w:trPr>
          <w:trHeight w:val="25"/>
        </w:trPr>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6"/>
        </w:trPr>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332,584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32" w:lineRule="exact"/>
        <w:rPr>
          <w:sz w:val="20"/>
          <w:szCs w:val="20"/>
          <w:color w:val="auto"/>
        </w:rPr>
      </w:pPr>
    </w:p>
    <w:p>
      <w:pPr>
        <w:ind w:right="20" w:firstLine="398"/>
        <w:spacing w:after="0" w:line="268" w:lineRule="auto"/>
        <w:rPr>
          <w:sz w:val="20"/>
          <w:szCs w:val="20"/>
          <w:color w:val="auto"/>
        </w:rPr>
      </w:pPr>
      <w:r>
        <w:rPr>
          <w:rFonts w:ascii="Times New Roman" w:cs="Times New Roman" w:eastAsia="Times New Roman" w:hAnsi="Times New Roman"/>
          <w:sz w:val="17"/>
          <w:szCs w:val="17"/>
          <w:color w:val="auto"/>
        </w:rPr>
        <w:t>The fair value of the market-indexed LTIP Units (Level 3) granted on January 1, 2019 was estimated on the date of grant using a Monte Carlo Simulation model that assumed a risk free interest rate of 2.46% and an expected volatility of 23.52%.</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activity of the non-vested LTIP Units, phantom stock units and stock units:</w:t>
      </w:r>
    </w:p>
    <w:p>
      <w:pPr>
        <w:spacing w:after="0" w:line="200" w:lineRule="exact"/>
        <w:rPr>
          <w:sz w:val="20"/>
          <w:szCs w:val="20"/>
          <w:color w:val="auto"/>
        </w:rPr>
      </w:pPr>
    </w:p>
    <w:p>
      <w:pPr>
        <w:spacing w:after="0" w:line="257" w:lineRule="exact"/>
        <w:rPr>
          <w:sz w:val="20"/>
          <w:szCs w:val="20"/>
          <w:color w:val="auto"/>
        </w:rPr>
      </w:pPr>
    </w:p>
    <w:tbl>
      <w:tblPr>
        <w:tblLayout w:type="fixed"/>
        <w:tblInd w:w="2320" w:type="dxa"/>
        <w:tblCellMar>
          <w:top w:w="0" w:type="dxa"/>
          <w:left w:w="0" w:type="dxa"/>
          <w:bottom w:w="0" w:type="dxa"/>
          <w:right w:w="0" w:type="dxa"/>
        </w:tblCellMar>
      </w:tblPr>
      <w:tr>
        <w:trPr>
          <w:trHeight w:val="179"/>
        </w:trPr>
        <w:tc>
          <w:tcPr>
            <w:tcW w:w="1860" w:type="dxa"/>
            <w:vAlign w:val="bottom"/>
          </w:tcPr>
          <w:p>
            <w:pPr>
              <w:spacing w:after="0"/>
              <w:rPr>
                <w:sz w:val="15"/>
                <w:szCs w:val="15"/>
                <w:color w:val="auto"/>
              </w:rPr>
            </w:pPr>
          </w:p>
        </w:tc>
        <w:tc>
          <w:tcPr>
            <w:tcW w:w="15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LTIP Units</w:t>
            </w:r>
          </w:p>
        </w:tc>
        <w:tc>
          <w:tcPr>
            <w:tcW w:w="100" w:type="dxa"/>
            <w:vAlign w:val="bottom"/>
          </w:tcPr>
          <w:p>
            <w:pPr>
              <w:spacing w:after="0"/>
              <w:rPr>
                <w:sz w:val="15"/>
                <w:szCs w:val="15"/>
                <w:color w:val="auto"/>
              </w:rPr>
            </w:pPr>
          </w:p>
        </w:tc>
        <w:tc>
          <w:tcPr>
            <w:tcW w:w="15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Phantom Stock Units</w:t>
            </w:r>
          </w:p>
        </w:tc>
        <w:tc>
          <w:tcPr>
            <w:tcW w:w="100" w:type="dxa"/>
            <w:vAlign w:val="bottom"/>
          </w:tcPr>
          <w:p>
            <w:pPr>
              <w:spacing w:after="0"/>
              <w:rPr>
                <w:sz w:val="15"/>
                <w:szCs w:val="15"/>
                <w:color w:val="auto"/>
              </w:rPr>
            </w:pPr>
          </w:p>
        </w:tc>
        <w:tc>
          <w:tcPr>
            <w:tcW w:w="15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Stock Units</w:t>
            </w:r>
          </w:p>
        </w:tc>
      </w:tr>
      <w:tr>
        <w:trPr>
          <w:trHeight w:val="241"/>
        </w:trPr>
        <w:tc>
          <w:tcPr>
            <w:tcW w:w="18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Value(1)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Value(1)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Value(1)</w:t>
            </w:r>
          </w:p>
        </w:tc>
      </w:tr>
      <w:tr>
        <w:trPr>
          <w:trHeight w:val="23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2019</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661,578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129,457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64.21</w:t>
            </w:r>
          </w:p>
        </w:tc>
      </w:tr>
      <w:tr>
        <w:trPr>
          <w:trHeight w:val="244"/>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332,584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18,315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43.13</w:t>
            </w:r>
          </w:p>
        </w:tc>
        <w:tc>
          <w:tcPr>
            <w:tcW w:w="1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89,505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w:t>
            </w:r>
          </w:p>
        </w:tc>
      </w:tr>
      <w:tr>
        <w:trPr>
          <w:trHeight w:val="253"/>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64.53</w:t>
            </w:r>
          </w:p>
        </w:tc>
      </w:tr>
      <w:tr>
        <w:trPr>
          <w:trHeight w:val="244"/>
        </w:trPr>
        <w:tc>
          <w:tcPr>
            <w:tcW w:w="1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1"/>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2019</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971,873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14,381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138,008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r>
      <w:tr>
        <w:trPr>
          <w:trHeight w:val="20"/>
        </w:trPr>
        <w:tc>
          <w:tcPr>
            <w:tcW w:w="1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8"/>
        </w:trPr>
        <w:tc>
          <w:tcPr>
            <w:tcW w:w="1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4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5"/>
          <w:szCs w:val="15"/>
          <w:color w:val="auto"/>
        </w:rPr>
        <w:t>(1) Value represents the weighted average grant 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of the stock options outstanding:</w:t>
      </w:r>
    </w:p>
    <w:p>
      <w:pPr>
        <w:spacing w:after="0" w:line="200" w:lineRule="exact"/>
        <w:rPr>
          <w:sz w:val="20"/>
          <w:szCs w:val="20"/>
          <w:color w:val="auto"/>
        </w:rPr>
      </w:pPr>
    </w:p>
    <w:p>
      <w:pPr>
        <w:spacing w:after="0" w:line="257" w:lineRule="exact"/>
        <w:rPr>
          <w:sz w:val="20"/>
          <w:szCs w:val="20"/>
          <w:color w:val="auto"/>
        </w:rPr>
      </w:pPr>
    </w:p>
    <w:tbl>
      <w:tblPr>
        <w:tblLayout w:type="fixed"/>
        <w:tblInd w:w="3880" w:type="dxa"/>
        <w:tblCellMar>
          <w:top w:w="0" w:type="dxa"/>
          <w:left w:w="0" w:type="dxa"/>
          <w:bottom w:w="0" w:type="dxa"/>
          <w:right w:w="0" w:type="dxa"/>
        </w:tblCellMar>
      </w:tblPr>
      <w:tr>
        <w:trPr>
          <w:trHeight w:val="179"/>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Stock Options</w:t>
            </w:r>
          </w:p>
        </w:tc>
      </w:tr>
      <w:tr>
        <w:trPr>
          <w:trHeight w:val="241"/>
        </w:trPr>
        <w:tc>
          <w:tcPr>
            <w:tcW w:w="1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Value(1)</w:t>
            </w:r>
          </w:p>
        </w:tc>
      </w:tr>
      <w:tr>
        <w:trPr>
          <w:trHeight w:val="233"/>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January 1, 2019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57.32</w:t>
            </w:r>
          </w:p>
        </w:tc>
      </w:tr>
      <w:tr>
        <w:trPr>
          <w:trHeight w:val="244"/>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8"/>
        </w:trPr>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1"/>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at March 31, 2019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57.32</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5"/>
        </w:trPr>
        <w:tc>
          <w:tcPr>
            <w:tcW w:w="1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(1) Value represents the weighted average exercise price.</w:t>
      </w:r>
    </w:p>
    <w:p>
      <w:pPr>
        <w:sectPr>
          <w:pgSz w:w="11900" w:h="16838" w:orient="portrait"/>
          <w:cols w:equalWidth="0" w:num="1">
            <w:col w:w="11340"/>
          </w:cols>
          <w:pgMar w:left="240" w:top="244" w:right="3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340"/>
          </w:cols>
          <w:pgMar w:left="240" w:top="244" w:right="319" w:bottom="1440" w:gutter="0" w:footer="0" w:header="0"/>
          <w:type w:val="continuous"/>
        </w:sectPr>
      </w:pPr>
    </w:p>
    <w:bookmarkStart w:id="24" w:name="page25"/>
    <w:bookmarkEnd w:id="2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and square foot amounts)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summarizes the compensation cost under the share and unit-based plans:</w:t>
      </w:r>
    </w:p>
    <w:p>
      <w:pPr>
        <w:spacing w:after="0" w:line="271"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3"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11430</wp:posOffset>
            </wp:positionV>
            <wp:extent cx="9779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7620"/>
                    </a:xfrm>
                    <a:prstGeom prst="rect">
                      <a:avLst/>
                    </a:prstGeom>
                    <a:noFill/>
                  </pic:spPr>
                </pic:pic>
              </a:graphicData>
            </a:graphic>
          </wp:anchor>
        </w:drawing>
      </w:r>
    </w:p>
    <w:p>
      <w:pPr>
        <w:spacing w:after="0" w:line="75" w:lineRule="exact"/>
        <w:rPr>
          <w:sz w:val="20"/>
          <w:szCs w:val="20"/>
          <w:color w:val="auto"/>
        </w:rPr>
      </w:pPr>
    </w:p>
    <w:tbl>
      <w:tblPr>
        <w:tblLayout w:type="fixed"/>
        <w:tblInd w:w="2940" w:type="dxa"/>
        <w:tblCellMar>
          <w:top w:w="0" w:type="dxa"/>
          <w:left w:w="0" w:type="dxa"/>
          <w:bottom w:w="0" w:type="dxa"/>
          <w:right w:w="0" w:type="dxa"/>
        </w:tblCellMar>
      </w:tblPr>
      <w:tr>
        <w:trPr>
          <w:trHeight w:val="179"/>
        </w:trPr>
        <w:tc>
          <w:tcPr>
            <w:tcW w:w="4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LTIP Units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10,108</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units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w:t>
            </w:r>
          </w:p>
        </w:tc>
      </w:tr>
      <w:tr>
        <w:trPr>
          <w:trHeight w:val="25"/>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Phantom stock units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5"/>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6"/>
        </w:trPr>
        <w:tc>
          <w:tcPr>
            <w:tcW w:w="4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180" w:firstLine="398"/>
        <w:spacing w:after="0" w:line="256" w:lineRule="auto"/>
        <w:rPr>
          <w:sz w:val="20"/>
          <w:szCs w:val="20"/>
          <w:color w:val="auto"/>
        </w:rPr>
      </w:pPr>
      <w:r>
        <w:rPr>
          <w:rFonts w:ascii="Times New Roman" w:cs="Times New Roman" w:eastAsia="Times New Roman" w:hAnsi="Times New Roman"/>
          <w:sz w:val="17"/>
          <w:szCs w:val="17"/>
          <w:color w:val="auto"/>
        </w:rPr>
        <w:t>The Company capitalized share and unit-based compensation costs of $1,146 and $2,609 for the three months ended March 31, 2019 and 2018, respectively. Unrecognized compensation costs of share and unit-based plans at March 31, 2019 consisted of $9,050 from LTIP Units, $2,921 from stock units and $611 from phantom stock units.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Income Taxes:</w:t>
      </w:r>
    </w:p>
    <w:p>
      <w:pPr>
        <w:spacing w:after="0" w:line="256" w:lineRule="exact"/>
        <w:rPr>
          <w:sz w:val="20"/>
          <w:szCs w:val="20"/>
          <w:color w:val="auto"/>
        </w:rPr>
      </w:pPr>
    </w:p>
    <w:p>
      <w:pPr>
        <w:ind w:right="160" w:firstLine="398"/>
        <w:spacing w:after="0" w:line="252" w:lineRule="auto"/>
        <w:rPr>
          <w:sz w:val="20"/>
          <w:szCs w:val="20"/>
          <w:color w:val="auto"/>
        </w:rPr>
      </w:pPr>
      <w:r>
        <w:rPr>
          <w:rFonts w:ascii="Times New Roman" w:cs="Times New Roman" w:eastAsia="Times New Roman" w:hAnsi="Times New Roman"/>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income tax provision of the TRSs are as follows:</w:t>
      </w:r>
    </w:p>
    <w:p>
      <w:pPr>
        <w:spacing w:after="0" w:line="271"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11430</wp:posOffset>
            </wp:positionV>
            <wp:extent cx="11988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75" w:lineRule="exact"/>
        <w:rPr>
          <w:sz w:val="20"/>
          <w:szCs w:val="20"/>
          <w:color w:val="auto"/>
        </w:rPr>
      </w:pPr>
    </w:p>
    <w:tbl>
      <w:tblPr>
        <w:tblLayout w:type="fixed"/>
        <w:tblInd w:w="3100" w:type="dxa"/>
        <w:tblCellMar>
          <w:top w:w="0" w:type="dxa"/>
          <w:left w:w="0" w:type="dxa"/>
          <w:bottom w:w="0" w:type="dxa"/>
          <w:right w:w="0" w:type="dxa"/>
        </w:tblCellMar>
      </w:tblPr>
      <w:tr>
        <w:trPr>
          <w:trHeight w:val="179"/>
        </w:trPr>
        <w:tc>
          <w:tcPr>
            <w:tcW w:w="3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2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24"/>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w:t>
            </w:r>
          </w:p>
        </w:tc>
      </w:tr>
      <w:tr>
        <w:trPr>
          <w:trHeight w:val="25"/>
        </w:trPr>
        <w:tc>
          <w:tcPr>
            <w:tcW w:w="3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5"/>
        </w:trPr>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40" w:firstLine="398"/>
        <w:spacing w:after="0" w:line="256" w:lineRule="auto"/>
        <w:rPr>
          <w:sz w:val="20"/>
          <w:szCs w:val="20"/>
          <w:color w:val="auto"/>
        </w:rPr>
      </w:pPr>
      <w:r>
        <w:rPr>
          <w:rFonts w:ascii="Times New Roman" w:cs="Times New Roman" w:eastAsia="Times New Roman" w:hAnsi="Times New Roman"/>
          <w:sz w:val="17"/>
          <w:szCs w:val="17"/>
          <w:color w:val="auto"/>
        </w:rPr>
        <w:t>The net operating loss ("NOL") carryforwards generated through the 2017 tax year are scheduled to expire through 2037, beginning in 2025. Pursuant to the Tax Cuts and Jobs Act of 2017, NOLs generated in 2018 and subsequent tax years, carryforward indefinitely subject to the 80% of taxable income limitation. Net deferred tax assets of $31,851 and $32,197 were included in deferred charges and other assets, net at March 31, 2019 and December 31, 2018, respectively.</w:t>
      </w:r>
    </w:p>
    <w:p>
      <w:pPr>
        <w:spacing w:after="0" w:line="219" w:lineRule="exact"/>
        <w:rPr>
          <w:sz w:val="20"/>
          <w:szCs w:val="20"/>
          <w:color w:val="auto"/>
        </w:rPr>
      </w:pPr>
    </w:p>
    <w:p>
      <w:pPr>
        <w:ind w:firstLine="398"/>
        <w:spacing w:after="0" w:line="268" w:lineRule="auto"/>
        <w:rPr>
          <w:sz w:val="20"/>
          <w:szCs w:val="20"/>
          <w:color w:val="auto"/>
        </w:rPr>
      </w:pPr>
      <w:r>
        <w:rPr>
          <w:rFonts w:ascii="Times New Roman" w:cs="Times New Roman" w:eastAsia="Times New Roman" w:hAnsi="Times New Roman"/>
          <w:sz w:val="17"/>
          <w:szCs w:val="17"/>
          <w:color w:val="auto"/>
        </w:rPr>
        <w:t>The tax years 2015 through 2018 remain open to examination by the taxing jurisdictions to which the Company is subject. The Company does not expect that the total amount of unrecognized tax benefit will materially change within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256" w:lineRule="exact"/>
        <w:rPr>
          <w:sz w:val="20"/>
          <w:szCs w:val="20"/>
          <w:color w:val="auto"/>
        </w:rPr>
      </w:pPr>
    </w:p>
    <w:p>
      <w:pPr>
        <w:ind w:right="140" w:firstLine="398"/>
        <w:spacing w:after="0" w:line="268" w:lineRule="auto"/>
        <w:rPr>
          <w:sz w:val="20"/>
          <w:szCs w:val="20"/>
          <w:color w:val="auto"/>
        </w:rPr>
      </w:pPr>
      <w:r>
        <w:rPr>
          <w:rFonts w:ascii="Times New Roman" w:cs="Times New Roman" w:eastAsia="Times New Roman" w:hAnsi="Times New Roman"/>
          <w:sz w:val="17"/>
          <w:szCs w:val="17"/>
          <w:color w:val="auto"/>
        </w:rPr>
        <w:t>On April 25, 2019, the Company announced a dividend/distribution of $0.75 per share for common stockholders and OP Unit holders of record on May 8, 2019. All dividends/distributions will be paid 100% in cash on June 3, 2019.</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420"/>
          </w:cols>
          <w:pgMar w:left="240" w:top="244" w:right="239" w:bottom="1440" w:gutter="0" w:footer="0" w:header="0"/>
        </w:sectPr>
      </w:pPr>
    </w:p>
    <w:bookmarkStart w:id="25" w:name="page26"/>
    <w:bookmarkEnd w:id="2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INFORMATION RELATED TO FORWARD-LOOKING STATEMENTS</w:t>
      </w:r>
    </w:p>
    <w:p>
      <w:pPr>
        <w:spacing w:after="0" w:line="256" w:lineRule="exact"/>
        <w:rPr>
          <w:sz w:val="20"/>
          <w:szCs w:val="20"/>
          <w:color w:val="auto"/>
        </w:rPr>
      </w:pPr>
    </w:p>
    <w:p>
      <w:pPr>
        <w:ind w:right="80" w:firstLine="398"/>
        <w:spacing w:after="0" w:line="248" w:lineRule="auto"/>
        <w:rPr>
          <w:sz w:val="20"/>
          <w:szCs w:val="20"/>
          <w:color w:val="auto"/>
        </w:rPr>
      </w:pPr>
      <w:r>
        <w:rPr>
          <w:rFonts w:ascii="Times New Roman" w:cs="Times New Roman" w:eastAsia="Times New Roman" w:hAnsi="Times New Roman"/>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55" w:lineRule="exact"/>
        <w:rPr>
          <w:sz w:val="20"/>
          <w:szCs w:val="20"/>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Company's growth;</w:t>
      </w:r>
    </w:p>
    <w:p>
      <w:pPr>
        <w:spacing w:after="0" w:line="52" w:lineRule="exact"/>
        <w:rPr>
          <w:rFonts w:ascii="Times New Roman" w:cs="Times New Roman" w:eastAsia="Times New Roman" w:hAnsi="Times New Roman"/>
          <w:sz w:val="17"/>
          <w:szCs w:val="17"/>
          <w:color w:val="auto"/>
        </w:rPr>
      </w:pPr>
    </w:p>
    <w:p>
      <w:pPr>
        <w:ind w:left="1200" w:right="720" w:hanging="604"/>
        <w:spacing w:after="0" w:line="268" w:lineRule="auto"/>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beliefs regarding its acquisition, redevelopment, development, leasing and operational activities and opportunities, including the performance of its retailers;</w:t>
      </w:r>
    </w:p>
    <w:p>
      <w:pPr>
        <w:spacing w:after="0" w:line="10"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acquisition, disposition and other strategies;</w:t>
      </w:r>
    </w:p>
    <w:p>
      <w:pPr>
        <w:spacing w:after="0" w:line="52"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matters pertaining to compliance with governmental regulations;</w:t>
      </w:r>
    </w:p>
    <w:p>
      <w:pPr>
        <w:spacing w:after="0" w:line="52"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 expenditure plans and expectations for obtaining capital for expenditures;</w:t>
      </w:r>
    </w:p>
    <w:p>
      <w:pPr>
        <w:spacing w:after="0" w:line="52"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income tax benefits;</w:t>
      </w:r>
    </w:p>
    <w:p>
      <w:pPr>
        <w:spacing w:after="0" w:line="52"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its financial condition or results of operations; and</w:t>
      </w:r>
    </w:p>
    <w:p>
      <w:pPr>
        <w:spacing w:after="0" w:line="52" w:lineRule="exact"/>
        <w:rPr>
          <w:rFonts w:ascii="Times New Roman" w:cs="Times New Roman" w:eastAsia="Times New Roman" w:hAnsi="Times New Roman"/>
          <w:sz w:val="17"/>
          <w:szCs w:val="17"/>
          <w:color w:val="auto"/>
        </w:rPr>
      </w:pPr>
    </w:p>
    <w:p>
      <w:pPr>
        <w:ind w:left="1200" w:hanging="604"/>
        <w:spacing w:after="0"/>
        <w:tabs>
          <w:tab w:leader="none" w:pos="1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expectations for refinancing its indebtedness, entering into and servicing debt obligations and entering into joint venture arrangements.</w:t>
      </w:r>
    </w:p>
    <w:p>
      <w:pPr>
        <w:spacing w:after="0" w:line="139" w:lineRule="exact"/>
        <w:rPr>
          <w:sz w:val="20"/>
          <w:szCs w:val="20"/>
          <w:color w:val="auto"/>
        </w:rPr>
      </w:pPr>
    </w:p>
    <w:p>
      <w:pPr>
        <w:ind w:firstLine="398"/>
        <w:spacing w:after="0" w:line="262" w:lineRule="auto"/>
        <w:rPr>
          <w:sz w:val="20"/>
          <w:szCs w:val="20"/>
          <w:color w:val="auto"/>
        </w:rPr>
      </w:pPr>
      <w:r>
        <w:rPr>
          <w:rFonts w:ascii="Times New Roman" w:cs="Times New Roman" w:eastAsia="Times New Roman" w:hAnsi="Times New Roman"/>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2018,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Overview and Summary</w:t>
      </w:r>
    </w:p>
    <w:p>
      <w:pPr>
        <w:spacing w:after="0" w:line="256"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2019, the Operating Partnership owned or had an ownership interest in 47 regional shopping centers and five community/power shopping centers aggregating approximately 51 million square feet of gross leasable area. These 52 regional and community/power shopping centers are referred to hereinafter as the "Centers," unless the context otherwise requires. The Company is a self-administered and self-managed real estate investment trust ("REIT") and conducts all of its operations through the Operating Partnership and the Management Companies.</w:t>
      </w:r>
    </w:p>
    <w:p>
      <w:pPr>
        <w:spacing w:after="0" w:line="229" w:lineRule="exact"/>
        <w:rPr>
          <w:sz w:val="20"/>
          <w:szCs w:val="20"/>
          <w:color w:val="auto"/>
        </w:rPr>
      </w:pPr>
    </w:p>
    <w:p>
      <w:pPr>
        <w:jc w:val="both"/>
        <w:ind w:right="580" w:firstLine="398"/>
        <w:spacing w:after="0" w:line="256" w:lineRule="auto"/>
        <w:rPr>
          <w:sz w:val="20"/>
          <w:szCs w:val="20"/>
          <w:color w:val="auto"/>
        </w:rPr>
      </w:pPr>
      <w:r>
        <w:rPr>
          <w:rFonts w:ascii="Times New Roman" w:cs="Times New Roman" w:eastAsia="Times New Roman" w:hAnsi="Times New Roman"/>
          <w:sz w:val="17"/>
          <w:szCs w:val="17"/>
          <w:color w:val="auto"/>
        </w:rPr>
        <w:t>The following discussion is based primarily on the consolidated financial statements of the Company for the three months ended March 31, 2019 and 2018. It compares the results of operations and cash flows for the three months ended March 31, 2019 to the results of operations and cash flows for the three months ended March 31, 2018.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120" w:right="239" w:bottom="1440" w:gutter="0" w:footer="0" w:header="0"/>
        </w:sectPr>
      </w:pPr>
    </w:p>
    <w:bookmarkStart w:id="26" w:name="page27"/>
    <w:bookmarkEnd w:id="2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This information should be read in conjunction with the accompanying consolidated financial statements and notes thereto.</w:t>
      </w: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Acquisitions and Dispositions: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financial statements reflect the following acquisitions, dispositions and changes in ownership subsequent to the occurrence of each transaction.</w:t>
      </w:r>
    </w:p>
    <w:p>
      <w:pPr>
        <w:spacing w:after="0" w:line="252" w:lineRule="exact"/>
        <w:rPr>
          <w:sz w:val="20"/>
          <w:szCs w:val="20"/>
          <w:color w:val="auto"/>
        </w:rPr>
      </w:pPr>
    </w:p>
    <w:p>
      <w:pPr>
        <w:ind w:right="40" w:firstLine="398"/>
        <w:spacing w:after="0" w:line="256" w:lineRule="auto"/>
        <w:rPr>
          <w:sz w:val="20"/>
          <w:szCs w:val="20"/>
          <w:color w:val="auto"/>
        </w:rPr>
      </w:pPr>
      <w:r>
        <w:rPr>
          <w:rFonts w:ascii="Times New Roman" w:cs="Times New Roman" w:eastAsia="Times New Roman" w:hAnsi="Times New Roman"/>
          <w:sz w:val="17"/>
          <w:szCs w:val="17"/>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19" w:lineRule="exact"/>
        <w:rPr>
          <w:sz w:val="20"/>
          <w:szCs w:val="20"/>
          <w:color w:val="auto"/>
        </w:rPr>
      </w:pPr>
    </w:p>
    <w:p>
      <w:pPr>
        <w:ind w:firstLine="398"/>
        <w:spacing w:after="0" w:line="266" w:lineRule="auto"/>
        <w:rPr>
          <w:sz w:val="20"/>
          <w:szCs w:val="20"/>
          <w:color w:val="auto"/>
        </w:rPr>
      </w:pPr>
      <w:r>
        <w:rPr>
          <w:rFonts w:ascii="Times New Roman" w:cs="Times New Roman" w:eastAsia="Times New Roman" w:hAnsi="Times New Roman"/>
          <w:sz w:val="16"/>
          <w:szCs w:val="16"/>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Activities"). From March 1, 2018 to the completion of the sale, the Company accounted for its interest in the property as a collaborative arrangement (See Note 15—Collaborative Arrangement of the Company's consolidated financial statements). Upon completion of the sale, the Company has accounted for its ownership interest in the property under the equity method of accounting.</w:t>
      </w:r>
    </w:p>
    <w:p>
      <w:pPr>
        <w:spacing w:after="0" w:line="212" w:lineRule="exact"/>
        <w:rPr>
          <w:sz w:val="20"/>
          <w:szCs w:val="20"/>
          <w:color w:val="auto"/>
        </w:rPr>
      </w:pPr>
    </w:p>
    <w:p>
      <w:pPr>
        <w:ind w:right="180" w:firstLine="398"/>
        <w:spacing w:after="0" w:line="300" w:lineRule="auto"/>
        <w:rPr>
          <w:sz w:val="20"/>
          <w:szCs w:val="20"/>
          <w:color w:val="auto"/>
        </w:rPr>
      </w:pPr>
      <w:r>
        <w:rPr>
          <w:rFonts w:ascii="Times New Roman" w:cs="Times New Roman" w:eastAsia="Times New Roman" w:hAnsi="Times New Roman"/>
          <w:sz w:val="16"/>
          <w:szCs w:val="16"/>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186" w:lineRule="exact"/>
        <w:rPr>
          <w:sz w:val="20"/>
          <w:szCs w:val="20"/>
          <w:color w:val="auto"/>
        </w:rPr>
      </w:pPr>
    </w:p>
    <w:p>
      <w:pPr>
        <w:ind w:right="60" w:firstLine="596"/>
        <w:spacing w:after="0" w:line="252" w:lineRule="auto"/>
        <w:rPr>
          <w:sz w:val="20"/>
          <w:szCs w:val="20"/>
          <w:color w:val="auto"/>
        </w:rPr>
      </w:pPr>
      <w:r>
        <w:rPr>
          <w:rFonts w:ascii="Times New Roman" w:cs="Times New Roman" w:eastAsia="Times New Roman" w:hAnsi="Times New Roman"/>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4" w:lineRule="exact"/>
        <w:rPr>
          <w:sz w:val="20"/>
          <w:szCs w:val="20"/>
          <w:color w:val="auto"/>
        </w:rPr>
      </w:pPr>
    </w:p>
    <w:p>
      <w:pPr>
        <w:ind w:right="140" w:firstLine="398"/>
        <w:spacing w:after="0" w:line="256" w:lineRule="auto"/>
        <w:rPr>
          <w:sz w:val="20"/>
          <w:szCs w:val="20"/>
          <w:color w:val="auto"/>
        </w:rPr>
      </w:pPr>
      <w:r>
        <w:rPr>
          <w:rFonts w:ascii="Times New Roman" w:cs="Times New Roman" w:eastAsia="Times New Roman" w:hAnsi="Times New Roman"/>
          <w:sz w:val="17"/>
          <w:szCs w:val="17"/>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19" w:lineRule="exact"/>
        <w:rPr>
          <w:sz w:val="20"/>
          <w:szCs w:val="20"/>
          <w:color w:val="auto"/>
        </w:rPr>
      </w:pPr>
    </w:p>
    <w:p>
      <w:pPr>
        <w:ind w:right="100" w:firstLine="398"/>
        <w:spacing w:after="0" w:line="268" w:lineRule="auto"/>
        <w:rPr>
          <w:sz w:val="20"/>
          <w:szCs w:val="20"/>
          <w:color w:val="auto"/>
        </w:rPr>
      </w:pPr>
      <w:r>
        <w:rPr>
          <w:rFonts w:ascii="Times New Roman" w:cs="Times New Roman" w:eastAsia="Times New Roman" w:hAnsi="Times New Roman"/>
          <w:sz w:val="17"/>
          <w:szCs w:val="17"/>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209" w:lineRule="exact"/>
        <w:rPr>
          <w:sz w:val="20"/>
          <w:szCs w:val="20"/>
          <w:color w:val="auto"/>
        </w:rPr>
      </w:pPr>
    </w:p>
    <w:p>
      <w:pPr>
        <w:ind w:firstLine="398"/>
        <w:spacing w:after="0" w:line="279" w:lineRule="auto"/>
        <w:rPr>
          <w:sz w:val="20"/>
          <w:szCs w:val="20"/>
          <w:color w:val="auto"/>
        </w:rPr>
      </w:pPr>
      <w:r>
        <w:rPr>
          <w:rFonts w:ascii="Times New Roman" w:cs="Times New Roman" w:eastAsia="Times New Roman" w:hAnsi="Times New Roman"/>
          <w:sz w:val="16"/>
          <w:szCs w:val="16"/>
          <w:color w:val="auto"/>
        </w:rPr>
        <w:t>On August 31, 2018, concurrent with the sale of the ownership interest in One Westside (See "Acquisitions and Dispositions"), the joint venture defeased the $140.8 million mortgage note payable on the property by providing a $149.2 million portfolio of marketable securities as replacement collateral in lieu of the property. The Company funded its $37.3 million share of the purchase price of the marketable securities portfolio with the proceeds from the sale of the ownership interest in the property.</w:t>
      </w:r>
    </w:p>
    <w:p>
      <w:pPr>
        <w:spacing w:after="0" w:line="203" w:lineRule="exact"/>
        <w:rPr>
          <w:sz w:val="20"/>
          <w:szCs w:val="20"/>
          <w:color w:val="auto"/>
        </w:rPr>
      </w:pPr>
    </w:p>
    <w:p>
      <w:pPr>
        <w:ind w:right="160" w:firstLine="398"/>
        <w:spacing w:after="0" w:line="268" w:lineRule="auto"/>
        <w:rPr>
          <w:sz w:val="20"/>
          <w:szCs w:val="20"/>
          <w:color w:val="auto"/>
        </w:rPr>
      </w:pPr>
      <w:r>
        <w:rPr>
          <w:rFonts w:ascii="Times New Roman" w:cs="Times New Roman" w:eastAsia="Times New Roman" w:hAnsi="Times New Roman"/>
          <w:sz w:val="17"/>
          <w:szCs w:val="17"/>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209" w:lineRule="exact"/>
        <w:rPr>
          <w:sz w:val="20"/>
          <w:szCs w:val="20"/>
          <w:color w:val="auto"/>
        </w:rPr>
      </w:pPr>
    </w:p>
    <w:p>
      <w:pPr>
        <w:jc w:val="both"/>
        <w:ind w:right="60" w:firstLine="398"/>
        <w:spacing w:after="0" w:line="256" w:lineRule="auto"/>
        <w:rPr>
          <w:sz w:val="20"/>
          <w:szCs w:val="20"/>
          <w:color w:val="auto"/>
        </w:rPr>
      </w:pPr>
      <w:r>
        <w:rPr>
          <w:rFonts w:ascii="Times New Roman" w:cs="Times New Roman" w:eastAsia="Times New Roman" w:hAnsi="Times New Roman"/>
          <w:sz w:val="17"/>
          <w:szCs w:val="17"/>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219" w:lineRule="exact"/>
        <w:rPr>
          <w:sz w:val="20"/>
          <w:szCs w:val="20"/>
          <w:color w:val="auto"/>
        </w:rPr>
      </w:pPr>
    </w:p>
    <w:p>
      <w:pPr>
        <w:ind w:right="100" w:firstLine="398"/>
        <w:spacing w:after="0" w:line="268" w:lineRule="auto"/>
        <w:rPr>
          <w:sz w:val="20"/>
          <w:szCs w:val="20"/>
          <w:color w:val="auto"/>
        </w:rPr>
      </w:pPr>
      <w:r>
        <w:rPr>
          <w:rFonts w:ascii="Times New Roman" w:cs="Times New Roman" w:eastAsia="Times New Roman" w:hAnsi="Times New Roman"/>
          <w:sz w:val="17"/>
          <w:szCs w:val="17"/>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420"/>
          </w:cols>
          <w:pgMar w:left="240" w:top="120" w:right="239" w:bottom="1440" w:gutter="0" w:footer="0" w:header="0"/>
        </w:sectPr>
      </w:pPr>
    </w:p>
    <w:bookmarkStart w:id="27" w:name="page28"/>
    <w:bookmarkEnd w:id="2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ind w:right="180" w:firstLine="398"/>
        <w:spacing w:after="0" w:line="268" w:lineRule="auto"/>
        <w:rPr>
          <w:sz w:val="20"/>
          <w:szCs w:val="20"/>
          <w:color w:val="auto"/>
        </w:rPr>
      </w:pPr>
      <w:r>
        <w:rPr>
          <w:rFonts w:ascii="Times New Roman" w:cs="Times New Roman" w:eastAsia="Times New Roman" w:hAnsi="Times New Roman"/>
          <w:sz w:val="17"/>
          <w:szCs w:val="17"/>
          <w:color w:val="auto"/>
        </w:rPr>
        <w:t>On February 13, 2019, the Company’s joint venture in SanTan Village Regional Center entered into a commitment for a ten-year $220.0 million loan to replace the existing loan on the property. The new loan will bear interest at a fixed rate of 4.30% and is expected to close during the second quarter of 2019.</w:t>
      </w:r>
    </w:p>
    <w:p>
      <w:pPr>
        <w:spacing w:after="0" w:line="209" w:lineRule="exact"/>
        <w:rPr>
          <w:sz w:val="20"/>
          <w:szCs w:val="20"/>
          <w:color w:val="auto"/>
        </w:rPr>
      </w:pPr>
    </w:p>
    <w:p>
      <w:pPr>
        <w:ind w:right="20" w:firstLine="398"/>
        <w:spacing w:after="0" w:line="252" w:lineRule="auto"/>
        <w:rPr>
          <w:sz w:val="20"/>
          <w:szCs w:val="20"/>
          <w:color w:val="auto"/>
        </w:rPr>
      </w:pPr>
      <w:r>
        <w:rPr>
          <w:rFonts w:ascii="Times New Roman" w:cs="Times New Roman" w:eastAsia="Times New Roman" w:hAnsi="Times New Roman"/>
          <w:sz w:val="17"/>
          <w:szCs w:val="17"/>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Redevelopment and Development Activities:</w:t>
      </w:r>
    </w:p>
    <w:p>
      <w:pPr>
        <w:spacing w:after="0" w:line="254" w:lineRule="exact"/>
        <w:rPr>
          <w:sz w:val="20"/>
          <w:szCs w:val="20"/>
          <w:color w:val="auto"/>
        </w:rPr>
      </w:pPr>
    </w:p>
    <w:p>
      <w:pPr>
        <w:ind w:right="100" w:firstLine="398"/>
        <w:spacing w:after="0" w:line="252" w:lineRule="auto"/>
        <w:rPr>
          <w:sz w:val="20"/>
          <w:szCs w:val="20"/>
          <w:color w:val="auto"/>
        </w:rPr>
      </w:pPr>
      <w:r>
        <w:rPr>
          <w:rFonts w:ascii="Times New Roman" w:cs="Times New Roman" w:eastAsia="Times New Roman" w:hAnsi="Times New Roman"/>
          <w:sz w:val="17"/>
          <w:szCs w:val="17"/>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$158.5 million of the total $317.1 million incurred by the joint venture as of March 31, 2019.</w:t>
      </w:r>
    </w:p>
    <w:p>
      <w:pPr>
        <w:spacing w:after="0" w:line="223" w:lineRule="exact"/>
        <w:rPr>
          <w:sz w:val="20"/>
          <w:szCs w:val="20"/>
          <w:color w:val="auto"/>
        </w:rPr>
      </w:pPr>
    </w:p>
    <w:p>
      <w:pPr>
        <w:ind w:right="60" w:firstLine="398"/>
        <w:spacing w:after="0" w:line="256" w:lineRule="auto"/>
        <w:rPr>
          <w:sz w:val="20"/>
          <w:szCs w:val="20"/>
          <w:color w:val="auto"/>
        </w:rPr>
      </w:pPr>
      <w:r>
        <w:rPr>
          <w:rFonts w:ascii="Times New Roman" w:cs="Times New Roman" w:eastAsia="Times New Roman" w:hAnsi="Times New Roman"/>
          <w:sz w:val="17"/>
          <w:szCs w:val="17"/>
          <w:color w:val="auto"/>
        </w:rPr>
        <w:t>The Company's joint venture in Scottsdale Fashion Square is redeveloping a former Barney's store and an 80,000 square foot exterior expansion. The project is expected to be completed in 2019. The total cost of the project is estimated to be between $140.0 million and $160.0 million, with $70.0 million to $80.0 million estimated to be the Company's pro rata share. The Company has funded $29.1 million of the total $58.1 million incurred by the joint venture as of March 31, 2019.</w:t>
      </w:r>
    </w:p>
    <w:p>
      <w:pPr>
        <w:spacing w:after="0" w:line="219"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$36.4 million of the total $145.4 million incurred by the joint venture as of March 31, 2019.</w:t>
      </w:r>
    </w:p>
    <w:p>
      <w:pPr>
        <w:spacing w:after="0" w:line="223" w:lineRule="exact"/>
        <w:rPr>
          <w:sz w:val="20"/>
          <w:szCs w:val="20"/>
          <w:color w:val="auto"/>
        </w:rPr>
      </w:pPr>
    </w:p>
    <w:p>
      <w:pPr>
        <w:ind w:firstLine="398"/>
        <w:spacing w:after="0" w:line="279" w:lineRule="auto"/>
        <w:rPr>
          <w:sz w:val="20"/>
          <w:szCs w:val="20"/>
          <w:color w:val="auto"/>
        </w:rPr>
      </w:pPr>
      <w:r>
        <w:rPr>
          <w:rFonts w:ascii="Times New Roman" w:cs="Times New Roman" w:eastAsia="Times New Roman" w:hAnsi="Times New Roman"/>
          <w:sz w:val="16"/>
          <w:szCs w:val="16"/>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first phase of the project is expected to be completed in Fall 2021. The Company has funded $17.1 million of the total $34.1 million incurred by the joint venture as of March 31, 2019.</w:t>
      </w:r>
    </w:p>
    <w:p>
      <w:pPr>
        <w:spacing w:after="0" w:line="203" w:lineRule="exact"/>
        <w:rPr>
          <w:sz w:val="20"/>
          <w:szCs w:val="20"/>
          <w:color w:val="auto"/>
        </w:rPr>
      </w:pPr>
    </w:p>
    <w:p>
      <w:pPr>
        <w:ind w:right="60" w:firstLine="398"/>
        <w:spacing w:after="0" w:line="252" w:lineRule="auto"/>
        <w:rPr>
          <w:sz w:val="20"/>
          <w:szCs w:val="20"/>
          <w:color w:val="auto"/>
        </w:rPr>
      </w:pPr>
      <w:r>
        <w:rPr>
          <w:rFonts w:ascii="Times New Roman" w:cs="Times New Roman" w:eastAsia="Times New Roman" w:hAnsi="Times New Roman"/>
          <w:sz w:val="17"/>
          <w:szCs w:val="17"/>
          <w:color w:val="auto"/>
        </w:rPr>
        <w:t>In connection with the anticipated closures and lease rejections of several Sears stores owned or partially owned by the Company, the Company anticipates spending between $250.0 million to $300.0 million at the Company’s pro rata share to redevelop the Sears stores. The anticipated openings of such redevelopments are expected to occur between 2020 and 2024. The estimated range of redevelopment costs could increase if the Company or its joint venture decide to expand the scope of the redevelopments.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Transactions and Events:</w:t>
      </w:r>
    </w:p>
    <w:p>
      <w:pPr>
        <w:spacing w:after="0" w:line="254" w:lineRule="exact"/>
        <w:rPr>
          <w:sz w:val="20"/>
          <w:szCs w:val="20"/>
          <w:color w:val="auto"/>
        </w:rPr>
      </w:pPr>
    </w:p>
    <w:p>
      <w:pPr>
        <w:ind w:right="680" w:firstLine="398"/>
        <w:spacing w:after="0" w:line="268" w:lineRule="auto"/>
        <w:rPr>
          <w:sz w:val="20"/>
          <w:szCs w:val="20"/>
          <w:color w:val="auto"/>
        </w:rPr>
      </w:pPr>
      <w:r>
        <w:rPr>
          <w:rFonts w:ascii="Times New Roman" w:cs="Times New Roman" w:eastAsia="Times New Roman" w:hAnsi="Times New Roman"/>
          <w:sz w:val="17"/>
          <w:szCs w:val="17"/>
          <w:color w:val="auto"/>
        </w:rPr>
        <w:t>On February 1 and 2, 2018, the Company reduced its workforce by approximately 10 percent. The Company incurred a one-time charge of $12.7 million in connection with the workforce reduction during the three months ended March 31, 2018.</w:t>
      </w:r>
    </w:p>
    <w:p>
      <w:pPr>
        <w:spacing w:after="0" w:line="209" w:lineRule="exact"/>
        <w:rPr>
          <w:sz w:val="20"/>
          <w:szCs w:val="20"/>
          <w:color w:val="auto"/>
        </w:rPr>
      </w:pPr>
    </w:p>
    <w:p>
      <w:pPr>
        <w:ind w:right="300" w:firstLine="398"/>
        <w:spacing w:after="0" w:line="268" w:lineRule="auto"/>
        <w:rPr>
          <w:sz w:val="20"/>
          <w:szCs w:val="20"/>
          <w:color w:val="auto"/>
        </w:rPr>
      </w:pPr>
      <w:r>
        <w:rPr>
          <w:rFonts w:ascii="Times New Roman" w:cs="Times New Roman" w:eastAsia="Times New Roman" w:hAnsi="Times New Roman"/>
          <w:sz w:val="17"/>
          <w:szCs w:val="17"/>
          <w:color w:val="auto"/>
        </w:rPr>
        <w:t>During the three months ended June 30, 2018, the Company incurred $19.4 million in costs associated with activities related to shareholder activism. These costs were primarily for legal and advisory services.</w:t>
      </w:r>
    </w:p>
    <w:p>
      <w:pPr>
        <w:spacing w:after="0" w:line="209"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On January 1, 2019, the Company adopted Accounting Standards Codification ("ASC") 842 "Leases", under the cumulative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380"/>
          </w:cols>
          <w:pgMar w:left="240" w:top="120" w:right="279" w:bottom="1440" w:gutter="0" w:footer="0" w:header="0"/>
        </w:sectPr>
      </w:pPr>
    </w:p>
    <w:bookmarkStart w:id="28" w:name="page29"/>
    <w:bookmarkEnd w:id="2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ind w:right="100" w:firstLine="398"/>
        <w:spacing w:after="0" w:line="246" w:lineRule="auto"/>
        <w:rPr>
          <w:sz w:val="20"/>
          <w:szCs w:val="20"/>
          <w:color w:val="auto"/>
        </w:rPr>
      </w:pPr>
      <w:r>
        <w:rPr>
          <w:rFonts w:ascii="Times New Roman" w:cs="Times New Roman" w:eastAsia="Times New Roman" w:hAnsi="Times New Roman"/>
          <w:sz w:val="17"/>
          <w:szCs w:val="17"/>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three months ended March 31, 2018, to conform to the presentation for the three months ended March 31, 2019. Upon adoption of the new standard, the Company has presented all revenues associated with leases as leasing revenue on its consolidated statement of operations. For comparison purposes, the Company has reclassified minimum rents, percentage rents, tenant recoveries and other leasing income to leasing revenue for the three months ended March 31, 2018, to conform to the presentation for the three months ended March 31,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 million upon adoption for the write off of straight-line rent receivables of tenants that were in litigation or bankruptcy.</w:t>
      </w: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Inflation:</w:t>
      </w:r>
    </w:p>
    <w:p>
      <w:pPr>
        <w:spacing w:after="0" w:line="254" w:lineRule="exact"/>
        <w:rPr>
          <w:sz w:val="20"/>
          <w:szCs w:val="20"/>
          <w:color w:val="auto"/>
        </w:rPr>
      </w:pPr>
    </w:p>
    <w:p>
      <w:pPr>
        <w:ind w:right="40" w:firstLine="398"/>
        <w:spacing w:after="0" w:line="267" w:lineRule="auto"/>
        <w:rPr>
          <w:sz w:val="20"/>
          <w:szCs w:val="20"/>
          <w:color w:val="auto"/>
        </w:rPr>
      </w:pPr>
      <w:r>
        <w:rPr>
          <w:rFonts w:ascii="Times New Roman" w:cs="Times New Roman" w:eastAsia="Times New Roman" w:hAnsi="Times New Roman"/>
          <w:sz w:val="16"/>
          <w:szCs w:val="16"/>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254" w:lineRule="exact"/>
        <w:rPr>
          <w:sz w:val="20"/>
          <w:szCs w:val="20"/>
          <w:color w:val="auto"/>
        </w:rPr>
      </w:pPr>
    </w:p>
    <w:p>
      <w:pPr>
        <w:ind w:right="40" w:firstLine="398"/>
        <w:spacing w:after="0" w:line="256" w:lineRule="auto"/>
        <w:rPr>
          <w:sz w:val="20"/>
          <w:szCs w:val="20"/>
          <w:color w:val="auto"/>
        </w:rPr>
      </w:pPr>
      <w:r>
        <w:rPr>
          <w:rFonts w:ascii="Times New Roman" w:cs="Times New Roman" w:eastAsia="Times New Roman" w:hAnsi="Times New Roman"/>
          <w:sz w:val="17"/>
          <w:szCs w:val="17"/>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56" w:lineRule="exact"/>
        <w:rPr>
          <w:sz w:val="20"/>
          <w:szCs w:val="20"/>
          <w:color w:val="auto"/>
        </w:rPr>
      </w:pPr>
    </w:p>
    <w:p>
      <w:pPr>
        <w:ind w:right="80" w:firstLine="398"/>
        <w:spacing w:after="0" w:line="25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9"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7"/>
          <w:szCs w:val="17"/>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254" w:lineRule="exact"/>
        <w:rPr>
          <w:sz w:val="20"/>
          <w:szCs w:val="20"/>
          <w:color w:val="auto"/>
        </w:rPr>
      </w:pPr>
    </w:p>
    <w:p>
      <w:pPr>
        <w:ind w:right="60" w:firstLine="398"/>
        <w:spacing w:after="0" w:line="246" w:lineRule="auto"/>
        <w:rPr>
          <w:sz w:val="20"/>
          <w:szCs w:val="20"/>
          <w:color w:val="auto"/>
        </w:rPr>
      </w:pPr>
      <w:r>
        <w:rPr>
          <w:rFonts w:ascii="Times New Roman" w:cs="Times New Roman" w:eastAsia="Times New Roman" w:hAnsi="Times New Roman"/>
          <w:sz w:val="17"/>
          <w:szCs w:val="17"/>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420"/>
          </w:cols>
          <w:pgMar w:left="240" w:top="120" w:right="239" w:bottom="1440" w:gutter="0" w:footer="0" w:header="0"/>
        </w:sectPr>
      </w:pPr>
    </w:p>
    <w:bookmarkStart w:id="29" w:name="page30"/>
    <w:bookmarkEnd w:id="2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immediately expenses costs associated with business combinations as period costs and capitalizes costs associated with asset acquisitions.</w:t>
      </w:r>
    </w:p>
    <w:p>
      <w:pPr>
        <w:spacing w:after="0" w:line="252" w:lineRule="exact"/>
        <w:rPr>
          <w:sz w:val="20"/>
          <w:szCs w:val="20"/>
          <w:color w:val="auto"/>
        </w:rPr>
      </w:pPr>
    </w:p>
    <w:p>
      <w:pPr>
        <w:ind w:right="440" w:firstLine="398"/>
        <w:spacing w:after="0" w:line="268" w:lineRule="auto"/>
        <w:rPr>
          <w:sz w:val="20"/>
          <w:szCs w:val="20"/>
          <w:color w:val="auto"/>
        </w:rPr>
      </w:pPr>
      <w:r>
        <w:rPr>
          <w:rFonts w:ascii="Times New Roman" w:cs="Times New Roman" w:eastAsia="Times New Roman" w:hAnsi="Times New Roman"/>
          <w:sz w:val="17"/>
          <w:szCs w:val="17"/>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Asset Impairment:</w:t>
      </w:r>
    </w:p>
    <w:p>
      <w:pPr>
        <w:spacing w:after="0" w:line="254" w:lineRule="exact"/>
        <w:rPr>
          <w:sz w:val="20"/>
          <w:szCs w:val="20"/>
          <w:color w:val="auto"/>
        </w:rPr>
      </w:pPr>
    </w:p>
    <w:p>
      <w:pPr>
        <w:ind w:right="40" w:firstLine="398"/>
        <w:spacing w:after="0" w:line="248" w:lineRule="auto"/>
        <w:rPr>
          <w:sz w:val="20"/>
          <w:szCs w:val="20"/>
          <w:color w:val="auto"/>
        </w:rPr>
      </w:pPr>
      <w:r>
        <w:rPr>
          <w:rFonts w:ascii="Times New Roman" w:cs="Times New Roman" w:eastAsia="Times New Roman" w:hAnsi="Times New Roman"/>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26" w:lineRule="exact"/>
        <w:rPr>
          <w:sz w:val="20"/>
          <w:szCs w:val="20"/>
          <w:color w:val="auto"/>
        </w:rPr>
      </w:pPr>
    </w:p>
    <w:p>
      <w:pPr>
        <w:jc w:val="both"/>
        <w:ind w:right="120" w:firstLine="398"/>
        <w:spacing w:after="0" w:line="256" w:lineRule="auto"/>
        <w:rPr>
          <w:sz w:val="20"/>
          <w:szCs w:val="20"/>
          <w:color w:val="auto"/>
        </w:rPr>
      </w:pPr>
      <w:r>
        <w:rPr>
          <w:rFonts w:ascii="Times New Roman" w:cs="Times New Roman" w:eastAsia="Times New Roman" w:hAnsi="Times New Roman"/>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54" w:lineRule="exact"/>
        <w:rPr>
          <w:sz w:val="20"/>
          <w:szCs w:val="20"/>
          <w:color w:val="auto"/>
        </w:rPr>
      </w:pPr>
    </w:p>
    <w:p>
      <w:pPr>
        <w:ind w:firstLine="398"/>
        <w:spacing w:after="0" w:line="268" w:lineRule="auto"/>
        <w:rPr>
          <w:sz w:val="20"/>
          <w:szCs w:val="20"/>
          <w:color w:val="auto"/>
        </w:rPr>
      </w:pPr>
      <w:r>
        <w:rPr>
          <w:rFonts w:ascii="Times New Roman" w:cs="Times New Roman" w:eastAsia="Times New Roman" w:hAnsi="Times New Roman"/>
          <w:sz w:val="17"/>
          <w:szCs w:val="17"/>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09" w:lineRule="exact"/>
        <w:rPr>
          <w:sz w:val="20"/>
          <w:szCs w:val="20"/>
          <w:color w:val="auto"/>
        </w:rPr>
      </w:pPr>
    </w:p>
    <w:p>
      <w:pPr>
        <w:ind w:right="160" w:firstLine="398"/>
        <w:spacing w:after="0" w:line="247" w:lineRule="auto"/>
        <w:rPr>
          <w:sz w:val="20"/>
          <w:szCs w:val="20"/>
          <w:color w:val="auto"/>
        </w:rPr>
      </w:pPr>
      <w:r>
        <w:rPr>
          <w:rFonts w:ascii="Times New Roman" w:cs="Times New Roman" w:eastAsia="Times New Roman" w:hAnsi="Times New Roman"/>
          <w:sz w:val="17"/>
          <w:szCs w:val="17"/>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9" w:lineRule="exact"/>
        <w:rPr>
          <w:sz w:val="20"/>
          <w:szCs w:val="20"/>
          <w:color w:val="auto"/>
        </w:rPr>
      </w:pPr>
    </w:p>
    <w:p>
      <w:pPr>
        <w:ind w:right="40" w:firstLine="398"/>
        <w:spacing w:after="0" w:line="300" w:lineRule="auto"/>
        <w:rPr>
          <w:sz w:val="20"/>
          <w:szCs w:val="20"/>
          <w:color w:val="auto"/>
        </w:rPr>
      </w:pPr>
      <w:r>
        <w:rPr>
          <w:rFonts w:ascii="Times New Roman" w:cs="Times New Roman" w:eastAsia="Times New Roman" w:hAnsi="Times New Roman"/>
          <w:sz w:val="16"/>
          <w:szCs w:val="16"/>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86"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7"/>
          <w:szCs w:val="17"/>
          <w:color w:val="auto"/>
        </w:rPr>
        <w:t>The Company records its Financing Arrangement (See Note 12—Financing Arrangement of the Company's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420"/>
          </w:cols>
          <w:pgMar w:left="240" w:top="120" w:right="239" w:bottom="1440" w:gutter="0" w:footer="0" w:header="0"/>
        </w:sectPr>
      </w:pPr>
    </w:p>
    <w:bookmarkStart w:id="30" w:name="page31"/>
    <w:bookmarkEnd w:id="3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6" w:lineRule="exact"/>
        <w:rPr>
          <w:sz w:val="20"/>
          <w:szCs w:val="20"/>
          <w:color w:val="auto"/>
        </w:rPr>
      </w:pPr>
    </w:p>
    <w:p>
      <w:pPr>
        <w:ind w:right="400" w:firstLine="398"/>
        <w:spacing w:after="0" w:line="300" w:lineRule="auto"/>
        <w:rPr>
          <w:sz w:val="20"/>
          <w:szCs w:val="20"/>
          <w:color w:val="auto"/>
        </w:rPr>
      </w:pPr>
      <w:r>
        <w:rPr>
          <w:rFonts w:ascii="Times New Roman" w:cs="Times New Roman" w:eastAsia="Times New Roman" w:hAnsi="Times New Roman"/>
          <w:sz w:val="16"/>
          <w:szCs w:val="16"/>
          <w:color w:val="auto"/>
        </w:rPr>
        <w:t>Many of the variations in the results of operations, discussed below, occurred because of the transactions affecting the Company's properties described in Management's Overview and Summary above, including the Redevelopment Properties and the JV Transition Center and the Disposition Property (as defined below).</w:t>
      </w:r>
    </w:p>
    <w:p>
      <w:pPr>
        <w:spacing w:after="0" w:line="186" w:lineRule="exact"/>
        <w:rPr>
          <w:sz w:val="20"/>
          <w:szCs w:val="20"/>
          <w:color w:val="auto"/>
        </w:rPr>
      </w:pPr>
    </w:p>
    <w:p>
      <w:pPr>
        <w:ind w:right="40" w:firstLine="398"/>
        <w:spacing w:after="0" w:line="267" w:lineRule="auto"/>
        <w:rPr>
          <w:sz w:val="20"/>
          <w:szCs w:val="20"/>
          <w:color w:val="auto"/>
        </w:rPr>
      </w:pPr>
      <w:r>
        <w:rPr>
          <w:rFonts w:ascii="Times New Roman" w:cs="Times New Roman" w:eastAsia="Times New Roman" w:hAnsi="Times New Roman"/>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 and properties that have been disposed of ("Disposition Property").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 and the Disposition Property, for the periods of comparison.</w:t>
      </w:r>
    </w:p>
    <w:p>
      <w:pPr>
        <w:spacing w:after="0" w:line="213" w:lineRule="exact"/>
        <w:rPr>
          <w:sz w:val="20"/>
          <w:szCs w:val="20"/>
          <w:color w:val="auto"/>
        </w:rPr>
      </w:pPr>
    </w:p>
    <w:p>
      <w:pPr>
        <w:jc w:val="both"/>
        <w:ind w:firstLine="398"/>
        <w:spacing w:after="0" w:line="279" w:lineRule="auto"/>
        <w:rPr>
          <w:sz w:val="20"/>
          <w:szCs w:val="20"/>
          <w:color w:val="auto"/>
        </w:rPr>
      </w:pPr>
      <w:r>
        <w:rPr>
          <w:rFonts w:ascii="Times New Roman" w:cs="Times New Roman" w:eastAsia="Times New Roman" w:hAnsi="Times New Roman"/>
          <w:sz w:val="16"/>
          <w:szCs w:val="16"/>
          <w:color w:val="auto"/>
        </w:rPr>
        <w:t>For the comparison of the three months ended March 31, 2019 to the three months ended March 31, 2018, the Redevelopment Properties are Paradise Valley Mall and certain ground up developments. For the comparison of the three months ended March 31, 2019 to the three months ended March 31, 2018, the JV Transition Center is One Westside. For the comparison of the three months ended March 31, 2019 to the three months ended March 31, 2018, the Disposition Property is Promenade at Casa Grande.</w:t>
      </w:r>
    </w:p>
    <w:p>
      <w:pPr>
        <w:spacing w:after="0" w:line="203" w:lineRule="exact"/>
        <w:rPr>
          <w:sz w:val="20"/>
          <w:szCs w:val="20"/>
          <w:color w:val="auto"/>
        </w:rPr>
      </w:pPr>
    </w:p>
    <w:p>
      <w:pPr>
        <w:ind w:right="140" w:firstLine="398"/>
        <w:spacing w:after="0" w:line="268" w:lineRule="auto"/>
        <w:rPr>
          <w:sz w:val="20"/>
          <w:szCs w:val="20"/>
          <w:color w:val="auto"/>
        </w:rPr>
      </w:pPr>
      <w:r>
        <w:rPr>
          <w:rFonts w:ascii="Times New Roman" w:cs="Times New Roman" w:eastAsia="Times New Roman" w:hAnsi="Times New Roman"/>
          <w:sz w:val="17"/>
          <w:szCs w:val="17"/>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209" w:lineRule="exact"/>
        <w:rPr>
          <w:sz w:val="20"/>
          <w:szCs w:val="20"/>
          <w:color w:val="auto"/>
        </w:rPr>
      </w:pPr>
    </w:p>
    <w:p>
      <w:pPr>
        <w:ind w:right="40" w:firstLine="398"/>
        <w:spacing w:after="0" w:line="252" w:lineRule="auto"/>
        <w:rPr>
          <w:sz w:val="20"/>
          <w:szCs w:val="20"/>
          <w:color w:val="auto"/>
        </w:rPr>
      </w:pPr>
      <w:r>
        <w:rPr>
          <w:rFonts w:ascii="Times New Roman" w:cs="Times New Roman" w:eastAsia="Times New Roman" w:hAnsi="Times New Roman"/>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23" w:lineRule="exact"/>
        <w:rPr>
          <w:sz w:val="20"/>
          <w:szCs w:val="20"/>
          <w:color w:val="auto"/>
        </w:rPr>
      </w:pPr>
    </w:p>
    <w:p>
      <w:pPr>
        <w:ind w:firstLine="398"/>
        <w:spacing w:after="0" w:line="247" w:lineRule="auto"/>
        <w:rPr>
          <w:sz w:val="20"/>
          <w:szCs w:val="20"/>
          <w:color w:val="auto"/>
        </w:rPr>
      </w:pPr>
      <w:r>
        <w:rPr>
          <w:rFonts w:ascii="Times New Roman" w:cs="Times New Roman" w:eastAsia="Times New Roman" w:hAnsi="Times New Roman"/>
          <w:sz w:val="17"/>
          <w:szCs w:val="17"/>
          <w:color w:val="auto"/>
        </w:rPr>
        <w:t>Tenant sales per square foot increased from $686 for the twelve months ended March 31, 2018 to $746 for the twelve months ended March 31, 2019. Occupancy rate increased from 94.0% at March 31, 2018 to 94.7% at March 31, 2019. Releasing spreads remained positive as the Company was able to lease available space at higher average rents than the expiring rental rates, resulting in a releasing spread of $5.84 per square foot ($58.85 on new and renewal leases executed compared to $53.01 on leases expiring), representing a 11.0% increase for the trailing twelve months ended March 31, 2019. The Company expects that releasing spreads will continue to be positive for the remainder of 2019 as it renews or relets leases that are scheduled to expire. These leases that are scheduled to expire in the next twelve months represent 0.9 million square feet of the Centers, accounting for 12.5% of the gross leasable area ("GLA") of mall stores and freestanding stores, for spaces 10,000 square feet and under, as of March 31, 2019. These calculations exclude Centers under development or redevelopment and property dispositions (See "Acquisitions and Dispositions" and "Redevelopment and Development Activities" in Management's Overview and Summary).</w:t>
      </w:r>
    </w:p>
    <w:p>
      <w:pPr>
        <w:spacing w:after="0" w:line="229" w:lineRule="exact"/>
        <w:rPr>
          <w:sz w:val="20"/>
          <w:szCs w:val="20"/>
          <w:color w:val="auto"/>
        </w:rPr>
      </w:pPr>
    </w:p>
    <w:p>
      <w:pPr>
        <w:ind w:right="140" w:firstLine="398"/>
        <w:spacing w:after="0" w:line="256" w:lineRule="auto"/>
        <w:rPr>
          <w:sz w:val="20"/>
          <w:szCs w:val="20"/>
          <w:color w:val="auto"/>
        </w:rPr>
      </w:pPr>
      <w:r>
        <w:rPr>
          <w:rFonts w:ascii="Times New Roman" w:cs="Times New Roman" w:eastAsia="Times New Roman" w:hAnsi="Times New Roman"/>
          <w:sz w:val="17"/>
          <w:szCs w:val="17"/>
          <w:color w:val="auto"/>
        </w:rPr>
        <w:t>During the trailing twelve months ended March 31, 2019, the Company signed 258 new leases and 399 renewal leases comprising approximately 1.0 million square feet of GLA, of which 0.7 million square feet related to the consolidated Centers. The annual initial average base rent for new and renewal leases was $58.85 per square foot for the trailing twelve months ended March 31, 2019 with an average tenant allowance of $33.51 per square foot.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56" w:lineRule="exact"/>
        <w:rPr>
          <w:sz w:val="20"/>
          <w:szCs w:val="20"/>
          <w:color w:val="auto"/>
        </w:rPr>
      </w:pPr>
    </w:p>
    <w:p>
      <w:pPr>
        <w:jc w:val="both"/>
        <w:ind w:right="20" w:firstLine="398"/>
        <w:spacing w:after="0" w:line="279" w:lineRule="auto"/>
        <w:rPr>
          <w:sz w:val="20"/>
          <w:szCs w:val="20"/>
          <w:color w:val="auto"/>
        </w:rPr>
      </w:pPr>
      <w:r>
        <w:rPr>
          <w:rFonts w:ascii="Times New Roman" w:cs="Times New Roman" w:eastAsia="Times New Roman" w:hAnsi="Times New Roman"/>
          <w:sz w:val="16"/>
          <w:szCs w:val="16"/>
          <w:color w:val="auto"/>
        </w:rPr>
        <w:t>The Company has a long-term four-pronged business strategy that focuses on the acquisition, leasing and management, redevelopment and development of Regional Shopping Centers. Although the Company believes that overall regional shopping centers fundamentals in its markets appear reasonably strong early in 2019, the Company expects that its results for 2019 will be negatively impacted by rising interest rates and anticipated Anchor closures and tenant bankruptcies, among other factors.</w:t>
      </w:r>
    </w:p>
    <w:p>
      <w:pPr>
        <w:spacing w:after="0" w:line="203" w:lineRule="exact"/>
        <w:rPr>
          <w:sz w:val="20"/>
          <w:szCs w:val="20"/>
          <w:color w:val="auto"/>
        </w:rPr>
      </w:pPr>
    </w:p>
    <w:p>
      <w:pPr>
        <w:ind w:right="20" w:firstLine="398"/>
        <w:spacing w:after="0" w:line="279" w:lineRule="auto"/>
        <w:rPr>
          <w:sz w:val="20"/>
          <w:szCs w:val="20"/>
          <w:color w:val="auto"/>
        </w:rPr>
      </w:pPr>
      <w:r>
        <w:rPr>
          <w:rFonts w:ascii="Times New Roman" w:cs="Times New Roman" w:eastAsia="Times New Roman" w:hAnsi="Times New Roman"/>
          <w:sz w:val="16"/>
          <w:szCs w:val="16"/>
          <w:color w:val="auto"/>
        </w:rPr>
        <w:t>Rising interest rates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400"/>
          </w:cols>
          <w:pgMar w:left="240" w:top="120" w:right="259" w:bottom="1440" w:gutter="0" w:footer="0" w:header="0"/>
        </w:sectPr>
      </w:pPr>
    </w:p>
    <w:bookmarkStart w:id="31" w:name="page32"/>
    <w:bookmarkEnd w:id="3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floating-rate to fixed-rate debt. However, in an increasing interest rate environment the fixed rates the Company can obtain with such replacement fixed-rate cap and swap agreements or the fixed-rate on new debt will also continue to increase.</w:t>
      </w:r>
    </w:p>
    <w:p>
      <w:pPr>
        <w:spacing w:after="0" w:line="209" w:lineRule="exact"/>
        <w:rPr>
          <w:sz w:val="20"/>
          <w:szCs w:val="20"/>
          <w:color w:val="auto"/>
        </w:rPr>
      </w:pPr>
    </w:p>
    <w:p>
      <w:pPr>
        <w:ind w:right="20" w:firstLine="398"/>
        <w:spacing w:after="0" w:line="256" w:lineRule="auto"/>
        <w:rPr>
          <w:sz w:val="20"/>
          <w:szCs w:val="20"/>
          <w:color w:val="auto"/>
        </w:rPr>
      </w:pPr>
      <w:r>
        <w:rPr>
          <w:rFonts w:ascii="Times New Roman" w:cs="Times New Roman" w:eastAsia="Times New Roman" w:hAnsi="Times New Roman"/>
          <w:sz w:val="17"/>
          <w:szCs w:val="17"/>
          <w:color w:val="auto"/>
        </w:rPr>
        <w:t>In recent years, a number of companies in the retail industry, including some of the Company’s Anchors, have declared bankruptcy, have gone out of business or have significantly reduced the number of their retail stores. Store closures by an Anchor may impact the Company’s Centers more holistically by causing other Anchors and/or certain other tenants to terminate their leases, receive reduced rent and/or cease operating their stores at the Center.</w:t>
      </w:r>
    </w:p>
    <w:p>
      <w:pPr>
        <w:spacing w:after="0" w:line="219" w:lineRule="exact"/>
        <w:rPr>
          <w:sz w:val="20"/>
          <w:szCs w:val="20"/>
          <w:color w:val="auto"/>
        </w:rPr>
      </w:pPr>
    </w:p>
    <w:p>
      <w:pPr>
        <w:ind w:right="40" w:firstLine="398"/>
        <w:spacing w:after="0" w:line="266" w:lineRule="auto"/>
        <w:rPr>
          <w:sz w:val="20"/>
          <w:szCs w:val="20"/>
          <w:color w:val="auto"/>
        </w:rPr>
      </w:pPr>
      <w:r>
        <w:rPr>
          <w:rFonts w:ascii="Times New Roman" w:cs="Times New Roman" w:eastAsia="Times New Roman" w:hAnsi="Times New Roman"/>
          <w:sz w:val="16"/>
          <w:szCs w:val="16"/>
          <w:color w:val="auto"/>
        </w:rPr>
        <w:t>On October 15, 2018, Sears filed for bankruptcy and announced additional store closings. At the time of the bankruptcy filing, the Company had twenty-one Sears stores in its portfolio totaling approximately 3.1 million square feet and accounted for less than 1% of the Company’s total leasing revenue. The twenty-one stores included seven owned by the Company, nine owned by the Company’s joint venture with Seritage Growth Properties (“Seritage”), one store that was owned by Sears and four stores that were owned by Seritage. As of March 31, 2019, following the closure of thirteen stores, eight stores remained open within the Company’s portfolio. As of March 31, 2019, none of the leases had been rejected, including the closed locations. The remaining eight stores include three owned by the Company, three owned by the Company’s joint venture with Seritage and two that are owned by Seritage. Due to its bankruptcy filing, Sears may be unable or unwilling to meet its rent obligations and other obligations under its leases with the Company, and the Company may be unable to re-lease a terminated or rejected space on comparable terms or at all.</w:t>
      </w:r>
    </w:p>
    <w:p>
      <w:pPr>
        <w:spacing w:after="0" w:line="212" w:lineRule="exact"/>
        <w:rPr>
          <w:sz w:val="20"/>
          <w:szCs w:val="20"/>
          <w:color w:val="auto"/>
        </w:rPr>
      </w:pPr>
    </w:p>
    <w:p>
      <w:pPr>
        <w:ind w:right="140" w:firstLine="398"/>
        <w:spacing w:after="0" w:line="256" w:lineRule="auto"/>
        <w:rPr>
          <w:sz w:val="20"/>
          <w:szCs w:val="20"/>
          <w:color w:val="auto"/>
        </w:rPr>
      </w:pPr>
      <w:r>
        <w:rPr>
          <w:rFonts w:ascii="Times New Roman" w:cs="Times New Roman" w:eastAsia="Times New Roman" w:hAnsi="Times New Roman"/>
          <w:sz w:val="17"/>
          <w:szCs w:val="17"/>
          <w:color w:val="auto"/>
        </w:rPr>
        <w:t>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Three Months Ended March 31, 2019 and 2018</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254" w:lineRule="exact"/>
        <w:rPr>
          <w:sz w:val="20"/>
          <w:szCs w:val="20"/>
          <w:color w:val="auto"/>
        </w:rPr>
      </w:pPr>
    </w:p>
    <w:p>
      <w:pPr>
        <w:ind w:right="40" w:firstLine="398"/>
        <w:spacing w:after="0" w:line="248" w:lineRule="auto"/>
        <w:rPr>
          <w:sz w:val="20"/>
          <w:szCs w:val="20"/>
          <w:color w:val="auto"/>
        </w:rPr>
      </w:pPr>
      <w:r>
        <w:rPr>
          <w:rFonts w:ascii="Times New Roman" w:cs="Times New Roman" w:eastAsia="Times New Roman" w:hAnsi="Times New Roman"/>
          <w:sz w:val="17"/>
          <w:szCs w:val="17"/>
          <w:color w:val="auto"/>
        </w:rPr>
        <w:t>Leasing revenue decreased by $7.1 million, or 3.3%, from 2018 to 2019. The decrease in leasing revenue is attributed to decreases of $3.0 million from the Same Centers, $2.4 million from the JV Transition Center, $1.4 million from the Disposition Property and $0.3 million from the Redevelopment Properties. Leasing revenue includes the amortization of above and below-market leases, straight-line rents and lease termination income. The amortization of above and below-market leases increased from $(0.2) million in 2018 to $0.6 million in 2019. Straight-line rents decreased from $2.7 million in 2018 to $2.4 million in 2019. Lease termination income decreased from $1.7 million in 2018 to $0.6 million in 2019. The decrease in leasing revenue at the Same Centers is primarily due to the inclusion of bad debt expense in lease revenue in 2019 (See "Other Transactions and Events" in Management's Overview and Summary).</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Management Companies' revenue decreased from $10.5 million in 2018 to $10.2 million in 2019.</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Shopping Center and Operating Expenses:</w:t>
      </w:r>
    </w:p>
    <w:p>
      <w:pPr>
        <w:spacing w:after="0" w:line="254" w:lineRule="exact"/>
        <w:rPr>
          <w:sz w:val="20"/>
          <w:szCs w:val="20"/>
          <w:color w:val="auto"/>
        </w:rPr>
      </w:pPr>
    </w:p>
    <w:p>
      <w:pPr>
        <w:ind w:right="80" w:firstLine="398"/>
        <w:spacing w:after="0" w:line="256" w:lineRule="auto"/>
        <w:rPr>
          <w:sz w:val="20"/>
          <w:szCs w:val="20"/>
          <w:color w:val="auto"/>
        </w:rPr>
      </w:pPr>
      <w:r>
        <w:rPr>
          <w:rFonts w:ascii="Times New Roman" w:cs="Times New Roman" w:eastAsia="Times New Roman" w:hAnsi="Times New Roman"/>
          <w:sz w:val="17"/>
          <w:szCs w:val="17"/>
          <w:color w:val="auto"/>
        </w:rPr>
        <w:t>Shopping center and operating expenses decreased $4.9 million, or 6.6%, from 2018 to 2019. The decrease in shopping center and operating expenses is attributed to decreases of $2.6 million from the Same Centers, $1.5 million from the JV Transition Center, $0.7 million from the Disposition Property and $0.1 million from the Redevelopment Properties.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Leasing Expenses:</w:t>
      </w:r>
    </w:p>
    <w:p>
      <w:pPr>
        <w:spacing w:after="0" w:line="254" w:lineRule="exact"/>
        <w:rPr>
          <w:sz w:val="20"/>
          <w:szCs w:val="20"/>
          <w:color w:val="auto"/>
        </w:rPr>
      </w:pPr>
    </w:p>
    <w:p>
      <w:pPr>
        <w:ind w:firstLine="398"/>
        <w:spacing w:after="0" w:line="268" w:lineRule="auto"/>
        <w:rPr>
          <w:sz w:val="20"/>
          <w:szCs w:val="20"/>
          <w:color w:val="auto"/>
        </w:rPr>
      </w:pPr>
      <w:r>
        <w:rPr>
          <w:rFonts w:ascii="Times New Roman" w:cs="Times New Roman" w:eastAsia="Times New Roman" w:hAnsi="Times New Roman"/>
          <w:sz w:val="17"/>
          <w:szCs w:val="17"/>
          <w:color w:val="auto"/>
        </w:rPr>
        <w:t>Leasing expenses increased from $3.3 million in 2018 to $7.5 million in 2019. The increase in leasing expenses is due to the Company's adoption of ASC 842 in 2019 (See "Other Transactions and Events" in Management's Overview and Summary).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Management Companies' Operating Expenses:</w:t>
      </w:r>
    </w:p>
    <w:p>
      <w:pPr>
        <w:spacing w:after="0" w:line="254" w:lineRule="exact"/>
        <w:rPr>
          <w:sz w:val="20"/>
          <w:szCs w:val="20"/>
          <w:color w:val="auto"/>
        </w:rPr>
      </w:pPr>
    </w:p>
    <w:p>
      <w:pPr>
        <w:ind w:right="460" w:firstLine="398"/>
        <w:spacing w:after="0" w:line="256" w:lineRule="auto"/>
        <w:rPr>
          <w:sz w:val="20"/>
          <w:szCs w:val="20"/>
          <w:color w:val="auto"/>
        </w:rPr>
      </w:pPr>
      <w:r>
        <w:rPr>
          <w:rFonts w:ascii="Times New Roman" w:cs="Times New Roman" w:eastAsia="Times New Roman" w:hAnsi="Times New Roman"/>
          <w:sz w:val="17"/>
          <w:szCs w:val="17"/>
          <w:color w:val="auto"/>
        </w:rPr>
        <w:t>Management Companies' operating expenses decreased $16.0 million from 2018 to 2019. The decrease is attributed to a one-time charge of $12.7 million in connection with the Company's reduction in work force in 2018 (See "Other Transactions and Events" in Management's Overview and Summary) and the subsequent reduction in payroll and share and unit-based compensation costs.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REIT General and Administrative Expenses: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REIT general and administrative expenses decreased $1.1 million from 2018 to 2019 due to a reduction in compensation costs.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20"/>
          </w:cols>
          <w:pgMar w:left="240" w:top="120" w:right="239" w:bottom="1440" w:gutter="0" w:footer="0" w:header="0"/>
        </w:sectPr>
      </w:pPr>
    </w:p>
    <w:bookmarkStart w:id="32" w:name="page33"/>
    <w:bookmarkEnd w:id="3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54" w:lineRule="exact"/>
        <w:rPr>
          <w:sz w:val="20"/>
          <w:szCs w:val="20"/>
          <w:color w:val="auto"/>
        </w:rPr>
      </w:pPr>
    </w:p>
    <w:p>
      <w:pPr>
        <w:ind w:right="280" w:firstLine="398"/>
        <w:spacing w:after="0" w:line="256" w:lineRule="auto"/>
        <w:rPr>
          <w:sz w:val="20"/>
          <w:szCs w:val="20"/>
          <w:color w:val="auto"/>
        </w:rPr>
      </w:pPr>
      <w:r>
        <w:rPr>
          <w:rFonts w:ascii="Times New Roman" w:cs="Times New Roman" w:eastAsia="Times New Roman" w:hAnsi="Times New Roman"/>
          <w:sz w:val="17"/>
          <w:szCs w:val="17"/>
          <w:color w:val="auto"/>
        </w:rPr>
        <w:t>Depreciation and amortization increased $1.5 million from 2018 to 2019. The increase in depreciation and amortization is attributed to an increase of $3.2 million from the Same Centers offset in part by decreases of $1.1 million from the JV Transition Center, $0.4 million from the Disposition Property and $0.2 million from the Redevelopment Properties.</w:t>
      </w: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54" w:lineRule="exact"/>
        <w:rPr>
          <w:sz w:val="20"/>
          <w:szCs w:val="20"/>
          <w:color w:val="auto"/>
        </w:rPr>
      </w:pPr>
    </w:p>
    <w:p>
      <w:pPr>
        <w:ind w:right="20" w:firstLine="398"/>
        <w:spacing w:after="0" w:line="273" w:lineRule="auto"/>
        <w:rPr>
          <w:sz w:val="20"/>
          <w:szCs w:val="20"/>
          <w:color w:val="auto"/>
        </w:rPr>
      </w:pPr>
      <w:r>
        <w:rPr>
          <w:rFonts w:ascii="Times New Roman" w:cs="Times New Roman" w:eastAsia="Times New Roman" w:hAnsi="Times New Roman"/>
          <w:sz w:val="16"/>
          <w:szCs w:val="16"/>
          <w:color w:val="auto"/>
        </w:rPr>
        <w:t>Interest expense decreased $14.3 million from 2018 to 2019. The decrease in interest expense was attributed to decreases of $18.5 million from the Financing Arrangement (See "Other Transactions and Events" in Management's Overview and Summary) and $0.8 million from the JV Transition Center offset in part by increases of $2.1 million from the Same Centers, $1.5 million from the Redevelopment Properties and $1.4 million from borrowings under the Company's line of credit. The increase in interest expense at the Same Centers is primarily due the new loan on Fashion Outlets of Chicago (See "Financing Activities" in Management's Overview and Summary).</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above interest expense items are net of capitalized interest, which decreased from $4.3 million in 2018 to $2.7 million in 2019.</w:t>
      </w: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Equity in Income of Unconsolidated Joint Ventures:</w:t>
      </w:r>
    </w:p>
    <w:p>
      <w:pPr>
        <w:spacing w:after="0" w:line="254" w:lineRule="exact"/>
        <w:rPr>
          <w:sz w:val="20"/>
          <w:szCs w:val="20"/>
          <w:color w:val="auto"/>
        </w:rPr>
      </w:pPr>
    </w:p>
    <w:p>
      <w:pPr>
        <w:jc w:val="both"/>
        <w:ind w:right="60" w:firstLine="398"/>
        <w:spacing w:after="0" w:line="252" w:lineRule="auto"/>
        <w:rPr>
          <w:sz w:val="20"/>
          <w:szCs w:val="20"/>
          <w:color w:val="auto"/>
        </w:rPr>
      </w:pPr>
      <w:r>
        <w:rPr>
          <w:rFonts w:ascii="Times New Roman" w:cs="Times New Roman" w:eastAsia="Times New Roman" w:hAnsi="Times New Roman"/>
          <w:sz w:val="17"/>
          <w:szCs w:val="17"/>
          <w:color w:val="auto"/>
        </w:rPr>
        <w:t>Equity in income of unconsolidated joint ventures decreased $4.6 million from 2018 to 2019. The decrease in equity in income from unconsolidated joint ventures is primarily due to the gain of $2.8 million on the sale of an ownership interest in a building at Fashion District Philadelphia in 2018 (See "Acquisitions and Dispositions" in Management's Overview and Summary) and interest expense from the loan placed on Broadway Plaza in 2018 (See "Financing Activities" in Management's Overview and Summary).</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Loss on Sale or Write Down of Assets, net:</w:t>
      </w:r>
    </w:p>
    <w:p>
      <w:pPr>
        <w:spacing w:after="0" w:line="254" w:lineRule="exact"/>
        <w:rPr>
          <w:sz w:val="20"/>
          <w:szCs w:val="20"/>
          <w:color w:val="auto"/>
        </w:rPr>
      </w:pPr>
    </w:p>
    <w:p>
      <w:pPr>
        <w:ind w:firstLine="398"/>
        <w:spacing w:after="0" w:line="256" w:lineRule="auto"/>
        <w:rPr>
          <w:sz w:val="20"/>
          <w:szCs w:val="20"/>
          <w:color w:val="auto"/>
        </w:rPr>
      </w:pPr>
      <w:r>
        <w:rPr>
          <w:rFonts w:ascii="Times New Roman" w:cs="Times New Roman" w:eastAsia="Times New Roman" w:hAnsi="Times New Roman"/>
          <w:sz w:val="17"/>
          <w:szCs w:val="17"/>
          <w:color w:val="auto"/>
        </w:rPr>
        <w:t>Loss on sale or write down of assets, net decreased $31.2 million from 2018 to 2019. The decrease in loss on sale or write down of assets, net is primarily due to impairment losses of $36.3 million on SouthPark Mall and $1.0 million on Promenade at Casa Grande in 2018 offset in part by the write down of development costs of $6.9 million in 2019. The impairment losses were due to the reduction in the estimated holding periods of the properties.</w:t>
      </w: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Net Income (Loss):</w:t>
      </w:r>
    </w:p>
    <w:p>
      <w:pPr>
        <w:spacing w:after="0" w:line="254" w:lineRule="exact"/>
        <w:rPr>
          <w:sz w:val="20"/>
          <w:szCs w:val="20"/>
          <w:color w:val="auto"/>
        </w:rPr>
      </w:pPr>
    </w:p>
    <w:p>
      <w:pPr>
        <w:ind w:firstLine="398"/>
        <w:spacing w:after="0" w:line="256" w:lineRule="auto"/>
        <w:rPr>
          <w:sz w:val="20"/>
          <w:szCs w:val="20"/>
          <w:color w:val="auto"/>
        </w:rPr>
      </w:pPr>
      <w:r>
        <w:rPr>
          <w:rFonts w:ascii="Times New Roman" w:cs="Times New Roman" w:eastAsia="Times New Roman" w:hAnsi="Times New Roman"/>
          <w:sz w:val="17"/>
          <w:szCs w:val="17"/>
          <w:color w:val="auto"/>
        </w:rPr>
        <w:t>The change in net income (loss) was $43.2 million from 2018 to 2019, resulting from net loss of $34.4 million in 2018 and net income of $8.8 million in 2019. The change in net income (loss) is primarily due to the $31.2 million decrease in loss on sale or write down of assets, net and the one-time charge of $12.7 million in connection with the Company's reduction in work force in 2018, as discussed above.</w:t>
      </w: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Funds From Operations ("FFO"):</w:t>
      </w:r>
    </w:p>
    <w:p>
      <w:pPr>
        <w:spacing w:after="0" w:line="254" w:lineRule="exact"/>
        <w:rPr>
          <w:sz w:val="20"/>
          <w:szCs w:val="20"/>
          <w:color w:val="auto"/>
        </w:rPr>
      </w:pPr>
    </w:p>
    <w:p>
      <w:pPr>
        <w:jc w:val="both"/>
        <w:ind w:firstLine="398"/>
        <w:spacing w:after="0" w:line="279" w:lineRule="auto"/>
        <w:rPr>
          <w:sz w:val="20"/>
          <w:szCs w:val="20"/>
          <w:color w:val="auto"/>
        </w:rPr>
      </w:pPr>
      <w:r>
        <w:rPr>
          <w:rFonts w:ascii="Times New Roman" w:cs="Times New Roman" w:eastAsia="Times New Roman" w:hAnsi="Times New Roman"/>
          <w:sz w:val="16"/>
          <w:szCs w:val="16"/>
          <w:color w:val="auto"/>
        </w:rPr>
        <w:t>Primarily as a result of the factors mentioned above, FFO attributable to common stockholders and unit holders—diluted decreased 1.3% from $123.5 million in 2018 to $121.9 million in 2019. For a reconciliation of net income (loss)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54" w:lineRule="exact"/>
        <w:rPr>
          <w:sz w:val="20"/>
          <w:szCs w:val="20"/>
          <w:color w:val="auto"/>
        </w:rPr>
      </w:pPr>
    </w:p>
    <w:p>
      <w:pPr>
        <w:ind w:right="20" w:firstLine="398"/>
        <w:spacing w:after="0" w:line="268" w:lineRule="auto"/>
        <w:rPr>
          <w:sz w:val="20"/>
          <w:szCs w:val="20"/>
          <w:color w:val="auto"/>
        </w:rPr>
      </w:pPr>
      <w:r>
        <w:rPr>
          <w:rFonts w:ascii="Times New Roman" w:cs="Times New Roman" w:eastAsia="Times New Roman" w:hAnsi="Times New Roman"/>
          <w:sz w:val="17"/>
          <w:szCs w:val="17"/>
          <w:color w:val="auto"/>
        </w:rPr>
        <w:t>Cash provided by operating activities increased $3.9 million from 2018 to 2019. The increase is primarily due to the changes in assets and liabilities and the results as discussed above.</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4" w:lineRule="exact"/>
        <w:rPr>
          <w:sz w:val="20"/>
          <w:szCs w:val="20"/>
          <w:color w:val="auto"/>
        </w:rPr>
      </w:pPr>
    </w:p>
    <w:p>
      <w:pPr>
        <w:ind w:right="200" w:firstLine="398"/>
        <w:spacing w:after="0" w:line="268" w:lineRule="auto"/>
        <w:rPr>
          <w:sz w:val="20"/>
          <w:szCs w:val="20"/>
          <w:color w:val="auto"/>
        </w:rPr>
      </w:pPr>
      <w:r>
        <w:rPr>
          <w:rFonts w:ascii="Times New Roman" w:cs="Times New Roman" w:eastAsia="Times New Roman" w:hAnsi="Times New Roman"/>
          <w:sz w:val="17"/>
          <w:szCs w:val="17"/>
          <w:color w:val="auto"/>
        </w:rPr>
        <w:t>Cash provided by investing activities decreased $312.6 million from 2018 to 2019. The decrease in cash provided by investing activities is primarily attributed to a decrease in distributions from unconsolidated joint ventures of $376.9 million offset in part by an increase in proceeds from notes receivable of $65.1 million.</w:t>
      </w:r>
    </w:p>
    <w:p>
      <w:pPr>
        <w:spacing w:after="0" w:line="209" w:lineRule="exact"/>
        <w:rPr>
          <w:sz w:val="20"/>
          <w:szCs w:val="20"/>
          <w:color w:val="auto"/>
        </w:rPr>
      </w:pPr>
    </w:p>
    <w:p>
      <w:pPr>
        <w:ind w:right="60" w:firstLine="398"/>
        <w:spacing w:after="0" w:line="250" w:lineRule="auto"/>
        <w:rPr>
          <w:sz w:val="20"/>
          <w:szCs w:val="20"/>
          <w:color w:val="auto"/>
        </w:rPr>
      </w:pPr>
      <w:r>
        <w:rPr>
          <w:rFonts w:ascii="Times New Roman" w:cs="Times New Roman" w:eastAsia="Times New Roman" w:hAnsi="Times New Roman"/>
          <w:sz w:val="17"/>
          <w:szCs w:val="17"/>
          <w:color w:val="auto"/>
        </w:rPr>
        <w:t>The decrease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an ownership interest in an office building at Fashion District Philadelphia (See "Acquisitions and Dispositions" in Management's Overview and Summary) in 2018. The increase in proceeds from notes receivable is due to the repayment of the note receivable from the Lennar Corporation in 2019 (See Note 18—Related Party Transactions in the Company's Notes to Consolidated Financial Statements).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400"/>
          </w:cols>
          <w:pgMar w:left="240" w:top="120" w:right="259" w:bottom="1440" w:gutter="0" w:footer="0" w:header="0"/>
        </w:sectPr>
      </w:pPr>
    </w:p>
    <w:bookmarkStart w:id="33" w:name="page34"/>
    <w:bookmarkEnd w:id="3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4" w:lineRule="exact"/>
        <w:rPr>
          <w:sz w:val="20"/>
          <w:szCs w:val="20"/>
          <w:color w:val="auto"/>
        </w:rPr>
      </w:pPr>
    </w:p>
    <w:p>
      <w:pPr>
        <w:jc w:val="both"/>
        <w:ind w:right="340" w:firstLine="398"/>
        <w:spacing w:after="0" w:line="256" w:lineRule="auto"/>
        <w:rPr>
          <w:sz w:val="20"/>
          <w:szCs w:val="20"/>
          <w:color w:val="auto"/>
        </w:rPr>
      </w:pPr>
      <w:r>
        <w:rPr>
          <w:rFonts w:ascii="Times New Roman" w:cs="Times New Roman" w:eastAsia="Times New Roman" w:hAnsi="Times New Roman"/>
          <w:sz w:val="17"/>
          <w:szCs w:val="17"/>
          <w:color w:val="auto"/>
        </w:rPr>
        <w:t>Cash used in financing activities decreased $288.8 million from 2018 to 2019. The decrease in cash used in financing activities is primarily due to an increase in proceeds from mortgages, bank and other notes payable of $305.0 million offset in part by an increase in payments on mortgages, bank and other notes payable of $9.7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6" w:lineRule="exact"/>
        <w:rPr>
          <w:sz w:val="20"/>
          <w:szCs w:val="20"/>
          <w:color w:val="auto"/>
        </w:rPr>
      </w:pPr>
    </w:p>
    <w:p>
      <w:pPr>
        <w:ind w:right="220" w:firstLine="398"/>
        <w:spacing w:after="0" w:line="256" w:lineRule="auto"/>
        <w:rPr>
          <w:sz w:val="20"/>
          <w:szCs w:val="20"/>
          <w:color w:val="auto"/>
        </w:rPr>
      </w:pPr>
      <w:r>
        <w:rPr>
          <w:rFonts w:ascii="Times New Roman" w:cs="Times New Roman" w:eastAsia="Times New Roman" w:hAnsi="Times New Roman"/>
          <w:sz w:val="17"/>
          <w:szCs w:val="17"/>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226" w:lineRule="exact"/>
        <w:rPr>
          <w:sz w:val="20"/>
          <w:szCs w:val="20"/>
          <w:color w:val="auto"/>
        </w:rPr>
      </w:pPr>
    </w:p>
    <w:tbl>
      <w:tblPr>
        <w:tblLayout w:type="fixed"/>
        <w:tblInd w:w="246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9"/>
        </w:trPr>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580" w:type="dxa"/>
            <w:vAlign w:val="bottom"/>
            <w:tcBorders>
              <w:bottom w:val="single" w:sz="8" w:color="auto"/>
            </w:tcBorders>
          </w:tcPr>
          <w:p>
            <w:pPr>
              <w:spacing w:after="0"/>
              <w:rPr>
                <w:sz w:val="15"/>
                <w:szCs w:val="15"/>
                <w:color w:val="auto"/>
              </w:rPr>
            </w:pPr>
          </w:p>
        </w:tc>
      </w:tr>
      <w:tr>
        <w:trPr>
          <w:trHeight w:val="24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w w:val="99"/>
              </w:rPr>
              <w:t>2018</w:t>
            </w: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Consolidated Centers:</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of property and equipment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9,932</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w:t>
            </w: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 and renovation of Centers</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37,659</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w:t>
            </w:r>
          </w:p>
        </w:tc>
      </w:tr>
      <w:tr>
        <w:trPr>
          <w:trHeight w:val="216"/>
        </w:trPr>
        <w:tc>
          <w:tcPr>
            <w:tcW w:w="470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49,615</w:t>
            </w:r>
          </w:p>
        </w:tc>
      </w:tr>
      <w:tr>
        <w:trPr>
          <w:trHeight w:val="65"/>
        </w:trPr>
        <w:tc>
          <w:tcPr>
            <w:tcW w:w="4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0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Joint Venture Centers:</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of property and equipment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 and renovation of Centers</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25,877</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r>
      <w:tr>
        <w:trPr>
          <w:trHeight w:val="216"/>
        </w:trPr>
        <w:tc>
          <w:tcPr>
            <w:tcW w:w="470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51,733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31,518</w:t>
            </w:r>
          </w:p>
        </w:tc>
      </w:tr>
      <w:tr>
        <w:trPr>
          <w:trHeight w:val="25"/>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80" w:firstLine="398"/>
        <w:spacing w:after="0" w:line="248" w:lineRule="auto"/>
        <w:rPr>
          <w:sz w:val="20"/>
          <w:szCs w:val="20"/>
          <w:color w:val="auto"/>
        </w:rPr>
      </w:pPr>
      <w:r>
        <w:rPr>
          <w:rFonts w:ascii="Times New Roman" w:cs="Times New Roman" w:eastAsia="Times New Roman" w:hAnsi="Times New Roman"/>
          <w:sz w:val="17"/>
          <w:szCs w:val="17"/>
          <w:color w:val="auto"/>
        </w:rPr>
        <w:t>The Company expects amounts to be incurred during the next twelve months for tenant allowances and deferred leasing charges to be comparable or less than 2018 and that capital for those expenditures will be available from working capital, cash flow from operations, borrowings on property specific debt or unsecured corporate borrowings. Although the amounts incurred for deferred leasing charges during the next twelve months are expected to be comparable or less than 2018, the Company began expensing a significant portion of its leasing costs in 2019 in accordance with its adoption of ASC 842 (See "Other Transactions and Events" in Management's Overview and Summary). The Company expects to incur between $250 million and $350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26" w:lineRule="exact"/>
        <w:rPr>
          <w:sz w:val="20"/>
          <w:szCs w:val="20"/>
          <w:color w:val="auto"/>
        </w:rPr>
      </w:pPr>
    </w:p>
    <w:p>
      <w:pPr>
        <w:ind w:firstLine="398"/>
        <w:spacing w:after="0" w:line="246" w:lineRule="auto"/>
        <w:rPr>
          <w:sz w:val="20"/>
          <w:szCs w:val="20"/>
          <w:color w:val="auto"/>
        </w:rPr>
      </w:pPr>
      <w:r>
        <w:rPr>
          <w:rFonts w:ascii="Times New Roman" w:cs="Times New Roman" w:eastAsia="Times New Roman" w:hAnsi="Times New Roman"/>
          <w:sz w:val="17"/>
          <w:szCs w:val="17"/>
          <w:color w:val="auto"/>
        </w:rPr>
        <w:t>The Company has also generated liquidity in the past, and may continue to do so in the future, through equity offerings and issuances, property refinancings, joint venture transactions and the sale of non-core assets. For example, the Company's sales of ownership interests in One Westside and office buildings at Fashion District Philadelphia and Country Club Plaza (See "Acquisitions and Dispositions" in Management's Overview and Summary), the sales of The Market at Estrella Falls and Promenade at Casa Grande, and the financing of Fashion Outlets of Chicago, Fashion District Philadelphia and Broadway Plaza (See "Financing Activities" in Management's Overview and Summary). The Company used the proceeds from these transactions to pay down its line of credit and for other general corporate purposes, which included the repurchases of the Company's common stock under the 2017 Stock Buyback Program (See Note 14—Stockholders' Equity in the Company's Notes to Consolidated Financial Statements).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420"/>
          </w:cols>
          <w:pgMar w:left="240" w:top="120" w:right="239" w:bottom="1440" w:gutter="0" w:footer="0" w:header="0"/>
        </w:sectPr>
      </w:pPr>
    </w:p>
    <w:bookmarkStart w:id="34" w:name="page35"/>
    <w:bookmarkEnd w:id="3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ind w:right="20" w:firstLine="398"/>
        <w:spacing w:after="0" w:line="248" w:lineRule="auto"/>
        <w:rPr>
          <w:sz w:val="20"/>
          <w:szCs w:val="20"/>
          <w:color w:val="auto"/>
        </w:rPr>
      </w:pPr>
      <w:r>
        <w:rPr>
          <w:rFonts w:ascii="Times New Roman" w:cs="Times New Roman" w:eastAsia="Times New Roman" w:hAnsi="Times New Roman"/>
          <w:sz w:val="17"/>
          <w:szCs w:val="17"/>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229" w:lineRule="exact"/>
        <w:rPr>
          <w:sz w:val="20"/>
          <w:szCs w:val="20"/>
          <w:color w:val="auto"/>
        </w:rPr>
      </w:pPr>
    </w:p>
    <w:p>
      <w:pPr>
        <w:ind w:right="40" w:firstLine="398"/>
        <w:spacing w:after="0" w:line="252" w:lineRule="auto"/>
        <w:rPr>
          <w:sz w:val="20"/>
          <w:szCs w:val="20"/>
          <w:color w:val="auto"/>
        </w:rPr>
      </w:pPr>
      <w:r>
        <w:rPr>
          <w:rFonts w:ascii="Times New Roman" w:cs="Times New Roman" w:eastAsia="Times New Roman" w:hAnsi="Times New Roman"/>
          <w:sz w:val="17"/>
          <w:szCs w:val="17"/>
          <w:color w:val="auto"/>
        </w:rPr>
        <w:t>The Company's total outstanding loan indebtedness, which includes mortgages and other notes payable, at March 31, 2019 was $7.9 billion (consisting of $5.0 billion of consolidated debt, less $318.4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23"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our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29" w:lineRule="exact"/>
        <w:rPr>
          <w:sz w:val="20"/>
          <w:szCs w:val="20"/>
          <w:color w:val="auto"/>
        </w:rPr>
      </w:pPr>
    </w:p>
    <w:p>
      <w:pPr>
        <w:ind w:right="60" w:firstLine="398"/>
        <w:spacing w:after="0" w:line="248" w:lineRule="auto"/>
        <w:rPr>
          <w:sz w:val="20"/>
          <w:szCs w:val="20"/>
          <w:color w:val="auto"/>
        </w:rPr>
      </w:pPr>
      <w:r>
        <w:rPr>
          <w:rFonts w:ascii="Times New Roman" w:cs="Times New Roman" w:eastAsia="Times New Roman" w:hAnsi="Times New Roman"/>
          <w:sz w:val="17"/>
          <w:szCs w:val="17"/>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March 31, 2019, the borrowing rate on the facility was LIBOR plus 1.45%. The Company has four interest rate swap agreements that effectively convert a total of $400.0 million of the outstanding balance from floating rate debt of LIBOR plus 1.45% to fixed rate debt of 4.30% until September 30, 2021. At March 31, 2019, total borrowings under the line of credit were $850.0 million less unamortized deferred finance costs of $4.5 million with a total interest rate of 4.20%. The Company's availability under the line of credit was $649.7 million at March 31, 2019.</w:t>
      </w:r>
    </w:p>
    <w:p>
      <w:pPr>
        <w:spacing w:after="0" w:line="226" w:lineRule="exact"/>
        <w:rPr>
          <w:sz w:val="20"/>
          <w:szCs w:val="20"/>
          <w:color w:val="auto"/>
        </w:rPr>
      </w:pPr>
    </w:p>
    <w:p>
      <w:pPr>
        <w:jc w:val="both"/>
        <w:ind w:right="140" w:firstLine="398"/>
        <w:spacing w:after="0" w:line="256" w:lineRule="auto"/>
        <w:rPr>
          <w:sz w:val="20"/>
          <w:szCs w:val="20"/>
          <w:color w:val="auto"/>
        </w:rPr>
      </w:pPr>
      <w:r>
        <w:rPr>
          <w:rFonts w:ascii="Times New Roman" w:cs="Times New Roman" w:eastAsia="Times New Roman" w:hAnsi="Times New Roman"/>
          <w:sz w:val="17"/>
          <w:szCs w:val="17"/>
          <w:color w:val="auto"/>
        </w:rPr>
        <w:t>Cash dividends and distributions for the three months ended March 31, 2019 were $114.4 million. A total of $98.8 million was funded by operations. The remaining $15.6 million was funded from distributions from unconsolidated joint ventures, which were included in the cash flows from investing activities section of the Company's Consolidated Statement of Cash Flows.</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March 31, 2019, the Company was in compliance with all applicable loan covenants under its agreements.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March 31, 2019, the Company had cash and cash equivalents of $111.0 million.</w:t>
      </w: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54" w:lineRule="exact"/>
        <w:rPr>
          <w:sz w:val="20"/>
          <w:szCs w:val="20"/>
          <w:color w:val="auto"/>
        </w:rPr>
      </w:pPr>
    </w:p>
    <w:p>
      <w:pPr>
        <w:ind w:right="300" w:firstLine="398"/>
        <w:spacing w:after="0" w:line="268" w:lineRule="auto"/>
        <w:rPr>
          <w:sz w:val="20"/>
          <w:szCs w:val="20"/>
          <w:color w:val="auto"/>
        </w:rPr>
      </w:pPr>
      <w:r>
        <w:rPr>
          <w:rFonts w:ascii="Times New Roman" w:cs="Times New Roman" w:eastAsia="Times New Roman" w:hAnsi="Times New Roman"/>
          <w:sz w:val="17"/>
          <w:szCs w:val="17"/>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209" w:lineRule="exact"/>
        <w:rPr>
          <w:sz w:val="20"/>
          <w:szCs w:val="20"/>
          <w:color w:val="auto"/>
        </w:rPr>
      </w:pPr>
    </w:p>
    <w:p>
      <w:pPr>
        <w:ind w:right="100" w:firstLine="398"/>
        <w:spacing w:after="0" w:line="268" w:lineRule="auto"/>
        <w:rPr>
          <w:sz w:val="20"/>
          <w:szCs w:val="20"/>
          <w:color w:val="auto"/>
        </w:rPr>
      </w:pPr>
      <w:r>
        <w:rPr>
          <w:rFonts w:ascii="Times New Roman" w:cs="Times New Roman" w:eastAsia="Times New Roman" w:hAnsi="Times New Roman"/>
          <w:sz w:val="17"/>
          <w:szCs w:val="17"/>
          <w:color w:val="auto"/>
        </w:rPr>
        <w:t>As of March 31, 2019, one of the Company's joint venture has $125.0 million of debt that could become recourse to the Company, should the joint venture be unable to discharge the obligation of the related debt.</w:t>
      </w:r>
    </w:p>
    <w:p>
      <w:pPr>
        <w:spacing w:after="0" w:line="209" w:lineRule="exact"/>
        <w:rPr>
          <w:sz w:val="20"/>
          <w:szCs w:val="20"/>
          <w:color w:val="auto"/>
        </w:rPr>
      </w:pPr>
    </w:p>
    <w:p>
      <w:pPr>
        <w:ind w:right="200" w:firstLine="398"/>
        <w:spacing w:after="0" w:line="268" w:lineRule="auto"/>
        <w:rPr>
          <w:sz w:val="20"/>
          <w:szCs w:val="20"/>
          <w:color w:val="auto"/>
        </w:rPr>
      </w:pPr>
      <w:r>
        <w:rPr>
          <w:rFonts w:ascii="Times New Roman" w:cs="Times New Roman" w:eastAsia="Times New Roman" w:hAnsi="Times New Roman"/>
          <w:sz w:val="17"/>
          <w:szCs w:val="17"/>
          <w:color w:val="auto"/>
        </w:rPr>
        <w:t>Additionally, as of March 31, 2019, the Company was contingently liable for $65.8 million in letters of credit guaranteeing performance by the Company of certain obligations relating to the Centers. The Company does not believe that these letters of credit will result in a liability to the Company.</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420"/>
          </w:cols>
          <w:pgMar w:left="240" w:top="120" w:right="239" w:bottom="1440" w:gutter="0" w:footer="0" w:header="0"/>
        </w:sectPr>
      </w:pPr>
    </w:p>
    <w:bookmarkStart w:id="35" w:name="page36"/>
    <w:bookmarkEnd w:id="35"/>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9"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54" w:lineRule="exact"/>
        <w:rPr>
          <w:sz w:val="20"/>
          <w:szCs w:val="20"/>
          <w:color w:val="auto"/>
        </w:rPr>
      </w:pPr>
    </w:p>
    <w:p>
      <w:pPr>
        <w:ind w:left="1" w:right="260" w:firstLine="398"/>
        <w:spacing w:after="0" w:line="268" w:lineRule="auto"/>
        <w:rPr>
          <w:sz w:val="20"/>
          <w:szCs w:val="20"/>
          <w:color w:val="auto"/>
        </w:rPr>
      </w:pPr>
      <w:r>
        <w:rPr>
          <w:rFonts w:ascii="Times New Roman" w:cs="Times New Roman" w:eastAsia="Times New Roman" w:hAnsi="Times New Roman"/>
          <w:sz w:val="17"/>
          <w:szCs w:val="17"/>
          <w:color w:val="auto"/>
        </w:rPr>
        <w:t>The following is a schedule of contractual obligations as of March 31, 2019 for the consolidated Centers over the periods in which they are expected to be paid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1721" w:type="dxa"/>
        <w:tblCellMar>
          <w:top w:w="0" w:type="dxa"/>
          <w:left w:w="0" w:type="dxa"/>
          <w:bottom w:w="0" w:type="dxa"/>
          <w:right w:w="0" w:type="dxa"/>
        </w:tblCellMar>
      </w:tblPr>
      <w:tr>
        <w:trPr>
          <w:trHeight w:val="179"/>
        </w:trPr>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ind w:left="543"/>
              <w:spacing w:after="0"/>
              <w:rPr>
                <w:sz w:val="20"/>
                <w:szCs w:val="20"/>
                <w:color w:val="auto"/>
              </w:rPr>
            </w:pPr>
            <w:r>
              <w:rPr>
                <w:rFonts w:ascii="Times New Roman" w:cs="Times New Roman" w:eastAsia="Times New Roman" w:hAnsi="Times New Roman"/>
                <w:sz w:val="13"/>
                <w:szCs w:val="13"/>
                <w:b w:val="1"/>
                <w:bCs w:val="1"/>
                <w:color w:val="auto"/>
              </w:rPr>
              <w:t>Payment Due by Period</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Contractual Obligations</w:t>
            </w:r>
          </w:p>
        </w:tc>
        <w:tc>
          <w:tcPr>
            <w:tcW w:w="20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1"/>
                <w:szCs w:val="11"/>
                <w:color w:val="auto"/>
              </w:rPr>
            </w:pPr>
          </w:p>
        </w:tc>
        <w:tc>
          <w:tcPr>
            <w:tcW w:w="800" w:type="dxa"/>
            <w:vAlign w:val="bottom"/>
          </w:tcPr>
          <w:p>
            <w:pPr>
              <w:jc w:val="center"/>
              <w:ind w:right="122"/>
              <w:spacing w:after="0" w:line="137" w:lineRule="exact"/>
              <w:rPr>
                <w:sz w:val="20"/>
                <w:szCs w:val="20"/>
                <w:color w:val="auto"/>
              </w:rPr>
            </w:pPr>
            <w:r>
              <w:rPr>
                <w:rFonts w:ascii="Times New Roman" w:cs="Times New Roman" w:eastAsia="Times New Roman" w:hAnsi="Times New Roman"/>
                <w:sz w:val="13"/>
                <w:szCs w:val="13"/>
                <w:b w:val="1"/>
                <w:bCs w:val="1"/>
                <w:color w:val="auto"/>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02"/>
              <w:spacing w:after="0" w:line="137" w:lineRule="exact"/>
              <w:rPr>
                <w:sz w:val="20"/>
                <w:szCs w:val="20"/>
                <w:color w:val="auto"/>
              </w:rPr>
            </w:pPr>
            <w:r>
              <w:rPr>
                <w:rFonts w:ascii="Times New Roman" w:cs="Times New Roman" w:eastAsia="Times New Roman" w:hAnsi="Times New Roman"/>
                <w:sz w:val="13"/>
                <w:szCs w:val="13"/>
                <w:b w:val="1"/>
                <w:bCs w:val="1"/>
                <w:color w:val="auto"/>
              </w:rPr>
              <w:t>3 - 5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9"/>
        </w:trPr>
        <w:tc>
          <w:tcPr>
            <w:tcW w:w="2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1 year</w:t>
            </w: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40" w:type="dxa"/>
            <w:vAlign w:val="bottom"/>
          </w:tcPr>
          <w:p>
            <w:pPr>
              <w:spacing w:after="0"/>
              <w:rPr>
                <w:sz w:val="15"/>
                <w:szCs w:val="15"/>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0" w:type="dxa"/>
            <w:vAlign w:val="bottom"/>
          </w:tcPr>
          <w:p>
            <w:pPr>
              <w:spacing w:after="0"/>
              <w:rPr>
                <w:sz w:val="1"/>
                <w:szCs w:val="1"/>
                <w:color w:val="auto"/>
              </w:rPr>
            </w:pPr>
          </w:p>
        </w:tc>
      </w:tr>
      <w:tr>
        <w:trPr>
          <w:trHeight w:val="192"/>
        </w:trPr>
        <w:tc>
          <w:tcPr>
            <w:tcW w:w="262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Long-term debt obligations (includes</w:t>
            </w: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interest payments)(1)</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5,714,330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2,217,196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475,976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2,078,081</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138,185</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obligations(3)</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33,284</w:t>
            </w:r>
          </w:p>
        </w:tc>
        <w:tc>
          <w:tcPr>
            <w:tcW w:w="0" w:type="dxa"/>
            <w:vAlign w:val="bottom"/>
          </w:tcPr>
          <w:p>
            <w:pPr>
              <w:spacing w:after="0"/>
              <w:rPr>
                <w:sz w:val="1"/>
                <w:szCs w:val="1"/>
                <w:color w:val="auto"/>
              </w:rPr>
            </w:pPr>
          </w:p>
        </w:tc>
      </w:tr>
      <w:tr>
        <w:trPr>
          <w:trHeight w:val="25"/>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6,208,971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1,166,047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2,279,941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2,249,550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w:t>
      </w:r>
    </w:p>
    <w:p>
      <w:pPr>
        <w:spacing w:after="0" w:line="23" w:lineRule="exact"/>
        <w:rPr>
          <w:sz w:val="20"/>
          <w:szCs w:val="20"/>
          <w:color w:val="auto"/>
        </w:rPr>
      </w:pPr>
    </w:p>
    <w:p>
      <w:pPr>
        <w:ind w:left="301" w:hanging="301"/>
        <w:spacing w:after="0"/>
        <w:tabs>
          <w:tab w:leader="none" w:pos="30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payments on floating rate debt were based on rates in effect at March 31, 2019.</w:t>
      </w:r>
    </w:p>
    <w:p>
      <w:pPr>
        <w:ind w:left="301" w:hanging="301"/>
        <w:spacing w:after="0"/>
        <w:tabs>
          <w:tab w:leader="none" w:pos="30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8—</w:t>
      </w:r>
      <w:r>
        <w:rPr>
          <w:rFonts w:ascii="Times New Roman" w:cs="Times New Roman" w:eastAsia="Times New Roman" w:hAnsi="Times New Roman"/>
          <w:sz w:val="16"/>
          <w:szCs w:val="16"/>
          <w:color w:val="auto"/>
        </w:rPr>
        <w:t>Leases</w:t>
      </w:r>
      <w:r>
        <w:rPr>
          <w:rFonts w:ascii="Times New Roman" w:cs="Times New Roman" w:eastAsia="Times New Roman" w:hAnsi="Times New Roman"/>
          <w:sz w:val="15"/>
          <w:szCs w:val="15"/>
          <w:color w:val="auto"/>
        </w:rPr>
        <w:t xml:space="preserve"> in the Company's Notes to Consolidated Financial Statements.</w:t>
      </w:r>
    </w:p>
    <w:p>
      <w:pPr>
        <w:spacing w:after="0" w:line="13" w:lineRule="exact"/>
        <w:rPr>
          <w:rFonts w:ascii="Times New Roman" w:cs="Times New Roman" w:eastAsia="Times New Roman" w:hAnsi="Times New Roman"/>
          <w:sz w:val="15"/>
          <w:szCs w:val="15"/>
          <w:color w:val="auto"/>
        </w:rPr>
      </w:pPr>
    </w:p>
    <w:p>
      <w:pPr>
        <w:ind w:left="301" w:hanging="301"/>
        <w:spacing w:after="0"/>
        <w:tabs>
          <w:tab w:leader="none" w:pos="30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17—Commitments and Contingencies in the Company's Notes to Consolidated Financial Statements.</w:t>
      </w:r>
    </w:p>
    <w:p>
      <w:pPr>
        <w:spacing w:after="0" w:line="2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Funds From Operations ("FFO")</w:t>
      </w:r>
    </w:p>
    <w:p>
      <w:pPr>
        <w:spacing w:after="0" w:line="256" w:lineRule="exact"/>
        <w:rPr>
          <w:sz w:val="20"/>
          <w:szCs w:val="20"/>
          <w:color w:val="auto"/>
        </w:rPr>
      </w:pPr>
    </w:p>
    <w:p>
      <w:pPr>
        <w:ind w:left="1" w:firstLine="398"/>
        <w:spacing w:after="0" w:line="246" w:lineRule="auto"/>
        <w:rPr>
          <w:sz w:val="20"/>
          <w:szCs w:val="20"/>
          <w:color w:val="auto"/>
        </w:rPr>
      </w:pPr>
      <w:r>
        <w:rPr>
          <w:rFonts w:ascii="Times New Roman" w:cs="Times New Roman" w:eastAsia="Times New Roman" w:hAnsi="Times New Roman"/>
          <w:sz w:val="17"/>
          <w:szCs w:val="17"/>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 The Company also presents FFO excluding extinguishment of debt, net.</w:t>
      </w:r>
    </w:p>
    <w:p>
      <w:pPr>
        <w:spacing w:after="0" w:line="229" w:lineRule="exact"/>
        <w:rPr>
          <w:sz w:val="20"/>
          <w:szCs w:val="20"/>
          <w:color w:val="auto"/>
        </w:rPr>
      </w:pPr>
    </w:p>
    <w:p>
      <w:pPr>
        <w:ind w:left="1" w:right="40" w:firstLine="398"/>
        <w:spacing w:after="0" w:line="248" w:lineRule="auto"/>
        <w:rPr>
          <w:sz w:val="20"/>
          <w:szCs w:val="20"/>
          <w:color w:val="auto"/>
        </w:rPr>
      </w:pPr>
      <w:r>
        <w:rPr>
          <w:rFonts w:ascii="Times New Roman" w:cs="Times New Roman" w:eastAsia="Times New Roman" w:hAnsi="Times New Roman"/>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non-routine costs associated with extinguishment of debt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226" w:lineRule="exact"/>
        <w:rPr>
          <w:sz w:val="20"/>
          <w:szCs w:val="20"/>
          <w:color w:val="auto"/>
        </w:rPr>
      </w:pPr>
    </w:p>
    <w:p>
      <w:pPr>
        <w:ind w:left="1" w:right="480" w:firstLine="398"/>
        <w:spacing w:after="0" w:line="256" w:lineRule="auto"/>
        <w:rPr>
          <w:sz w:val="20"/>
          <w:szCs w:val="20"/>
          <w:color w:val="auto"/>
        </w:rPr>
      </w:pPr>
      <w:r>
        <w:rPr>
          <w:rFonts w:ascii="Times New Roman" w:cs="Times New Roman" w:eastAsia="Times New Roman" w:hAnsi="Times New Roman"/>
          <w:sz w:val="17"/>
          <w:szCs w:val="17"/>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19" w:lineRule="exact"/>
        <w:rPr>
          <w:sz w:val="20"/>
          <w:szCs w:val="20"/>
          <w:color w:val="auto"/>
        </w:rPr>
      </w:pPr>
    </w:p>
    <w:p>
      <w:pPr>
        <w:ind w:left="1" w:right="40" w:firstLine="398"/>
        <w:spacing w:after="0" w:line="252" w:lineRule="auto"/>
        <w:rPr>
          <w:sz w:val="20"/>
          <w:szCs w:val="20"/>
          <w:color w:val="auto"/>
        </w:rPr>
      </w:pPr>
      <w:r>
        <w:rPr>
          <w:rFonts w:ascii="Times New Roman" w:cs="Times New Roman" w:eastAsia="Times New Roman" w:hAnsi="Times New Roman"/>
          <w:sz w:val="17"/>
          <w:szCs w:val="17"/>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421"/>
          </w:cols>
          <w:pgMar w:left="239" w:top="120" w:right="239" w:bottom="1440" w:gutter="0" w:footer="0" w:header="0"/>
        </w:sectPr>
      </w:pPr>
    </w:p>
    <w:bookmarkStart w:id="36" w:name="page37"/>
    <w:bookmarkEnd w:id="36"/>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Funds From Operations ("FFO") (Continued)</w:t>
      </w:r>
    </w:p>
    <w:p>
      <w:pPr>
        <w:spacing w:after="0" w:line="256" w:lineRule="exact"/>
        <w:rPr>
          <w:sz w:val="20"/>
          <w:szCs w:val="20"/>
          <w:color w:val="auto"/>
        </w:rPr>
      </w:pPr>
    </w:p>
    <w:p>
      <w:pPr>
        <w:ind w:left="1" w:right="280" w:firstLine="398"/>
        <w:spacing w:after="0" w:line="268" w:lineRule="auto"/>
        <w:rPr>
          <w:sz w:val="20"/>
          <w:szCs w:val="20"/>
          <w:color w:val="auto"/>
        </w:rPr>
      </w:pPr>
      <w:r>
        <w:rPr>
          <w:rFonts w:ascii="Times New Roman" w:cs="Times New Roman" w:eastAsia="Times New Roman" w:hAnsi="Times New Roman"/>
          <w:sz w:val="17"/>
          <w:szCs w:val="17"/>
          <w:color w:val="auto"/>
        </w:rPr>
        <w:t>The following reconciles net income (loss) attributable to the Company to FFO and FFO-diluted attributable to common stockholders and unit holders-basic and diluted, excluding loss on early extinguishment of debt, for the three months ended March 31, 2019 and 2018 (dollars and shares in thousands):</w:t>
      </w:r>
    </w:p>
    <w:p>
      <w:pPr>
        <w:spacing w:after="0" w:line="22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11430</wp:posOffset>
            </wp:positionV>
            <wp:extent cx="11360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6015" cy="7620"/>
                    </a:xfrm>
                    <a:prstGeom prst="rect">
                      <a:avLst/>
                    </a:prstGeom>
                    <a:noFill/>
                  </pic:spPr>
                </pic:pic>
              </a:graphicData>
            </a:graphic>
          </wp:anchor>
        </w:drawing>
      </w:r>
    </w:p>
    <w:p>
      <w:pPr>
        <w:spacing w:after="0" w:line="75" w:lineRule="exact"/>
        <w:rPr>
          <w:sz w:val="20"/>
          <w:szCs w:val="20"/>
          <w:color w:val="auto"/>
        </w:rPr>
      </w:pPr>
    </w:p>
    <w:tbl>
      <w:tblPr>
        <w:tblLayout w:type="fixed"/>
        <w:tblInd w:w="1481" w:type="dxa"/>
        <w:tblCellMar>
          <w:top w:w="0" w:type="dxa"/>
          <w:left w:w="0" w:type="dxa"/>
          <w:bottom w:w="0" w:type="dxa"/>
          <w:right w:w="0" w:type="dxa"/>
        </w:tblCellMar>
      </w:tblPr>
      <w:tr>
        <w:trPr>
          <w:trHeight w:val="179"/>
        </w:trPr>
        <w:tc>
          <w:tcPr>
            <w:tcW w:w="960" w:type="dxa"/>
            <w:vAlign w:val="bottom"/>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 attributable to the Company</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7,824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(33,573)</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attributable to the Company to</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FFO attributable to common stockholders and unit holders—basic and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Noncontrolling interests in the Operating Partnership</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Loss on sale or write down of assets, net—consolidated assets</w:t>
            </w:r>
          </w:p>
        </w:tc>
        <w:tc>
          <w:tcPr>
            <w:tcW w:w="2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37,512</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60" w:type="dxa"/>
            <w:vAlign w:val="bottom"/>
          </w:tcPr>
          <w:p>
            <w:pPr>
              <w:spacing w:after="0"/>
              <w:rPr>
                <w:sz w:val="17"/>
                <w:szCs w:val="17"/>
                <w:color w:val="auto"/>
              </w:rPr>
            </w:pPr>
          </w:p>
        </w:tc>
        <w:tc>
          <w:tcPr>
            <w:tcW w:w="4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noncontrolling interests share of loss on sale or write down of assets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—consolidated assets</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590</w:t>
            </w: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Add: gain on sale of undepreciated assets—consolidated assets</w:t>
            </w:r>
          </w:p>
        </w:tc>
        <w:tc>
          <w:tcPr>
            <w:tcW w:w="2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807</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sale or write down of assets—unconsolidated joint ventures, net(1)</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157</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Add: loss on sale of undepreciated assets—unconsolidated joint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ventures(1)</w:t>
            </w: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amortization—consolidated assets</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81,468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79,937</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Less: noncontrolling interests in depreciation and amortization—</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consolidated assets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(3,641)</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amortization—unconsolidated joint ventures(1)</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44,998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43,584</w:t>
            </w: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Less: depreciation on personal property</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(3,345)</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9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Financing expense in connection with Chandler Freehold</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6,020</w:t>
            </w: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FFO attributable to common stockholders and unit holders—basic and</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200" w:type="dxa"/>
            <w:vAlign w:val="bottom"/>
          </w:tcPr>
          <w:p>
            <w:pPr>
              <w:spacing w:after="0"/>
              <w:rPr>
                <w:sz w:val="16"/>
                <w:szCs w:val="16"/>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121,934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123,513</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9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net—consolidated 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FFO attributable to common stockholders and unit holders, excluding loss on</w:t>
            </w:r>
          </w:p>
        </w:tc>
        <w:tc>
          <w:tcPr>
            <w:tcW w:w="200" w:type="dxa"/>
            <w:vAlign w:val="bottom"/>
            <w:tcBorders>
              <w:top w:val="single" w:sz="8" w:color="auto"/>
            </w:tcBorders>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122,285</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123,513</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extinguishment of debt—basic and diluted</w:t>
            </w:r>
          </w:p>
        </w:tc>
        <w:tc>
          <w:tcPr>
            <w:tcW w:w="20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number of FFO shares outstanding for:</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FFO attributable to common stockholders and unit holders—basic(2)</w:t>
            </w:r>
          </w:p>
        </w:tc>
        <w:tc>
          <w:tcPr>
            <w:tcW w:w="2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151,677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151,316</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for impact of dilutive securities in computing FFO—diluted:</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 and unit based compensation plans</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31"/>
        </w:trPr>
        <w:tc>
          <w:tcPr>
            <w:tcW w:w="96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FFO attributable to common stockholders and unit holders—diluted(3)</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151,677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151,342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6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81" w:hanging="381"/>
        <w:spacing w:after="0"/>
        <w:tabs>
          <w:tab w:leader="none" w:pos="38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Unconsolidated joint ventures are presented at the Company's pro rata share.</w:t>
      </w:r>
    </w:p>
    <w:p>
      <w:pPr>
        <w:spacing w:after="0" w:line="249" w:lineRule="exact"/>
        <w:rPr>
          <w:rFonts w:ascii="Times New Roman" w:cs="Times New Roman" w:eastAsia="Times New Roman" w:hAnsi="Times New Roman"/>
          <w:sz w:val="15"/>
          <w:szCs w:val="15"/>
          <w:color w:val="auto"/>
        </w:rPr>
      </w:pPr>
    </w:p>
    <w:p>
      <w:pPr>
        <w:ind w:left="381" w:right="500" w:hanging="381"/>
        <w:spacing w:after="0" w:line="270" w:lineRule="auto"/>
        <w:tabs>
          <w:tab w:leader="none" w:pos="38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upon basic net income as adjusted to reach basic FFO. Includes 10.4 million and 10.3 million OP Units for the three months ended March 31, 2019 and 2018, respectively.</w:t>
      </w:r>
    </w:p>
    <w:p>
      <w:pPr>
        <w:spacing w:after="0" w:line="208" w:lineRule="exact"/>
        <w:rPr>
          <w:rFonts w:ascii="Times New Roman" w:cs="Times New Roman" w:eastAsia="Times New Roman" w:hAnsi="Times New Roman"/>
          <w:sz w:val="15"/>
          <w:szCs w:val="15"/>
          <w:color w:val="auto"/>
        </w:rPr>
      </w:pPr>
    </w:p>
    <w:p>
      <w:pPr>
        <w:ind w:left="381" w:hanging="381"/>
        <w:spacing w:after="0" w:line="270" w:lineRule="auto"/>
        <w:tabs>
          <w:tab w:leader="none" w:pos="38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3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321"/>
          </w:cols>
          <w:pgMar w:left="239" w:top="120" w:right="339" w:bottom="1440" w:gutter="0" w:footer="0" w:header="0"/>
        </w:sectPr>
      </w:pPr>
    </w:p>
    <w:bookmarkStart w:id="37" w:name="page38"/>
    <w:bookmarkEnd w:id="3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56" w:lineRule="exact"/>
        <w:rPr>
          <w:sz w:val="20"/>
          <w:szCs w:val="20"/>
          <w:color w:val="auto"/>
        </w:rPr>
      </w:pPr>
    </w:p>
    <w:p>
      <w:pPr>
        <w:jc w:val="both"/>
        <w:ind w:firstLine="398"/>
        <w:spacing w:after="0" w:line="252" w:lineRule="auto"/>
        <w:rPr>
          <w:sz w:val="20"/>
          <w:szCs w:val="20"/>
          <w:color w:val="auto"/>
        </w:rPr>
      </w:pPr>
      <w:r>
        <w:rPr>
          <w:rFonts w:ascii="Times New Roman" w:cs="Times New Roman" w:eastAsia="Times New Roman" w:hAnsi="Times New Roman"/>
          <w:sz w:val="17"/>
          <w:szCs w:val="17"/>
          <w:color w:val="auto"/>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23" w:lineRule="exact"/>
        <w:rPr>
          <w:sz w:val="20"/>
          <w:szCs w:val="20"/>
          <w:color w:val="auto"/>
        </w:rPr>
      </w:pPr>
    </w:p>
    <w:p>
      <w:pPr>
        <w:ind w:right="200" w:firstLine="398"/>
        <w:spacing w:after="0" w:line="268" w:lineRule="auto"/>
        <w:rPr>
          <w:sz w:val="20"/>
          <w:szCs w:val="20"/>
          <w:color w:val="auto"/>
        </w:rPr>
      </w:pPr>
      <w:r>
        <w:rPr>
          <w:rFonts w:ascii="Times New Roman" w:cs="Times New Roman" w:eastAsia="Times New Roman" w:hAnsi="Times New Roman"/>
          <w:sz w:val="17"/>
          <w:szCs w:val="17"/>
          <w:color w:val="auto"/>
        </w:rPr>
        <w:t>The following table sets forth information as of March 31, 2019 concerning the Company's long-term debt obligations, including principal cash flows by scheduled maturity, weighted average interest rates and estimated fair value (dollars in thousands):</w:t>
      </w:r>
    </w:p>
    <w:p>
      <w:pPr>
        <w:spacing w:after="0" w:line="291" w:lineRule="exact"/>
        <w:rPr>
          <w:sz w:val="20"/>
          <w:szCs w:val="20"/>
          <w:color w:val="auto"/>
        </w:rPr>
      </w:pPr>
    </w:p>
    <w:tbl>
      <w:tblPr>
        <w:tblLayout w:type="fixed"/>
        <w:tblInd w:w="1520" w:type="dxa"/>
        <w:tblCellMar>
          <w:top w:w="0" w:type="dxa"/>
          <w:left w:w="0" w:type="dxa"/>
          <w:bottom w:w="0" w:type="dxa"/>
          <w:right w:w="0" w:type="dxa"/>
        </w:tblCellMar>
      </w:tblPr>
      <w:tr>
        <w:trPr>
          <w:trHeight w:val="179"/>
        </w:trPr>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Expected Maturity Date</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twelve months ended March 31,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4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27"/>
        </w:trPr>
        <w:tc>
          <w:tcPr>
            <w:tcW w:w="1320" w:type="dxa"/>
            <w:vAlign w:val="bottom"/>
          </w:tcPr>
          <w:p>
            <w:pPr>
              <w:ind w:left="20"/>
              <w:spacing w:after="0" w:line="127"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790,835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592,360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79,096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311,880</w:t>
            </w:r>
          </w:p>
        </w:tc>
        <w:tc>
          <w:tcPr>
            <w:tcW w:w="100" w:type="dxa"/>
            <w:vAlign w:val="bottom"/>
          </w:tcPr>
          <w:p>
            <w:pPr>
              <w:spacing w:after="0"/>
              <w:rPr>
                <w:sz w:val="21"/>
                <w:szCs w:val="21"/>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6,933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1,965,494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3,746,598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3,784,684</w:t>
            </w:r>
          </w:p>
        </w:tc>
        <w:tc>
          <w:tcPr>
            <w:tcW w:w="0" w:type="dxa"/>
            <w:vAlign w:val="bottom"/>
          </w:tcPr>
          <w:p>
            <w:pPr>
              <w:spacing w:after="0"/>
              <w:rPr>
                <w:sz w:val="1"/>
                <w:szCs w:val="1"/>
                <w:color w:val="auto"/>
              </w:rPr>
            </w:pPr>
          </w:p>
        </w:tc>
      </w:tr>
      <w:tr>
        <w:trPr>
          <w:trHeight w:val="253"/>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interest rate</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Floating rate</w:t>
            </w:r>
          </w:p>
        </w:tc>
        <w:tc>
          <w:tcPr>
            <w:tcW w:w="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1,280,000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1,284,354</w:t>
            </w:r>
          </w:p>
        </w:tc>
        <w:tc>
          <w:tcPr>
            <w:tcW w:w="0" w:type="dxa"/>
            <w:vAlign w:val="bottom"/>
          </w:tcPr>
          <w:p>
            <w:pPr>
              <w:spacing w:after="0"/>
              <w:rPr>
                <w:sz w:val="1"/>
                <w:szCs w:val="1"/>
                <w:color w:val="auto"/>
              </w:rPr>
            </w:pPr>
          </w:p>
        </w:tc>
      </w:tr>
      <w:tr>
        <w:trPr>
          <w:trHeight w:val="253"/>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interest rate</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3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790,835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722,360</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1,229,096</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311,880</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6,933</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1,965,494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5,026,598</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5,069,038</w:t>
            </w:r>
          </w:p>
        </w:tc>
        <w:tc>
          <w:tcPr>
            <w:tcW w:w="0" w:type="dxa"/>
            <w:vAlign w:val="bottom"/>
          </w:tcPr>
          <w:p>
            <w:pPr>
              <w:spacing w:after="0"/>
              <w:rPr>
                <w:sz w:val="1"/>
                <w:szCs w:val="1"/>
                <w:color w:val="auto"/>
              </w:rPr>
            </w:pPr>
          </w:p>
        </w:tc>
      </w:tr>
      <w:tr>
        <w:trPr>
          <w:trHeight w:val="209"/>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Consolidated Centers</w:t>
            </w: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320" w:type="dxa"/>
            <w:vAlign w:val="bottom"/>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UNCONSOLIDATED</w:t>
            </w: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JOINT VENTURE</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CENTERS: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3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Long-term debt (at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2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Company's pro rata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34,484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150,356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42,869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366,916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345,638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2,029,905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2,970,168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3,007,113</w:t>
            </w:r>
          </w:p>
        </w:tc>
        <w:tc>
          <w:tcPr>
            <w:tcW w:w="0" w:type="dxa"/>
            <w:vAlign w:val="bottom"/>
          </w:tcPr>
          <w:p>
            <w:pPr>
              <w:spacing w:after="0"/>
              <w:rPr>
                <w:sz w:val="1"/>
                <w:szCs w:val="1"/>
                <w:color w:val="auto"/>
              </w:rPr>
            </w:pPr>
          </w:p>
        </w:tc>
      </w:tr>
      <w:tr>
        <w:trPr>
          <w:trHeight w:val="244"/>
        </w:trPr>
        <w:tc>
          <w:tcPr>
            <w:tcW w:w="1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interest rate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Floating rate</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51,183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162,500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9,400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230,583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231,214</w:t>
            </w:r>
          </w:p>
        </w:tc>
        <w:tc>
          <w:tcPr>
            <w:tcW w:w="0" w:type="dxa"/>
            <w:vAlign w:val="bottom"/>
          </w:tcPr>
          <w:p>
            <w:pPr>
              <w:spacing w:after="0"/>
              <w:rPr>
                <w:sz w:val="1"/>
                <w:szCs w:val="1"/>
                <w:color w:val="auto"/>
              </w:rPr>
            </w:pPr>
          </w:p>
        </w:tc>
      </w:tr>
      <w:tr>
        <w:trPr>
          <w:trHeight w:val="244"/>
        </w:trPr>
        <w:tc>
          <w:tcPr>
            <w:tcW w:w="1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interest rate</w:t>
            </w:r>
          </w:p>
        </w:tc>
        <w:tc>
          <w:tcPr>
            <w:tcW w:w="140" w:type="dxa"/>
            <w:vAlign w:val="bottom"/>
          </w:tcPr>
          <w:p>
            <w:pPr>
              <w:spacing w:after="0"/>
              <w:rPr>
                <w:sz w:val="21"/>
                <w:szCs w:val="21"/>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2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Unconsolidated Joint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34,484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157,856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94,052</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529,416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355,038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2,029,905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3,200,751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3,238,327</w:t>
            </w:r>
          </w:p>
        </w:tc>
        <w:tc>
          <w:tcPr>
            <w:tcW w:w="0" w:type="dxa"/>
            <w:vAlign w:val="bottom"/>
          </w:tcPr>
          <w:p>
            <w:pPr>
              <w:spacing w:after="0"/>
              <w:rPr>
                <w:sz w:val="1"/>
                <w:szCs w:val="1"/>
                <w:color w:val="auto"/>
              </w:rPr>
            </w:pPr>
          </w:p>
        </w:tc>
      </w:tr>
      <w:tr>
        <w:trPr>
          <w:trHeight w:val="169"/>
        </w:trPr>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Venture Centers</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0" w:firstLine="398"/>
        <w:spacing w:after="0" w:line="252" w:lineRule="auto"/>
        <w:rPr>
          <w:sz w:val="20"/>
          <w:szCs w:val="20"/>
          <w:color w:val="auto"/>
        </w:rPr>
      </w:pPr>
      <w:r>
        <w:rPr>
          <w:rFonts w:ascii="Times New Roman" w:cs="Times New Roman" w:eastAsia="Times New Roman" w:hAnsi="Times New Roman"/>
          <w:sz w:val="17"/>
          <w:szCs w:val="17"/>
          <w:color w:val="auto"/>
        </w:rPr>
        <w:t>The consolidated Centers' total fixed rate debt at March 31, 2019 and December 31, 2018 was $3.7 billion and $3.5 billion, respectively. The average interest rate on such fixed rate debt at March 31, 2019 and December 31, 2018 was 3.88% and 3.82%, respectively. The consolidated Centers' total floating rate debt at March 31, 2019 and December 31, 2018 was $1.3 billion and $1.5 billion, respectively. The average interest rate on such floating rate debt at March 31, 2019 and December 31, 2018 was 4.05% and 4.00%, respectively.</w:t>
      </w:r>
    </w:p>
    <w:p>
      <w:pPr>
        <w:spacing w:after="0" w:line="223" w:lineRule="exact"/>
        <w:rPr>
          <w:sz w:val="20"/>
          <w:szCs w:val="20"/>
          <w:color w:val="auto"/>
        </w:rPr>
      </w:pPr>
    </w:p>
    <w:p>
      <w:pPr>
        <w:ind w:right="240" w:firstLine="398"/>
        <w:spacing w:after="0" w:line="252" w:lineRule="auto"/>
        <w:rPr>
          <w:sz w:val="20"/>
          <w:szCs w:val="20"/>
          <w:color w:val="auto"/>
        </w:rPr>
      </w:pPr>
      <w:r>
        <w:rPr>
          <w:rFonts w:ascii="Times New Roman" w:cs="Times New Roman" w:eastAsia="Times New Roman" w:hAnsi="Times New Roman"/>
          <w:sz w:val="17"/>
          <w:szCs w:val="17"/>
          <w:color w:val="auto"/>
        </w:rPr>
        <w:t>The Company's pro rata share of the unconsolidated joint venture Centers' fixed rate debt at March 31, 2019 and December 31, 2018 was $3.0 billion. The average interest rate on such fixed rate debt at March 31, 2019 and December 31, 2018 was 3.83%. The Company's pro rata share of the unconsolidated joint venture Centers' floating rate debt at March 31, 2019 and December 31, 2018 was $230.6 million and $221.4 million, respectively. The average interest rate on such floating rate debt at March 31, 2019 and December 31, 2018 was 4.28% and 4.13%, respectively.</w:t>
      </w:r>
    </w:p>
    <w:p>
      <w:pPr>
        <w:spacing w:after="0" w:line="223" w:lineRule="exact"/>
        <w:rPr>
          <w:sz w:val="20"/>
          <w:szCs w:val="20"/>
          <w:color w:val="auto"/>
        </w:rPr>
      </w:pPr>
    </w:p>
    <w:p>
      <w:pPr>
        <w:ind w:right="200" w:firstLine="398"/>
        <w:spacing w:after="0" w:line="250" w:lineRule="auto"/>
        <w:rPr>
          <w:sz w:val="20"/>
          <w:szCs w:val="20"/>
          <w:color w:val="auto"/>
        </w:rPr>
      </w:pPr>
      <w:r>
        <w:rPr>
          <w:rFonts w:ascii="Times New Roman" w:cs="Times New Roman" w:eastAsia="Times New Roman" w:hAnsi="Times New Roman"/>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2019, the Company has one interest rate cap agreement and four interest rate swap agreements in place (See Note 5—Derivative Instruments and Hedging Activities in the Company's Notes to the Consolidated Financial Statements).</w:t>
      </w:r>
    </w:p>
    <w:p>
      <w:pPr>
        <w:spacing w:after="0" w:line="224" w:lineRule="exact"/>
        <w:rPr>
          <w:sz w:val="20"/>
          <w:szCs w:val="20"/>
          <w:color w:val="auto"/>
        </w:rPr>
      </w:pPr>
    </w:p>
    <w:p>
      <w:pPr>
        <w:ind w:right="280" w:firstLine="398"/>
        <w:spacing w:after="0" w:line="268" w:lineRule="auto"/>
        <w:rPr>
          <w:sz w:val="20"/>
          <w:szCs w:val="20"/>
          <w:color w:val="auto"/>
        </w:rPr>
      </w:pPr>
      <w:r>
        <w:rPr>
          <w:rFonts w:ascii="Times New Roman" w:cs="Times New Roman" w:eastAsia="Times New Roman" w:hAnsi="Times New Roman"/>
          <w:sz w:val="17"/>
          <w:szCs w:val="17"/>
          <w:color w:val="auto"/>
        </w:rPr>
        <w:t>In addition, the Company has assessed the market risk for its floating rate debt and believes that a 1% increase in interest rates would decrease future earnings and cash flows by approximately $15.1 million per year based on $1.5 billion of floating rate debt outstanding at March 31, 2019.</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420"/>
          </w:cols>
          <w:pgMar w:left="240" w:top="120" w:right="239" w:bottom="1440" w:gutter="0" w:footer="0" w:header="0"/>
        </w:sectPr>
      </w:pPr>
    </w:p>
    <w:bookmarkStart w:id="38" w:name="page39"/>
    <w:bookmarkEnd w:id="38"/>
    <w:p>
      <w:pPr>
        <w:ind w:left="1"/>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1" w:lineRule="exact"/>
        <w:rPr>
          <w:sz w:val="20"/>
          <w:szCs w:val="20"/>
          <w:color w:val="auto"/>
        </w:rPr>
      </w:pPr>
    </w:p>
    <w:p>
      <w:pPr>
        <w:jc w:val="both"/>
        <w:ind w:left="1" w:firstLine="398"/>
        <w:spacing w:after="0" w:line="252" w:lineRule="auto"/>
        <w:rPr>
          <w:sz w:val="20"/>
          <w:szCs w:val="20"/>
          <w:color w:val="auto"/>
        </w:rPr>
      </w:pPr>
      <w:r>
        <w:rPr>
          <w:rFonts w:ascii="Times New Roman" w:cs="Times New Roman" w:eastAsia="Times New Roman" w:hAnsi="Times New Roman"/>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2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56" w:lineRule="exact"/>
        <w:rPr>
          <w:sz w:val="20"/>
          <w:szCs w:val="20"/>
          <w:color w:val="auto"/>
        </w:rPr>
      </w:pPr>
    </w:p>
    <w:p>
      <w:pPr>
        <w:ind w:left="1" w:right="60" w:firstLine="398"/>
        <w:spacing w:after="0" w:line="263" w:lineRule="auto"/>
        <w:rPr>
          <w:sz w:val="20"/>
          <w:szCs w:val="20"/>
          <w:color w:val="auto"/>
        </w:rPr>
      </w:pPr>
      <w:r>
        <w:rPr>
          <w:rFonts w:ascii="Times New Roman" w:cs="Times New Roman" w:eastAsia="Times New Roman" w:hAnsi="Times New Roman"/>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2019,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w:t>
      </w:r>
    </w:p>
    <w:p>
      <w:pPr>
        <w:spacing w:after="0" w:line="3" w:lineRule="exact"/>
        <w:rPr>
          <w:sz w:val="20"/>
          <w:szCs w:val="20"/>
          <w:color w:val="auto"/>
        </w:rPr>
      </w:pPr>
    </w:p>
    <w:p>
      <w:pPr>
        <w:jc w:val="both"/>
        <w:ind w:left="1" w:right="40" w:hanging="1"/>
        <w:spacing w:after="0" w:line="246" w:lineRule="auto"/>
        <w:tabs>
          <w:tab w:leader="none" w:pos="22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27" w:lineRule="exact"/>
        <w:rPr>
          <w:sz w:val="20"/>
          <w:szCs w:val="20"/>
          <w:color w:val="auto"/>
        </w:rPr>
      </w:pPr>
    </w:p>
    <w:p>
      <w:pPr>
        <w:jc w:val="both"/>
        <w:ind w:left="1" w:right="80" w:firstLine="398"/>
        <w:spacing w:after="0" w:line="256" w:lineRule="auto"/>
        <w:rPr>
          <w:sz w:val="20"/>
          <w:szCs w:val="20"/>
          <w:color w:val="auto"/>
        </w:rPr>
      </w:pPr>
      <w:r>
        <w:rPr>
          <w:rFonts w:ascii="Times New Roman" w:cs="Times New Roman" w:eastAsia="Times New Roman" w:hAnsi="Times New Roman"/>
          <w:sz w:val="17"/>
          <w:szCs w:val="17"/>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401"/>
          </w:cols>
          <w:pgMar w:left="239" w:top="120" w:right="259" w:bottom="1440" w:gutter="0" w:footer="0" w:header="0"/>
        </w:sectPr>
      </w:pPr>
    </w:p>
    <w:bookmarkStart w:id="39" w:name="page40"/>
    <w:bookmarkEnd w:id="3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6" w:lineRule="exact"/>
        <w:rPr>
          <w:sz w:val="20"/>
          <w:szCs w:val="20"/>
          <w:color w:val="auto"/>
        </w:rPr>
      </w:pPr>
    </w:p>
    <w:p>
      <w:pPr>
        <w:ind w:right="140" w:firstLine="398"/>
        <w:spacing w:after="0" w:line="268" w:lineRule="auto"/>
        <w:rPr>
          <w:sz w:val="20"/>
          <w:szCs w:val="20"/>
          <w:color w:val="auto"/>
        </w:rPr>
      </w:pPr>
      <w:r>
        <w:rPr>
          <w:rFonts w:ascii="Times New Roman" w:cs="Times New Roman" w:eastAsia="Times New Roman" w:hAnsi="Times New Roman"/>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6" w:lineRule="exact"/>
        <w:rPr>
          <w:sz w:val="20"/>
          <w:szCs w:val="20"/>
          <w:color w:val="auto"/>
        </w:rPr>
      </w:pPr>
    </w:p>
    <w:p>
      <w:pPr>
        <w:ind w:right="60" w:firstLine="398"/>
        <w:spacing w:after="0" w:line="268" w:lineRule="auto"/>
        <w:rPr>
          <w:sz w:val="20"/>
          <w:szCs w:val="20"/>
          <w:color w:val="auto"/>
        </w:rPr>
      </w:pPr>
      <w:r>
        <w:rPr>
          <w:rFonts w:ascii="Times New Roman" w:cs="Times New Roman" w:eastAsia="Times New Roman" w:hAnsi="Times New Roman"/>
          <w:sz w:val="17"/>
          <w:szCs w:val="17"/>
          <w:color w:val="auto"/>
        </w:rPr>
        <w:t>There have been no material changes to the risk factors relating to the Company set forth under the caption "Item 1A. Risk Factors" in the Company's Annual Report on Form 10-K for the year ended December 31, 2018.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6" w:lineRule="exact"/>
        <w:rPr>
          <w:sz w:val="20"/>
          <w:szCs w:val="20"/>
          <w:color w:val="auto"/>
        </w:rPr>
      </w:pPr>
    </w:p>
    <w:p>
      <w:pPr>
        <w:ind w:right="260" w:firstLine="398"/>
        <w:spacing w:after="0" w:line="279" w:lineRule="auto"/>
        <w:rPr>
          <w:sz w:val="20"/>
          <w:szCs w:val="20"/>
          <w:color w:val="auto"/>
        </w:rPr>
      </w:pPr>
      <w:r>
        <w:rPr>
          <w:rFonts w:ascii="Times New Roman" w:cs="Times New Roman" w:eastAsia="Times New Roman" w:hAnsi="Times New Roman"/>
          <w:sz w:val="16"/>
          <w:szCs w:val="16"/>
          <w:color w:val="auto"/>
        </w:rPr>
        <w:t>On January 3, 2019 and February 22, 2019, the Company, as general partner of the Operating Partnership, issued 20,000 and 1,000 shares of common stock of the Company, respectively, upon the redemption of 21,000 common partnership units of the Operating Partnership. These shares of common stock were issued in private placements to two limited partners of the Operating Partnership, each an accredited investor, pursuant to Section 4(a)(2) of the Securities Act of 1933, as amended.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0" w:lineRule="exact"/>
        <w:rPr>
          <w:sz w:val="20"/>
          <w:szCs w:val="20"/>
          <w:color w:val="auto"/>
        </w:rPr>
      </w:pPr>
    </w:p>
    <w:p>
      <w:pPr>
        <w:spacing w:after="0" w:line="354"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w w:val="98"/>
              </w:rPr>
              <w:t>Approximate</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 of</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w w:val="97"/>
              </w:rPr>
              <w:t>Dollar Value of</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Shares Purchased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9"/>
              </w:rPr>
              <w:t>Shares That May</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 of</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9"/>
              </w:rPr>
              <w:t>Average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as Part of Publicly</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w w:val="98"/>
              </w:rPr>
              <w:t>Yet Be Purchased</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Paid per</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Announced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w w:val="98"/>
              </w:rPr>
              <w:t>Under the Plans or</w:t>
            </w:r>
          </w:p>
        </w:tc>
      </w:tr>
      <w:tr>
        <w:trPr>
          <w:trHeight w:val="19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Purchased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or Programs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w w:val="99"/>
              </w:rPr>
              <w:t>Programs (1)</w:t>
            </w:r>
          </w:p>
        </w:tc>
      </w:tr>
      <w:tr>
        <w:trPr>
          <w:trHeight w:val="31"/>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1"/>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1, 2019 to January 31, 2019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278,707,048</w:t>
            </w:r>
          </w:p>
        </w:tc>
      </w:tr>
      <w:tr>
        <w:trPr>
          <w:trHeight w:val="22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February 1, 2019 to February 31, 2019</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278,707,048</w:t>
            </w: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8"/>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 2019 to March 31, 2019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278,707,048</w:t>
            </w:r>
          </w:p>
        </w:tc>
      </w:tr>
      <w:tr>
        <w:trPr>
          <w:trHeight w:val="222"/>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11" w:lineRule="exact"/>
        <w:rPr>
          <w:sz w:val="20"/>
          <w:szCs w:val="20"/>
          <w:color w:val="auto"/>
        </w:rPr>
      </w:pPr>
    </w:p>
    <w:p>
      <w:pPr>
        <w:ind w:left="1120" w:hanging="524"/>
        <w:spacing w:after="0" w:line="270" w:lineRule="auto"/>
        <w:tabs>
          <w:tab w:leader="none" w:pos="11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6" w:lineRule="exact"/>
        <w:rPr>
          <w:sz w:val="20"/>
          <w:szCs w:val="20"/>
          <w:color w:val="auto"/>
        </w:rPr>
      </w:pPr>
    </w:p>
    <w:p>
      <w:pPr>
        <w:ind w:right="40" w:firstLine="398"/>
        <w:spacing w:after="0" w:line="247" w:lineRule="auto"/>
        <w:rPr>
          <w:sz w:val="20"/>
          <w:szCs w:val="20"/>
          <w:color w:val="auto"/>
        </w:rPr>
      </w:pPr>
      <w:r>
        <w:rPr>
          <w:rFonts w:ascii="Times New Roman" w:cs="Times New Roman" w:eastAsia="Times New Roman" w:hAnsi="Times New Roman"/>
          <w:sz w:val="17"/>
          <w:szCs w:val="17"/>
          <w:color w:val="auto"/>
        </w:rPr>
        <w:t>In connection with a review of the compensation of the Executive Vice Presidents of the Company by the Compensation Committee (the “Compensation Committee”), on May 3, 2019, the Compensation Committee approved The Macerich Company Change in Control Severance Pay Plan for Executive Vice Presidents (the “2019 Plan”) in order to provide the current Executive Vice Presidents of the Company with the same protections afforded to the CEO, the President (and previously afforded to former senior executives) of the Company, pursuant to The Macerich Company Change in Control Severance Pay Plan for Senior Executives which was disclosed on November 3, 2017 (the “2017 Plan”). Consistent with the 2017 Plan, the 2019 Plan entitles the Executive Vice Presidents of the Company to certain benefits in the event of certain terminations of employment with the Company within 24 months following a change in control, unless such eligible employee is a party to an individual agreement with the Company that provides for greater payments and benefits. The discussion of the 2019 Plan is qualified in its entirety by reference to the copy of the agreement, which is being filed with this Quarterly Report on Form 10-Q as Exhibit 10.3 and is incorporated herein by reference. The Compensation Committee did not recommend any additional changes to the compensation of the Company’s Executive Vice Presidents at such time.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400"/>
          </w:cols>
          <w:pgMar w:left="240" w:top="120" w:right="259" w:bottom="1440" w:gutter="0" w:footer="0" w:header="0"/>
        </w:sectPr>
      </w:pPr>
    </w:p>
    <w:bookmarkStart w:id="40" w:name="page41"/>
    <w:bookmarkEnd w:id="4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9"/>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20" w:type="dxa"/>
            <w:vAlign w:val="bottom"/>
            <w:gridSpan w:val="17"/>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9"/>
        </w:trPr>
        <w:tc>
          <w:tcPr>
            <w:tcW w:w="1140" w:type="dxa"/>
            <w:vAlign w:val="bottom"/>
            <w:gridSpan w:val="9"/>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20" w:type="dxa"/>
            <w:vAlign w:val="bottom"/>
            <w:tcBorders>
              <w:top w:val="single" w:sz="8" w:color="auto"/>
            </w:tcBorders>
            <w:gridSpan w:val="7"/>
          </w:tcPr>
          <w:p>
            <w:pPr>
              <w:jc w:val="right"/>
              <w:ind w:right="20"/>
              <w:spacing w:after="0" w:line="184" w:lineRule="exact"/>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60" w:type="dxa"/>
            <w:vAlign w:val="bottom"/>
            <w:tcBorders>
              <w:top w:val="single" w:sz="8" w:color="auto"/>
            </w:tcBorders>
            <w:gridSpan w:val="30"/>
          </w:tcPr>
          <w:p>
            <w:pPr>
              <w:spacing w:after="0" w:line="184" w:lineRule="exact"/>
              <w:rPr>
                <w:rFonts w:ascii="Times New Roman" w:cs="Times New Roman" w:eastAsia="Times New Roman" w:hAnsi="Times New Roman"/>
                <w:sz w:val="17"/>
                <w:szCs w:val="17"/>
                <w:color w:val="0000FF"/>
                <w:w w:val="97"/>
              </w:rPr>
            </w:pPr>
            <w:hyperlink r:id="rId20">
              <w:r>
                <w:rPr>
                  <w:rFonts w:ascii="Times New Roman" w:cs="Times New Roman" w:eastAsia="Times New Roman" w:hAnsi="Times New Roman"/>
                  <w:sz w:val="17"/>
                  <w:szCs w:val="17"/>
                  <w:color w:val="0000FF"/>
                  <w:w w:val="97"/>
                </w:rPr>
                <w:t>Master Agreement, dated November 14, 2014, by and among Pacific Premier Retail LP, MACPT LLC, Macerich PPR GP LLC, Queens JV LP, Macerich</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tcBorders>
              <w:bottom w:val="single" w:sz="8" w:color="0000FF"/>
            </w:tcBorders>
            <w:gridSpan w:val="29"/>
          </w:tcPr>
          <w:p>
            <w:pPr>
              <w:spacing w:after="0" w:line="179" w:lineRule="exact"/>
              <w:rPr>
                <w:rFonts w:ascii="Times New Roman" w:cs="Times New Roman" w:eastAsia="Times New Roman" w:hAnsi="Times New Roman"/>
                <w:sz w:val="17"/>
                <w:szCs w:val="17"/>
                <w:color w:val="0000FF"/>
                <w:w w:val="97"/>
              </w:rPr>
            </w:pPr>
            <w:hyperlink r:id="rId20">
              <w:r>
                <w:rPr>
                  <w:rFonts w:ascii="Times New Roman" w:cs="Times New Roman" w:eastAsia="Times New Roman" w:hAnsi="Times New Roman"/>
                  <w:sz w:val="17"/>
                  <w:szCs w:val="17"/>
                  <w:color w:val="0000FF"/>
                  <w:w w:val="97"/>
                </w:rPr>
                <w:t>Queens JV LP, Queens JV GP LLC, 1700480 Ontario Inc. and the Company (incorporated by reference as an exhibit to the Company’s Current Report on</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30"/>
          </w:tcPr>
          <w:p>
            <w:pPr>
              <w:spacing w:after="0" w:line="179" w:lineRule="exact"/>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Form 8-K, event date November 14, 2014).</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w w:val="97"/>
              </w:rPr>
              <w:t>Articles of Amendment and Restatement of the Company (incorporated by reference as an exhibit to the Company's Registration Statement on Form S-11,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32"/>
        </w:trPr>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Articles Supplementary of the Company (incorporated by reference as an exhibit to the Company's Current Report on Form 8-K, event date May 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1995) (Filed in paper - hyperlink is not required pursuant to Rule 105 of Regulation S-T).</w:t>
            </w:r>
          </w:p>
        </w:tc>
        <w:tc>
          <w:tcPr>
            <w:tcW w:w="0" w:type="dxa"/>
            <w:vAlign w:val="bottom"/>
          </w:tcPr>
          <w:p>
            <w:pPr>
              <w:spacing w:after="0"/>
              <w:rPr>
                <w:sz w:val="1"/>
                <w:szCs w:val="1"/>
                <w:color w:val="auto"/>
              </w:rPr>
            </w:pPr>
          </w:p>
        </w:tc>
      </w:tr>
      <w:tr>
        <w:trPr>
          <w:trHeight w:val="211"/>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7"/>
              </w:rPr>
            </w:pPr>
            <w:hyperlink r:id="rId21">
              <w:r>
                <w:rPr>
                  <w:rFonts w:ascii="Times New Roman" w:cs="Times New Roman" w:eastAsia="Times New Roman" w:hAnsi="Times New Roman"/>
                  <w:sz w:val="17"/>
                  <w:szCs w:val="17"/>
                  <w:color w:val="0000FF"/>
                  <w:w w:val="97"/>
                </w:rPr>
                <w:t>Articles Supplementary of the Company (with respect to the first paragraph) (incorporated by reference as an exhibit to the Company's 1998 Form 10-K).</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8"/>
              </w:rPr>
            </w:pPr>
            <w:hyperlink r:id="rId22">
              <w:r>
                <w:rPr>
                  <w:rFonts w:ascii="Times New Roman" w:cs="Times New Roman" w:eastAsia="Times New Roman" w:hAnsi="Times New Roman"/>
                  <w:sz w:val="17"/>
                  <w:szCs w:val="17"/>
                  <w:color w:val="0000FF"/>
                  <w:w w:val="98"/>
                </w:rPr>
                <w:t>Articles Supplementary of the Company (Series D Preferred Stock) (incorporated by reference as an exhibit to the Company's Current Report on Form 8-</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FF"/>
            </w:tcBorders>
            <w:gridSpan w:val="28"/>
          </w:tcPr>
          <w:p>
            <w:pPr>
              <w:spacing w:after="0" w:line="179"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K, event date July 26, 2002).</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Articles Supplementary of the Company (incorporated by reference as an exhibit to the Company's Registration Statement on Form S-3, as amended</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FF"/>
              <w:bottom w:val="single" w:sz="8" w:color="0000FF"/>
            </w:tcBorders>
            <w:gridSpan w:val="4"/>
          </w:tcPr>
          <w:p>
            <w:pPr>
              <w:spacing w:after="0" w:line="179" w:lineRule="exact"/>
              <w:rPr>
                <w:rFonts w:ascii="Times New Roman" w:cs="Times New Roman" w:eastAsia="Times New Roman" w:hAnsi="Times New Roman"/>
                <w:sz w:val="17"/>
                <w:szCs w:val="17"/>
                <w:color w:val="0000FF"/>
                <w:w w:val="96"/>
              </w:rPr>
            </w:pPr>
            <w:hyperlink r:id="rId23">
              <w:r>
                <w:rPr>
                  <w:rFonts w:ascii="Times New Roman" w:cs="Times New Roman" w:eastAsia="Times New Roman" w:hAnsi="Times New Roman"/>
                  <w:sz w:val="17"/>
                  <w:szCs w:val="17"/>
                  <w:color w:val="0000FF"/>
                  <w:w w:val="96"/>
                </w:rPr>
                <w:t>(No. 333-88718)).</w:t>
              </w:r>
            </w:hyperlink>
          </w:p>
        </w:tc>
        <w:tc>
          <w:tcPr>
            <w:tcW w:w="8620" w:type="dxa"/>
            <w:vAlign w:val="bottom"/>
            <w:tcBorders>
              <w:top w:val="single" w:sz="8" w:color="0000FF"/>
            </w:tcBorders>
            <w:gridSpan w:val="17"/>
          </w:tcPr>
          <w:p>
            <w:pPr>
              <w:spacing w:after="0"/>
              <w:rPr>
                <w:sz w:val="15"/>
                <w:szCs w:val="15"/>
                <w:color w:val="auto"/>
              </w:rPr>
            </w:pPr>
          </w:p>
        </w:tc>
        <w:tc>
          <w:tcPr>
            <w:tcW w:w="4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Articles of Amendment of the Company (declassification of Board) (incorporated by reference as an exhibit to the Company's 2008 Form 10-K).</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9"/>
              </w:rPr>
            </w:pPr>
            <w:hyperlink r:id="rId25">
              <w:r>
                <w:rPr>
                  <w:rFonts w:ascii="Times New Roman" w:cs="Times New Roman" w:eastAsia="Times New Roman" w:hAnsi="Times New Roman"/>
                  <w:sz w:val="17"/>
                  <w:szCs w:val="17"/>
                  <w:color w:val="0000FF"/>
                  <w:w w:val="99"/>
                </w:rPr>
                <w:t>Articles Supplementary of the Company (incorporated by reference as an exhibit to the Company's Current Report on Form 8-K, event date February 5,</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0000FF"/>
              <w:bottom w:val="single" w:sz="8" w:color="0000FF"/>
            </w:tcBorders>
            <w:gridSpan w:val="2"/>
          </w:tcPr>
          <w:p>
            <w:pPr>
              <w:spacing w:after="0" w:line="179" w:lineRule="exact"/>
              <w:rPr>
                <w:rFonts w:ascii="Times New Roman" w:cs="Times New Roman" w:eastAsia="Times New Roman" w:hAnsi="Times New Roman"/>
                <w:sz w:val="17"/>
                <w:szCs w:val="17"/>
                <w:color w:val="0000FF"/>
                <w:w w:val="95"/>
              </w:rPr>
            </w:pPr>
            <w:hyperlink r:id="rId25">
              <w:r>
                <w:rPr>
                  <w:rFonts w:ascii="Times New Roman" w:cs="Times New Roman" w:eastAsia="Times New Roman" w:hAnsi="Times New Roman"/>
                  <w:sz w:val="17"/>
                  <w:szCs w:val="17"/>
                  <w:color w:val="0000FF"/>
                  <w:w w:val="95"/>
                </w:rPr>
                <w:t>2009).</w:t>
              </w:r>
            </w:hyperlink>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r:id="rId26">
              <w:r>
                <w:rPr>
                  <w:rFonts w:ascii="Times New Roman" w:cs="Times New Roman" w:eastAsia="Times New Roman" w:hAnsi="Times New Roman"/>
                  <w:sz w:val="17"/>
                  <w:szCs w:val="17"/>
                  <w:color w:val="0000FF"/>
                </w:rPr>
                <w:t>Articles of Amendment of the Company (increased authorized shares) (incorporated by reference as an exhibit to the Company's Quarterly Report on</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8"/>
          </w:tcPr>
          <w:p>
            <w:pPr>
              <w:spacing w:after="0" w:line="179" w:lineRule="exact"/>
              <w:rPr>
                <w:rFonts w:ascii="Times New Roman" w:cs="Times New Roman" w:eastAsia="Times New Roman" w:hAnsi="Times New Roman"/>
                <w:sz w:val="17"/>
                <w:szCs w:val="17"/>
                <w:color w:val="0000FF"/>
                <w:w w:val="97"/>
              </w:rPr>
            </w:pPr>
            <w:hyperlink r:id="rId26">
              <w:r>
                <w:rPr>
                  <w:rFonts w:ascii="Times New Roman" w:cs="Times New Roman" w:eastAsia="Times New Roman" w:hAnsi="Times New Roman"/>
                  <w:sz w:val="17"/>
                  <w:szCs w:val="17"/>
                  <w:color w:val="0000FF"/>
                  <w:w w:val="97"/>
                </w:rPr>
                <w:t>Form 10-Q for the quarter ended June 30, 2009).</w:t>
              </w:r>
            </w:hyperlink>
          </w:p>
        </w:tc>
        <w:tc>
          <w:tcPr>
            <w:tcW w:w="6660" w:type="dxa"/>
            <w:vAlign w:val="bottom"/>
            <w:tcBorders>
              <w:top w:val="single" w:sz="8" w:color="0000FF"/>
            </w:tcBorders>
            <w:gridSpan w:val="14"/>
          </w:tcPr>
          <w:p>
            <w:pPr>
              <w:spacing w:after="0"/>
              <w:rPr>
                <w:sz w:val="15"/>
                <w:szCs w:val="15"/>
                <w:color w:val="auto"/>
              </w:rPr>
            </w:pPr>
          </w:p>
        </w:tc>
        <w:tc>
          <w:tcPr>
            <w:tcW w:w="3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r:id="rId27">
              <w:r>
                <w:rPr>
                  <w:rFonts w:ascii="Times New Roman" w:cs="Times New Roman" w:eastAsia="Times New Roman" w:hAnsi="Times New Roman"/>
                  <w:sz w:val="17"/>
                  <w:szCs w:val="17"/>
                  <w:color w:val="0000FF"/>
                </w:rPr>
                <w:t>Articles of Amendment of the Company (to eliminate the supermajority vote requirement to amend the charter and to clarify a reference in Article</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20"/>
          </w:tcPr>
          <w:p>
            <w:pPr>
              <w:spacing w:after="0" w:line="179" w:lineRule="exact"/>
              <w:rPr>
                <w:rFonts w:ascii="Times New Roman" w:cs="Times New Roman" w:eastAsia="Times New Roman" w:hAnsi="Times New Roman"/>
                <w:sz w:val="17"/>
                <w:szCs w:val="17"/>
                <w:color w:val="0000FF"/>
              </w:rPr>
            </w:pPr>
            <w:hyperlink r:id="rId27">
              <w:r>
                <w:rPr>
                  <w:rFonts w:ascii="Times New Roman" w:cs="Times New Roman" w:eastAsia="Times New Roman" w:hAnsi="Times New Roman"/>
                  <w:sz w:val="17"/>
                  <w:szCs w:val="17"/>
                  <w:color w:val="0000FF"/>
                </w:rPr>
                <w:t>NINTH) (incorporated by reference as an exhibit to the Company’s Current Report on Form 8-K, event date May 30, 2014).</w:t>
              </w:r>
            </w:hyperlink>
          </w:p>
        </w:tc>
        <w:tc>
          <w:tcPr>
            <w:tcW w:w="5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gridSpan w:val="6"/>
          </w:tcPr>
          <w:p>
            <w:pPr>
              <w:jc w:val="right"/>
              <w:spacing w:after="0"/>
              <w:rPr>
                <w:rFonts w:ascii="Times New Roman" w:cs="Times New Roman" w:eastAsia="Times New Roman" w:hAnsi="Times New Roman"/>
                <w:sz w:val="17"/>
                <w:szCs w:val="17"/>
                <w:color w:val="0000FF"/>
              </w:rPr>
            </w:pPr>
            <w:hyperlink r:id="rId2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7"/>
              </w:rPr>
            </w:pPr>
            <w:hyperlink r:id="rId28">
              <w:r>
                <w:rPr>
                  <w:rFonts w:ascii="Times New Roman" w:cs="Times New Roman" w:eastAsia="Times New Roman" w:hAnsi="Times New Roman"/>
                  <w:sz w:val="17"/>
                  <w:szCs w:val="17"/>
                  <w:color w:val="0000FF"/>
                  <w:w w:val="97"/>
                </w:rPr>
                <w:t>Articles Supplementary of the Company (election to be subject to Section 3-803 of the Maryland General Corporation Law) (incorporated by reference as</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FF"/>
            </w:tcBorders>
            <w:gridSpan w:val="28"/>
          </w:tcPr>
          <w:p>
            <w:pPr>
              <w:spacing w:after="0" w:line="179" w:lineRule="exact"/>
              <w:rPr>
                <w:rFonts w:ascii="Times New Roman" w:cs="Times New Roman" w:eastAsia="Times New Roman" w:hAnsi="Times New Roman"/>
                <w:sz w:val="17"/>
                <w:szCs w:val="17"/>
                <w:color w:val="0000FF"/>
              </w:rPr>
            </w:pPr>
            <w:hyperlink r:id="rId28">
              <w:r>
                <w:rPr>
                  <w:rFonts w:ascii="Times New Roman" w:cs="Times New Roman" w:eastAsia="Times New Roman" w:hAnsi="Times New Roman"/>
                  <w:sz w:val="17"/>
                  <w:szCs w:val="17"/>
                  <w:color w:val="0000FF"/>
                </w:rPr>
                <w:t>an exhibit to the Company’s Current Report on Form 8-K, event date March 17, 2015).</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r:id="rId2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1.10</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8"/>
              </w:rPr>
            </w:pPr>
            <w:hyperlink r:id="rId29">
              <w:r>
                <w:rPr>
                  <w:rFonts w:ascii="Times New Roman" w:cs="Times New Roman" w:eastAsia="Times New Roman" w:hAnsi="Times New Roman"/>
                  <w:sz w:val="17"/>
                  <w:szCs w:val="17"/>
                  <w:color w:val="0000FF"/>
                  <w:w w:val="98"/>
                </w:rPr>
                <w:t>Articles Supplementary of the Company (Series E Preferred Stock) (incorporated by reference as an exhibit to the Company’s Current Report on Form 8-</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6"/>
          </w:tcPr>
          <w:p>
            <w:pPr>
              <w:spacing w:after="0" w:line="179" w:lineRule="exact"/>
              <w:rPr>
                <w:rFonts w:ascii="Times New Roman" w:cs="Times New Roman" w:eastAsia="Times New Roman" w:hAnsi="Times New Roman"/>
                <w:sz w:val="17"/>
                <w:szCs w:val="17"/>
                <w:color w:val="0000FF"/>
                <w:w w:val="96"/>
              </w:rPr>
            </w:pPr>
            <w:hyperlink r:id="rId29">
              <w:r>
                <w:rPr>
                  <w:rFonts w:ascii="Times New Roman" w:cs="Times New Roman" w:eastAsia="Times New Roman" w:hAnsi="Times New Roman"/>
                  <w:sz w:val="17"/>
                  <w:szCs w:val="17"/>
                  <w:color w:val="0000FF"/>
                  <w:w w:val="96"/>
                </w:rPr>
                <w:t>K, event date March 18, 2015).</w:t>
              </w:r>
            </w:hyperlink>
          </w:p>
        </w:tc>
        <w:tc>
          <w:tcPr>
            <w:tcW w:w="8080" w:type="dxa"/>
            <w:vAlign w:val="bottom"/>
            <w:tcBorders>
              <w:top w:val="single" w:sz="8" w:color="0000FF"/>
            </w:tcBorders>
            <w:gridSpan w:val="21"/>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r:id="rId30">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9"/>
              </w:rPr>
            </w:pPr>
            <w:hyperlink r:id="rId30">
              <w:r>
                <w:rPr>
                  <w:rFonts w:ascii="Times New Roman" w:cs="Times New Roman" w:eastAsia="Times New Roman" w:hAnsi="Times New Roman"/>
                  <w:sz w:val="17"/>
                  <w:szCs w:val="17"/>
                  <w:color w:val="0000FF"/>
                  <w:w w:val="99"/>
                </w:rPr>
                <w:t>Articles Supplementary of the Company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top w:val="single" w:sz="8" w:color="0000FF"/>
            </w:tcBorders>
            <w:gridSpan w:val="25"/>
          </w:tcPr>
          <w:p>
            <w:pPr>
              <w:spacing w:after="0" w:line="179" w:lineRule="exact"/>
              <w:rPr>
                <w:rFonts w:ascii="Times New Roman" w:cs="Times New Roman" w:eastAsia="Times New Roman" w:hAnsi="Times New Roman"/>
                <w:sz w:val="17"/>
                <w:szCs w:val="17"/>
                <w:color w:val="0000FF"/>
              </w:rPr>
            </w:pPr>
            <w:hyperlink r:id="rId30">
              <w:r>
                <w:rPr>
                  <w:rFonts w:ascii="Times New Roman" w:cs="Times New Roman" w:eastAsia="Times New Roman" w:hAnsi="Times New Roman"/>
                  <w:sz w:val="17"/>
                  <w:szCs w:val="17"/>
                  <w:color w:val="0000FF"/>
                </w:rPr>
                <w:t>Company’s Current Report on Form 8-K, event date May 7, 2015).</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r:id="rId3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1.12</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9"/>
              </w:rPr>
            </w:pPr>
            <w:hyperlink r:id="rId31">
              <w:r>
                <w:rPr>
                  <w:rFonts w:ascii="Times New Roman" w:cs="Times New Roman" w:eastAsia="Times New Roman" w:hAnsi="Times New Roman"/>
                  <w:sz w:val="17"/>
                  <w:szCs w:val="17"/>
                  <w:color w:val="0000FF"/>
                  <w:w w:val="99"/>
                </w:rPr>
                <w:t>Articles Supplementary of the Company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top w:val="single" w:sz="8" w:color="0000FF"/>
              <w:bottom w:val="single" w:sz="8" w:color="0000FF"/>
            </w:tcBorders>
            <w:gridSpan w:val="17"/>
          </w:tcPr>
          <w:p>
            <w:pPr>
              <w:spacing w:after="0" w:line="179" w:lineRule="exact"/>
              <w:rPr>
                <w:rFonts w:ascii="Times New Roman" w:cs="Times New Roman" w:eastAsia="Times New Roman" w:hAnsi="Times New Roman"/>
                <w:sz w:val="17"/>
                <w:szCs w:val="17"/>
                <w:color w:val="0000FF"/>
                <w:w w:val="97"/>
              </w:rPr>
            </w:pPr>
            <w:hyperlink r:id="rId31">
              <w:r>
                <w:rPr>
                  <w:rFonts w:ascii="Times New Roman" w:cs="Times New Roman" w:eastAsia="Times New Roman" w:hAnsi="Times New Roman"/>
                  <w:sz w:val="17"/>
                  <w:szCs w:val="17"/>
                  <w:color w:val="0000FF"/>
                  <w:w w:val="97"/>
                </w:rPr>
                <w:t>reference as an exhibit to the Company’s Current Report on Form 8-K, event date May 28, 2015).</w:t>
              </w:r>
            </w:hyperlink>
          </w:p>
        </w:tc>
        <w:tc>
          <w:tcPr>
            <w:tcW w:w="3500" w:type="dxa"/>
            <w:vAlign w:val="bottom"/>
            <w:tcBorders>
              <w:top w:val="single" w:sz="8" w:color="0000FF"/>
            </w:tcBorders>
            <w:gridSpan w:val="7"/>
          </w:tcPr>
          <w:p>
            <w:pPr>
              <w:spacing w:after="0"/>
              <w:rPr>
                <w:sz w:val="15"/>
                <w:szCs w:val="15"/>
                <w:color w:val="auto"/>
              </w:rPr>
            </w:pP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r:id="rId3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1.13</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r:id="rId32">
              <w:r>
                <w:rPr>
                  <w:rFonts w:ascii="Times New Roman" w:cs="Times New Roman" w:eastAsia="Times New Roman" w:hAnsi="Times New Roman"/>
                  <w:sz w:val="17"/>
                  <w:szCs w:val="17"/>
                  <w:color w:val="0000FF"/>
                </w:rPr>
                <w:t>Articles Supplementary of the Company (incorporated by reference as an exhibit to the Company’s Current Report on Form 8-K, event date April 24,</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79" w:lineRule="exact"/>
              <w:rPr>
                <w:rFonts w:ascii="Times New Roman" w:cs="Times New Roman" w:eastAsia="Times New Roman" w:hAnsi="Times New Roman"/>
                <w:sz w:val="17"/>
                <w:szCs w:val="17"/>
                <w:color w:val="0000FF"/>
                <w:w w:val="95"/>
              </w:rPr>
            </w:pPr>
            <w:hyperlink r:id="rId32">
              <w:r>
                <w:rPr>
                  <w:rFonts w:ascii="Times New Roman" w:cs="Times New Roman" w:eastAsia="Times New Roman" w:hAnsi="Times New Roman"/>
                  <w:sz w:val="17"/>
                  <w:szCs w:val="17"/>
                  <w:color w:val="0000FF"/>
                  <w:w w:val="95"/>
                </w:rPr>
                <w:t>2019)</w:t>
              </w:r>
            </w:hyperlink>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r:id="rId3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w w:val="98"/>
              </w:rPr>
            </w:pPr>
            <w:hyperlink r:id="rId33">
              <w:r>
                <w:rPr>
                  <w:rFonts w:ascii="Times New Roman" w:cs="Times New Roman" w:eastAsia="Times New Roman" w:hAnsi="Times New Roman"/>
                  <w:sz w:val="17"/>
                  <w:szCs w:val="17"/>
                  <w:color w:val="0000FF"/>
                  <w:w w:val="98"/>
                </w:rPr>
                <w:t>Amended and Restated Bylaws of the Company (incorporated by reference as an exhibit to the Company's Current Report on Form 8-K, event date April</w:t>
              </w:r>
            </w:hyperlink>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0000FF"/>
              <w:bottom w:val="single" w:sz="8" w:color="0000FF"/>
            </w:tcBorders>
            <w:gridSpan w:val="3"/>
          </w:tcPr>
          <w:p>
            <w:pPr>
              <w:spacing w:after="0" w:line="179" w:lineRule="exact"/>
              <w:rPr>
                <w:rFonts w:ascii="Times New Roman" w:cs="Times New Roman" w:eastAsia="Times New Roman" w:hAnsi="Times New Roman"/>
                <w:sz w:val="17"/>
                <w:szCs w:val="17"/>
                <w:color w:val="0000FF"/>
                <w:w w:val="95"/>
              </w:rPr>
            </w:pPr>
            <w:hyperlink r:id="rId33">
              <w:r>
                <w:rPr>
                  <w:rFonts w:ascii="Times New Roman" w:cs="Times New Roman" w:eastAsia="Times New Roman" w:hAnsi="Times New Roman"/>
                  <w:sz w:val="17"/>
                  <w:szCs w:val="17"/>
                  <w:color w:val="0000FF"/>
                  <w:w w:val="95"/>
                </w:rPr>
                <w:t>24, 2019).</w:t>
              </w:r>
            </w:hyperlink>
          </w:p>
        </w:tc>
        <w:tc>
          <w:tcPr>
            <w:tcW w:w="5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w:anchor="page4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44">
              <w:r>
                <w:rPr>
                  <w:rFonts w:ascii="Times New Roman" w:cs="Times New Roman" w:eastAsia="Times New Roman" w:hAnsi="Times New Roman"/>
                  <w:sz w:val="17"/>
                  <w:szCs w:val="17"/>
                  <w:color w:val="0000FF"/>
                </w:rPr>
                <w:t>Form of LTIP Unit Award Agreement under 2003 Equity Incentive Plan (performance-based)</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w:anchor="page7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76">
              <w:r>
                <w:rPr>
                  <w:rFonts w:ascii="Times New Roman" w:cs="Times New Roman" w:eastAsia="Times New Roman" w:hAnsi="Times New Roman"/>
                  <w:sz w:val="17"/>
                  <w:szCs w:val="17"/>
                  <w:color w:val="0000FF"/>
                </w:rPr>
                <w:t>Form of LTIP Unit Award Agreement under 2003 Equity Incentive Plan (service-based)</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4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w:anchor="page10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103">
              <w:r>
                <w:rPr>
                  <w:rFonts w:ascii="Times New Roman" w:cs="Times New Roman" w:eastAsia="Times New Roman" w:hAnsi="Times New Roman"/>
                  <w:sz w:val="17"/>
                  <w:szCs w:val="17"/>
                  <w:color w:val="0000FF"/>
                </w:rPr>
                <w:t>Change in Control Severance Plan for Executive Vice Presidents</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gridSpan w:val="3"/>
          </w:tcPr>
          <w:p>
            <w:pPr>
              <w:spacing w:after="0"/>
              <w:rPr>
                <w:sz w:val="19"/>
                <w:szCs w:val="19"/>
                <w:color w:val="auto"/>
              </w:rPr>
            </w:pPr>
          </w:p>
        </w:tc>
        <w:tc>
          <w:tcPr>
            <w:tcW w:w="380" w:type="dxa"/>
            <w:vAlign w:val="bottom"/>
            <w:gridSpan w:val="4"/>
          </w:tcPr>
          <w:p>
            <w:pPr>
              <w:jc w:val="right"/>
              <w:ind w:right="20"/>
              <w:spacing w:after="0"/>
              <w:rPr>
                <w:rFonts w:ascii="Times New Roman" w:cs="Times New Roman" w:eastAsia="Times New Roman" w:hAnsi="Times New Roman"/>
                <w:sz w:val="17"/>
                <w:szCs w:val="17"/>
                <w:color w:val="0000FF"/>
              </w:rPr>
            </w:pPr>
            <w:hyperlink w:anchor="page120">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120">
              <w:r>
                <w:rPr>
                  <w:rFonts w:ascii="Times New Roman" w:cs="Times New Roman" w:eastAsia="Times New Roman" w:hAnsi="Times New Roman"/>
                  <w:sz w:val="17"/>
                  <w:szCs w:val="17"/>
                  <w:color w:val="0000FF"/>
                </w:rPr>
                <w:t>Section 302 Certification of Thomas O'Hern, Chief Executive Officer</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11"/>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w:anchor="page121">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121">
              <w:r>
                <w:rPr>
                  <w:rFonts w:ascii="Times New Roman" w:cs="Times New Roman" w:eastAsia="Times New Roman" w:hAnsi="Times New Roman"/>
                  <w:sz w:val="17"/>
                  <w:szCs w:val="17"/>
                  <w:color w:val="0000FF"/>
                </w:rPr>
                <w:t>Section 302 Certification of Scott Kingsmore, Chief Financial Officer</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11"/>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gridSpan w:val="7"/>
          </w:tcPr>
          <w:p>
            <w:pPr>
              <w:jc w:val="right"/>
              <w:ind w:right="20"/>
              <w:spacing w:after="0"/>
              <w:rPr>
                <w:rFonts w:ascii="Times New Roman" w:cs="Times New Roman" w:eastAsia="Times New Roman" w:hAnsi="Times New Roman"/>
                <w:sz w:val="17"/>
                <w:szCs w:val="17"/>
                <w:color w:val="0000FF"/>
              </w:rPr>
            </w:pPr>
            <w:hyperlink w:anchor="page122">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gridSpan w:val="30"/>
          </w:tcPr>
          <w:p>
            <w:pPr>
              <w:spacing w:after="0"/>
              <w:rPr>
                <w:rFonts w:ascii="Times New Roman" w:cs="Times New Roman" w:eastAsia="Times New Roman" w:hAnsi="Times New Roman"/>
                <w:sz w:val="17"/>
                <w:szCs w:val="17"/>
                <w:color w:val="0000FF"/>
              </w:rPr>
            </w:pPr>
            <w:hyperlink w:anchor="page122">
              <w:r>
                <w:rPr>
                  <w:rFonts w:ascii="Times New Roman" w:cs="Times New Roman" w:eastAsia="Times New Roman" w:hAnsi="Times New Roman"/>
                  <w:sz w:val="17"/>
                  <w:szCs w:val="17"/>
                  <w:color w:val="0000FF"/>
                </w:rPr>
                <w:t>Section 906 Certifications of Thomas O'Hern and Scott Kingsmore</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11"/>
            <w:shd w:val="clear" w:color="auto" w:fill="0000FF"/>
          </w:tcPr>
          <w:p>
            <w:pPr>
              <w:spacing w:after="0" w:line="20" w:lineRule="exact"/>
              <w:rPr>
                <w:sz w:val="1"/>
                <w:szCs w:val="1"/>
                <w:color w:val="auto"/>
              </w:rPr>
            </w:pPr>
          </w:p>
        </w:tc>
        <w:tc>
          <w:tcPr>
            <w:tcW w:w="58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3"/>
                <w:szCs w:val="23"/>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8"/>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248"/>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48"/>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248"/>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48"/>
        </w:trPr>
        <w:tc>
          <w:tcPr>
            <w:tcW w:w="114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1"/>
                <w:szCs w:val="21"/>
                <w:color w:val="auto"/>
              </w:rPr>
            </w:pPr>
          </w:p>
        </w:tc>
        <w:tc>
          <w:tcPr>
            <w:tcW w:w="102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447"/>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5"/>
          </w:tcPr>
          <w:p>
            <w:pPr>
              <w:jc w:val="right"/>
              <w:ind w:right="1054"/>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41" w:name="page42"/>
    <w:bookmarkEnd w:id="4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rPr>
        <w:t>*Represents a management contract, or compensatory plan, contract or arrangement required to be filed pursuant to Regulation 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219"/>
          </w:cols>
          <w:pgMar w:left="240" w:top="120" w:right="1440" w:bottom="1440" w:gutter="0" w:footer="0" w:header="0"/>
        </w:sectPr>
      </w:pPr>
    </w:p>
    <w:bookmarkStart w:id="42" w:name="page43"/>
    <w:bookmarkEnd w:id="4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56" w:lineRule="exact"/>
        <w:rPr>
          <w:sz w:val="20"/>
          <w:szCs w:val="20"/>
          <w:color w:val="auto"/>
        </w:rPr>
      </w:pPr>
    </w:p>
    <w:p>
      <w:pPr>
        <w:ind w:firstLine="398"/>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500" w:type="dxa"/>
            <w:vAlign w:val="bottom"/>
            <w:gridSpan w:val="2"/>
          </w:tcPr>
          <w:p>
            <w:pPr>
              <w:ind w:left="4340"/>
              <w:spacing w:after="0"/>
              <w:rPr>
                <w:sz w:val="20"/>
                <w:szCs w:val="20"/>
                <w:color w:val="auto"/>
              </w:rPr>
            </w:pPr>
            <w:r>
              <w:rPr>
                <w:rFonts w:ascii="Times New Roman" w:cs="Times New Roman" w:eastAsia="Times New Roman" w:hAnsi="Times New Roman"/>
                <w:sz w:val="17"/>
                <w:szCs w:val="17"/>
                <w:color w:val="auto"/>
              </w:rPr>
              <w:t>THE MACERICH COMPANY</w:t>
            </w:r>
          </w:p>
        </w:tc>
      </w:tr>
      <w:tr>
        <w:trPr>
          <w:trHeight w:val="248"/>
        </w:trPr>
        <w:tc>
          <w:tcPr>
            <w:tcW w:w="580" w:type="dxa"/>
            <w:vAlign w:val="bottom"/>
          </w:tcPr>
          <w:p>
            <w:pPr>
              <w:spacing w:after="0"/>
              <w:rPr>
                <w:sz w:val="21"/>
                <w:szCs w:val="21"/>
                <w:color w:val="auto"/>
              </w:rPr>
            </w:pPr>
          </w:p>
        </w:tc>
        <w:tc>
          <w:tcPr>
            <w:tcW w:w="4740" w:type="dxa"/>
            <w:vAlign w:val="bottom"/>
          </w:tcPr>
          <w:p>
            <w:pPr>
              <w:ind w:left="4340"/>
              <w:spacing w:after="0"/>
              <w:rPr>
                <w:sz w:val="20"/>
                <w:szCs w:val="20"/>
                <w:color w:val="auto"/>
              </w:rPr>
            </w:pPr>
            <w:r>
              <w:rPr>
                <w:rFonts w:ascii="Times New Roman" w:cs="Times New Roman" w:eastAsia="Times New Roman" w:hAnsi="Times New Roman"/>
                <w:sz w:val="17"/>
                <w:szCs w:val="17"/>
                <w:color w:val="auto"/>
              </w:rPr>
              <w:t>By:</w:t>
            </w:r>
          </w:p>
        </w:tc>
        <w:tc>
          <w:tcPr>
            <w:tcW w:w="5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/s/ SCOTT W. KINGSMORE</w:t>
            </w:r>
          </w:p>
        </w:tc>
      </w:tr>
      <w:tr>
        <w:trPr>
          <w:trHeight w:val="25"/>
        </w:trPr>
        <w:tc>
          <w:tcPr>
            <w:tcW w:w="5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Scott W. Kingsmore</w:t>
            </w:r>
          </w:p>
        </w:tc>
      </w:tr>
      <w:tr>
        <w:trPr>
          <w:trHeight w:val="248"/>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6"/>
              </w:rPr>
              <w:t>Executive Vice President, Treasurer and Chief Financial Officer</w:t>
            </w:r>
          </w:p>
        </w:tc>
      </w:tr>
      <w:tr>
        <w:trPr>
          <w:trHeight w:val="24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7, 2019</w:t>
            </w:r>
          </w:p>
        </w:tc>
        <w:tc>
          <w:tcPr>
            <w:tcW w:w="576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6"/>
              </w:rPr>
              <w:t>(Principal Financial Officer)</w:t>
            </w:r>
          </w:p>
        </w:tc>
      </w:tr>
      <w:tr>
        <w:trPr>
          <w:trHeight w:val="447"/>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760" w:type="dxa"/>
            <w:vAlign w:val="bottom"/>
          </w:tcPr>
          <w:p>
            <w:pPr>
              <w:jc w:val="right"/>
              <w:ind w:right="5217"/>
              <w:spacing w:after="0"/>
              <w:rPr>
                <w:sz w:val="20"/>
                <w:szCs w:val="20"/>
                <w:color w:val="auto"/>
              </w:rPr>
            </w:pPr>
            <w:r>
              <w:rPr>
                <w:rFonts w:ascii="Times New Roman" w:cs="Times New Roman" w:eastAsia="Times New Roman" w:hAnsi="Times New Roman"/>
                <w:sz w:val="17"/>
                <w:szCs w:val="17"/>
                <w:color w:val="auto"/>
              </w:rPr>
              <w:t>43</w:t>
            </w:r>
          </w:p>
        </w:tc>
      </w:tr>
    </w:tbl>
    <w:p>
      <w:pPr>
        <w:sectPr>
          <w:pgSz w:w="11900" w:h="16838" w:orient="portrait"/>
          <w:cols w:equalWidth="0" w:num="1">
            <w:col w:w="11360"/>
          </w:cols>
          <w:pgMar w:left="240" w:top="120" w:right="2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THE MACERICH COMPANY</w:t>
      </w:r>
    </w:p>
    <w:p>
      <w:pPr>
        <w:spacing w:after="0" w:line="33" w:lineRule="exact"/>
        <w:rPr>
          <w:sz w:val="20"/>
          <w:szCs w:val="20"/>
          <w:color w:val="auto"/>
        </w:rPr>
      </w:pPr>
    </w:p>
    <w:p>
      <w:pPr>
        <w:ind w:left="4500" w:right="4060" w:hanging="489"/>
        <w:spacing w:after="0" w:line="292" w:lineRule="auto"/>
        <w:tabs>
          <w:tab w:leader="none" w:pos="4128" w:val="left"/>
        </w:tabs>
        <w:numPr>
          <w:ilvl w:val="0"/>
          <w:numId w:val="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LTIP UNIT AWARD AGREEMENT (PERFORMANCE-BASED)</w:t>
      </w:r>
    </w:p>
    <w:p>
      <w:pPr>
        <w:spacing w:after="0" w:line="129" w:lineRule="exact"/>
        <w:rPr>
          <w:sz w:val="20"/>
          <w:szCs w:val="20"/>
          <w:color w:val="auto"/>
        </w:rPr>
      </w:pPr>
    </w:p>
    <w:p>
      <w:pPr>
        <w:jc w:val="both"/>
        <w:ind w:firstLine="596"/>
        <w:spacing w:after="0" w:line="256" w:lineRule="auto"/>
        <w:tabs>
          <w:tab w:leader="none" w:pos="74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LTIP UNIT AWARD AGREEMENT (Performance-Based) made as of the date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between The Macerich Company, a Maryland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its subsidiary The Macerich Partnership, L.P., a Delaware limited partnership and the entity through which the Company conducts substantially all of its operations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xml:space="preserve">”), and the party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05" w:lineRule="exact"/>
        <w:rPr>
          <w:sz w:val="20"/>
          <w:szCs w:val="20"/>
          <w:color w:val="auto"/>
        </w:rPr>
      </w:pPr>
    </w:p>
    <w:p>
      <w:pPr>
        <w:ind w:left="960" w:hanging="364"/>
        <w:spacing w:after="0"/>
        <w:tabs>
          <w:tab w:leader="none" w:pos="960"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is a key employee of the Company or one of its Subsidiaries or affiliates and provides services to the Partnership.</w:t>
      </w:r>
    </w:p>
    <w:p>
      <w:pPr>
        <w:spacing w:after="0" w:line="217" w:lineRule="exact"/>
        <w:rPr>
          <w:rFonts w:ascii="Times New Roman" w:cs="Times New Roman" w:eastAsia="Times New Roman" w:hAnsi="Times New Roman"/>
          <w:sz w:val="20"/>
          <w:szCs w:val="20"/>
          <w:color w:val="010000"/>
        </w:rPr>
      </w:pPr>
    </w:p>
    <w:p>
      <w:pPr>
        <w:jc w:val="both"/>
        <w:ind w:firstLine="596"/>
        <w:spacing w:after="0" w:line="250" w:lineRule="auto"/>
        <w:tabs>
          <w:tab w:leader="none" w:pos="969"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Pursuant to its Long-Term Incentive Plan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the Company can award units of limited partnership interest of the Partnership designated as “</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in the Partnership Agreement (as defined herein) under The Macerich Company 2003 Equity Incentive Plan, as amended (the “</w:t>
      </w:r>
      <w:r>
        <w:rPr>
          <w:rFonts w:ascii="Times New Roman" w:cs="Times New Roman" w:eastAsia="Times New Roman" w:hAnsi="Times New Roman"/>
          <w:sz w:val="20"/>
          <w:szCs w:val="20"/>
          <w:u w:val="single" w:color="auto"/>
          <w:color w:val="auto"/>
        </w:rPr>
        <w:t>2003 Plan</w:t>
      </w:r>
      <w:r>
        <w:rPr>
          <w:rFonts w:ascii="Times New Roman" w:cs="Times New Roman" w:eastAsia="Times New Roman" w:hAnsi="Times New Roman"/>
          <w:sz w:val="20"/>
          <w:szCs w:val="20"/>
          <w:color w:val="auto"/>
        </w:rPr>
        <w:t>”), to provide certain key employees of the Company or its Subsidiaries and affiliates, including the Grantee, in connection with their employment with the long-term incentive compensation described in this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thereby provide additional incentive for them to promote the progress and success of the business of the Company and its Subsidiaries and affiliates, including the Partnership, while increasing the total return to the Company’s stockholders. [ ] LTIP Units (PB) (as defined herein) have been awarded by 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pursuant to authority delegated to it by the Board as set forth in the Committee’s charter, including authority to make grants of equity interests in the Partnership which may, under certain circumstances, become exchangeable for shares of the Company’s Common Stock reserved for issuance under the 2003 Plan, or any successor equity plan (as any such plan may be amended, modified or supplemented from time to time, collectively the “</w:t>
      </w:r>
      <w:r>
        <w:rPr>
          <w:rFonts w:ascii="Times New Roman" w:cs="Times New Roman" w:eastAsia="Times New Roman" w:hAnsi="Times New Roman"/>
          <w:sz w:val="20"/>
          <w:szCs w:val="20"/>
          <w:u w:val="single" w:color="auto"/>
          <w:color w:val="auto"/>
        </w:rPr>
        <w:t>Stock Plan</w:t>
      </w:r>
      <w:r>
        <w:rPr>
          <w:rFonts w:ascii="Times New Roman" w:cs="Times New Roman" w:eastAsia="Times New Roman" w:hAnsi="Times New Roman"/>
          <w:sz w:val="20"/>
          <w:szCs w:val="20"/>
          <w:color w:val="auto"/>
        </w:rPr>
        <w:t>”). This Agreement evidences an award to the Grantee under the LTIP (this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which is subject to the terms and conditions set forth herein.</w:t>
      </w:r>
    </w:p>
    <w:p>
      <w:pPr>
        <w:spacing w:after="0" w:line="168" w:lineRule="exact"/>
        <w:rPr>
          <w:rFonts w:ascii="Times New Roman" w:cs="Times New Roman" w:eastAsia="Times New Roman" w:hAnsi="Times New Roman"/>
          <w:sz w:val="20"/>
          <w:szCs w:val="20"/>
          <w:color w:val="010000"/>
        </w:rPr>
      </w:pPr>
    </w:p>
    <w:p>
      <w:pPr>
        <w:jc w:val="both"/>
        <w:ind w:firstLine="596"/>
        <w:spacing w:after="0" w:line="260" w:lineRule="auto"/>
        <w:tabs>
          <w:tab w:leader="none" w:pos="969"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Grantee was selected by the Committee to receive this Award as one of a select group of highly compensated or management employees who, through the effective execution of their assigned duties and responsibilities, are in a position to have a direct and measurable impact on the Company’s long-term financial results. Effective as of the grant date specified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the Committee awarded to the Grantee the number of [ ] LTIP Units (PB) (as defined herein)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Company, the Partnership and the Grantee agree as follows:</w:t>
      </w:r>
    </w:p>
    <w:p>
      <w:pPr>
        <w:spacing w:after="0" w:line="205" w:lineRule="exact"/>
        <w:rPr>
          <w:sz w:val="20"/>
          <w:szCs w:val="20"/>
          <w:color w:val="auto"/>
        </w:rPr>
      </w:pPr>
    </w:p>
    <w:p>
      <w:pPr>
        <w:ind w:firstLine="596"/>
        <w:spacing w:after="0" w:line="293" w:lineRule="auto"/>
        <w:tabs>
          <w:tab w:leader="none" w:pos="936"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 The LTIP and all awards thereunder, including this Award, shall be administered by the Committee, which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LTIP shall have all the powers</w:t>
      </w:r>
    </w:p>
    <w:p>
      <w:pPr>
        <w:spacing w:after="0" w:line="200" w:lineRule="exact"/>
        <w:rPr>
          <w:sz w:val="20"/>
          <w:szCs w:val="20"/>
          <w:color w:val="auto"/>
        </w:rPr>
      </w:pPr>
    </w:p>
    <w:p>
      <w:pPr>
        <w:spacing w:after="0" w:line="250"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W/3356718</w:t>
      </w:r>
    </w:p>
    <w:p>
      <w:pPr>
        <w:sectPr>
          <w:pgSz w:w="11900" w:h="16838" w:orient="portrait"/>
          <w:cols w:equalWidth="0" w:num="1">
            <w:col w:w="11420"/>
          </w:cols>
          <w:pgMar w:left="240" w:top="582" w:right="2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20"/>
          <w:szCs w:val="20"/>
          <w:color w:val="auto"/>
        </w:rPr>
        <w:t>and authority it has in the administration of the Stock Plan, as set forth in the Stock Plan. The Committee may from time to time adopt any rules or procedures it deems necessary or desirable for the proper and efficient administration of the LTIP, consistent with the terms hereof and of the Stock Plan. The Committee’s determinations and interpretations with respect to the LTIP and this Agreement shall be final and binding on all parties.</w:t>
      </w:r>
    </w:p>
    <w:p>
      <w:pPr>
        <w:spacing w:after="0" w:line="158" w:lineRule="exact"/>
        <w:rPr>
          <w:sz w:val="20"/>
          <w:szCs w:val="20"/>
          <w:color w:val="auto"/>
        </w:rPr>
      </w:pPr>
    </w:p>
    <w:p>
      <w:pPr>
        <w:ind w:firstLine="596"/>
        <w:spacing w:after="0" w:line="293" w:lineRule="auto"/>
        <w:tabs>
          <w:tab w:leader="none" w:pos="961"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Capitalized terms used herein without definitions shall have the meanings given to those terms in the Stock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 as used herein:</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 LTIP Units (PB)</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for termination of the Grantee’s employment means that the Company, acting in good faith based upon the information then known to the Company, determines that the Grantee has:</w:t>
      </w:r>
    </w:p>
    <w:p>
      <w:pPr>
        <w:spacing w:after="0" w:line="142" w:lineRule="exact"/>
        <w:rPr>
          <w:sz w:val="20"/>
          <w:szCs w:val="20"/>
          <w:color w:val="auto"/>
        </w:rPr>
      </w:pPr>
    </w:p>
    <w:p>
      <w:pPr>
        <w:ind w:left="1600" w:hanging="408"/>
        <w:spacing w:after="0"/>
        <w:tabs>
          <w:tab w:leader="none" w:pos="1600"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failed to perform in a material respect without proper cause his obligations under the Grantee’s Service Agreement (if one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exists);</w:t>
      </w:r>
    </w:p>
    <w:p>
      <w:pPr>
        <w:spacing w:after="0" w:line="190" w:lineRule="exact"/>
        <w:rPr>
          <w:sz w:val="20"/>
          <w:szCs w:val="20"/>
          <w:color w:val="auto"/>
        </w:rPr>
      </w:pPr>
    </w:p>
    <w:p>
      <w:pPr>
        <w:ind w:left="1580" w:hanging="388"/>
        <w:spacing w:after="0"/>
        <w:tabs>
          <w:tab w:leader="none" w:pos="1580"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been convicted of or pled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or</w:t>
      </w:r>
    </w:p>
    <w:p>
      <w:pPr>
        <w:spacing w:after="0" w:line="221" w:lineRule="exact"/>
        <w:rPr>
          <w:rFonts w:ascii="Times New Roman" w:cs="Times New Roman" w:eastAsia="Times New Roman" w:hAnsi="Times New Roman"/>
          <w:sz w:val="20"/>
          <w:szCs w:val="20"/>
          <w:color w:val="010000"/>
        </w:rPr>
      </w:pPr>
    </w:p>
    <w:p>
      <w:pPr>
        <w:ind w:left="1580" w:hanging="388"/>
        <w:spacing w:after="0"/>
        <w:tabs>
          <w:tab w:leader="none" w:pos="1580"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committed an act of fraud, dishonesty or gross misconduct which is materially injurious to the Company.</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 act, or failure to act, based upon authority given pursuant to a resolution duly adopted by the Applicable Board (as defined below) or upon the instructions of the Chief Executive Officer of the Company or based upon the advice of counsel or independent accountants for the Company shall be conclusively presumed for purposes of this Agreement to be done, or omitted to be done, by the Grantee in good faith and in the best interests of the Company. The cessation of employment of the Grantee shall not be deemed to be for Cause under clause (a) or (c) above unless and until there shall have been delivered to the Grantee a copy of a resolution duly adopted by the affirmative vote of at least a majority of the entire membership of the Applicable Board (excluding the Grantee and any relative of the Grantee, if the Grantee or such relative is a member of the Applicable Board) at a meeting of the Applicable Board called and held for such purpose (after reasonable notice is provided to the Grantee and the Grantee is given an opportunity, together with counsel for the Grantee, to be heard before the Applicable Board), finding that, in the good faith opinion of the Applicable Board, the Grantee is guilty of the conduct described in clause (a) or (c) above, and specifying the particulars thereof in reasonable detail. For purposes of the definition of Cause, “</w:t>
      </w:r>
      <w:r>
        <w:rPr>
          <w:rFonts w:ascii="Times New Roman" w:cs="Times New Roman" w:eastAsia="Times New Roman" w:hAnsi="Times New Roman"/>
          <w:sz w:val="20"/>
          <w:szCs w:val="20"/>
          <w:u w:val="single" w:color="auto"/>
          <w:color w:val="auto"/>
        </w:rPr>
        <w:t>Applicable Board</w:t>
      </w:r>
      <w:r>
        <w:rPr>
          <w:rFonts w:ascii="Times New Roman" w:cs="Times New Roman" w:eastAsia="Times New Roman" w:hAnsi="Times New Roman"/>
          <w:sz w:val="20"/>
          <w:szCs w:val="20"/>
          <w:color w:val="auto"/>
        </w:rPr>
        <w:t>” means the Board or, if the Company is not the ultimate parent corporation of the Company and its affiliates and is not publicly-traded, the board of directors of the ultimate parent of the Company.</w:t>
      </w:r>
    </w:p>
    <w:p>
      <w:pPr>
        <w:spacing w:after="0" w:line="168"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Arrangement</w:t>
      </w:r>
      <w:r>
        <w:rPr>
          <w:rFonts w:ascii="Times New Roman" w:cs="Times New Roman" w:eastAsia="Times New Roman" w:hAnsi="Times New Roman"/>
          <w:sz w:val="20"/>
          <w:szCs w:val="20"/>
          <w:color w:val="auto"/>
        </w:rPr>
        <w:t>” means [The Macerich Company Change in Control Severance Pay Plan For the CEO, President and Senior Executive Vice Presidents][The Macerich Company Change in Control Severance Pay Plan for Executive Vice Presidents], as may be amended or modified from time to time.</w:t>
      </w:r>
    </w:p>
    <w:p>
      <w:pPr>
        <w:spacing w:after="0" w:line="3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586"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any of the following:</w:t>
      </w:r>
    </w:p>
    <w:p>
      <w:pPr>
        <w:spacing w:after="0" w:line="205" w:lineRule="exact"/>
        <w:rPr>
          <w:sz w:val="20"/>
          <w:szCs w:val="20"/>
          <w:color w:val="auto"/>
        </w:rPr>
      </w:pPr>
    </w:p>
    <w:p>
      <w:pPr>
        <w:jc w:val="both"/>
        <w:ind w:left="-600" w:firstLine="1192"/>
        <w:spacing w:after="0" w:line="253" w:lineRule="auto"/>
        <w:tabs>
          <w:tab w:leader="none" w:pos="979" w:val="left"/>
        </w:tabs>
        <w:numPr>
          <w:ilvl w:val="0"/>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acquisition by any Person of beneficial ownership (within the meaning of Rule 13d-3 promulgated under the Exchange Act) of 33% or more of either (A) the then-outstanding shares of common stock of the Company (the “</w:t>
      </w:r>
      <w:r>
        <w:rPr>
          <w:rFonts w:ascii="Times New Roman" w:cs="Times New Roman" w:eastAsia="Times New Roman" w:hAnsi="Times New Roman"/>
          <w:sz w:val="20"/>
          <w:szCs w:val="20"/>
          <w:u w:val="single" w:color="auto"/>
          <w:color w:val="auto"/>
        </w:rPr>
        <w:t>Outstanding Company Common Stock</w:t>
      </w:r>
      <w:r>
        <w:rPr>
          <w:rFonts w:ascii="Times New Roman" w:cs="Times New Roman" w:eastAsia="Times New Roman" w:hAnsi="Times New Roman"/>
          <w:sz w:val="20"/>
          <w:szCs w:val="20"/>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0"/>
          <w:szCs w:val="20"/>
          <w:u w:val="single" w:color="auto"/>
          <w:color w:val="auto"/>
        </w:rPr>
        <w:t>Outstanding Company Voting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purposes of this definition, the following acquisitions shall not constitute a Change of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(c)(i), (c)(ii) and (c)(iii) below;</w:t>
      </w:r>
    </w:p>
    <w:p>
      <w:pPr>
        <w:spacing w:after="0" w:line="166" w:lineRule="exact"/>
        <w:rPr>
          <w:rFonts w:ascii="Times New Roman" w:cs="Times New Roman" w:eastAsia="Times New Roman" w:hAnsi="Times New Roman"/>
          <w:sz w:val="20"/>
          <w:szCs w:val="20"/>
          <w:color w:val="010000"/>
        </w:rPr>
      </w:pPr>
    </w:p>
    <w:p>
      <w:pPr>
        <w:jc w:val="both"/>
        <w:ind w:left="-600" w:firstLine="1192"/>
        <w:spacing w:after="0" w:line="252" w:lineRule="auto"/>
        <w:tabs>
          <w:tab w:leader="none" w:pos="1027" w:val="left"/>
        </w:tabs>
        <w:numPr>
          <w:ilvl w:val="0"/>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Individuals who, as of the date hereof,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xml:space="preserve">”) cease for any reason to constitute at least a majority of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7" w:lineRule="exact"/>
        <w:rPr>
          <w:rFonts w:ascii="Times New Roman" w:cs="Times New Roman" w:eastAsia="Times New Roman" w:hAnsi="Times New Roman"/>
          <w:sz w:val="20"/>
          <w:szCs w:val="20"/>
          <w:color w:val="010000"/>
        </w:rPr>
      </w:pPr>
    </w:p>
    <w:p>
      <w:pPr>
        <w:jc w:val="both"/>
        <w:ind w:left="-600" w:firstLine="1192"/>
        <w:spacing w:after="0" w:line="249" w:lineRule="auto"/>
        <w:tabs>
          <w:tab w:leader="none" w:pos="1090" w:val="left"/>
        </w:tabs>
        <w:numPr>
          <w:ilvl w:val="0"/>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w:t>
      </w:r>
    </w:p>
    <w:p>
      <w:pPr>
        <w:spacing w:after="0" w:line="39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820"/>
          </w:cols>
          <w:pgMar w:left="840" w:top="586" w:right="2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20"/>
          <w:szCs w:val="20"/>
          <w:color w:val="auto"/>
        </w:rPr>
        <w:t>in excess of 20% existed prior to the Business Combination, and (iii)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57" w:lineRule="exact"/>
        <w:rPr>
          <w:sz w:val="20"/>
          <w:szCs w:val="20"/>
          <w:color w:val="auto"/>
        </w:rPr>
      </w:pPr>
    </w:p>
    <w:p>
      <w:pPr>
        <w:ind w:left="600" w:right="1600" w:firstLine="592"/>
        <w:spacing w:after="0" w:line="460" w:lineRule="auto"/>
        <w:tabs>
          <w:tab w:leader="none" w:pos="1594"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Approval by the stockholders of the Company of a complete liquidation or dissolution of the Company.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shares of the Company’s common stock, par value $0.01 per share, either currently existing or authorized hereafter.</w:t>
      </w:r>
    </w:p>
    <w:p>
      <w:pPr>
        <w:spacing w:after="0" w:line="142" w:lineRule="exact"/>
        <w:rPr>
          <w:sz w:val="20"/>
          <w:szCs w:val="20"/>
          <w:color w:val="auto"/>
        </w:rPr>
      </w:pPr>
    </w:p>
    <w:p>
      <w:pPr>
        <w:jc w:val="both"/>
        <w:ind w:firstLine="5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Activities</w:t>
      </w:r>
      <w:r>
        <w:rPr>
          <w:rFonts w:ascii="Times New Roman" w:cs="Times New Roman" w:eastAsia="Times New Roman" w:hAnsi="Times New Roman"/>
          <w:sz w:val="20"/>
          <w:szCs w:val="20"/>
          <w:color w:val="auto"/>
        </w:rPr>
        <w:t>” means that the Grantee, directly or indirectly, whether as owner, partner, shareholder, consultant, agent, employee, co-venturer or otherwise, engages, participates, assists or invests in any Competing Business (as hereinafter defined). The term “</w:t>
      </w:r>
      <w:r>
        <w:rPr>
          <w:rFonts w:ascii="Times New Roman" w:cs="Times New Roman" w:eastAsia="Times New Roman" w:hAnsi="Times New Roman"/>
          <w:sz w:val="20"/>
          <w:szCs w:val="20"/>
          <w:u w:val="single" w:color="auto"/>
          <w:color w:val="auto"/>
        </w:rPr>
        <w:t>Competing Business</w:t>
      </w:r>
      <w:r>
        <w:rPr>
          <w:rFonts w:ascii="Times New Roman" w:cs="Times New Roman" w:eastAsia="Times New Roman" w:hAnsi="Times New Roman"/>
          <w:sz w:val="20"/>
          <w:szCs w:val="20"/>
          <w:color w:val="auto"/>
        </w:rPr>
        <w:t>” shall mean a publicly-traded real estate investment trust that is identified by the National Association of Real Estate Investment Trusts as a “mall REIT” or “shopping center REIT” (other than the Company or a surviving or resulting entity upon a Change of Control, or any of their respective affiliates). Notwithstanding the foregoing, the Grantee may own equity securities of an entity which constitutes, or is affiliated with, a Competing Business, so long at their value does not exceed two percent (2%) of the aggregate equity market capitalization of the Competing Business.</w:t>
      </w:r>
    </w:p>
    <w:p>
      <w:pPr>
        <w:spacing w:after="0" w:line="167" w:lineRule="exact"/>
        <w:rPr>
          <w:sz w:val="20"/>
          <w:szCs w:val="20"/>
          <w:color w:val="auto"/>
        </w:rPr>
      </w:pPr>
    </w:p>
    <w:p>
      <w:pPr>
        <w:jc w:val="both"/>
        <w:ind w:firstLine="5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Continuous Service</w:t>
      </w:r>
      <w:r>
        <w:rPr>
          <w:rFonts w:ascii="Times New Roman" w:cs="Times New Roman" w:eastAsia="Times New Roman" w:hAnsi="Times New Roman"/>
          <w:sz w:val="20"/>
          <w:szCs w:val="20"/>
          <w:color w:val="auto"/>
        </w:rPr>
        <w:t>” means the continuous service to the Company or any Subsidiary or affiliate, without interruption or termination, in any capacity of employee, or, with the written consent of the Committee, consultant. Continuous Service shall not be considered interrupted in the case of (A) any approved leave of absence, (B) transfers among the Company and any Subsidiary or affiliate, or any successor, in any capacity of employee, or with the written consent of the Committee, consultant, or (C) any change in status as long as the individual remains in the service of the Company and any Subsidiary or affiliate in any capacity of employee, member of the Board or (if the Company specifically agrees in writing that the Continuous Service is not uninterrupted) a consultant. An approved leave of absence shall include sick leave, military leave, or any other authorized personal leave.</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Distributions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Distributions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7(c)</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(A) a “permanent and total disability” within the meaning of Section 22(e)(3) of the Code, or (B) the absence of the Grantee from his duties with the Company on a full-time basis for a period of nine months as a result of incapacity due to mental or physical illness which is determined to be total and permanent by a physician selected by the Company or its insurers and acceptable to the Grantee or his legal representative (such agreements as to acceptability not to be unreasonably withheld). “</w:t>
      </w:r>
      <w:r>
        <w:rPr>
          <w:rFonts w:ascii="Times New Roman" w:cs="Times New Roman" w:eastAsia="Times New Roman" w:hAnsi="Times New Roman"/>
          <w:sz w:val="20"/>
          <w:szCs w:val="20"/>
          <w:u w:val="single" w:color="auto"/>
          <w:color w:val="auto"/>
        </w:rPr>
        <w:t>Incapacity</w:t>
      </w:r>
      <w:r>
        <w:rPr>
          <w:rFonts w:ascii="Times New Roman" w:cs="Times New Roman" w:eastAsia="Times New Roman" w:hAnsi="Times New Roman"/>
          <w:sz w:val="20"/>
          <w:szCs w:val="20"/>
          <w:color w:val="auto"/>
        </w:rPr>
        <w:t>” as used herein shall be limited only to a condition that substantially prevents the Grantee from performing his or her duties.</w:t>
      </w:r>
    </w:p>
    <w:p>
      <w:pPr>
        <w:spacing w:after="0" w:line="3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586" w:right="239"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January 1, [ ].</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05" w:lineRule="exact"/>
        <w:rPr>
          <w:sz w:val="20"/>
          <w:szCs w:val="20"/>
          <w:color w:val="auto"/>
        </w:rPr>
      </w:pPr>
    </w:p>
    <w:p>
      <w:pPr>
        <w:jc w:val="both"/>
        <w:ind w:firstLine="5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xml:space="preserve">” means, as of any given date, the fair market value of a security determined by the Committee using any reasonable method and in good faith (such determination will be made in a manner that satisfies Section 409A of the Code and in good-faith as required by Section 422(c)(1)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the security is then listed on a national stock exchange, the fair market value of such security on any date shall be the closing sales price per Share on the principal national stock exchange on which the security is listed on such date (or, if such date is not a trading date on which there was a sale of such security on such exchange, the last preceding date on which there was a sale of such security on such exchange), (B) if the security is not then listed on a national stock exchange but is then traded on an over-the-counter market, the fair market value of such security on any date shall be the average of the closing bid and asked prices for such security in the principal over-the-counter market on which such security is traded on such date (or, if such date is not a trading date on which there was a sale of such security on such market, for the last preceding date on which there was a sale of such security in such market), or (C) if the security is not then listed on a national stock exchange or traded on an over-the-counter market, the fair market value of such security on any date shall be such value as the Committee in its discretion may in good faith determine;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where Shares are so listed or traded, the Committee may make such discretionary determinations where Shares have not been traded for 10 trading days.</w:t>
      </w:r>
    </w:p>
    <w:p>
      <w:pPr>
        <w:spacing w:after="0" w:line="168" w:lineRule="exact"/>
        <w:rPr>
          <w:sz w:val="20"/>
          <w:szCs w:val="20"/>
          <w:color w:val="auto"/>
        </w:rPr>
      </w:pPr>
    </w:p>
    <w:p>
      <w:pPr>
        <w:jc w:val="both"/>
        <w:ind w:firstLine="5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 action taken by the Company, without the Grantee’s written consent thereto, resulting in a material negative change in the employment relationship, to the extent not remedied by the Company within 30 days after receipt by the Company of written notice from the Grantee provided to the Company within 90 days (the “Cure Period”) of the Grantee’s knowledge of the occurrence of such material negative change in the employment relationship specifying in reasonable detail such occurrence. For these purposes, a “material negative change in the employment relationship” shall include, without limitation, any one or more of the following reasons, set forth in clauses (a) through (e) below:</w:t>
      </w:r>
    </w:p>
    <w:p>
      <w:pPr>
        <w:spacing w:after="0" w:line="166" w:lineRule="exact"/>
        <w:rPr>
          <w:sz w:val="20"/>
          <w:szCs w:val="20"/>
          <w:color w:val="auto"/>
        </w:rPr>
      </w:pPr>
    </w:p>
    <w:p>
      <w:pPr>
        <w:jc w:val="both"/>
        <w:ind w:firstLine="1192"/>
        <w:spacing w:after="0" w:line="268" w:lineRule="auto"/>
        <w:tabs>
          <w:tab w:leader="none" w:pos="1641" w:val="left"/>
        </w:tabs>
        <w:numPr>
          <w:ilvl w:val="0"/>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assignment to the Grantee of any duties materially inconsistent in any respect with the Grantee’s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148" w:lineRule="exact"/>
        <w:rPr>
          <w:rFonts w:ascii="Times New Roman" w:cs="Times New Roman" w:eastAsia="Times New Roman" w:hAnsi="Times New Roman"/>
          <w:sz w:val="20"/>
          <w:szCs w:val="20"/>
          <w:color w:val="010000"/>
        </w:rPr>
      </w:pPr>
    </w:p>
    <w:p>
      <w:pPr>
        <w:ind w:firstLine="1192"/>
        <w:spacing w:after="0" w:line="289" w:lineRule="auto"/>
        <w:tabs>
          <w:tab w:leader="none" w:pos="1615" w:val="left"/>
        </w:tabs>
        <w:numPr>
          <w:ilvl w:val="0"/>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the Grantee’s principal office location to a location further away from the Grantee’s home which is more than 30 miles from the Grantee’s current principal office;</w:t>
      </w:r>
    </w:p>
    <w:p>
      <w:pPr>
        <w:spacing w:after="0" w:line="129" w:lineRule="exact"/>
        <w:rPr>
          <w:rFonts w:ascii="Times New Roman" w:cs="Times New Roman" w:eastAsia="Times New Roman" w:hAnsi="Times New Roman"/>
          <w:sz w:val="20"/>
          <w:szCs w:val="20"/>
          <w:color w:val="010000"/>
        </w:rPr>
      </w:pPr>
    </w:p>
    <w:p>
      <w:pPr>
        <w:jc w:val="both"/>
        <w:ind w:firstLine="1192"/>
        <w:spacing w:after="0" w:line="260" w:lineRule="auto"/>
        <w:tabs>
          <w:tab w:leader="none" w:pos="1604" w:val="left"/>
        </w:tabs>
        <w:numPr>
          <w:ilvl w:val="0"/>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taking of any action by the Company to eliminate benefit plans in which the Grantee participated in or was eligible to participate in immediately prior to a Change of Control without providing substitutes therefor, to materially reduce benefits thereunder or to substantially diminish the aggregate value of the incentive awards or other fringe benefits;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neither a surviving entity nor its parent following a Change of Control is a publicly-held company, the</w:t>
      </w:r>
    </w:p>
    <w:p>
      <w:pPr>
        <w:spacing w:after="0" w:line="38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586" w:right="239" w:bottom="1440" w:gutter="0" w:footer="0" w:header="0"/>
        </w:sectPr>
      </w:pPr>
    </w:p>
    <w:bookmarkStart w:id="48" w:name="page49"/>
    <w:bookmarkEnd w:id="48"/>
    <w:p>
      <w:pPr>
        <w:jc w:val="both"/>
        <w:ind w:left="1"/>
        <w:spacing w:after="0" w:line="256" w:lineRule="auto"/>
        <w:rPr>
          <w:sz w:val="20"/>
          <w:szCs w:val="20"/>
          <w:color w:val="auto"/>
        </w:rPr>
      </w:pPr>
      <w:r>
        <w:rPr>
          <w:rFonts w:ascii="Times New Roman" w:cs="Times New Roman" w:eastAsia="Times New Roman" w:hAnsi="Times New Roman"/>
          <w:sz w:val="20"/>
          <w:szCs w:val="20"/>
          <w:color w:val="auto"/>
        </w:rPr>
        <w:t xml:space="preserve">failure to provide stock-based benefits shall not be deemed good reason if benefits of comparable value using recognized valuation methodology are substituted therefor;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 reduction or elimination in the aggregate of not more than 10% in aggregate benefits in connection with across the board reductions or modifications affecting similarly situated persons of executive rank in the Company or a combined organization shall not constitute Good Reason;</w:t>
      </w:r>
    </w:p>
    <w:p>
      <w:pPr>
        <w:spacing w:after="0" w:line="162" w:lineRule="exact"/>
        <w:rPr>
          <w:sz w:val="20"/>
          <w:szCs w:val="20"/>
          <w:color w:val="auto"/>
        </w:rPr>
      </w:pPr>
    </w:p>
    <w:p>
      <w:pPr>
        <w:ind w:left="1581" w:hanging="388"/>
        <w:spacing w:after="0"/>
        <w:tabs>
          <w:tab w:leader="none" w:pos="1581" w:val="left"/>
        </w:tabs>
        <w:numPr>
          <w:ilvl w:val="0"/>
          <w:numId w:val="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one or more reductions in the Grantee’s Base Salary that, individually or in the aggregate, exceed 10% of the Grantee’s</w:t>
      </w:r>
    </w:p>
    <w:p>
      <w:pPr>
        <w:spacing w:after="0" w:line="40" w:lineRule="exact"/>
        <w:rPr>
          <w:rFonts w:ascii="Times New Roman" w:cs="Times New Roman" w:eastAsia="Times New Roman" w:hAnsi="Times New Roman"/>
          <w:sz w:val="19"/>
          <w:szCs w:val="19"/>
          <w:color w:val="010000"/>
        </w:rPr>
      </w:pPr>
    </w:p>
    <w:p>
      <w:pPr>
        <w:ind w:left="1"/>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Base Salary; or</w:t>
      </w:r>
    </w:p>
    <w:p>
      <w:pPr>
        <w:spacing w:after="0" w:line="194" w:lineRule="exact"/>
        <w:rPr>
          <w:rFonts w:ascii="Times New Roman" w:cs="Times New Roman" w:eastAsia="Times New Roman" w:hAnsi="Times New Roman"/>
          <w:sz w:val="19"/>
          <w:szCs w:val="19"/>
          <w:color w:val="010000"/>
        </w:rPr>
      </w:pPr>
    </w:p>
    <w:p>
      <w:pPr>
        <w:ind w:left="1581" w:hanging="388"/>
        <w:spacing w:after="0"/>
        <w:tabs>
          <w:tab w:leader="none" w:pos="1581"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breach by the Company of the Grantee’s Service Agreement (if one exists).</w:t>
      </w:r>
    </w:p>
    <w:p>
      <w:pPr>
        <w:spacing w:after="0" w:line="217" w:lineRule="exact"/>
        <w:rPr>
          <w:sz w:val="20"/>
          <w:szCs w:val="20"/>
          <w:color w:val="auto"/>
        </w:rPr>
      </w:pPr>
    </w:p>
    <w:p>
      <w:pPr>
        <w:jc w:val="both"/>
        <w:ind w:left="1" w:firstLine="596"/>
        <w:spacing w:after="0" w:line="249" w:lineRule="auto"/>
        <w:rPr>
          <w:sz w:val="20"/>
          <w:szCs w:val="20"/>
          <w:color w:val="auto"/>
        </w:rPr>
      </w:pPr>
      <w:r>
        <w:rPr>
          <w:rFonts w:ascii="Times New Roman" w:cs="Times New Roman" w:eastAsia="Times New Roman" w:hAnsi="Times New Roman"/>
          <w:sz w:val="20"/>
          <w:szCs w:val="20"/>
          <w:color w:val="auto"/>
        </w:rPr>
        <w:t>In the event that the Company fails to remedy the condition constituting Good Reason during the applicable Cure Period, the Grantee’s “separation from service” (within the meaning of Section 409A of the Code) must occur, if at all, within two years following the occurrence of such condition in order for such termination as a result of such condition to constitute a termination for Good Reason. If the Grantee suffers a Disability or dies following the occurrence of such material negative change in the employment relationship and the Grantee has given the Company the requisite written notice but the Company has failed to remedy the situation prior to such physical or mental incapacity or death, the Grantee’s physical or mental incapacity or death shall not affect the ability of the Grantee or his heirs or beneficiaries, as applicable, to treat the Grantee’s termination of employment as a termination for Good Reason, Retirement, death or Disability. For purposes of the definition of Good Reason, the term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the annual base rate of compensation payable to Grantee by the Company prior to any reduction thereof, before deductions or voluntary deferrals authorized by the Grantee or required by law to be withheld from the Grantee by the Company. Salary excludes all other extra pay such as overtime, pensions, severance payments, bonuses, equity-based incentives, living or other allowances, and other perquisites.</w:t>
      </w:r>
    </w:p>
    <w:p>
      <w:pPr>
        <w:spacing w:after="0" w:line="171" w:lineRule="exact"/>
        <w:rPr>
          <w:sz w:val="20"/>
          <w:szCs w:val="20"/>
          <w:color w:val="auto"/>
        </w:rPr>
      </w:pPr>
    </w:p>
    <w:p>
      <w:pPr>
        <w:jc w:val="both"/>
        <w:ind w:left="1"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means units of limited partnership interest of the Partnership designated as “LTIP Units” in the Partnership Agreement awarded pursuant to this Agreement under the LTIP having the rights, voting powers, restrictions, limitations as to distributions, qualifications and terms and conditions of redemption set forth in the Partnership Agreement.</w:t>
      </w:r>
    </w:p>
    <w:p>
      <w:pPr>
        <w:spacing w:after="0" w:line="15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Partial Service Factor</w:t>
      </w:r>
      <w:r>
        <w:rPr>
          <w:rFonts w:ascii="Times New Roman" w:cs="Times New Roman" w:eastAsia="Times New Roman" w:hAnsi="Times New Roman"/>
          <w:sz w:val="20"/>
          <w:szCs w:val="20"/>
          <w:color w:val="auto"/>
        </w:rPr>
        <w:t>” means a factor carried out to the sixth decimal, but never greater than one (1.000000), determined by dividing</w:t>
      </w:r>
    </w:p>
    <w:p>
      <w:pPr>
        <w:spacing w:after="0" w:line="28" w:lineRule="exact"/>
        <w:rPr>
          <w:sz w:val="20"/>
          <w:szCs w:val="20"/>
          <w:color w:val="auto"/>
        </w:rPr>
      </w:pPr>
    </w:p>
    <w:p>
      <w:pPr>
        <w:ind w:left="1" w:hanging="1"/>
        <w:spacing w:after="0" w:line="253" w:lineRule="auto"/>
        <w:tabs>
          <w:tab w:leader="none" w:pos="34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calendar days that have elapsed since the Effective Date to and including the date of the Grantee’s Retirement, death or Disability (as applicable) by (B) 365.</w:t>
      </w:r>
    </w:p>
    <w:p>
      <w:pPr>
        <w:spacing w:after="0" w:line="164" w:lineRule="exact"/>
        <w:rPr>
          <w:sz w:val="20"/>
          <w:szCs w:val="20"/>
          <w:color w:val="auto"/>
        </w:rPr>
      </w:pPr>
    </w:p>
    <w:p>
      <w:pPr>
        <w:jc w:val="both"/>
        <w:ind w:left="1"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Agreement</w:t>
      </w:r>
      <w:r>
        <w:rPr>
          <w:rFonts w:ascii="Times New Roman" w:cs="Times New Roman" w:eastAsia="Times New Roman" w:hAnsi="Times New Roman"/>
          <w:sz w:val="20"/>
          <w:szCs w:val="20"/>
          <w:color w:val="auto"/>
        </w:rPr>
        <w:t>” means the Amended and Restated Limited Partnership Agreement of the Partnership, dated as of March 16, 1994, among the Company, as general partner, and the limited partners who are parties thereto, as amended from time to time.</w:t>
      </w:r>
    </w:p>
    <w:p>
      <w:pPr>
        <w:spacing w:after="0" w:line="142" w:lineRule="exact"/>
        <w:rPr>
          <w:sz w:val="20"/>
          <w:szCs w:val="20"/>
          <w:color w:val="auto"/>
        </w:rPr>
      </w:pPr>
    </w:p>
    <w:p>
      <w:pPr>
        <w:jc w:val="both"/>
        <w:ind w:left="1"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Peer REIT</w:t>
      </w:r>
      <w:r>
        <w:rPr>
          <w:rFonts w:ascii="Times New Roman" w:cs="Times New Roman" w:eastAsia="Times New Roman" w:hAnsi="Times New Roman"/>
          <w:sz w:val="20"/>
          <w:szCs w:val="20"/>
          <w:color w:val="auto"/>
        </w:rPr>
        <w:t>” means each of the business entities qualified as real estate investment trusts (“</w:t>
      </w:r>
      <w:r>
        <w:rPr>
          <w:rFonts w:ascii="Times New Roman" w:cs="Times New Roman" w:eastAsia="Times New Roman" w:hAnsi="Times New Roman"/>
          <w:sz w:val="20"/>
          <w:szCs w:val="20"/>
          <w:u w:val="single" w:color="auto"/>
          <w:color w:val="auto"/>
        </w:rPr>
        <w:t>REITs</w:t>
      </w:r>
      <w:r>
        <w:rPr>
          <w:rFonts w:ascii="Times New Roman" w:cs="Times New Roman" w:eastAsia="Times New Roman" w:hAnsi="Times New Roman"/>
          <w:sz w:val="20"/>
          <w:szCs w:val="20"/>
          <w:color w:val="auto"/>
        </w:rPr>
        <w:t>”) that are publicly-traded, U.S.-based “equity REITs” and are categorized in the National Association of Real Estate Investment Trusts (“</w:t>
      </w:r>
      <w:r>
        <w:rPr>
          <w:rFonts w:ascii="Times New Roman" w:cs="Times New Roman" w:eastAsia="Times New Roman" w:hAnsi="Times New Roman"/>
          <w:sz w:val="20"/>
          <w:szCs w:val="20"/>
          <w:u w:val="single" w:color="auto"/>
          <w:color w:val="auto"/>
        </w:rPr>
        <w:t>NAREIT</w:t>
      </w:r>
      <w:r>
        <w:rPr>
          <w:rFonts w:ascii="Times New Roman" w:cs="Times New Roman" w:eastAsia="Times New Roman" w:hAnsi="Times New Roman"/>
          <w:sz w:val="20"/>
          <w:szCs w:val="20"/>
          <w:color w:val="auto"/>
        </w:rPr>
        <w:t>”) Index as “Mall” or “Shopping Center” REITs; provided that such business entities must be publicly-traded for the entire Performance</w:t>
      </w:r>
    </w:p>
    <w:p>
      <w:pPr>
        <w:spacing w:after="0" w:line="380" w:lineRule="exact"/>
        <w:rPr>
          <w:sz w:val="20"/>
          <w:szCs w:val="20"/>
          <w:color w:val="auto"/>
        </w:rPr>
      </w:pPr>
    </w:p>
    <w:p>
      <w:pPr>
        <w:ind w:left="3881"/>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1"/>
          </w:cols>
          <w:pgMar w:left="239" w:top="586" w:right="2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20"/>
          <w:szCs w:val="20"/>
          <w:color w:val="auto"/>
        </w:rPr>
        <w:t>Period to constitute a Peer REIT; provided further that if any business entity is delisted due to bankruptcy during the Performance Period it will remain a Peer REIT (such delisted business entities, “</w:t>
      </w:r>
      <w:r>
        <w:rPr>
          <w:rFonts w:ascii="Times New Roman" w:cs="Times New Roman" w:eastAsia="Times New Roman" w:hAnsi="Times New Roman"/>
          <w:sz w:val="20"/>
          <w:szCs w:val="20"/>
          <w:u w:val="single" w:color="auto"/>
          <w:color w:val="auto"/>
        </w:rPr>
        <w:t>Delisted Peer REITs</w:t>
      </w:r>
      <w:r>
        <w:rPr>
          <w:rFonts w:ascii="Times New Roman" w:cs="Times New Roman" w:eastAsia="Times New Roman" w:hAnsi="Times New Roman"/>
          <w:sz w:val="20"/>
          <w:szCs w:val="20"/>
          <w:color w:val="auto"/>
        </w:rPr>
        <w:t>”). If the Committee determines that NAREIT no longer identifies Peer REITs, or that NAREIT’s identification of Peer REITs is no longer suitable for the purposes of this Agreement, then the Committee in its good faith reasonable discretion shall select Peer REITs identified by another reputable business organization for purposes of this Agreement. The Committee does not have the discretion to adjust the Peer REIT Total Return for matters other than as described above.</w:t>
      </w:r>
    </w:p>
    <w:p>
      <w:pPr>
        <w:spacing w:after="0" w:line="16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Peer REIT Total Return</w:t>
      </w:r>
      <w:r>
        <w:rPr>
          <w:rFonts w:ascii="Times New Roman" w:cs="Times New Roman" w:eastAsia="Times New Roman" w:hAnsi="Times New Roman"/>
          <w:sz w:val="20"/>
          <w:szCs w:val="20"/>
          <w:color w:val="auto"/>
        </w:rPr>
        <w:t>” means, (a) for a Peer REIT other than a Delisted Peer REIT, with respect to the Performance Period, the absolute total stockholder return of the common equity of such Peer REIT during the Performance Period, calculated in the same manner as Total Return is calculated for the Company and (b) for a Delisted Peer REIT, an absolute total stockholder return of -100%.</w:t>
      </w:r>
    </w:p>
    <w:p>
      <w:pPr>
        <w:spacing w:after="0" w:line="15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commencing on (and including) January 1, [ ] and concluding on (and including) the earliest of (a) December 31, [ ] or (b) the date of a Change of Control.] or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commencing on (and including) January 1, [ ] and concluding on (and including) December 31, [ ].]</w:t>
      </w:r>
    </w:p>
    <w:p>
      <w:pPr>
        <w:spacing w:after="0" w:line="157" w:lineRule="exact"/>
        <w:rPr>
          <w:sz w:val="20"/>
          <w:szCs w:val="20"/>
          <w:color w:val="auto"/>
        </w:rPr>
      </w:pP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corporation, partnership, limited liability company, joint venture, association, trust, unincorporated organization, other entity or “group” (as defined in the Exchange Act).</w:t>
      </w:r>
    </w:p>
    <w:p>
      <w:pPr>
        <w:spacing w:after="0" w:line="142" w:lineRule="exact"/>
        <w:rPr>
          <w:sz w:val="20"/>
          <w:szCs w:val="20"/>
          <w:color w:val="auto"/>
        </w:rPr>
      </w:pP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means a termination of the Grantee’s employment (A) by the Company for no reason or for any reason (other than for Cause, death or Disability), or (B) by the Grantee for Good Reason.</w:t>
      </w:r>
    </w:p>
    <w:p>
      <w:pPr>
        <w:spacing w:after="0" w:line="142"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 Factor</w:t>
      </w:r>
      <w:r>
        <w:rPr>
          <w:rFonts w:ascii="Times New Roman" w:cs="Times New Roman" w:eastAsia="Times New Roman" w:hAnsi="Times New Roman"/>
          <w:sz w:val="20"/>
          <w:szCs w:val="20"/>
          <w:color w:val="auto"/>
        </w:rPr>
        <w:t>” means a factor carried out to the six decimal, but never greater than one (1.000000), determined by dividing (A) the number of days between the Effective Date and the date on which the Grantee’s Qualified Termination occurs divided by (B) 1,095.</w:t>
      </w:r>
    </w:p>
    <w:p>
      <w:pPr>
        <w:spacing w:after="0" w:line="157" w:lineRule="exact"/>
        <w:rPr>
          <w:sz w:val="20"/>
          <w:szCs w:val="20"/>
          <w:color w:val="auto"/>
        </w:rPr>
      </w:pPr>
    </w:p>
    <w:p>
      <w:pPr>
        <w:jc w:val="both"/>
        <w:ind w:firstLine="5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xml:space="preserve">” means: (A) if the Grantee is a party to a Service Agreement immediately prior to such event, and “Retirement” is defined therein, then “Retirement” shall have the meaning set forth in such Service Agreement, or (B) if the Grantee is not party to a Service Agreement immediately prior to such event and/or the Grantee’s Service Agreement does not define “Retirement,” then “Retirement” shall mean the Grantee’s voluntary termination of employment with the Company and its Subsidiaries on or after the attainment of age 55 and completion of ten (10) years of employment with the Company and/or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Retirement the Grantee does not engage in Competitive Activities during the balance of the Performance Period.</w:t>
      </w:r>
    </w:p>
    <w:p>
      <w:pPr>
        <w:spacing w:after="0" w:line="166"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means, as of a particular date, any employment, consulting or similar service agreement, including, without limitation, management continuity agreement, then in effect between the Grantee, on the one hand, and the Company or one of its affiliates, on the other hand, as amended or supplemented through such date.</w:t>
      </w:r>
    </w:p>
    <w:p>
      <w:pPr>
        <w:spacing w:after="0" w:line="3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586" w:right="239"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means a share of Common Stock, subject to adjustments pursuant to Section 6.2 of the Stock Plan.</w:t>
      </w:r>
    </w:p>
    <w:p>
      <w:pPr>
        <w:spacing w:after="0" w:line="205" w:lineRule="exact"/>
        <w:rPr>
          <w:sz w:val="20"/>
          <w:szCs w:val="20"/>
          <w:color w:val="auto"/>
        </w:rPr>
      </w:pPr>
    </w:p>
    <w:p>
      <w:pPr>
        <w:jc w:val="both"/>
        <w:ind w:firstLine="596"/>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 Price</w:t>
      </w:r>
      <w:r>
        <w:rPr>
          <w:rFonts w:ascii="Times New Roman" w:cs="Times New Roman" w:eastAsia="Times New Roman" w:hAnsi="Times New Roman"/>
          <w:sz w:val="20"/>
          <w:szCs w:val="20"/>
          <w:color w:val="auto"/>
        </w:rPr>
        <w:t xml:space="preserve">” means, as of a particular date, the Fair Market Value of one Share on such date (or, if such date is not a trading day, the most recent trading day immediately preceding such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the date upon which a Transactional Sale Event occurs, the Share Price as of such date shall be equal to the fair market value in cash, as determined by the Committee, of the total consideration paid or payable in the transaction resulting in the Transactional Sale Event for one Share.</w:t>
      </w:r>
    </w:p>
    <w:p>
      <w:pPr>
        <w:spacing w:after="0" w:line="162" w:lineRule="exact"/>
        <w:rPr>
          <w:sz w:val="20"/>
          <w:szCs w:val="20"/>
          <w:color w:val="auto"/>
        </w:rPr>
      </w:pPr>
    </w:p>
    <w:p>
      <w:pPr>
        <w:jc w:val="both"/>
        <w:ind w:firstLine="5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Return</w:t>
      </w:r>
      <w:r>
        <w:rPr>
          <w:rFonts w:ascii="Times New Roman" w:cs="Times New Roman" w:eastAsia="Times New Roman" w:hAnsi="Times New Roman"/>
          <w:sz w:val="20"/>
          <w:szCs w:val="20"/>
          <w:color w:val="auto"/>
        </w:rPr>
        <w:t xml:space="preserve">” means, with respect to the Performance Period, the compounded total annual return that would have been realized by a stockholder who (A) bought one Share on the first day of the Performance Period at the Share Price on the date immediately preceding such day, (B) reinvested each dividend and other distribution declared during such period of time with respect to such Share (and any other Shares previously received upon reinvestment of dividends or other distributions) in additional Shares at the Fair Market Value on the applicable dividend payment date, and (C) sold all the Shares described in clauses (A) and (B) on the last day of the Performance Period at the Share Price on such date. As set forth in, and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appropriate adjustments to the Total Return shall be made to take into account all stock dividends, stock splits, reverse stock splits and the other events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that occur during the Performance Period. In calculating Total Return, it is the current intention of the Committee to use total return to stockholders data for the Company and the Peer REITs available from one or more third party sources, though the Committee reserves the right in its reasonable discretion to retain the services of a consultant to analyze relevant data or perform necessary calculations for purposes of this Award. If the Committee delegates the calculation of Total Return to a valuation or other expert, including matters such as the determination of dividend reinvestment and the inclusion or exclusion of REITs as Peer REITs, the Committee is entitled to rely on such valuation or other expert.</w:t>
      </w:r>
    </w:p>
    <w:p>
      <w:pPr>
        <w:spacing w:after="0" w:line="168" w:lineRule="exact"/>
        <w:rPr>
          <w:sz w:val="20"/>
          <w:szCs w:val="20"/>
          <w:color w:val="auto"/>
        </w:rPr>
      </w:pP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Transactional Sale Event</w:t>
      </w:r>
      <w:r>
        <w:rPr>
          <w:rFonts w:ascii="Times New Roman" w:cs="Times New Roman" w:eastAsia="Times New Roman" w:hAnsi="Times New Roman"/>
          <w:sz w:val="20"/>
          <w:szCs w:val="20"/>
          <w:color w:val="auto"/>
        </w:rPr>
        <w:t>” means (A) a Change of Control described in clause (a) of the definition thereof as a result of a tender offer for Shares or (B) a Change of Control described in clause (c) of the definition thereof.</w:t>
      </w:r>
    </w:p>
    <w:p>
      <w:pPr>
        <w:spacing w:after="0" w:line="142" w:lineRule="exact"/>
        <w:rPr>
          <w:sz w:val="20"/>
          <w:szCs w:val="20"/>
          <w:color w:val="auto"/>
        </w:rPr>
      </w:pP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means Partnership Units (as defined in the Partnership Agreement) that are outstanding or are issuable upon the conversion, exercise, exchange or redemption of any securities of any kind convertible, exercisable, exchangeable or redeemable for Partnership Units.</w:t>
      </w:r>
    </w:p>
    <w:p>
      <w:pPr>
        <w:spacing w:after="0" w:line="138" w:lineRule="exact"/>
        <w:rPr>
          <w:sz w:val="20"/>
          <w:szCs w:val="20"/>
          <w:color w:val="auto"/>
        </w:rPr>
      </w:pPr>
    </w:p>
    <w:p>
      <w:pPr>
        <w:ind w:left="920" w:hanging="324"/>
        <w:spacing w:after="0"/>
        <w:tabs>
          <w:tab w:leader="none" w:pos="920"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Award of [ ] LTIP Units (PB)</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591" w:val="left"/>
        </w:tabs>
        <w:numPr>
          <w:ilvl w:val="1"/>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On the terms and conditions set forth in this Agreement, as well as the terms and conditions of the Stock Plan, the Grantee is hereby granted this Award consisting of the number of LTIP Units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opposite “[ ] LTIP Units (PB)”, which is incorporated herein by reference (the “</w:t>
      </w:r>
      <w:r>
        <w:rPr>
          <w:rFonts w:ascii="Times New Roman" w:cs="Times New Roman" w:eastAsia="Times New Roman" w:hAnsi="Times New Roman"/>
          <w:sz w:val="20"/>
          <w:szCs w:val="20"/>
          <w:u w:val="single" w:color="auto"/>
          <w:color w:val="auto"/>
        </w:rPr>
        <w:t>[ ] LTIP Units (PB)</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010000"/>
        </w:rPr>
      </w:pPr>
    </w:p>
    <w:p>
      <w:pPr>
        <w:ind w:firstLine="1192"/>
        <w:spacing w:after="0" w:line="289" w:lineRule="auto"/>
        <w:tabs>
          <w:tab w:leader="none" w:pos="1615" w:val="left"/>
        </w:tabs>
        <w:numPr>
          <w:ilvl w:val="1"/>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 LTIP Units (PB) shall constitute and be treated as the property of the Grantee as of the applicable grant date, subject to the terms of this Agreement and the Partnership</w:t>
      </w:r>
    </w:p>
    <w:p>
      <w:pPr>
        <w:spacing w:after="0" w:line="3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586" w:right="239" w:bottom="1440" w:gutter="0" w:footer="0" w:header="0"/>
        </w:sectPr>
      </w:pPr>
    </w:p>
    <w:bookmarkStart w:id="51" w:name="page52"/>
    <w:bookmarkEnd w:id="51"/>
    <w:p>
      <w:pPr>
        <w:ind w:left="1" w:right="20"/>
        <w:spacing w:after="0" w:line="257" w:lineRule="auto"/>
        <w:rPr>
          <w:sz w:val="20"/>
          <w:szCs w:val="20"/>
          <w:color w:val="auto"/>
        </w:rPr>
      </w:pPr>
      <w:r>
        <w:rPr>
          <w:rFonts w:ascii="Times New Roman" w:cs="Times New Roman" w:eastAsia="Times New Roman" w:hAnsi="Times New Roman"/>
          <w:sz w:val="20"/>
          <w:szCs w:val="20"/>
          <w:color w:val="auto"/>
        </w:rPr>
        <w:t xml:space="preserve">Agreement. Every grant of [ ] LTIP Units (PB) to the Grantee pursuant to this Award shall be set forth in minutes of the meetings of the Committee. [ ] LTIP Units (PB) will be: (A) subject to vesting and/or forfeiture to the extent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and</w:t>
      </w:r>
    </w:p>
    <w:p>
      <w:pPr>
        <w:spacing w:after="0" w:line="2" w:lineRule="exact"/>
        <w:rPr>
          <w:sz w:val="20"/>
          <w:szCs w:val="20"/>
          <w:color w:val="auto"/>
        </w:rPr>
      </w:pPr>
    </w:p>
    <w:p>
      <w:pPr>
        <w:ind w:left="321" w:hanging="321"/>
        <w:spacing w:after="0"/>
        <w:tabs>
          <w:tab w:leader="none" w:pos="32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restrictions on transfer as provided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hereof.</w:t>
      </w:r>
    </w:p>
    <w:p>
      <w:pPr>
        <w:spacing w:after="0" w:line="178" w:lineRule="exact"/>
        <w:rPr>
          <w:rFonts w:ascii="Times New Roman" w:cs="Times New Roman" w:eastAsia="Times New Roman" w:hAnsi="Times New Roman"/>
          <w:sz w:val="20"/>
          <w:szCs w:val="20"/>
          <w:color w:val="auto"/>
        </w:rPr>
      </w:pPr>
    </w:p>
    <w:p>
      <w:pPr>
        <w:ind w:left="921" w:hanging="324"/>
        <w:spacing w:after="0"/>
        <w:tabs>
          <w:tab w:leader="none" w:pos="921" w:val="left"/>
        </w:tabs>
        <w:numPr>
          <w:ilvl w:val="1"/>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Vesting of [ ] LTIP Units (PB)</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010000"/>
        </w:rPr>
      </w:pPr>
    </w:p>
    <w:p>
      <w:pPr>
        <w:jc w:val="both"/>
        <w:ind w:left="1" w:right="20" w:firstLine="1192"/>
        <w:spacing w:after="0" w:line="288" w:lineRule="auto"/>
        <w:tabs>
          <w:tab w:leader="none" w:pos="1579" w:val="left"/>
        </w:tabs>
        <w:numPr>
          <w:ilvl w:val="2"/>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otherwise set forth in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 the percentage of the Grantee’s [ ] LTIP Units (PB) that will become vested at the end of the Performance Period [(or at such other date as provided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hereof)] will be based on the percentile rank of the Company’s Total Return relative to the Peer REIT Total Return for the Peer REITs for the Performance Period as set forth below.</w:t>
      </w:r>
    </w:p>
    <w:p>
      <w:pPr>
        <w:spacing w:after="0" w:line="200" w:lineRule="exact"/>
        <w:rPr>
          <w:sz w:val="20"/>
          <w:szCs w:val="20"/>
          <w:color w:val="auto"/>
        </w:rPr>
      </w:pPr>
    </w:p>
    <w:p>
      <w:pPr>
        <w:spacing w:after="0" w:line="249" w:lineRule="exact"/>
        <w:rPr>
          <w:sz w:val="20"/>
          <w:szCs w:val="20"/>
          <w:color w:val="auto"/>
        </w:rPr>
      </w:pPr>
    </w:p>
    <w:tbl>
      <w:tblPr>
        <w:tblLayout w:type="fixed"/>
        <w:tblInd w:w="11" w:type="dxa"/>
        <w:tblCellMar>
          <w:top w:w="0" w:type="dxa"/>
          <w:left w:w="0" w:type="dxa"/>
          <w:bottom w:w="0" w:type="dxa"/>
          <w:right w:w="0" w:type="dxa"/>
        </w:tblCellMar>
      </w:tblPr>
      <w:tr>
        <w:trPr>
          <w:trHeight w:val="224"/>
        </w:trPr>
        <w:tc>
          <w:tcPr>
            <w:tcW w:w="5280" w:type="dxa"/>
            <w:vAlign w:val="bottom"/>
            <w:tcBorders>
              <w:top w:val="single" w:sz="8" w:color="00000A"/>
              <w:left w:val="single" w:sz="8" w:color="00000A"/>
              <w:right w:val="single" w:sz="8" w:color="00000A"/>
            </w:tcBorders>
            <w:gridSpan w:val="3"/>
          </w:tcPr>
          <w:p>
            <w:pPr>
              <w:ind w:left="60"/>
              <w:spacing w:after="0" w:line="224" w:lineRule="exact"/>
              <w:rPr>
                <w:sz w:val="20"/>
                <w:szCs w:val="20"/>
                <w:color w:val="auto"/>
              </w:rPr>
            </w:pPr>
            <w:r>
              <w:rPr>
                <w:rFonts w:ascii="Times New Roman" w:cs="Times New Roman" w:eastAsia="Times New Roman" w:hAnsi="Times New Roman"/>
                <w:sz w:val="20"/>
                <w:szCs w:val="20"/>
                <w:b w:val="1"/>
                <w:bCs w:val="1"/>
                <w:color w:val="auto"/>
              </w:rPr>
              <w:t>Percentile Rank</w:t>
            </w:r>
          </w:p>
        </w:tc>
        <w:tc>
          <w:tcPr>
            <w:tcW w:w="6160" w:type="dxa"/>
            <w:vAlign w:val="bottom"/>
            <w:tcBorders>
              <w:top w:val="single" w:sz="8" w:color="00000A"/>
              <w:right w:val="single" w:sz="8" w:color="00000A"/>
            </w:tcBorders>
            <w:gridSpan w:val="3"/>
          </w:tcPr>
          <w:p>
            <w:pPr>
              <w:ind w:left="40"/>
              <w:spacing w:after="0" w:line="224" w:lineRule="exact"/>
              <w:rPr>
                <w:sz w:val="20"/>
                <w:szCs w:val="20"/>
                <w:color w:val="auto"/>
              </w:rPr>
            </w:pPr>
            <w:r>
              <w:rPr>
                <w:rFonts w:ascii="Times New Roman" w:cs="Times New Roman" w:eastAsia="Times New Roman" w:hAnsi="Times New Roman"/>
                <w:sz w:val="20"/>
                <w:szCs w:val="20"/>
                <w:b w:val="1"/>
                <w:bCs w:val="1"/>
                <w:color w:val="auto"/>
              </w:rPr>
              <w:t>Percentage of Award Vested</w:t>
            </w:r>
          </w:p>
        </w:tc>
      </w:tr>
      <w:tr>
        <w:trPr>
          <w:trHeight w:val="67"/>
        </w:trPr>
        <w:tc>
          <w:tcPr>
            <w:tcW w:w="60" w:type="dxa"/>
            <w:vAlign w:val="bottom"/>
            <w:tcBorders>
              <w:left w:val="single" w:sz="8" w:color="00000A"/>
              <w:bottom w:val="single" w:sz="8" w:color="00000A"/>
            </w:tcBorders>
          </w:tcPr>
          <w:p>
            <w:pPr>
              <w:spacing w:after="0"/>
              <w:rPr>
                <w:sz w:val="5"/>
                <w:szCs w:val="5"/>
                <w:color w:val="auto"/>
              </w:rPr>
            </w:pPr>
          </w:p>
        </w:tc>
        <w:tc>
          <w:tcPr>
            <w:tcW w:w="1360" w:type="dxa"/>
            <w:vAlign w:val="bottom"/>
            <w:tcBorders>
              <w:top w:val="single" w:sz="8" w:color="auto"/>
              <w:bottom w:val="single" w:sz="8" w:color="00000A"/>
            </w:tcBorders>
          </w:tcPr>
          <w:p>
            <w:pPr>
              <w:spacing w:after="0"/>
              <w:rPr>
                <w:sz w:val="5"/>
                <w:szCs w:val="5"/>
                <w:color w:val="auto"/>
              </w:rPr>
            </w:pPr>
          </w:p>
        </w:tc>
        <w:tc>
          <w:tcPr>
            <w:tcW w:w="3860" w:type="dxa"/>
            <w:vAlign w:val="bottom"/>
            <w:tcBorders>
              <w:bottom w:val="single" w:sz="8" w:color="00000A"/>
              <w:right w:val="single" w:sz="8" w:color="00000A"/>
            </w:tcBorders>
          </w:tcPr>
          <w:p>
            <w:pPr>
              <w:spacing w:after="0"/>
              <w:rPr>
                <w:sz w:val="5"/>
                <w:szCs w:val="5"/>
                <w:color w:val="auto"/>
              </w:rPr>
            </w:pPr>
          </w:p>
        </w:tc>
        <w:tc>
          <w:tcPr>
            <w:tcW w:w="40" w:type="dxa"/>
            <w:vAlign w:val="bottom"/>
            <w:tcBorders>
              <w:bottom w:val="single" w:sz="8" w:color="00000A"/>
            </w:tcBorders>
          </w:tcPr>
          <w:p>
            <w:pPr>
              <w:spacing w:after="0"/>
              <w:rPr>
                <w:sz w:val="5"/>
                <w:szCs w:val="5"/>
                <w:color w:val="auto"/>
              </w:rPr>
            </w:pPr>
          </w:p>
        </w:tc>
        <w:tc>
          <w:tcPr>
            <w:tcW w:w="2380" w:type="dxa"/>
            <w:vAlign w:val="bottom"/>
            <w:tcBorders>
              <w:top w:val="single" w:sz="8" w:color="auto"/>
              <w:bottom w:val="single" w:sz="8" w:color="00000A"/>
            </w:tcBorders>
          </w:tcPr>
          <w:p>
            <w:pPr>
              <w:spacing w:after="0"/>
              <w:rPr>
                <w:sz w:val="5"/>
                <w:szCs w:val="5"/>
                <w:color w:val="auto"/>
              </w:rPr>
            </w:pPr>
          </w:p>
        </w:tc>
        <w:tc>
          <w:tcPr>
            <w:tcW w:w="3740" w:type="dxa"/>
            <w:vAlign w:val="bottom"/>
            <w:tcBorders>
              <w:bottom w:val="single" w:sz="8" w:color="00000A"/>
              <w:right w:val="single" w:sz="8" w:color="00000A"/>
            </w:tcBorders>
          </w:tcPr>
          <w:p>
            <w:pPr>
              <w:spacing w:after="0"/>
              <w:rPr>
                <w:sz w:val="5"/>
                <w:szCs w:val="5"/>
                <w:color w:val="auto"/>
              </w:rPr>
            </w:pPr>
          </w:p>
        </w:tc>
      </w:tr>
      <w:tr>
        <w:trPr>
          <w:trHeight w:val="252"/>
        </w:trPr>
        <w:tc>
          <w:tcPr>
            <w:tcW w:w="528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or above the 75th percentile</w:t>
            </w:r>
          </w:p>
        </w:tc>
        <w:tc>
          <w:tcPr>
            <w:tcW w:w="6160" w:type="dxa"/>
            <w:vAlign w:val="bottom"/>
            <w:tcBorders>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100% of the [ ] LTIP Units (PB)</w:t>
            </w: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386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2380" w:type="dxa"/>
            <w:vAlign w:val="bottom"/>
            <w:tcBorders>
              <w:bottom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2"/>
        </w:trPr>
        <w:tc>
          <w:tcPr>
            <w:tcW w:w="528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the 50th percentile</w:t>
            </w:r>
          </w:p>
        </w:tc>
        <w:tc>
          <w:tcPr>
            <w:tcW w:w="6160" w:type="dxa"/>
            <w:vAlign w:val="bottom"/>
            <w:tcBorders>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66-2/3% of the [ ] LTIP Units (PB)</w:t>
            </w: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386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2380" w:type="dxa"/>
            <w:vAlign w:val="bottom"/>
            <w:tcBorders>
              <w:bottom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2"/>
        </w:trPr>
        <w:tc>
          <w:tcPr>
            <w:tcW w:w="528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the 25th percentile</w:t>
            </w:r>
          </w:p>
        </w:tc>
        <w:tc>
          <w:tcPr>
            <w:tcW w:w="6160" w:type="dxa"/>
            <w:vAlign w:val="bottom"/>
            <w:tcBorders>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33-1/3% of the [ ] LTIP Units (PB)</w:t>
            </w: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386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2380" w:type="dxa"/>
            <w:vAlign w:val="bottom"/>
            <w:tcBorders>
              <w:bottom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2"/>
        </w:trPr>
        <w:tc>
          <w:tcPr>
            <w:tcW w:w="528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Below the 25th percentile</w:t>
            </w:r>
          </w:p>
        </w:tc>
        <w:tc>
          <w:tcPr>
            <w:tcW w:w="6160" w:type="dxa"/>
            <w:vAlign w:val="bottom"/>
            <w:tcBorders>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0% of the [ ] LTIP Units (PB)</w:t>
            </w: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386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2380" w:type="dxa"/>
            <w:vAlign w:val="bottom"/>
            <w:tcBorders>
              <w:bottom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bl>
    <w:p>
      <w:pPr>
        <w:spacing w:after="0" w:line="2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The percentile rank above shall be calculated using the following conventions:</w:t>
      </w:r>
    </w:p>
    <w:p>
      <w:pPr>
        <w:spacing w:after="0" w:line="205" w:lineRule="exact"/>
        <w:rPr>
          <w:sz w:val="20"/>
          <w:szCs w:val="20"/>
          <w:color w:val="auto"/>
        </w:rPr>
      </w:pPr>
    </w:p>
    <w:p>
      <w:pPr>
        <w:ind w:left="601"/>
        <w:spacing w:after="0"/>
        <w:tabs>
          <w:tab w:leader="none" w:pos="2200" w:val="left"/>
        </w:tabs>
        <w:rPr>
          <w:sz w:val="20"/>
          <w:szCs w:val="20"/>
          <w:color w:val="auto"/>
        </w:rPr>
      </w:pPr>
      <w:r>
        <w:rPr>
          <w:rFonts w:ascii="Times New Roman" w:cs="Times New Roman" w:eastAsia="Times New Roman" w:hAnsi="Times New Roman"/>
          <w:sz w:val="20"/>
          <w:szCs w:val="20"/>
          <w:color w:val="auto"/>
        </w:rPr>
        <w:t>Percentile Rank =</w:t>
      </w:r>
      <w:r>
        <w:rPr>
          <w:sz w:val="20"/>
          <w:szCs w:val="20"/>
          <w:color w:val="auto"/>
        </w:rPr>
        <w:tab/>
      </w:r>
      <w:r>
        <w:rPr>
          <w:rFonts w:ascii="Times New Roman" w:cs="Times New Roman" w:eastAsia="Times New Roman" w:hAnsi="Times New Roman"/>
          <w:sz w:val="19"/>
          <w:szCs w:val="19"/>
          <w:u w:val="single" w:color="auto"/>
          <w:color w:val="auto"/>
        </w:rPr>
        <w:t>X</w:t>
      </w:r>
    </w:p>
    <w:p>
      <w:pPr>
        <w:spacing w:after="0" w:line="28" w:lineRule="exact"/>
        <w:rPr>
          <w:sz w:val="20"/>
          <w:szCs w:val="20"/>
          <w:color w:val="auto"/>
        </w:rPr>
      </w:pPr>
    </w:p>
    <w:p>
      <w:pPr>
        <w:ind w:left="2681"/>
        <w:spacing w:after="0"/>
        <w:rPr>
          <w:sz w:val="20"/>
          <w:szCs w:val="20"/>
          <w:color w:val="auto"/>
        </w:rPr>
      </w:pPr>
      <w:r>
        <w:rPr>
          <w:rFonts w:ascii="Times New Roman" w:cs="Times New Roman" w:eastAsia="Times New Roman" w:hAnsi="Times New Roman"/>
          <w:sz w:val="20"/>
          <w:szCs w:val="20"/>
          <w:color w:val="auto"/>
        </w:rPr>
        <w:t>Y</w:t>
      </w:r>
    </w:p>
    <w:p>
      <w:pPr>
        <w:spacing w:after="0" w:line="18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Where:</w:t>
      </w:r>
    </w:p>
    <w:p>
      <w:pPr>
        <w:spacing w:after="0" w:line="205" w:lineRule="exact"/>
        <w:rPr>
          <w:sz w:val="20"/>
          <w:szCs w:val="20"/>
          <w:color w:val="auto"/>
        </w:rPr>
      </w:pPr>
    </w:p>
    <w:p>
      <w:pPr>
        <w:ind w:left="1201" w:right="580" w:hanging="595"/>
        <w:spacing w:after="0" w:line="276" w:lineRule="auto"/>
        <w:tabs>
          <w:tab w:leader="none" w:pos="1180" w:val="left"/>
        </w:tabs>
        <w:rPr>
          <w:sz w:val="20"/>
          <w:szCs w:val="20"/>
          <w:color w:val="auto"/>
        </w:rPr>
      </w:pPr>
      <w:r>
        <w:rPr>
          <w:rFonts w:ascii="Times New Roman" w:cs="Times New Roman" w:eastAsia="Times New Roman" w:hAnsi="Times New Roman"/>
          <w:sz w:val="20"/>
          <w:szCs w:val="20"/>
          <w:color w:val="auto"/>
        </w:rPr>
        <w:t>X =</w:t>
        <w:tab/>
        <w:t>the number of Peer REITs with a Peer REIT Total Return lower than the Company’s Total Return during the Performance Period.</w:t>
      </w:r>
    </w:p>
    <w:p>
      <w:pPr>
        <w:spacing w:after="0" w:line="142" w:lineRule="exact"/>
        <w:rPr>
          <w:sz w:val="20"/>
          <w:szCs w:val="20"/>
          <w:color w:val="auto"/>
        </w:rPr>
      </w:pPr>
    </w:p>
    <w:p>
      <w:pPr>
        <w:ind w:left="601"/>
        <w:spacing w:after="0"/>
        <w:tabs>
          <w:tab w:leader="none" w:pos="108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total number of Peer REITs minus 1.</w:t>
      </w:r>
    </w:p>
    <w:p>
      <w:pPr>
        <w:spacing w:after="0" w:line="205" w:lineRule="exact"/>
        <w:rPr>
          <w:sz w:val="20"/>
          <w:szCs w:val="20"/>
          <w:color w:val="auto"/>
        </w:rPr>
      </w:pPr>
    </w:p>
    <w:p>
      <w:pPr>
        <w:ind w:left="601" w:right="160"/>
        <w:spacing w:after="0" w:line="276" w:lineRule="auto"/>
        <w:rPr>
          <w:sz w:val="20"/>
          <w:szCs w:val="20"/>
          <w:color w:val="auto"/>
        </w:rPr>
      </w:pPr>
      <w:r>
        <w:rPr>
          <w:rFonts w:ascii="Times New Roman" w:cs="Times New Roman" w:eastAsia="Times New Roman" w:hAnsi="Times New Roman"/>
          <w:sz w:val="20"/>
          <w:szCs w:val="20"/>
          <w:color w:val="auto"/>
        </w:rPr>
        <w:t>If Percentile Rank as calculated above is a not a whole number, then the award vesting shall be calculated as if the calculation resulted in a percentile rank equal to the next higher whole integer.</w:t>
      </w:r>
    </w:p>
    <w:p>
      <w:pPr>
        <w:spacing w:after="0" w:line="142" w:lineRule="exact"/>
        <w:rPr>
          <w:sz w:val="20"/>
          <w:szCs w:val="20"/>
          <w:color w:val="auto"/>
        </w:rPr>
      </w:pPr>
    </w:p>
    <w:p>
      <w:pPr>
        <w:jc w:val="both"/>
        <w:ind w:left="1" w:right="20" w:firstLine="596"/>
        <w:spacing w:after="0" w:line="256" w:lineRule="auto"/>
        <w:rPr>
          <w:sz w:val="20"/>
          <w:szCs w:val="20"/>
          <w:color w:val="auto"/>
        </w:rPr>
      </w:pPr>
      <w:r>
        <w:rPr>
          <w:rFonts w:ascii="Times New Roman" w:cs="Times New Roman" w:eastAsia="Times New Roman" w:hAnsi="Times New Roman"/>
          <w:sz w:val="20"/>
          <w:szCs w:val="20"/>
          <w:color w:val="auto"/>
        </w:rPr>
        <w:t>If the percentile rank falls between the 25th and 75th percentiles, the percentage of the Grantee’s [ ] LTIP Units (PB) that become vested will be calculated using linear interpolation, such that for every additional percentile of rank between the 25th and 75th percentiles an additional 1.33334% of the [ ] LTIP Units (PB) will be vested. For example: at the 34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20"/>
          <w:szCs w:val="20"/>
          <w:color w:val="auto"/>
        </w:rPr>
        <w:t xml:space="preserve"> percentile rank 45.334% of the [ ] LTIP Units (PB) will be vested {33.334% + [(9/25) x (33.334%)] = 45.334%}.</w:t>
      </w:r>
    </w:p>
    <w:p>
      <w:pPr>
        <w:spacing w:after="0" w:line="162" w:lineRule="exact"/>
        <w:rPr>
          <w:sz w:val="20"/>
          <w:szCs w:val="20"/>
          <w:color w:val="auto"/>
        </w:rPr>
      </w:pPr>
    </w:p>
    <w:p>
      <w:pPr>
        <w:jc w:val="both"/>
        <w:ind w:left="1" w:right="20" w:firstLine="596"/>
        <w:spacing w:after="0" w:line="26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vesting of the Grantee’s [ ] LTIP Units (PB) shall occur as of the last day of the Performance Period, provided that the Continuous Service of the Grantee continues through the last day of the Performance Period, regardless of when the Committee completes its</w:t>
      </w:r>
    </w:p>
    <w:p>
      <w:pPr>
        <w:spacing w:after="0" w:line="380" w:lineRule="exact"/>
        <w:rPr>
          <w:sz w:val="20"/>
          <w:szCs w:val="20"/>
          <w:color w:val="auto"/>
        </w:rPr>
      </w:pPr>
    </w:p>
    <w:p>
      <w:pPr>
        <w:ind w:left="3881"/>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41"/>
          </w:cols>
          <w:pgMar w:left="239" w:top="586"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determination of percentile rank or any other calculations or assessments related to its determination of the vesting percentage.</w:t>
      </w:r>
    </w:p>
    <w:p>
      <w:pPr>
        <w:spacing w:after="0" w:line="201" w:lineRule="exact"/>
        <w:rPr>
          <w:sz w:val="20"/>
          <w:szCs w:val="20"/>
          <w:color w:val="auto"/>
        </w:rPr>
      </w:pPr>
    </w:p>
    <w:p>
      <w:pPr>
        <w:jc w:val="both"/>
        <w:ind w:firstLine="596"/>
        <w:spacing w:after="0" w:line="257" w:lineRule="auto"/>
        <w:rPr>
          <w:sz w:val="20"/>
          <w:szCs w:val="20"/>
          <w:color w:val="auto"/>
        </w:rPr>
      </w:pPr>
      <w:r>
        <w:rPr>
          <w:rFonts w:ascii="Times New Roman" w:cs="Times New Roman" w:eastAsia="Times New Roman" w:hAnsi="Times New Roman"/>
          <w:sz w:val="20"/>
          <w:szCs w:val="20"/>
          <w:color w:val="auto"/>
        </w:rPr>
        <w:t>For the avoidance of doubt, assuming no Change of Control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last day of the Performance period is December 31, [ ]), the intent of this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is that (i) the Company’s Total Return will be calculated using as the first input the Share Price on December 31, [ ] and as the last input the Share Price on December 31, [ ], and (ii) each Peer REIT’s Total Return will be calculated in the same manner with respect to the common equity of each such Peer REIT.</w:t>
      </w:r>
    </w:p>
    <w:p>
      <w:pPr>
        <w:spacing w:after="0" w:line="162" w:lineRule="exact"/>
        <w:rPr>
          <w:sz w:val="20"/>
          <w:szCs w:val="20"/>
          <w:color w:val="auto"/>
        </w:rPr>
      </w:pPr>
    </w:p>
    <w:p>
      <w:pPr>
        <w:jc w:val="both"/>
        <w:ind w:firstLine="1192"/>
        <w:spacing w:after="0" w:line="254" w:lineRule="auto"/>
        <w:tabs>
          <w:tab w:leader="none" w:pos="1590"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Committee may, upon consideration of the statistical data for the Peer REITs relative to Peer REIT Total Return for the Performance Period, exercise its reasonable discretion to allow for vesting of [ ] LTIP Units (PB) under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on a basis other than a strict mathematical calculation of percentile rank to the extent appropriate in light of the circumstances. By way of illustration, the foregoing would allow the Committee to provide for vesting to occur at a particular level if the Peer REIT Total Return of a number of Peer REITs is clustered within a narrow range such that the effect of the precise calculation of percentile rank would be that vesting would not occur or occur at a lower level. The Committee does not have the discretion to adjust downward the vesting of [ ] LTIP Units (PB).</w:t>
      </w:r>
    </w:p>
    <w:p>
      <w:pPr>
        <w:spacing w:after="0" w:line="167" w:lineRule="exact"/>
        <w:rPr>
          <w:rFonts w:ascii="Times New Roman" w:cs="Times New Roman" w:eastAsia="Times New Roman" w:hAnsi="Times New Roman"/>
          <w:sz w:val="20"/>
          <w:szCs w:val="20"/>
          <w:color w:val="010000"/>
        </w:rPr>
      </w:pPr>
    </w:p>
    <w:p>
      <w:pPr>
        <w:jc w:val="both"/>
        <w:ind w:firstLine="1192"/>
        <w:spacing w:after="0" w:line="254" w:lineRule="auto"/>
        <w:tabs>
          <w:tab w:leader="none" w:pos="1703"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Grantee agrees to provide Continuous Service to the Company in consideration for the conditional rights to the unvested [ ] LTIP Units (PB). Except as otherwise provided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or pursuant to the Stock Pan, the vesting of the [ ] LTIP Units (PB) requires Continuous Service through the last day of the Performance Period as a condition to the vesting of the [ ] LTIP Units (PB). Partial service, even if substantial, during any vesting period will not entitle the Grantee to any proportionate vesting or avoid or mitigate a termination of rights and benefits upon or following a termination of employment or service except as provided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or under the Stock Plan.</w:t>
      </w:r>
    </w:p>
    <w:p>
      <w:pPr>
        <w:spacing w:after="0" w:line="167" w:lineRule="exact"/>
        <w:rPr>
          <w:rFonts w:ascii="Times New Roman" w:cs="Times New Roman" w:eastAsia="Times New Roman" w:hAnsi="Times New Roman"/>
          <w:sz w:val="20"/>
          <w:szCs w:val="20"/>
          <w:color w:val="010000"/>
        </w:rPr>
      </w:pPr>
    </w:p>
    <w:p>
      <w:pPr>
        <w:jc w:val="both"/>
        <w:ind w:firstLine="1192"/>
        <w:spacing w:after="0" w:line="260" w:lineRule="auto"/>
        <w:tabs>
          <w:tab w:leader="none" w:pos="1602"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 ] LTIP Units (PB) that do not become vested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shall, without payment of any consideration by the Partnership, automatically and without notice terminate, be forfeited and be and become null and void as of the end of the Performance Period, and neither the Grantee nor any of his or her successors, heirs, assigns, or personal representatives will thereafter have any further rights or interests in such unvested [ ] LTIP Units (PB).</w:t>
      </w:r>
    </w:p>
    <w:p>
      <w:pPr>
        <w:spacing w:after="0" w:line="154" w:lineRule="exact"/>
        <w:rPr>
          <w:rFonts w:ascii="Times New Roman" w:cs="Times New Roman" w:eastAsia="Times New Roman" w:hAnsi="Times New Roman"/>
          <w:sz w:val="20"/>
          <w:szCs w:val="20"/>
          <w:color w:val="010000"/>
        </w:rPr>
      </w:pPr>
    </w:p>
    <w:p>
      <w:pPr>
        <w:ind w:left="920" w:hanging="324"/>
        <w:spacing w:after="0"/>
        <w:tabs>
          <w:tab w:leader="none" w:pos="920"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Change of Control or Termination of Grantee’s Service Relationship</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010000"/>
        </w:rPr>
      </w:pPr>
    </w:p>
    <w:p>
      <w:pPr>
        <w:jc w:val="both"/>
        <w:ind w:firstLine="1192"/>
        <w:spacing w:after="0" w:line="253" w:lineRule="auto"/>
        <w:tabs>
          <w:tab w:leader="none" w:pos="1591" w:val="left"/>
        </w:tabs>
        <w:numPr>
          <w:ilvl w:val="1"/>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Grantee is a party to a Service Agreement, the provisions of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govern the vesting of the Grantee’s [ ] LTIP Units (PB) exclusively in the event of a Change of Control or termination of the Grantee’s service relationship with the Company or any Subsidiary or affiliate, unless the Service Agreement contains provisions that expressly refer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and provides that those provisions of the Service Agreement shall instead govern the vesting of the Grantee’s [ ] LTIP Units (PB). The foregoing sentence will be deemed an amendment to any applicable Service Agreement to the extent required to apply its terms consistently with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such that, by way of illustration, any provisions of the Service Agreement with respect to accelerated vesting or payout of the Grantee’s bonus or incentive compensation awards in the</w:t>
      </w:r>
    </w:p>
    <w:p>
      <w:pPr>
        <w:spacing w:after="0" w:line="3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586" w:right="2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event of certain types of terminations of Grantee’s service relationship (such as, for example, termination at the end of the term, termination without Cause by the employer or termination for Good Reason by the employee) shall not (unless the Service Agreement contains provisions that expressly refer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and provides that those provisions of the Service Agreement shall instead govern the vesting of the Grantee’s [ ] LTIP Units (PB)) be interpreted as requiring that any calculations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be performed, or vesting occur with respect to this Award other than as specifically provided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In the event an entity ceases to be a Subsidiary or affiliate of the Company, such action shall be deemed to be a termination of employment of all employees of that entity for purposes of this Agreement resulting in any then unvested [ ] LTIP Units (PB), without payment of any consideration by the Partnership, being automatically and without notice forfeited;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Committee, in its sole and absolute discretion, may make provision in such circumstances for accelerated vesting of some or all of the Grantee’s remaining unvested [ ] LTIP Units (PB) that have not previously been forfeited effective immediately prior to such event.</w:t>
      </w:r>
    </w:p>
    <w:p>
      <w:pPr>
        <w:spacing w:after="0" w:line="173" w:lineRule="exact"/>
        <w:rPr>
          <w:sz w:val="20"/>
          <w:szCs w:val="20"/>
          <w:color w:val="auto"/>
        </w:rPr>
      </w:pPr>
    </w:p>
    <w:p>
      <w:pPr>
        <w:ind w:left="1580" w:hanging="388"/>
        <w:spacing w:after="0"/>
        <w:tabs>
          <w:tab w:leader="none" w:pos="158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of a Change of Control prior to December 31, [ ], then:</w:t>
      </w:r>
    </w:p>
    <w:p>
      <w:pPr>
        <w:spacing w:after="0" w:line="217" w:lineRule="exact"/>
        <w:rPr>
          <w:rFonts w:ascii="Times New Roman" w:cs="Times New Roman" w:eastAsia="Times New Roman" w:hAnsi="Times New Roman"/>
          <w:sz w:val="20"/>
          <w:szCs w:val="20"/>
          <w:color w:val="010000"/>
        </w:rPr>
      </w:pPr>
    </w:p>
    <w:p>
      <w:pPr>
        <w:jc w:val="both"/>
        <w:ind w:left="600" w:firstLine="1188"/>
        <w:spacing w:after="0" w:line="268" w:lineRule="auto"/>
        <w:tabs>
          <w:tab w:leader="none" w:pos="2158"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Performance Period shall end on such date and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performed effective as of the date of the Change of Control and following the date of the Change of Control no further calculations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performed with respect to the Grantee; and</w:t>
      </w:r>
    </w:p>
    <w:p>
      <w:pPr>
        <w:spacing w:after="0" w:line="148" w:lineRule="exact"/>
        <w:rPr>
          <w:rFonts w:ascii="Times New Roman" w:cs="Times New Roman" w:eastAsia="Times New Roman" w:hAnsi="Times New Roman"/>
          <w:sz w:val="20"/>
          <w:szCs w:val="20"/>
          <w:color w:val="010000"/>
        </w:rPr>
      </w:pPr>
    </w:p>
    <w:p>
      <w:pPr>
        <w:jc w:val="both"/>
        <w:ind w:left="600" w:firstLine="1188"/>
        <w:spacing w:after="0" w:line="253" w:lineRule="auto"/>
        <w:tabs>
          <w:tab w:leader="none" w:pos="2301"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 ] LTIP Units (PB) remain outstanding after a Change of Control or equivalent replacement awards (as defined in </w:t>
      </w:r>
      <w:r>
        <w:rPr>
          <w:rFonts w:ascii="Times New Roman" w:cs="Times New Roman" w:eastAsia="Times New Roman" w:hAnsi="Times New Roman"/>
          <w:sz w:val="20"/>
          <w:szCs w:val="20"/>
          <w:u w:val="single" w:color="auto"/>
          <w:color w:val="auto"/>
        </w:rPr>
        <w:t>Section 5(b)(iv)</w:t>
      </w:r>
      <w:r>
        <w:rPr>
          <w:rFonts w:ascii="Times New Roman" w:cs="Times New Roman" w:eastAsia="Times New Roman" w:hAnsi="Times New Roman"/>
          <w:sz w:val="20"/>
          <w:szCs w:val="20"/>
          <w:color w:val="auto"/>
        </w:rPr>
        <w:t xml:space="preserve"> hereof) are substituted for the [ ] LTIP Units (PB) at the time of the Change of Control, then the number of [ ] LTIP Units (PB) that are determined as of the date of the Change of Control pursuant to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remain subject to vesting tied to the Grantee’s Continuous Service until December 31, [ ] as if no Change of Control had occurred, except that the Grantee shall become fully vested in such [ ] LTIP Units (PB) immediately (A) upon the Grantee’s Qualified Termination in connection with or within twenty-four (24) months after the Change of Control, or (B) upon the Grantee’s death, Disability or Retirement;</w:t>
      </w:r>
    </w:p>
    <w:p>
      <w:pPr>
        <w:spacing w:after="0" w:line="166" w:lineRule="exact"/>
        <w:rPr>
          <w:rFonts w:ascii="Times New Roman" w:cs="Times New Roman" w:eastAsia="Times New Roman" w:hAnsi="Times New Roman"/>
          <w:sz w:val="20"/>
          <w:szCs w:val="20"/>
          <w:color w:val="010000"/>
        </w:rPr>
      </w:pPr>
    </w:p>
    <w:p>
      <w:pPr>
        <w:jc w:val="both"/>
        <w:ind w:left="600" w:firstLine="1188"/>
        <w:spacing w:after="0" w:line="260" w:lineRule="auto"/>
        <w:tabs>
          <w:tab w:leader="none" w:pos="2269"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neither the [ ] LTIP Units (PB) remain outstanding after a Change of Control nor equivalent replacement awards (as defined in </w:t>
      </w:r>
      <w:r>
        <w:rPr>
          <w:rFonts w:ascii="Times New Roman" w:cs="Times New Roman" w:eastAsia="Times New Roman" w:hAnsi="Times New Roman"/>
          <w:sz w:val="20"/>
          <w:szCs w:val="20"/>
          <w:u w:val="single" w:color="auto"/>
          <w:color w:val="auto"/>
        </w:rPr>
        <w:t>Section 5(b)(iv)</w:t>
      </w:r>
      <w:r>
        <w:rPr>
          <w:rFonts w:ascii="Times New Roman" w:cs="Times New Roman" w:eastAsia="Times New Roman" w:hAnsi="Times New Roman"/>
          <w:sz w:val="20"/>
          <w:szCs w:val="20"/>
          <w:color w:val="auto"/>
        </w:rPr>
        <w:t xml:space="preserve"> hereof) are substituted for the [ ] LTIP Units (PB) at the time of the Change of Control, then the Grantee shall become fully vested in the number of [ ] LTIP Units (PB) that are determined pursuant to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as of the date of the Change of Control; and</w:t>
      </w:r>
    </w:p>
    <w:p>
      <w:pPr>
        <w:spacing w:after="0" w:line="158" w:lineRule="exact"/>
        <w:rPr>
          <w:rFonts w:ascii="Times New Roman" w:cs="Times New Roman" w:eastAsia="Times New Roman" w:hAnsi="Times New Roman"/>
          <w:sz w:val="20"/>
          <w:szCs w:val="20"/>
          <w:color w:val="010000"/>
        </w:rPr>
      </w:pPr>
    </w:p>
    <w:p>
      <w:pPr>
        <w:ind w:left="600" w:firstLine="1188"/>
        <w:spacing w:after="0" w:line="289" w:lineRule="auto"/>
        <w:tabs>
          <w:tab w:leader="none" w:pos="2270"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award shall qualify as an “equivalent replacement award” if the following conditions are met in the good faith discretion of the Committee:</w:t>
      </w:r>
    </w:p>
    <w:p>
      <w:pPr>
        <w:spacing w:after="0" w:line="129" w:lineRule="exact"/>
        <w:rPr>
          <w:rFonts w:ascii="Times New Roman" w:cs="Times New Roman" w:eastAsia="Times New Roman" w:hAnsi="Times New Roman"/>
          <w:sz w:val="20"/>
          <w:szCs w:val="20"/>
          <w:color w:val="010000"/>
        </w:rPr>
      </w:pPr>
    </w:p>
    <w:p>
      <w:pPr>
        <w:ind w:left="1200" w:firstLine="1185"/>
        <w:spacing w:after="0" w:line="289" w:lineRule="auto"/>
        <w:tabs>
          <w:tab w:leader="none" w:pos="2896" w:val="left"/>
        </w:tabs>
        <w:numPr>
          <w:ilvl w:val="2"/>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award is of the same type as the [ ] LTIP Units (PB) being replaced, including, without limitation, income tax attributes</w:t>
      </w:r>
    </w:p>
    <w:p>
      <w:pPr>
        <w:spacing w:after="0" w:line="3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586"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relating to the extent and timing of recognition of taxable income, gain or loss by the Grantee;</w:t>
      </w:r>
    </w:p>
    <w:p>
      <w:pPr>
        <w:spacing w:after="0" w:line="205" w:lineRule="exact"/>
        <w:rPr>
          <w:sz w:val="20"/>
          <w:szCs w:val="20"/>
          <w:color w:val="auto"/>
        </w:rPr>
      </w:pPr>
    </w:p>
    <w:p>
      <w:pPr>
        <w:ind w:firstLine="1185"/>
        <w:spacing w:after="0" w:line="289" w:lineRule="auto"/>
        <w:tabs>
          <w:tab w:leader="none" w:pos="1636"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award has a value equal to the Fair Market Value of the [ ] LTIP Units being replaced as of the effective date of the Change of Control;</w:t>
      </w:r>
    </w:p>
    <w:p>
      <w:pPr>
        <w:spacing w:after="0" w:line="129" w:lineRule="exact"/>
        <w:rPr>
          <w:rFonts w:ascii="Times New Roman" w:cs="Times New Roman" w:eastAsia="Times New Roman" w:hAnsi="Times New Roman"/>
          <w:sz w:val="20"/>
          <w:szCs w:val="20"/>
          <w:color w:val="010000"/>
        </w:rPr>
      </w:pPr>
    </w:p>
    <w:p>
      <w:pPr>
        <w:ind w:firstLine="1185"/>
        <w:spacing w:after="0" w:line="289" w:lineRule="auto"/>
        <w:tabs>
          <w:tab w:leader="none" w:pos="171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equity securities issuable upon the conversion, exercise, exchange or redemption of the replacement award, or securities underlying the replacement award, as applicable, are listed on a national stock exchange;</w:t>
      </w:r>
    </w:p>
    <w:p>
      <w:pPr>
        <w:spacing w:after="0" w:line="129" w:lineRule="exact"/>
        <w:rPr>
          <w:rFonts w:ascii="Times New Roman" w:cs="Times New Roman" w:eastAsia="Times New Roman" w:hAnsi="Times New Roman"/>
          <w:sz w:val="20"/>
          <w:szCs w:val="20"/>
          <w:color w:val="010000"/>
        </w:rPr>
      </w:pPr>
    </w:p>
    <w:p>
      <w:pPr>
        <w:ind w:firstLine="1185"/>
        <w:spacing w:after="0" w:line="289" w:lineRule="auto"/>
        <w:tabs>
          <w:tab w:leader="none" w:pos="1659"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award contains terms relating to vesting (including with respect to the Grantee’s Qualified Termination, death, Disability or Retirement) that are substantially identical to those of the [ ] LTIP Units (PB); and</w:t>
      </w:r>
    </w:p>
    <w:p>
      <w:pPr>
        <w:spacing w:after="0" w:line="129" w:lineRule="exact"/>
        <w:rPr>
          <w:rFonts w:ascii="Times New Roman" w:cs="Times New Roman" w:eastAsia="Times New Roman" w:hAnsi="Times New Roman"/>
          <w:sz w:val="20"/>
          <w:szCs w:val="20"/>
          <w:color w:val="010000"/>
        </w:rPr>
      </w:pPr>
    </w:p>
    <w:p>
      <w:pPr>
        <w:ind w:firstLine="1185"/>
        <w:spacing w:after="0" w:line="289" w:lineRule="auto"/>
        <w:tabs>
          <w:tab w:leader="none" w:pos="1612"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other terms and conditions of the replacement award are not less favorable to the Grantee than the terms and conditions of the [ ] LTIP Units (PB).]</w:t>
      </w:r>
    </w:p>
    <w:p>
      <w:pPr>
        <w:spacing w:after="0" w:line="129" w:lineRule="exact"/>
        <w:rPr>
          <w:rFonts w:ascii="Times New Roman" w:cs="Times New Roman" w:eastAsia="Times New Roman" w:hAnsi="Times New Roman"/>
          <w:sz w:val="20"/>
          <w:szCs w:val="20"/>
          <w:color w:val="010000"/>
        </w:rPr>
      </w:pPr>
    </w:p>
    <w:p>
      <w:pPr>
        <w:jc w:val="both"/>
        <w:ind w:left="580" w:firstLine="1201"/>
        <w:spacing w:after="0" w:line="268" w:lineRule="auto"/>
        <w:tabs>
          <w:tab w:leader="none" w:pos="2175"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 ] LTIP Units (PB) remain outstanding after a Change of Control or equivalent replacement awards (as defined in </w:t>
      </w:r>
      <w:r>
        <w:rPr>
          <w:rFonts w:ascii="Times New Roman" w:cs="Times New Roman" w:eastAsia="Times New Roman" w:hAnsi="Times New Roman"/>
          <w:sz w:val="20"/>
          <w:szCs w:val="20"/>
          <w:u w:val="single" w:color="auto"/>
          <w:color w:val="auto"/>
        </w:rPr>
        <w:t>Section 5(b)(iii)</w:t>
      </w:r>
      <w:r>
        <w:rPr>
          <w:rFonts w:ascii="Times New Roman" w:cs="Times New Roman" w:eastAsia="Times New Roman" w:hAnsi="Times New Roman"/>
          <w:sz w:val="20"/>
          <w:szCs w:val="20"/>
          <w:color w:val="auto"/>
        </w:rPr>
        <w:t xml:space="preserve"> hereof) are substituted for the [ ] LTIP Units (PB) at the time of the Change of Control, then:</w:t>
      </w:r>
    </w:p>
    <w:p>
      <w:pPr>
        <w:spacing w:after="0" w:line="148" w:lineRule="exact"/>
        <w:rPr>
          <w:rFonts w:ascii="Times New Roman" w:cs="Times New Roman" w:eastAsia="Times New Roman" w:hAnsi="Times New Roman"/>
          <w:sz w:val="20"/>
          <w:szCs w:val="20"/>
          <w:color w:val="010000"/>
        </w:rPr>
      </w:pPr>
    </w:p>
    <w:p>
      <w:pPr>
        <w:ind w:left="1180" w:firstLine="1197"/>
        <w:spacing w:after="0" w:line="289" w:lineRule="auto"/>
        <w:tabs>
          <w:tab w:leader="none" w:pos="2963"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performed as of the end of the Performance Period as if the Change of Control had not occurred; and</w:t>
      </w:r>
    </w:p>
    <w:p>
      <w:pPr>
        <w:spacing w:after="0" w:line="129" w:lineRule="exact"/>
        <w:rPr>
          <w:rFonts w:ascii="Times New Roman" w:cs="Times New Roman" w:eastAsia="Times New Roman" w:hAnsi="Times New Roman"/>
          <w:sz w:val="20"/>
          <w:szCs w:val="20"/>
          <w:color w:val="010000"/>
        </w:rPr>
      </w:pPr>
    </w:p>
    <w:p>
      <w:pPr>
        <w:jc w:val="both"/>
        <w:ind w:left="1180" w:firstLine="1197"/>
        <w:spacing w:after="0" w:line="260" w:lineRule="auto"/>
        <w:tabs>
          <w:tab w:leader="none" w:pos="2828"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vesting tied to the Grantee’s Continuous Service will occur upon the earlier of (i) the end of the Performance Period or (ii) the date of the Grantee’s Qualified Termination, death, Disability or Retirement;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number of performance-vested [ ] LTIP Units (PB) shall not be determined until the end of the Performance Period as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010000"/>
        </w:rPr>
      </w:pPr>
    </w:p>
    <w:p>
      <w:pPr>
        <w:ind w:left="580" w:firstLine="1201"/>
        <w:spacing w:after="0" w:line="289" w:lineRule="auto"/>
        <w:tabs>
          <w:tab w:leader="none" w:pos="2293"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neither the [ ] LTIP Units (PB) remain outstanding after a Change of Control nor equivalent replacement awards are substituted for [ ] LTIP Units (PB) at the time of the Change of Control, then:</w:t>
      </w:r>
    </w:p>
    <w:p>
      <w:pPr>
        <w:spacing w:after="0" w:line="129" w:lineRule="exact"/>
        <w:rPr>
          <w:rFonts w:ascii="Times New Roman" w:cs="Times New Roman" w:eastAsia="Times New Roman" w:hAnsi="Times New Roman"/>
          <w:sz w:val="20"/>
          <w:szCs w:val="20"/>
          <w:color w:val="010000"/>
        </w:rPr>
      </w:pPr>
    </w:p>
    <w:p>
      <w:pPr>
        <w:ind w:left="1180" w:firstLine="1197"/>
        <w:spacing w:after="0" w:line="289" w:lineRule="auto"/>
        <w:tabs>
          <w:tab w:leader="none" w:pos="2864"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performed effective as of the date of the Change of Control as if the Performance Period ended on such date; and</w:t>
      </w:r>
    </w:p>
    <w:p>
      <w:pPr>
        <w:spacing w:after="0" w:line="129" w:lineRule="exact"/>
        <w:rPr>
          <w:rFonts w:ascii="Times New Roman" w:cs="Times New Roman" w:eastAsia="Times New Roman" w:hAnsi="Times New Roman"/>
          <w:sz w:val="20"/>
          <w:szCs w:val="20"/>
          <w:color w:val="010000"/>
        </w:rPr>
      </w:pPr>
    </w:p>
    <w:p>
      <w:pPr>
        <w:ind w:left="1180" w:firstLine="1197"/>
        <w:spacing w:after="0" w:line="289" w:lineRule="auto"/>
        <w:tabs>
          <w:tab w:leader="none" w:pos="2965"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shall become fully vested in the number of [ ] LTIP Units (PB) that are determined pursuant to the</w:t>
      </w:r>
    </w:p>
    <w:p>
      <w:pPr>
        <w:spacing w:after="0" w:line="35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220"/>
          </w:cols>
          <w:pgMar w:left="1440" w:top="586" w:right="239" w:bottom="1440" w:gutter="0" w:footer="0" w:header="0"/>
        </w:sectPr>
      </w:pPr>
    </w:p>
    <w:bookmarkStart w:id="55" w:name="page56"/>
    <w:bookmarkEnd w:id="55"/>
    <w:p>
      <w:pPr>
        <w:ind w:left="1188"/>
        <w:spacing w:after="0"/>
        <w:rPr>
          <w:sz w:val="20"/>
          <w:szCs w:val="20"/>
          <w:color w:val="auto"/>
        </w:rPr>
      </w:pPr>
      <w:r>
        <w:rPr>
          <w:rFonts w:ascii="Times New Roman" w:cs="Times New Roman" w:eastAsia="Times New Roman" w:hAnsi="Times New Roman"/>
          <w:sz w:val="20"/>
          <w:szCs w:val="20"/>
          <w:color w:val="auto"/>
        </w:rPr>
        <w:t xml:space="preserve">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as of the effective date of the Change of Control; and</w:t>
      </w:r>
    </w:p>
    <w:p>
      <w:pPr>
        <w:spacing w:after="0" w:line="205" w:lineRule="exact"/>
        <w:rPr>
          <w:sz w:val="20"/>
          <w:szCs w:val="20"/>
          <w:color w:val="auto"/>
        </w:rPr>
      </w:pPr>
    </w:p>
    <w:p>
      <w:pPr>
        <w:ind w:left="588" w:firstLine="1201"/>
        <w:spacing w:after="0" w:line="289" w:lineRule="auto"/>
        <w:tabs>
          <w:tab w:leader="none" w:pos="2269"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award qualifies as an “equivalent replacement award” if the following conditions are met in the good faith discretion of the Committee:</w:t>
      </w:r>
    </w:p>
    <w:p>
      <w:pPr>
        <w:spacing w:after="0" w:line="129" w:lineRule="exact"/>
        <w:rPr>
          <w:rFonts w:ascii="Times New Roman" w:cs="Times New Roman" w:eastAsia="Times New Roman" w:hAnsi="Times New Roman"/>
          <w:sz w:val="20"/>
          <w:szCs w:val="20"/>
          <w:color w:val="010000"/>
        </w:rPr>
      </w:pPr>
    </w:p>
    <w:p>
      <w:pPr>
        <w:jc w:val="both"/>
        <w:ind w:left="1188" w:firstLine="1197"/>
        <w:spacing w:after="0" w:line="268" w:lineRule="auto"/>
        <w:tabs>
          <w:tab w:leader="none" w:pos="2959" w:val="left"/>
        </w:tabs>
        <w:numPr>
          <w:ilvl w:val="2"/>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award is of the same type as the [ ] LTIP Units (PB) being replaced, including, without limitation, income tax attributes relating to the extent and timing of recognition of taxable income, gain or loss by the Grantee;</w:t>
      </w:r>
    </w:p>
    <w:p>
      <w:pPr>
        <w:spacing w:after="0" w:line="148" w:lineRule="exact"/>
        <w:rPr>
          <w:rFonts w:ascii="Times New Roman" w:cs="Times New Roman" w:eastAsia="Times New Roman" w:hAnsi="Times New Roman"/>
          <w:sz w:val="20"/>
          <w:szCs w:val="20"/>
          <w:color w:val="010000"/>
        </w:rPr>
      </w:pPr>
    </w:p>
    <w:p>
      <w:pPr>
        <w:jc w:val="both"/>
        <w:ind w:left="1188" w:firstLine="1197"/>
        <w:spacing w:after="0" w:line="268" w:lineRule="auto"/>
        <w:tabs>
          <w:tab w:leader="none" w:pos="2861" w:val="left"/>
        </w:tabs>
        <w:numPr>
          <w:ilvl w:val="2"/>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equity securities issuable upon the conversion, exercise, exchange or redemption of the replacement award, or securities underlying the replacement award, as applicable, are listed on a national stock exchange;</w:t>
      </w:r>
    </w:p>
    <w:p>
      <w:pPr>
        <w:spacing w:after="0" w:line="148" w:lineRule="exact"/>
        <w:rPr>
          <w:rFonts w:ascii="Times New Roman" w:cs="Times New Roman" w:eastAsia="Times New Roman" w:hAnsi="Times New Roman"/>
          <w:sz w:val="20"/>
          <w:szCs w:val="20"/>
          <w:color w:val="010000"/>
        </w:rPr>
      </w:pPr>
    </w:p>
    <w:p>
      <w:pPr>
        <w:ind w:left="1188" w:firstLine="1197"/>
        <w:spacing w:after="0" w:line="289" w:lineRule="auto"/>
        <w:tabs>
          <w:tab w:leader="none" w:pos="2985" w:val="left"/>
        </w:tabs>
        <w:numPr>
          <w:ilvl w:val="2"/>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award contains terms relating to vesting (including with respect to a Qualified Termination) that are substantially identical to those of the [ ] LTIP Units (PB);</w:t>
      </w:r>
    </w:p>
    <w:p>
      <w:pPr>
        <w:spacing w:after="0" w:line="129" w:lineRule="exact"/>
        <w:rPr>
          <w:rFonts w:ascii="Times New Roman" w:cs="Times New Roman" w:eastAsia="Times New Roman" w:hAnsi="Times New Roman"/>
          <w:sz w:val="20"/>
          <w:szCs w:val="20"/>
          <w:color w:val="010000"/>
        </w:rPr>
      </w:pPr>
    </w:p>
    <w:p>
      <w:pPr>
        <w:jc w:val="both"/>
        <w:ind w:left="1188" w:firstLine="1197"/>
        <w:spacing w:after="0" w:line="250" w:lineRule="auto"/>
        <w:tabs>
          <w:tab w:leader="none" w:pos="2884" w:val="left"/>
        </w:tabs>
        <w:numPr>
          <w:ilvl w:val="2"/>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with respect to the measurement of Total Return, the compounded total annual return that would have been realized by a stockholder who bought one Share on the first day of the Performance Period, reinvested all dividends and other distributions, and liquidated the entire investment on the last day of the Performance Period shall be measured assuming that such stockholder participated in the transaction constituting a Change of Control on the terms applicable to the majority of stockholders and had continued to hold the investment (whether in securities of the Company or the surviving or resulting entity after the Change of Control transaction or in other property received as part of the Change of Control transaction (which in the case of cash shall be deemed reinvested at market rates of return for investments with duration and risk appropriate under the circumstances)), with appropriate adjustments to take into account stock dividends, stock splits, reverse stock splits and the other events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that occur during the Performance Period both before, upon and after the effective date of the Change of Control transaction; and</w:t>
      </w:r>
    </w:p>
    <w:p>
      <w:pPr>
        <w:spacing w:after="0" w:line="172" w:lineRule="exact"/>
        <w:rPr>
          <w:rFonts w:ascii="Times New Roman" w:cs="Times New Roman" w:eastAsia="Times New Roman" w:hAnsi="Times New Roman"/>
          <w:sz w:val="20"/>
          <w:szCs w:val="20"/>
          <w:color w:val="010000"/>
        </w:rPr>
      </w:pPr>
    </w:p>
    <w:p>
      <w:pPr>
        <w:ind w:left="1188" w:firstLine="1197"/>
        <w:spacing w:after="0" w:line="289" w:lineRule="auto"/>
        <w:tabs>
          <w:tab w:leader="none" w:pos="2800" w:val="left"/>
        </w:tabs>
        <w:numPr>
          <w:ilvl w:val="2"/>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other terms and conditions of the replacement award are not less favorable to the Grantee than the terms and conditions of the [ ] LTIP Units (PB).]</w:t>
      </w:r>
    </w:p>
    <w:p>
      <w:pPr>
        <w:spacing w:after="0" w:line="129" w:lineRule="exact"/>
        <w:rPr>
          <w:rFonts w:ascii="Times New Roman" w:cs="Times New Roman" w:eastAsia="Times New Roman" w:hAnsi="Times New Roman"/>
          <w:sz w:val="20"/>
          <w:szCs w:val="20"/>
          <w:color w:val="010000"/>
        </w:rPr>
      </w:pPr>
    </w:p>
    <w:p>
      <w:pPr>
        <w:ind w:left="-1192" w:firstLine="1192"/>
        <w:spacing w:after="0" w:line="289" w:lineRule="auto"/>
        <w:tabs>
          <w:tab w:leader="none" w:pos="436"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in the event of the Grantee’s Qualified Termination, death or Disability or Retirement (as applicable below) prior to the end of</w:t>
      </w:r>
    </w:p>
    <w:p>
      <w:pPr>
        <w:spacing w:after="0" w:line="353" w:lineRule="exact"/>
        <w:rPr>
          <w:sz w:val="20"/>
          <w:szCs w:val="20"/>
          <w:color w:val="auto"/>
        </w:rPr>
      </w:pPr>
    </w:p>
    <w:p>
      <w:pPr>
        <w:ind w:left="2688"/>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228"/>
          </w:cols>
          <w:pgMar w:left="1432" w:top="586" w:right="2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the Performance Period, conditioned upon the execution and delivery by the Grantee of a customary release of claims and covenant not to solicit employees of the Company or its Subsidiaries or Affiliates following termination, the Grantee will not forfeit the [ ] LTIP Units (PB) upon such event, but the following provisions of this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 xml:space="preserve"> shall modify the determination of vesting for the Grantee, subject, in each case, to the provisions of Sections 6.4 and 6.5 of the Stock Plan:</w:t>
      </w:r>
    </w:p>
    <w:p>
      <w:pPr>
        <w:spacing w:after="0" w:line="162" w:lineRule="exact"/>
        <w:rPr>
          <w:sz w:val="20"/>
          <w:szCs w:val="20"/>
          <w:color w:val="auto"/>
        </w:rPr>
      </w:pPr>
    </w:p>
    <w:p>
      <w:pPr>
        <w:jc w:val="both"/>
        <w:ind w:left="600" w:firstLine="1188"/>
        <w:spacing w:after="0" w:line="268" w:lineRule="auto"/>
        <w:tabs>
          <w:tab w:leader="none" w:pos="2171"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performed as of the end of the Performance Period as if such Qualified Termination, death, Disability or Retirement (as applicable below) had not occurred, and, following such calculations, the Grantee shall become vested in the number of [ ] LTIP Units (PB) determined in accordance with this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010000"/>
        </w:rPr>
      </w:pPr>
    </w:p>
    <w:p>
      <w:pPr>
        <w:jc w:val="both"/>
        <w:ind w:left="600" w:firstLine="1188"/>
        <w:spacing w:after="0" w:line="257" w:lineRule="auto"/>
        <w:tabs>
          <w:tab w:leader="none" w:pos="2313"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Grantee experiences a Retirement, death or Disability, in each case, prior to the first anniversary of the Effective Date, the number of [ ] LTIP Units (PB) resulting from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multiplied by the Partial Service Factor (with the resulting number being rounded to the nearest whole LTIP Unit), and such adjusted number of [ ] LTIP Units (PB) shall become vested and any other [ ] LTIP Units (PB) that are not included in the foregoing calculation shall be immediately forfeited);</w:t>
      </w:r>
    </w:p>
    <w:p>
      <w:pPr>
        <w:spacing w:after="0" w:line="160" w:lineRule="exact"/>
        <w:rPr>
          <w:rFonts w:ascii="Times New Roman" w:cs="Times New Roman" w:eastAsia="Times New Roman" w:hAnsi="Times New Roman"/>
          <w:sz w:val="20"/>
          <w:szCs w:val="20"/>
          <w:color w:val="010000"/>
        </w:rPr>
      </w:pPr>
    </w:p>
    <w:p>
      <w:pPr>
        <w:jc w:val="both"/>
        <w:ind w:left="600" w:firstLine="1188"/>
        <w:spacing w:after="0" w:line="268" w:lineRule="auto"/>
        <w:tabs>
          <w:tab w:leader="none" w:pos="2306"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Grantee experiences a Retirement, death or Disability, in each case, on or after the first anniversary of the Effective Date, there will be no reduction in the number of [ ] LTIP Units (PB) resulting from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and such unadjusted number of [ ] LTIP Units (PB) shall become vested; and</w:t>
      </w:r>
    </w:p>
    <w:p>
      <w:pPr>
        <w:spacing w:after="0" w:line="148" w:lineRule="exact"/>
        <w:rPr>
          <w:rFonts w:ascii="Times New Roman" w:cs="Times New Roman" w:eastAsia="Times New Roman" w:hAnsi="Times New Roman"/>
          <w:sz w:val="20"/>
          <w:szCs w:val="20"/>
          <w:color w:val="010000"/>
        </w:rPr>
      </w:pPr>
    </w:p>
    <w:p>
      <w:pPr>
        <w:jc w:val="both"/>
        <w:ind w:left="600" w:firstLine="1188"/>
        <w:spacing w:after="0" w:line="260" w:lineRule="auto"/>
        <w:tabs>
          <w:tab w:leader="none" w:pos="2295"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Grantee experiences a Qualified Termination prior to the end of the Performance Period, the number of [ ] LTIP Units (PB) resulting from the calculations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multiplied by the Qualified Termination Factor (with the resulting number being rounded to the nearest whole LTIP Unit), and such adjusted number of [ ] LTIP Units (PB) shall become vested and any other [ ] LTIP Units (PB) that are not included in the foregoing calculation shall be immediately forfeited).</w:t>
      </w:r>
    </w:p>
    <w:p>
      <w:pPr>
        <w:spacing w:after="0" w:line="158" w:lineRule="exact"/>
        <w:rPr>
          <w:rFonts w:ascii="Times New Roman" w:cs="Times New Roman" w:eastAsia="Times New Roman" w:hAnsi="Times New Roman"/>
          <w:sz w:val="20"/>
          <w:szCs w:val="20"/>
          <w:color w:val="010000"/>
        </w:rPr>
      </w:pPr>
    </w:p>
    <w:p>
      <w:pPr>
        <w:jc w:val="both"/>
        <w:ind w:firstLine="1192"/>
        <w:spacing w:after="0" w:line="252" w:lineRule="auto"/>
        <w:tabs>
          <w:tab w:leader="none" w:pos="1602"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Grantee becomes engaged in Competitive Activities at any time on or following the effective date of Retirement and before the end of the applicable Performance Period, then the provisions relating to vesting due to Retirement under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5(c),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will not apply, and, upon the date the Grantee becomes engaged in any such Competitive Activities during such period, all [ ] LTIP Units (PB), except for those that, prior to such engagement in Competitive Activities, had previously been vested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during the Grantee’s Continuous Service or that otherwise became vested under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automatically and immediately be forfeited by the Grantee. Any forfeited [ ] LTIP Units (PB)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 ] LTIP Units (PB).</w:t>
      </w:r>
    </w:p>
    <w:p>
      <w:pPr>
        <w:spacing w:after="0" w:line="167" w:lineRule="exact"/>
        <w:rPr>
          <w:rFonts w:ascii="Times New Roman" w:cs="Times New Roman" w:eastAsia="Times New Roman" w:hAnsi="Times New Roman"/>
          <w:sz w:val="20"/>
          <w:szCs w:val="20"/>
          <w:color w:val="010000"/>
        </w:rPr>
      </w:pPr>
    </w:p>
    <w:p>
      <w:pPr>
        <w:ind w:firstLine="1192"/>
        <w:spacing w:after="0" w:line="289" w:lineRule="auto"/>
        <w:tabs>
          <w:tab w:leader="none" w:pos="1653"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Grantee’s employment with the Company or a Subsidiary or affiliate terminates as a result of a retirement under circumstances that do not meet the definition of</w:t>
      </w:r>
    </w:p>
    <w:p>
      <w:pPr>
        <w:spacing w:after="0" w:line="3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420"/>
          </w:cols>
          <w:pgMar w:left="240" w:top="586" w:right="2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20"/>
          <w:szCs w:val="20"/>
          <w:color w:val="auto"/>
        </w:rPr>
        <w:t>“Retirement” under this Agreement, the Committee may, on a case-by-case basis and in its sole discretion, provide for accelerated or continued vesting of some or all of the Grantee’s unvested [ ] LTIP Units (PB) that have not previously been forfeited effective prior to the effective date of retirement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but in any such event, the provisions of Section 5(d) will apply as if such retirement was deemed a “Retirement” for purposes of this Agreement, and any such vesting will be conditioned upon the execution and delivery by the Grantee of a customary release of claims and covenant not to solicit employees of the Company or its Subsidiaries or Affiliates following such termination.</w:t>
      </w:r>
    </w:p>
    <w:p>
      <w:pPr>
        <w:spacing w:after="0" w:line="167" w:lineRule="exact"/>
        <w:rPr>
          <w:sz w:val="20"/>
          <w:szCs w:val="20"/>
          <w:color w:val="auto"/>
        </w:rPr>
      </w:pPr>
    </w:p>
    <w:p>
      <w:pPr>
        <w:jc w:val="both"/>
        <w:ind w:firstLine="1192"/>
        <w:spacing w:after="0" w:line="254" w:lineRule="auto"/>
        <w:tabs>
          <w:tab w:leader="none" w:pos="1582"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of a termination of employment or other cessation of the Grantee’s Continuous Service prior to the end of the Performance Period, effective as of the date of such termination or cessation, all [ ] LTIP Units (PB) except for those that had previously vested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and those that otherwise become vested or will continue to vest pursuant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automatically and immediately be forfeited by the Grantee. Any forfeited [ ] LTIP Units (PB)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 ] LTIP Units (PB).</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firstLine="596"/>
        <w:spacing w:after="0" w:line="293" w:lineRule="auto"/>
        <w:tabs>
          <w:tab w:leader="none" w:pos="973"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Payments by Award Recipients</w:t>
      </w:r>
      <w:r>
        <w:rPr>
          <w:rFonts w:ascii="Times New Roman" w:cs="Times New Roman" w:eastAsia="Times New Roman" w:hAnsi="Times New Roman"/>
          <w:sz w:val="20"/>
          <w:szCs w:val="20"/>
          <w:color w:val="auto"/>
        </w:rPr>
        <w:t>. No amount shall be payable to the Company or the Partnership by the Grantee at any time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this Award.</w:t>
      </w:r>
    </w:p>
    <w:p>
      <w:pPr>
        <w:spacing w:after="0" w:line="121" w:lineRule="exact"/>
        <w:rPr>
          <w:rFonts w:ascii="Times New Roman" w:cs="Times New Roman" w:eastAsia="Times New Roman" w:hAnsi="Times New Roman"/>
          <w:sz w:val="20"/>
          <w:szCs w:val="20"/>
          <w:color w:val="010000"/>
        </w:rPr>
      </w:pPr>
    </w:p>
    <w:p>
      <w:pPr>
        <w:ind w:left="920" w:hanging="324"/>
        <w:spacing w:after="0"/>
        <w:tabs>
          <w:tab w:leader="none" w:pos="920"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Distributions</w:t>
      </w:r>
      <w:r>
        <w:rPr>
          <w:rFonts w:ascii="Times New Roman" w:cs="Times New Roman" w:eastAsia="Times New Roman" w:hAnsi="Times New Roman"/>
          <w:sz w:val="20"/>
          <w:szCs w:val="20"/>
          <w:color w:val="auto"/>
        </w:rPr>
        <w:t>. Distributions on [ ] LTIP Units (PB) will be paid in accordance with the Partnership Agreement as modified hereby</w:t>
      </w:r>
    </w:p>
    <w:p>
      <w:pPr>
        <w:spacing w:after="0" w:line="33"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follows:</w:t>
      </w:r>
    </w:p>
    <w:p>
      <w:pPr>
        <w:spacing w:after="0" w:line="194" w:lineRule="exact"/>
        <w:rPr>
          <w:rFonts w:ascii="Times New Roman" w:cs="Times New Roman" w:eastAsia="Times New Roman" w:hAnsi="Times New Roman"/>
          <w:sz w:val="20"/>
          <w:szCs w:val="20"/>
          <w:color w:val="010000"/>
        </w:rPr>
      </w:pPr>
    </w:p>
    <w:p>
      <w:pPr>
        <w:jc w:val="both"/>
        <w:ind w:firstLine="1192"/>
        <w:spacing w:after="0" w:line="257" w:lineRule="auto"/>
        <w:tabs>
          <w:tab w:leader="none" w:pos="1653" w:val="left"/>
        </w:tabs>
        <w:numPr>
          <w:ilvl w:val="1"/>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LTIP Unit Distribution Participation Date (as defined in the Partnership Agreement) with respect to those [ ] LTIP Units (PB) that have become vested in accordance with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shall be the effective date of vesting of [ ] LTIP Units (PB)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last day of the Performance Period [or such other date as provided in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hereof]). Vested [ ] LTIP Units (PB) shall be entitled to receive the full distribution payable on Units outstanding as of the record date next following the date set forth in the preceding sentence, whether or not they will have been outstanding for the whole period in respect of which any such distribution is otherwise payable.</w:t>
      </w:r>
    </w:p>
    <w:p>
      <w:pPr>
        <w:spacing w:after="0" w:line="160"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40" w:val="left"/>
        </w:tabs>
        <w:numPr>
          <w:ilvl w:val="1"/>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Prior to the LTIP Unit Distribution Participation Date provided in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above, [ ] LTIP Units (PB) not otherwise forfeited in accordance with Section 4 or 5 hereof shall be entitled to receive 10% of regular periodic distributions payable to holders of Units (the “</w:t>
      </w:r>
      <w:r>
        <w:rPr>
          <w:rFonts w:ascii="Times New Roman" w:cs="Times New Roman" w:eastAsia="Times New Roman" w:hAnsi="Times New Roman"/>
          <w:sz w:val="20"/>
          <w:szCs w:val="20"/>
          <w:u w:val="single" w:color="auto"/>
          <w:color w:val="auto"/>
        </w:rPr>
        <w:t>Current Distributions</w:t>
      </w:r>
      <w:r>
        <w:rPr>
          <w:rFonts w:ascii="Times New Roman" w:cs="Times New Roman" w:eastAsia="Times New Roman" w:hAnsi="Times New Roman"/>
          <w:sz w:val="20"/>
          <w:szCs w:val="20"/>
          <w:color w:val="auto"/>
        </w:rPr>
        <w:t>”) and 0% of special, extraordinary or other distributions made not in the ordinary course.</w:t>
      </w:r>
    </w:p>
    <w:p>
      <w:pPr>
        <w:spacing w:after="0" w:line="148" w:lineRule="exact"/>
        <w:rPr>
          <w:rFonts w:ascii="Times New Roman" w:cs="Times New Roman" w:eastAsia="Times New Roman" w:hAnsi="Times New Roman"/>
          <w:sz w:val="20"/>
          <w:szCs w:val="20"/>
          <w:color w:val="010000"/>
        </w:rPr>
      </w:pPr>
    </w:p>
    <w:p>
      <w:pPr>
        <w:jc w:val="both"/>
        <w:ind w:firstLine="1192"/>
        <w:spacing w:after="0" w:line="260" w:lineRule="auto"/>
        <w:tabs>
          <w:tab w:leader="none" w:pos="1616" w:val="left"/>
        </w:tabs>
        <w:numPr>
          <w:ilvl w:val="1"/>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amount equal to (i) the difference between (x) all distributions (regular, special, extraordinary or otherwise) paid with respect to one Unit between the date of grant of the [ ] LTIP Units (PB) and the LTIP Unit Distribution Participation Date provided in Section 7(a) and (y) the Current Distributions paid with respect to one [ ] LTIP Unit up to the LTIP Unit Distribution Participation Date provided in Section 7(a) (such difference, the “</w:t>
      </w:r>
      <w:r>
        <w:rPr>
          <w:rFonts w:ascii="Times New Roman" w:cs="Times New Roman" w:eastAsia="Times New Roman" w:hAnsi="Times New Roman"/>
          <w:sz w:val="20"/>
          <w:szCs w:val="20"/>
          <w:u w:val="single" w:color="auto"/>
          <w:color w:val="auto"/>
        </w:rPr>
        <w:t>Contingent</w:t>
      </w:r>
    </w:p>
    <w:p>
      <w:pPr>
        <w:spacing w:after="0" w:line="38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420"/>
          </w:cols>
          <w:pgMar w:left="240" w:top="586" w:right="2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 xml:space="preserve">”) multiplied by (ii) the number of [ ] LTIP Units (PB) shall be credited to a notional (unfunded) account for the benefit of the Grantee on the books and records of the Partnership subject to vesting. As promptly as practicable after the LTIP Unit Distribution Participation Date, an amount equal to the positive difference (if any) between (A) the Contingent Distributions that would have been paid with respect to those [ ] LTIP Units (PB) that have become vested pursuant to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and (B) if any, the Current Distributions paid to the Grantee prior to the LTIP Unit Distribution Participation Date in accordance with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in respect of the Unearned [ ] LTIP Units (PB) shall be paid to the Grantee. The “</w:t>
      </w:r>
      <w:r>
        <w:rPr>
          <w:rFonts w:ascii="Times New Roman" w:cs="Times New Roman" w:eastAsia="Times New Roman" w:hAnsi="Times New Roman"/>
          <w:sz w:val="20"/>
          <w:szCs w:val="20"/>
          <w:u w:val="single" w:color="auto"/>
          <w:color w:val="auto"/>
        </w:rPr>
        <w:t>Unearned [ ] LTIP Units (PB)</w:t>
      </w:r>
      <w:r>
        <w:rPr>
          <w:rFonts w:ascii="Times New Roman" w:cs="Times New Roman" w:eastAsia="Times New Roman" w:hAnsi="Times New Roman"/>
          <w:sz w:val="20"/>
          <w:szCs w:val="20"/>
          <w:color w:val="auto"/>
        </w:rPr>
        <w:t xml:space="preserve">” means the number of [ ] LTIP Units (PB), if any, that are forfeited following vesting pursuant to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Any portion of the notional account that is not payable to the Grantee shall be forfeited and revert to the Partnership free and clear of any claims by the Grantee.</w:t>
      </w:r>
    </w:p>
    <w:p>
      <w:pPr>
        <w:spacing w:after="0" w:line="171" w:lineRule="exact"/>
        <w:rPr>
          <w:sz w:val="20"/>
          <w:szCs w:val="20"/>
          <w:color w:val="auto"/>
        </w:rPr>
      </w:pPr>
    </w:p>
    <w:p>
      <w:pPr>
        <w:jc w:val="both"/>
        <w:ind w:firstLine="1192"/>
        <w:spacing w:after="0" w:line="260" w:lineRule="auto"/>
        <w:tabs>
          <w:tab w:leader="none" w:pos="1615"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the Partnership makes distributions to holders of Units partially in cash and partially in additional Units or other securities, unless the Committee in its sole discretion determines to allow the Grantee to make a different election, the Grantee shall be deemed to have elected with respect to all [ ] LTIP Units (PB) eligible to receive such distribution to receive 10% of such distribution in cash and 90% in Units, with the cash component constituting the Current Distribution prior to the LTIP Unit Distribution Participation Date.</w:t>
      </w:r>
    </w:p>
    <w:p>
      <w:pPr>
        <w:spacing w:after="0" w:line="154" w:lineRule="exact"/>
        <w:rPr>
          <w:rFonts w:ascii="Times New Roman" w:cs="Times New Roman" w:eastAsia="Times New Roman" w:hAnsi="Times New Roman"/>
          <w:sz w:val="20"/>
          <w:szCs w:val="20"/>
          <w:color w:val="010000"/>
        </w:rPr>
      </w:pPr>
    </w:p>
    <w:p>
      <w:pPr>
        <w:jc w:val="both"/>
        <w:ind w:firstLine="596"/>
        <w:spacing w:after="0" w:line="249" w:lineRule="auto"/>
        <w:tabs>
          <w:tab w:leader="none" w:pos="92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Restrictions on Transfer</w:t>
      </w:r>
      <w:r>
        <w:rPr>
          <w:rFonts w:ascii="Times New Roman" w:cs="Times New Roman" w:eastAsia="Times New Roman" w:hAnsi="Times New Roman"/>
          <w:sz w:val="20"/>
          <w:szCs w:val="20"/>
          <w:color w:val="auto"/>
        </w:rPr>
        <w:t>. None of the [ ] LTIP Units (PB) shall be sold, assigned, transferred, pledged or otherwise disposed of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encumbered (whether voluntarily or involuntarily or by judgment, levy, attachment, garnishment or other legal or equitable proceeding) (each such action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or redeemed in accordance with the Partnership Agreement (a) until after they have become vested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other than in connection with a Change of Control, and (b) unless such Transfer is in compliance with all applicable securities laws (including, without limitation,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xml:space="preserve">”)), and such Transfer is in accordance with the applicable terms and conditions of the Partnership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clause (a) above shall not apply with respect to (i) the conversion into Units of [ ] LTIP Units (PB) that have become vested in accordance with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Converted LTIP Units</w:t>
      </w:r>
      <w:r>
        <w:rPr>
          <w:rFonts w:ascii="Times New Roman" w:cs="Times New Roman" w:eastAsia="Times New Roman" w:hAnsi="Times New Roman"/>
          <w:sz w:val="20"/>
          <w:szCs w:val="20"/>
          <w:color w:val="auto"/>
        </w:rPr>
        <w:t xml:space="preserve">”) or (ii) any Transfer either of [ ] LTIP Units (PB) that have become vested in accordance with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or of Converted LTIP Units, so long as such Transfer is (A) permitted under the Partnership Agreement and (B) in connection with donative, estate or tax planning by the Grantee;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Transferee agrees in writing with the Company and the Partnership not to make any further Transfer of such vested [ ] LTIP Units (PB) or Converted LTIP Units other than as permitted by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In connection with any Transfer of [ ] LTIP Units (PB) or Converted LTIP Units, the Partnership may require the Grantee to provide an opinion of counsel, satisfactory to the Partnership, that such Transfer is in compliance with all federal and state securities laws (including, without limitation, the Securities Act). Any attempted Transfer of [ ] LTIP Units (PB) not in accordance with the terms and conditions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null and void, and the Partnership shall not reflect on its records any change in record ownership of any [ ] LTIP Units (PB) as a result of any such Transfer, shall otherwise refuse to recognize any such Transfer and shall not in any way give effect to any such Transfer of any [ ] LTIP Units (PB). The restrictions on Transfer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not be interpreted to prohibit the Grantee from designating one or more beneficiaries to receive the Grantee’s LTIP Units or Converted LTIP Units</w:t>
      </w:r>
    </w:p>
    <w:p>
      <w:pPr>
        <w:spacing w:after="0" w:line="39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420"/>
          </w:cols>
          <w:pgMar w:left="240" w:top="586" w:right="239" w:bottom="1440" w:gutter="0" w:footer="0" w:header="0"/>
        </w:sectPr>
      </w:pPr>
    </w:p>
    <w:bookmarkStart w:id="59" w:name="page60"/>
    <w:bookmarkEnd w:id="59"/>
    <w:p>
      <w:pPr>
        <w:spacing w:after="0" w:line="276" w:lineRule="auto"/>
        <w:rPr>
          <w:sz w:val="20"/>
          <w:szCs w:val="20"/>
          <w:color w:val="auto"/>
        </w:rPr>
      </w:pPr>
      <w:r>
        <w:rPr>
          <w:rFonts w:ascii="Times New Roman" w:cs="Times New Roman" w:eastAsia="Times New Roman" w:hAnsi="Times New Roman"/>
          <w:sz w:val="20"/>
          <w:szCs w:val="20"/>
          <w:color w:val="auto"/>
        </w:rPr>
        <w:t>that are payable in the event of the Grantee’s death. Any such beneficiary designation shall be on a form provided or approved by the Company.</w:t>
      </w:r>
    </w:p>
    <w:p>
      <w:pPr>
        <w:spacing w:after="0" w:line="138" w:lineRule="exact"/>
        <w:rPr>
          <w:sz w:val="20"/>
          <w:szCs w:val="20"/>
          <w:color w:val="auto"/>
        </w:rPr>
      </w:pPr>
    </w:p>
    <w:p>
      <w:pPr>
        <w:jc w:val="both"/>
        <w:ind w:firstLine="596"/>
        <w:spacing w:after="0" w:line="250" w:lineRule="auto"/>
        <w:tabs>
          <w:tab w:leader="none" w:pos="936"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Changes in Capital Structure</w:t>
      </w:r>
      <w:r>
        <w:rPr>
          <w:rFonts w:ascii="Times New Roman" w:cs="Times New Roman" w:eastAsia="Times New Roman" w:hAnsi="Times New Roman"/>
          <w:sz w:val="20"/>
          <w:szCs w:val="20"/>
          <w:color w:val="auto"/>
        </w:rPr>
        <w:t>. Without duplication with the provisions of Section 6.2 of the Stock Plan, if (a)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be involved in a merger, consolidation, dissolution, liquidation, reorganization, exchange of shares, sale of all or substantially all of the assets or stock of the Company, spin-off of a Subsidiary, business unit or significant portion of assets or other fundamental transaction similar thereto, (b) any stock dividend, stock split, reverse stock split, stock combination, reclassification, recapitalization, significant repurchases of stock, or other similar change in the capital structure of the Company shall occur, (c) any extraordinary dividend or other distribution to holders of shares of Common Stock or Units other than regular cash dividends shall be made, or (d) any other event shall occur that in each case in the good faith judgment of the Committee necessitates action by way of appropriate equitable adjustment in the terms of this Award, the LTIP or the [ ] LTIP Units (PB), then the Committee shall take such action as it deems necessary to maintain the Grantee’s rights hereunder so that they are substantially proportionate to the rights existing under this Award, the LTIP and the terms of the [ ] LTIP Units (PB) prior to such event, including, without limitation: (i) adjustments in the [ ] LTIP Units (PB), Share Price, Total Return or other pertinent terms of this Award; and (ii) substitution of other awards under the Stock Plan or otherwise. The Grantee shall have the right to vote the [ ] LTIP Units (PB) if and when voting is allowed under the Partnership Agreement, regardless of whether vesting has occurred.</w:t>
      </w:r>
    </w:p>
    <w:p>
      <w:pPr>
        <w:spacing w:after="0" w:line="168" w:lineRule="exact"/>
        <w:rPr>
          <w:rFonts w:ascii="Times New Roman" w:cs="Times New Roman" w:eastAsia="Times New Roman" w:hAnsi="Times New Roman"/>
          <w:sz w:val="20"/>
          <w:szCs w:val="20"/>
          <w:color w:val="010000"/>
        </w:rPr>
      </w:pPr>
    </w:p>
    <w:p>
      <w:pPr>
        <w:ind w:left="1000" w:hanging="404"/>
        <w:spacing w:after="0"/>
        <w:tabs>
          <w:tab w:leader="none" w:pos="100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010000"/>
        </w:rPr>
      </w:pPr>
    </w:p>
    <w:p>
      <w:pPr>
        <w:jc w:val="both"/>
        <w:ind w:firstLine="1192"/>
        <w:spacing w:after="0" w:line="250" w:lineRule="auto"/>
        <w:tabs>
          <w:tab w:leader="none" w:pos="1591"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Amendments; Modifications</w:t>
      </w:r>
      <w:r>
        <w:rPr>
          <w:rFonts w:ascii="Times New Roman" w:cs="Times New Roman" w:eastAsia="Times New Roman" w:hAnsi="Times New Roman"/>
          <w:sz w:val="20"/>
          <w:szCs w:val="20"/>
          <w:color w:val="auto"/>
        </w:rPr>
        <w:t xml:space="preserve">. This Agreement may be amended or modified only with the consent of the Company and the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amendment or modification materially and adversely affecting the rights of the Grantee hereunder must be consented to by the Grantee to be effective as against him;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Grantee acknowledges that the Stock Plan may be amended or discontinued in accordance with Section 6.6 thereof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 grant shall in no way affect the Grantee’s participation or benefits under any other plan or benefit program maintained or provided by the Company.</w:t>
      </w:r>
    </w:p>
    <w:p>
      <w:pPr>
        <w:spacing w:after="0" w:line="172"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15"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Stock Plan and Change in Control Arrangement; Committee Determinations</w:t>
      </w:r>
      <w:r>
        <w:rPr>
          <w:rFonts w:ascii="Times New Roman" w:cs="Times New Roman" w:eastAsia="Times New Roman" w:hAnsi="Times New Roman"/>
          <w:sz w:val="20"/>
          <w:szCs w:val="20"/>
          <w:color w:val="auto"/>
        </w:rPr>
        <w:t>. The provisions of the Stock Plan and Change in Control Arrangement are hereby incorporated by reference as if set forth herein. In the event of a conflict between this Agreement and the Stock Plan or this Agreement and the Change in Control Arrangement, this Agreement shall</w:t>
      </w:r>
    </w:p>
    <w:p>
      <w:pPr>
        <w:spacing w:after="0" w:line="37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420"/>
          </w:cols>
          <w:pgMar w:left="240" w:top="586" w:right="2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be controlling and determinative. The Committee will make the determinations and certifications required by this Award as promptly as reasonably practicable following the occurrence of the event or events necessitating such determinations or certifications. In the event of a Change of Control, the Committee will perform any calculations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required in connection with such Change of Control and make any determinations relevant to vesting with respect to this Award within a period of time that enables the Company to conclude whether [ ] LTIP Units (PB) become vested or are forfeited prior to the effective date of the Change of Control, which determinations could, for the avoidance of doubt, include good faith assumptions.</w:t>
      </w:r>
    </w:p>
    <w:p>
      <w:pPr>
        <w:spacing w:after="0" w:line="166" w:lineRule="exact"/>
        <w:rPr>
          <w:sz w:val="20"/>
          <w:szCs w:val="20"/>
          <w:color w:val="auto"/>
        </w:rPr>
      </w:pPr>
    </w:p>
    <w:p>
      <w:pPr>
        <w:jc w:val="both"/>
        <w:ind w:firstLine="1192"/>
        <w:spacing w:after="0" w:line="260" w:lineRule="auto"/>
        <w:tabs>
          <w:tab w:leader="none" w:pos="1703"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as a Partner</w:t>
      </w:r>
      <w:r>
        <w:rPr>
          <w:rFonts w:ascii="Times New Roman" w:cs="Times New Roman" w:eastAsia="Times New Roman" w:hAnsi="Times New Roman"/>
          <w:sz w:val="20"/>
          <w:szCs w:val="20"/>
          <w:color w:val="auto"/>
        </w:rPr>
        <w:t xml:space="preserve">. As of the grant date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Grantee shall be admitted as a partner of the Partnership with beneficial ownership of the number of [ ] LTIP Units (PB) issued to the Grantee as of such date pursuant to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hereof by: (A) signing and delivering to the Partnership a copy of this Agreement; and (B) signing, as a Limited Partner, and delivering to the Partnership a counterpart signature page to the Partnership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010000"/>
        </w:rPr>
      </w:pPr>
    </w:p>
    <w:p>
      <w:pPr>
        <w:jc w:val="both"/>
        <w:ind w:firstLine="1192"/>
        <w:spacing w:after="0" w:line="252" w:lineRule="auto"/>
        <w:tabs>
          <w:tab w:leader="none" w:pos="1602"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 ] LTIP Units (PB) under the Stock Plan</w:t>
      </w:r>
      <w:r>
        <w:rPr>
          <w:rFonts w:ascii="Times New Roman" w:cs="Times New Roman" w:eastAsia="Times New Roman" w:hAnsi="Times New Roman"/>
          <w:sz w:val="20"/>
          <w:szCs w:val="20"/>
          <w:color w:val="auto"/>
        </w:rPr>
        <w:t xml:space="preserve">. Insofar as the LTIP has been established as an incentive program of the Company and the Partnership, the [ ] LTIP Units (PB) are both issued as equity securities of the Partnership and granted as awards under the Stock Plan. The Company will have the right at its option, as set forth in the Partnership Agreement, to issue shares of Common Stock in exchange for Units into which [ ] LTIP Units (PB) may have been converted pursuant to the Partnership Agreement, subject to certain limitations set forth in the Partnership Agreement, and such shares of Common Stock, if issued, will be issued under the Stock Plan. The Grantee must be eligible to receive the [ ] LTIP Units (PB) in compliance with applicable federal and state securities laws and to that effect is required to complete, execute and deliver certain covenants, representations and warranties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Grantee acknowledges that the Grantee will have no right to approve or disapprove such determination by the Committee.</w:t>
      </w:r>
    </w:p>
    <w:p>
      <w:pPr>
        <w:spacing w:after="0" w:line="167"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04"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The records of the Partnership evidencing the [ ] LTIP Units (PB) shall bear an appropriate legend, as determined by the Partnership in its sole discretion, to the effect that such [ ] LTIP Units (PB) are subject to restrictions as set forth herein, in the Stock Plan and in the Partnership Agreement.</w:t>
      </w:r>
    </w:p>
    <w:p>
      <w:pPr>
        <w:spacing w:after="0" w:line="148"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81"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Compliance With Securities Laws</w:t>
      </w:r>
      <w:r>
        <w:rPr>
          <w:rFonts w:ascii="Times New Roman" w:cs="Times New Roman" w:eastAsia="Times New Roman" w:hAnsi="Times New Roman"/>
          <w:sz w:val="20"/>
          <w:szCs w:val="20"/>
          <w:color w:val="auto"/>
        </w:rPr>
        <w:t>. The Partnership and the Grantee will make reasonable efforts to comply with all applicable securities laws. In addition, notwithstanding any provision of this Agreement to the contrary, no [ ] LTIP Units (PB) will become vested or be issued at a time that such vesting or issuance would result in a violation of any such laws.</w:t>
      </w:r>
    </w:p>
    <w:p>
      <w:pPr>
        <w:spacing w:after="0" w:line="148" w:lineRule="exact"/>
        <w:rPr>
          <w:rFonts w:ascii="Times New Roman" w:cs="Times New Roman" w:eastAsia="Times New Roman" w:hAnsi="Times New Roman"/>
          <w:sz w:val="20"/>
          <w:szCs w:val="20"/>
          <w:color w:val="010000"/>
        </w:rPr>
      </w:pPr>
    </w:p>
    <w:p>
      <w:pPr>
        <w:jc w:val="both"/>
        <w:ind w:firstLine="1192"/>
        <w:spacing w:after="0" w:line="254" w:lineRule="auto"/>
        <w:tabs>
          <w:tab w:leader="none" w:pos="1689"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Investment Representations; Registration</w:t>
      </w:r>
      <w:r>
        <w:rPr>
          <w:rFonts w:ascii="Times New Roman" w:cs="Times New Roman" w:eastAsia="Times New Roman" w:hAnsi="Times New Roman"/>
          <w:sz w:val="20"/>
          <w:szCs w:val="20"/>
          <w:color w:val="auto"/>
        </w:rPr>
        <w:t xml:space="preserve">. The Grantee hereby makes the covenants, representations and warranties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All of such covenants, warranties and representations shall survive the execution and delivery of this Agreement by the Grantee. The Partnership will have no obligation to register under the Securities Act any [ ] LTIP Units (PB) or any other securities issued pursuant to this Agreement or upon conversion or exchange of [ ] LTIP Units (PB). The Grantee agrees that any resale of the shares of Common Stock received upon the exchange of Units into which [ ] LTIP Units (PB) may be converted shall not occur during the “blackout periods” forbidding sales of Company securities, as set forth in the</w:t>
      </w:r>
    </w:p>
    <w:p>
      <w:pPr>
        <w:spacing w:after="0" w:line="39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420"/>
          </w:cols>
          <w:pgMar w:left="240" w:top="586" w:right="2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20"/>
          <w:szCs w:val="20"/>
          <w:color w:val="auto"/>
        </w:rPr>
        <w:t>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57" w:lineRule="exact"/>
        <w:rPr>
          <w:sz w:val="20"/>
          <w:szCs w:val="20"/>
          <w:color w:val="auto"/>
        </w:rPr>
      </w:pPr>
    </w:p>
    <w:p>
      <w:pPr>
        <w:jc w:val="both"/>
        <w:ind w:firstLine="1192"/>
        <w:spacing w:after="0" w:line="257" w:lineRule="auto"/>
        <w:tabs>
          <w:tab w:leader="none" w:pos="1664"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xml:space="preserve">. In connection with the issuance of [ ] LTIP Units (PB) under this Award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the Grantee may (but is not required to) make an election to include in gross income in the year of transfer the applicable [ ] LTIP Units (PB) pursuant to Section 83(b) of the Code substantially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if such an election is made, the Grantee shall provide to the Company a copy thereof and supply to the Company such other information as the Company is required to maintain or file in accordance with the regulations promulgated thereunder.</w:t>
      </w:r>
    </w:p>
    <w:p>
      <w:pPr>
        <w:spacing w:after="0" w:line="160" w:lineRule="exact"/>
        <w:rPr>
          <w:rFonts w:ascii="Times New Roman" w:cs="Times New Roman" w:eastAsia="Times New Roman" w:hAnsi="Times New Roman"/>
          <w:sz w:val="20"/>
          <w:szCs w:val="20"/>
          <w:color w:val="010000"/>
        </w:rPr>
      </w:pPr>
    </w:p>
    <w:p>
      <w:pPr>
        <w:jc w:val="both"/>
        <w:ind w:firstLine="1192"/>
        <w:spacing w:after="0" w:line="257" w:lineRule="auto"/>
        <w:tabs>
          <w:tab w:leader="none" w:pos="1595"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0" w:lineRule="exact"/>
        <w:rPr>
          <w:rFonts w:ascii="Times New Roman" w:cs="Times New Roman" w:eastAsia="Times New Roman" w:hAnsi="Times New Roman"/>
          <w:sz w:val="20"/>
          <w:szCs w:val="20"/>
          <w:color w:val="010000"/>
        </w:rPr>
      </w:pPr>
    </w:p>
    <w:p>
      <w:pPr>
        <w:ind w:firstLine="1192"/>
        <w:spacing w:after="0" w:line="289" w:lineRule="auto"/>
        <w:tabs>
          <w:tab w:leader="none" w:pos="1682"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is made under, and will be construed in accordance with, the laws of the State of Delaware, without giving effect to the principles of conflict of laws of such state.</w:t>
      </w:r>
    </w:p>
    <w:p>
      <w:pPr>
        <w:spacing w:after="0" w:line="129"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89"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Obligation to Continue Position as an Employee, Consultant or Advisor</w:t>
      </w:r>
      <w:r>
        <w:rPr>
          <w:rFonts w:ascii="Times New Roman" w:cs="Times New Roman" w:eastAsia="Times New Roman" w:hAnsi="Times New Roman"/>
          <w:sz w:val="20"/>
          <w:szCs w:val="20"/>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48"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546"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48" w:lineRule="exact"/>
        <w:rPr>
          <w:rFonts w:ascii="Times New Roman" w:cs="Times New Roman" w:eastAsia="Times New Roman" w:hAnsi="Times New Roman"/>
          <w:sz w:val="20"/>
          <w:szCs w:val="20"/>
          <w:color w:val="010000"/>
        </w:rPr>
      </w:pPr>
    </w:p>
    <w:p>
      <w:pPr>
        <w:jc w:val="both"/>
        <w:ind w:firstLine="1192"/>
        <w:spacing w:after="0" w:line="254" w:lineRule="auto"/>
        <w:tabs>
          <w:tab w:leader="none" w:pos="167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 and Taxes</w:t>
      </w:r>
      <w:r>
        <w:rPr>
          <w:rFonts w:ascii="Times New Roman" w:cs="Times New Roman" w:eastAsia="Times New Roman" w:hAnsi="Times New Roman"/>
          <w:sz w:val="20"/>
          <w:szCs w:val="20"/>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39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420"/>
          </w:cols>
          <w:pgMar w:left="240" w:top="586" w:right="239" w:bottom="1440" w:gutter="0" w:footer="0" w:header="0"/>
        </w:sectPr>
      </w:pPr>
    </w:p>
    <w:bookmarkStart w:id="62" w:name="page63"/>
    <w:bookmarkEnd w:id="62"/>
    <w:p>
      <w:pPr>
        <w:ind w:firstLine="1192"/>
        <w:spacing w:after="0" w:line="289" w:lineRule="auto"/>
        <w:tabs>
          <w:tab w:leader="none" w:pos="1652"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paragraphs hereof are included solely for convenience of reference and shall not control the meaning or interpretation of any of the provisions of this Agreement.</w:t>
      </w:r>
    </w:p>
    <w:p>
      <w:pPr>
        <w:spacing w:after="0" w:line="129" w:lineRule="exact"/>
        <w:rPr>
          <w:rFonts w:ascii="Times New Roman" w:cs="Times New Roman" w:eastAsia="Times New Roman" w:hAnsi="Times New Roman"/>
          <w:sz w:val="20"/>
          <w:szCs w:val="20"/>
          <w:color w:val="010000"/>
        </w:rPr>
      </w:pPr>
    </w:p>
    <w:p>
      <w:pPr>
        <w:ind w:firstLine="1192"/>
        <w:spacing w:after="0" w:line="289" w:lineRule="auto"/>
        <w:tabs>
          <w:tab w:leader="none" w:pos="1677"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29"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89"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48" w:lineRule="exact"/>
        <w:rPr>
          <w:rFonts w:ascii="Times New Roman" w:cs="Times New Roman" w:eastAsia="Times New Roman" w:hAnsi="Times New Roman"/>
          <w:sz w:val="20"/>
          <w:szCs w:val="20"/>
          <w:color w:val="010000"/>
        </w:rPr>
      </w:pPr>
    </w:p>
    <w:p>
      <w:pPr>
        <w:jc w:val="both"/>
        <w:ind w:firstLine="1192"/>
        <w:spacing w:after="0" w:line="265" w:lineRule="auto"/>
        <w:tabs>
          <w:tab w:leader="none" w:pos="1602"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409A</w:t>
      </w:r>
      <w:r>
        <w:rPr>
          <w:rFonts w:ascii="Times New Roman" w:cs="Times New Roman" w:eastAsia="Times New Roman" w:hAnsi="Times New Roman"/>
          <w:sz w:val="19"/>
          <w:szCs w:val="19"/>
          <w:color w:val="auto"/>
        </w:rPr>
        <w:t>. To the extent applicable, this Agreement shall be construed, administered and interpreted in accordance with a good faith interpretation of Section 409A of the Code. Any provision of this Agreement that is inconsistent with Section 409A of the Code, to the extent applicable, or that may result in penalties under Section 409A of the Code, shall be amended, in consultation with the Grantee and with the reasonable cooperation of the Grantee and the Company, in the least restrictive manner necessary to (i) exclude the applicable payment or benefit under this Agreement from the definition of “deferred compensation” within the meaning of such Section 409A or (ii) comply with the provisions of Section 409A, other applicable provision(s) of the Code and/or any rules, regulations or other regulatory guidance issued under such statutory provisions, in each case without diminution in the value of the benefits granted hereby to the Grantee. Notwithstanding anything herein to the contrary, in the event the amounts payable under this Agreement are determined to constitute “nonqualified deferred compensation” subject to Section 409A of the Code, then, to the extent the Grantee is a “specified employee” under Section 409A of the Code subject to the six-month delay thereunder, any such vesting or related payments to be made during the six-month period commencing on the Grantee’s “separation from service” (as defined in Section 409A of the Code) shall be delayed until the expiration of such six-month period.</w:t>
      </w:r>
    </w:p>
    <w:p>
      <w:pPr>
        <w:spacing w:after="0" w:line="154" w:lineRule="exact"/>
        <w:rPr>
          <w:rFonts w:ascii="Times New Roman" w:cs="Times New Roman" w:eastAsia="Times New Roman" w:hAnsi="Times New Roman"/>
          <w:sz w:val="19"/>
          <w:szCs w:val="19"/>
          <w:color w:val="010000"/>
        </w:rPr>
      </w:pPr>
    </w:p>
    <w:p>
      <w:pPr>
        <w:jc w:val="both"/>
        <w:ind w:firstLine="1192"/>
        <w:spacing w:after="0" w:line="260" w:lineRule="auto"/>
        <w:tabs>
          <w:tab w:leader="none" w:pos="1569"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IN WITNESS WHEREOF, the undersigned have caused this Award Agreement to be executed as of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day of January, [ ].</w:t>
      </w:r>
    </w:p>
    <w:p>
      <w:pPr>
        <w:spacing w:after="0" w:line="36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420"/>
          </w:cols>
          <w:pgMar w:left="240" w:top="586" w:right="2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20"/>
          <w:szCs w:val="20"/>
          <w:color w:val="auto"/>
        </w:rPr>
        <w:t>THE MACERICH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-10795</wp:posOffset>
            </wp:positionV>
            <wp:extent cx="946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9461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MACERICH PARTNERSHIP,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Macerich Company,</w:t>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-10795</wp:posOffset>
            </wp:positionV>
            <wp:extent cx="946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9461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61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9619"/>
          </w:cols>
          <w:pgMar w:left="840" w:top="723"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LIMITED PARTNER SIGNATURE PAGE</w:t>
      </w:r>
    </w:p>
    <w:p>
      <w:pPr>
        <w:spacing w:after="0" w:line="209"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The Grantee, desiring to become one of the within named Limited Partners of The Macerich Company, L.P., hereby accepts all of the terms and conditions of (including, without limitation, the provisions related to powers of attorney), and becomes a party to, the Agreement of Limited Partnership, dated as of March 16, 1994, of The Macerich Partnership, L.P., as amended (the “</w:t>
      </w:r>
      <w:r>
        <w:rPr>
          <w:rFonts w:ascii="Times New Roman" w:cs="Times New Roman" w:eastAsia="Times New Roman" w:hAnsi="Times New Roman"/>
          <w:sz w:val="20"/>
          <w:szCs w:val="20"/>
          <w:u w:val="single" w:color="auto"/>
          <w:color w:val="auto"/>
        </w:rPr>
        <w:t>Partnership Agreement</w:t>
      </w:r>
      <w:r>
        <w:rPr>
          <w:rFonts w:ascii="Times New Roman" w:cs="Times New Roman" w:eastAsia="Times New Roman" w:hAnsi="Times New Roman"/>
          <w:sz w:val="20"/>
          <w:szCs w:val="20"/>
          <w:color w:val="auto"/>
        </w:rPr>
        <w:t>”). The Grantee agrees that this signature page may be attached to any counterpart of the Partnership Agreement and further agrees as follows (where the term “Limited Partner” refers to the Grantee):</w:t>
      </w:r>
    </w:p>
    <w:p>
      <w:pPr>
        <w:spacing w:after="0" w:line="167" w:lineRule="exact"/>
        <w:rPr>
          <w:sz w:val="20"/>
          <w:szCs w:val="20"/>
          <w:color w:val="auto"/>
        </w:rPr>
      </w:pPr>
    </w:p>
    <w:p>
      <w:pPr>
        <w:jc w:val="both"/>
        <w:ind w:firstLine="596"/>
        <w:spacing w:after="0" w:line="260" w:lineRule="auto"/>
        <w:tabs>
          <w:tab w:leader="none" w:pos="948"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Without limitation of the foregoing, the Limited Partner is deemed to have made all of the acknowledgements, waivers and agreements set forth in Sections 10.6 and 13.11 of the Partnership Agreement.</w:t>
      </w:r>
    </w:p>
    <w:p>
      <w:pPr>
        <w:spacing w:after="0" w:line="158" w:lineRule="exact"/>
        <w:rPr>
          <w:rFonts w:ascii="Times New Roman" w:cs="Times New Roman" w:eastAsia="Times New Roman" w:hAnsi="Times New Roman"/>
          <w:sz w:val="20"/>
          <w:szCs w:val="20"/>
          <w:color w:val="010000"/>
        </w:rPr>
      </w:pPr>
    </w:p>
    <w:p>
      <w:pPr>
        <w:jc w:val="both"/>
        <w:ind w:firstLine="596"/>
        <w:spacing w:after="0" w:line="249" w:lineRule="auto"/>
        <w:tabs>
          <w:tab w:leader="none" w:pos="936"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all applicable state and foreign securities laws, and the General Partner may refuse to transfer 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shares of common stock of the General Partner (“</w:t>
      </w:r>
      <w:r>
        <w:rPr>
          <w:rFonts w:ascii="Times New Roman" w:cs="Times New Roman" w:eastAsia="Times New Roman" w:hAnsi="Times New Roman"/>
          <w:sz w:val="20"/>
          <w:szCs w:val="20"/>
          <w:u w:val="single" w:color="auto"/>
          <w:color w:val="auto"/>
        </w:rPr>
        <w:t>Common Shares</w:t>
      </w:r>
      <w:r>
        <w:rPr>
          <w:rFonts w:ascii="Times New Roman" w:cs="Times New Roman" w:eastAsia="Times New Roman" w:hAnsi="Times New Roman"/>
          <w:sz w:val="20"/>
          <w:szCs w:val="20"/>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175" w:lineRule="exact"/>
        <w:rPr>
          <w:rFonts w:ascii="Times New Roman" w:cs="Times New Roman" w:eastAsia="Times New Roman" w:hAnsi="Times New Roman"/>
          <w:sz w:val="20"/>
          <w:szCs w:val="20"/>
          <w:color w:val="010000"/>
        </w:rPr>
      </w:pPr>
    </w:p>
    <w:p>
      <w:pPr>
        <w:jc w:val="both"/>
        <w:ind w:firstLine="596"/>
        <w:spacing w:after="0" w:line="257" w:lineRule="auto"/>
        <w:tabs>
          <w:tab w:leader="none" w:pos="923"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hereby affirms that it has appointed the General Partner, any Liquidator and authorized officers and attorneys-in-fact of each, and each of those acting singly, in each case with full power of substitution, as its true and lawful agent and attorney-in-fact, with full power and authority in its name, place and stead, in accordance with Section 6.10 of the Partnership Agreement, which Section is hereby incorporated by reference. The foregoing power of attorney is hereby declared to be irrevocable and a power coupled with an interest, and it shall survive and</w:t>
      </w:r>
    </w:p>
    <w:p>
      <w:pPr>
        <w:spacing w:after="0" w:line="38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420"/>
          </w:cols>
          <w:pgMar w:left="240" w:top="582" w:right="239" w:bottom="1440" w:gutter="0" w:footer="0" w:header="0"/>
        </w:sectPr>
      </w:pPr>
    </w:p>
    <w:bookmarkStart w:id="65" w:name="page66"/>
    <w:bookmarkEnd w:id="65"/>
    <w:p>
      <w:pPr>
        <w:spacing w:after="0" w:line="276" w:lineRule="auto"/>
        <w:rPr>
          <w:sz w:val="20"/>
          <w:szCs w:val="20"/>
          <w:color w:val="auto"/>
        </w:rPr>
      </w:pPr>
      <w:r>
        <w:rPr>
          <w:rFonts w:ascii="Times New Roman" w:cs="Times New Roman" w:eastAsia="Times New Roman" w:hAnsi="Times New Roman"/>
          <w:sz w:val="20"/>
          <w:szCs w:val="20"/>
          <w:color w:val="auto"/>
        </w:rPr>
        <w:t>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42" w:lineRule="exact"/>
        <w:rPr>
          <w:sz w:val="20"/>
          <w:szCs w:val="20"/>
          <w:color w:val="auto"/>
        </w:rPr>
      </w:pPr>
    </w:p>
    <w:p>
      <w:pPr>
        <w:jc w:val="both"/>
        <w:ind w:firstLine="596"/>
        <w:spacing w:after="0" w:line="253" w:lineRule="auto"/>
        <w:tabs>
          <w:tab w:leader="none" w:pos="1085"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(a) any amendment to the provisions of Section 9.1 or the Redemption Rights Exhibit of the Partnership Agreement intended to increase the waiting period between the delivery of a notice of redemption and the redemption date to up to sixty (60) days or (b) any other amendment to the Partnership Agreement intended to make the redemption and transfer provisions, with respect to certain redemptions and transfers, more similar to the provisions described in Treasury Regulations Section 1.7704 1(f).</w:t>
      </w:r>
    </w:p>
    <w:p>
      <w:pPr>
        <w:spacing w:after="0" w:line="166" w:lineRule="exact"/>
        <w:rPr>
          <w:rFonts w:ascii="Times New Roman" w:cs="Times New Roman" w:eastAsia="Times New Roman" w:hAnsi="Times New Roman"/>
          <w:sz w:val="20"/>
          <w:szCs w:val="20"/>
          <w:color w:val="010000"/>
        </w:rPr>
      </w:pPr>
    </w:p>
    <w:p>
      <w:pPr>
        <w:jc w:val="both"/>
        <w:ind w:firstLine="596"/>
        <w:spacing w:after="0" w:line="254" w:lineRule="auto"/>
        <w:tabs>
          <w:tab w:leader="none" w:pos="948"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4(a)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67" w:lineRule="exact"/>
        <w:rPr>
          <w:rFonts w:ascii="Times New Roman" w:cs="Times New Roman" w:eastAsia="Times New Roman" w:hAnsi="Times New Roman"/>
          <w:sz w:val="20"/>
          <w:szCs w:val="20"/>
          <w:color w:val="010000"/>
        </w:rPr>
      </w:pPr>
    </w:p>
    <w:p>
      <w:pPr>
        <w:jc w:val="both"/>
        <w:ind w:firstLine="596"/>
        <w:spacing w:after="0" w:line="254" w:lineRule="auto"/>
        <w:tabs>
          <w:tab w:leader="none" w:pos="948"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Partner agrees that it will not transfer any interest in the Partnership Units (i) through a national, non-U.S., regional, local or other securities exchange or (ii) an over-the-counter market (including an interdealer quotation system that regularly disseminates firm buy or sell quotations by identified brokers or dealers by electronic means or otherwise) or (iii) to or through (a) a person, such as a broker or dealer, that makes a market in, or regularly quotes prices for, interests in the Partnership or (b) 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67" w:lineRule="exact"/>
        <w:rPr>
          <w:rFonts w:ascii="Times New Roman" w:cs="Times New Roman" w:eastAsia="Times New Roman" w:hAnsi="Times New Roman"/>
          <w:sz w:val="20"/>
          <w:szCs w:val="20"/>
          <w:color w:val="010000"/>
        </w:rPr>
      </w:pPr>
    </w:p>
    <w:p>
      <w:pPr>
        <w:jc w:val="both"/>
        <w:ind w:firstLine="596"/>
        <w:spacing w:after="0" w:line="260" w:lineRule="auto"/>
        <w:tabs>
          <w:tab w:leader="none" w:pos="936"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Limited Partner acknowledges that the General Partner shall be a third party beneficiary of the representations, covenants and agreements set forth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The Limited Partner agrees that it will transfer, whether by assignment or otherwise, Partnership Units only to the General Partner or to transferees that provide the Partnership and the General Partner with the representations and covenants set forth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w:t>
      </w:r>
    </w:p>
    <w:p>
      <w:pPr>
        <w:spacing w:after="0" w:line="158" w:lineRule="exact"/>
        <w:rPr>
          <w:rFonts w:ascii="Times New Roman" w:cs="Times New Roman" w:eastAsia="Times New Roman" w:hAnsi="Times New Roman"/>
          <w:sz w:val="20"/>
          <w:szCs w:val="20"/>
          <w:color w:val="010000"/>
        </w:rPr>
      </w:pPr>
    </w:p>
    <w:p>
      <w:pPr>
        <w:ind w:firstLine="596"/>
        <w:spacing w:after="0" w:line="289" w:lineRule="auto"/>
        <w:tabs>
          <w:tab w:leader="none" w:pos="961"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Acceptance shall be construed and enforced in accordance with and governed by the laws of the State of Delaware, without regard to the principles of conflicts of law.</w:t>
      </w:r>
    </w:p>
    <w:p>
      <w:pPr>
        <w:spacing w:after="0" w:line="3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420"/>
          </w:cols>
          <w:pgMar w:left="240" w:top="586"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 [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of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6039"/>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019"/>
          </w:cols>
          <w:pgMar w:left="1440" w:top="822" w:right="1440" w:bottom="1440" w:gutter="0" w:footer="0" w:header="0"/>
        </w:sectPr>
      </w:pPr>
    </w:p>
    <w:bookmarkStart w:id="67" w:name="page68"/>
    <w:bookmarkEnd w:id="67"/>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GRANTEE’S COVENANTS, REPRESENTATIONS AND WARRANTIES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Grantee hereby represents, warrants and covenants as follows:</w:t>
      </w:r>
    </w:p>
    <w:p>
      <w:pPr>
        <w:spacing w:after="0" w:line="205" w:lineRule="exact"/>
        <w:rPr>
          <w:sz w:val="20"/>
          <w:szCs w:val="20"/>
          <w:color w:val="auto"/>
        </w:rPr>
      </w:pPr>
    </w:p>
    <w:p>
      <w:pPr>
        <w:ind w:left="980" w:hanging="384"/>
        <w:spacing w:after="0"/>
        <w:tabs>
          <w:tab w:leader="none" w:pos="98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has received and had an opportunity to review the following documents (the “</w:t>
      </w:r>
      <w:r>
        <w:rPr>
          <w:rFonts w:ascii="Times New Roman" w:cs="Times New Roman" w:eastAsia="Times New Roman" w:hAnsi="Times New Roman"/>
          <w:sz w:val="20"/>
          <w:szCs w:val="20"/>
          <w:u w:val="single" w:color="auto"/>
          <w:color w:val="auto"/>
        </w:rPr>
        <w:t>Background Documents</w:t>
      </w:r>
      <w:r>
        <w:rPr>
          <w:rFonts w:ascii="Times New Roman" w:cs="Times New Roman" w:eastAsia="Times New Roman" w:hAnsi="Times New Roman"/>
          <w:sz w:val="20"/>
          <w:szCs w:val="20"/>
          <w:color w:val="auto"/>
        </w:rPr>
        <w:t>”):</w:t>
      </w:r>
    </w:p>
    <w:p>
      <w:pPr>
        <w:spacing w:after="0" w:line="217" w:lineRule="exact"/>
        <w:rPr>
          <w:rFonts w:ascii="Times New Roman" w:cs="Times New Roman" w:eastAsia="Times New Roman" w:hAnsi="Times New Roman"/>
          <w:sz w:val="20"/>
          <w:szCs w:val="20"/>
          <w:color w:val="010000"/>
        </w:rPr>
      </w:pPr>
    </w:p>
    <w:p>
      <w:pPr>
        <w:ind w:left="1540" w:hanging="348"/>
        <w:spacing w:after="0"/>
        <w:tabs>
          <w:tab w:leader="none" w:pos="154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latest Annual Report to Stockholders;</w:t>
      </w:r>
    </w:p>
    <w:p>
      <w:pPr>
        <w:spacing w:after="0" w:line="217" w:lineRule="exact"/>
        <w:rPr>
          <w:rFonts w:ascii="Times New Roman" w:cs="Times New Roman" w:eastAsia="Times New Roman" w:hAnsi="Times New Roman"/>
          <w:sz w:val="20"/>
          <w:szCs w:val="20"/>
          <w:color w:val="010000"/>
        </w:rPr>
      </w:pPr>
    </w:p>
    <w:p>
      <w:pPr>
        <w:ind w:left="1600" w:hanging="408"/>
        <w:spacing w:after="0"/>
        <w:tabs>
          <w:tab w:leader="none" w:pos="160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Proxy Statement for its most recent Annual Meeting of Stockholders;</w:t>
      </w:r>
    </w:p>
    <w:p>
      <w:pPr>
        <w:spacing w:after="0" w:line="217" w:lineRule="exact"/>
        <w:rPr>
          <w:rFonts w:ascii="Times New Roman" w:cs="Times New Roman" w:eastAsia="Times New Roman" w:hAnsi="Times New Roman"/>
          <w:sz w:val="20"/>
          <w:szCs w:val="20"/>
          <w:color w:val="010000"/>
        </w:rPr>
      </w:pPr>
    </w:p>
    <w:p>
      <w:pPr>
        <w:ind w:left="1660" w:hanging="468"/>
        <w:spacing w:after="0"/>
        <w:tabs>
          <w:tab w:leader="none" w:pos="166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Report on Form 10-K for the fiscal year most recently ended;</w:t>
      </w:r>
    </w:p>
    <w:p>
      <w:pPr>
        <w:spacing w:after="0" w:line="217" w:lineRule="exact"/>
        <w:rPr>
          <w:rFonts w:ascii="Times New Roman" w:cs="Times New Roman" w:eastAsia="Times New Roman" w:hAnsi="Times New Roman"/>
          <w:sz w:val="20"/>
          <w:szCs w:val="20"/>
          <w:color w:val="010000"/>
        </w:rPr>
      </w:pPr>
    </w:p>
    <w:p>
      <w:pPr>
        <w:ind w:left="600" w:firstLine="592"/>
        <w:spacing w:after="0" w:line="289" w:lineRule="auto"/>
        <w:tabs>
          <w:tab w:leader="none" w:pos="1736"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Form 10-Q, if any, for the most recently ended quarter filed by the Company with the Securities and Exchange Commission since the filing of the Form 10-K described in clause (iii) above;</w:t>
      </w:r>
    </w:p>
    <w:p>
      <w:pPr>
        <w:spacing w:after="0" w:line="129" w:lineRule="exact"/>
        <w:rPr>
          <w:rFonts w:ascii="Times New Roman" w:cs="Times New Roman" w:eastAsia="Times New Roman" w:hAnsi="Times New Roman"/>
          <w:sz w:val="20"/>
          <w:szCs w:val="20"/>
          <w:color w:val="010000"/>
        </w:rPr>
      </w:pPr>
    </w:p>
    <w:p>
      <w:pPr>
        <w:ind w:left="600" w:firstLine="592"/>
        <w:spacing w:after="0" w:line="289" w:lineRule="auto"/>
        <w:tabs>
          <w:tab w:leader="none" w:pos="1594"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Company’s Current Report(s) on Form 8-K, if any, filed since the end of the fiscal year most recently ended for which a Form 10-K has been filed by the Company;</w:t>
      </w:r>
    </w:p>
    <w:p>
      <w:pPr>
        <w:spacing w:after="0" w:line="129" w:lineRule="exact"/>
        <w:rPr>
          <w:rFonts w:ascii="Times New Roman" w:cs="Times New Roman" w:eastAsia="Times New Roman" w:hAnsi="Times New Roman"/>
          <w:sz w:val="20"/>
          <w:szCs w:val="20"/>
          <w:color w:val="010000"/>
        </w:rPr>
      </w:pPr>
    </w:p>
    <w:p>
      <w:pPr>
        <w:ind w:left="1640" w:hanging="448"/>
        <w:spacing w:after="0"/>
        <w:tabs>
          <w:tab w:leader="none" w:pos="164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Partnership Agreement;</w:t>
      </w:r>
    </w:p>
    <w:p>
      <w:pPr>
        <w:spacing w:after="0" w:line="217" w:lineRule="exact"/>
        <w:rPr>
          <w:rFonts w:ascii="Times New Roman" w:cs="Times New Roman" w:eastAsia="Times New Roman" w:hAnsi="Times New Roman"/>
          <w:sz w:val="20"/>
          <w:szCs w:val="20"/>
          <w:color w:val="010000"/>
        </w:rPr>
      </w:pPr>
    </w:p>
    <w:p>
      <w:pPr>
        <w:ind w:left="1700" w:hanging="508"/>
        <w:spacing w:after="0"/>
        <w:tabs>
          <w:tab w:leader="none" w:pos="170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Stock Plan; and</w:t>
      </w:r>
    </w:p>
    <w:p>
      <w:pPr>
        <w:spacing w:after="0" w:line="217" w:lineRule="exact"/>
        <w:rPr>
          <w:rFonts w:ascii="Times New Roman" w:cs="Times New Roman" w:eastAsia="Times New Roman" w:hAnsi="Times New Roman"/>
          <w:sz w:val="20"/>
          <w:szCs w:val="20"/>
          <w:color w:val="010000"/>
        </w:rPr>
      </w:pPr>
    </w:p>
    <w:p>
      <w:pPr>
        <w:ind w:left="1760" w:hanging="568"/>
        <w:spacing w:after="0"/>
        <w:tabs>
          <w:tab w:leader="none" w:pos="1760"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Articles of Amendment and Restatement, as amended.</w:t>
      </w:r>
    </w:p>
    <w:p>
      <w:pPr>
        <w:spacing w:after="0" w:line="21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The Grantee also acknowledges that any delivery of the Background Documents and other information relating to the Company and the Partnership prior to the determination by the Partnership of the suitability of the Grantee as a holder of [ ] LTIP Units (PB) shall not constitute an offer of [ ] LTIP Units (PB) until such determination of suitability shall be made.</w:t>
      </w:r>
    </w:p>
    <w:p>
      <w:pPr>
        <w:spacing w:after="0" w:line="157" w:lineRule="exact"/>
        <w:rPr>
          <w:sz w:val="20"/>
          <w:szCs w:val="20"/>
          <w:color w:val="auto"/>
        </w:rPr>
      </w:pPr>
    </w:p>
    <w:p>
      <w:pPr>
        <w:ind w:left="1000" w:hanging="404"/>
        <w:spacing w:after="0"/>
        <w:tabs>
          <w:tab w:leader="none" w:pos="100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hereby represents and warrants that</w:t>
      </w:r>
    </w:p>
    <w:p>
      <w:pPr>
        <w:spacing w:after="0" w:line="217" w:lineRule="exact"/>
        <w:rPr>
          <w:rFonts w:ascii="Times New Roman" w:cs="Times New Roman" w:eastAsia="Times New Roman" w:hAnsi="Times New Roman"/>
          <w:sz w:val="20"/>
          <w:szCs w:val="20"/>
          <w:color w:val="010000"/>
        </w:rPr>
      </w:pPr>
    </w:p>
    <w:p>
      <w:pPr>
        <w:jc w:val="both"/>
        <w:ind w:left="600" w:firstLine="592"/>
        <w:spacing w:after="0" w:line="253" w:lineRule="auto"/>
        <w:tabs>
          <w:tab w:leader="none" w:pos="1587"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either (A) is an “accredited investor” as defined in Rule 501(a) under the Securities Act, or (B) by reason of the business and financial experience of the Grantee, together with the business and financial experience of those persons, if any, retained by the Grantee to represent or advise him with respect to the grant to him of [ ] LTIP Units (PB), the potential conversion of [ ] LTIP Units (PB) into units of limited partnership of the Partnership (“</w:t>
      </w:r>
      <w:r>
        <w:rPr>
          <w:rFonts w:ascii="Times New Roman" w:cs="Times New Roman" w:eastAsia="Times New Roman" w:hAnsi="Times New Roman"/>
          <w:sz w:val="20"/>
          <w:szCs w:val="20"/>
          <w:u w:val="single" w:color="auto"/>
          <w:color w:val="auto"/>
        </w:rPr>
        <w:t>Common Units</w:t>
      </w:r>
      <w:r>
        <w:rPr>
          <w:rFonts w:ascii="Times New Roman" w:cs="Times New Roman" w:eastAsia="Times New Roman" w:hAnsi="Times New Roman"/>
          <w:sz w:val="20"/>
          <w:szCs w:val="20"/>
          <w:color w:val="auto"/>
        </w:rPr>
        <w:t>”) and the potential redemption of such Common Units for shares the Company’s common stock (“</w:t>
      </w:r>
      <w:r>
        <w:rPr>
          <w:rFonts w:ascii="Times New Roman" w:cs="Times New Roman" w:eastAsia="Times New Roman" w:hAnsi="Times New Roman"/>
          <w:sz w:val="20"/>
          <w:szCs w:val="20"/>
          <w:u w:val="single" w:color="auto"/>
          <w:color w:val="auto"/>
        </w:rPr>
        <w:t>REIT Shares</w:t>
      </w:r>
      <w:r>
        <w:rPr>
          <w:rFonts w:ascii="Times New Roman" w:cs="Times New Roman" w:eastAsia="Times New Roman" w:hAnsi="Times New Roman"/>
          <w:sz w:val="20"/>
          <w:szCs w:val="20"/>
          <w:color w:val="auto"/>
        </w:rPr>
        <w:t>”), has such knowledge, sophistication and experience in financial and business matters and in making investment decisions of this type that the Grantee (I) is capable of evaluating the merits and risks of an investment in the Partnership and potential investment in the Company and of making an informed</w:t>
      </w:r>
    </w:p>
    <w:p>
      <w:pPr>
        <w:spacing w:after="0" w:line="3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420"/>
          </w:cols>
          <w:pgMar w:left="240" w:top="583" w:right="239" w:bottom="1440" w:gutter="0" w:footer="0" w:header="0"/>
        </w:sectPr>
      </w:pPr>
    </w:p>
    <w:bookmarkStart w:id="68" w:name="page69"/>
    <w:bookmarkEnd w:id="68"/>
    <w:p>
      <w:pPr>
        <w:spacing w:after="0" w:line="276" w:lineRule="auto"/>
        <w:rPr>
          <w:sz w:val="20"/>
          <w:szCs w:val="20"/>
          <w:color w:val="auto"/>
        </w:rPr>
      </w:pPr>
      <w:r>
        <w:rPr>
          <w:rFonts w:ascii="Times New Roman" w:cs="Times New Roman" w:eastAsia="Times New Roman" w:hAnsi="Times New Roman"/>
          <w:sz w:val="20"/>
          <w:szCs w:val="20"/>
          <w:color w:val="auto"/>
        </w:rPr>
        <w:t>investment decision, (II) is capable of protecting his own interest or has engaged representatives or advisors to assist him in protecting his interests, and (III) is capable of bearing the economic risk of such investment.</w:t>
      </w:r>
    </w:p>
    <w:p>
      <w:pPr>
        <w:spacing w:after="0" w:line="142" w:lineRule="exact"/>
        <w:rPr>
          <w:sz w:val="20"/>
          <w:szCs w:val="20"/>
          <w:color w:val="auto"/>
        </w:rPr>
      </w:pPr>
    </w:p>
    <w:p>
      <w:pPr>
        <w:jc w:val="both"/>
        <w:ind w:firstLine="592"/>
        <w:spacing w:after="0" w:line="253" w:lineRule="auto"/>
        <w:tabs>
          <w:tab w:leader="none" w:pos="1005"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after due inquiry, hereby certifies that for purposes of Rule 506(d) and Rule 506(e) of the Securities Act, he is not subject to any felony or misdemeanor conviction related to any securities matter; any federal or state order, judgment, decree or injunction related to any securities, insurance, banking or U.S. Postal Service matter; any SEC disciplinary or cease and desist order; or any suspension, expulsion or bar related to a registered national securities exchange, national or affiliated securities association or member thereof, whether it occurred or was issued before, on or after September 23, 2013, and agrees that he will notify the Company immediately upon becoming aware that the foregoing is not, or is no longer, complete and accurate in every material respect, including as a result of events occurring after the date hereof.</w:t>
      </w:r>
    </w:p>
    <w:p>
      <w:pPr>
        <w:spacing w:after="0" w:line="166" w:lineRule="exact"/>
        <w:rPr>
          <w:rFonts w:ascii="Times New Roman" w:cs="Times New Roman" w:eastAsia="Times New Roman" w:hAnsi="Times New Roman"/>
          <w:sz w:val="20"/>
          <w:szCs w:val="20"/>
          <w:color w:val="010000"/>
        </w:rPr>
      </w:pPr>
    </w:p>
    <w:p>
      <w:pPr>
        <w:jc w:val="both"/>
        <w:ind w:firstLine="592"/>
        <w:spacing w:after="0" w:line="249" w:lineRule="auto"/>
        <w:tabs>
          <w:tab w:leader="none" w:pos="1172"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Grantee understands that (A) the Grantee is responsible for consulting his own tax advisors with respect to the application of the U.S. federal income tax laws, and the tax laws of any state, local or other taxing jurisdiction to which the Grantee is or by reason of the award of [ ] LTIP Units (PB) may become subject, to his particular situation; (B) 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 to accept the award of [ ] LTIP Units (PB); and (D) an investment in the Partnership and/or the Company involves substantial risks. The Grantee has been given the opportunity to make a thorough investigation of matters relevant to the [ ] LTIP Units (PB)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 that all documents, records, and books pertaining to his receipt of [ ] LTIP Units (PB) which were requested by the Grantee have been made available or delivered to the Grantee. The Grantee has had an opportunity to ask questions of and receive answers from the Partnership and the Company, or from a person or persons acting on their behalf, concerning the terms and conditions of the [ ] LTIP Units (PB). </w:t>
      </w:r>
      <w:r>
        <w:rPr>
          <w:rFonts w:ascii="Times New Roman" w:cs="Times New Roman" w:eastAsia="Times New Roman" w:hAnsi="Times New Roman"/>
          <w:sz w:val="20"/>
          <w:szCs w:val="20"/>
          <w:b w:val="1"/>
          <w:bCs w:val="1"/>
          <w:color w:val="auto"/>
        </w:rPr>
        <w:t>The Grantee has relied upon, and is making its decision solely upon, the Background Documents and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written information provided to the Grantee by the Partnership or the Company.</w:t>
      </w:r>
    </w:p>
    <w:p>
      <w:pPr>
        <w:spacing w:after="0" w:line="167" w:lineRule="exact"/>
        <w:rPr>
          <w:rFonts w:ascii="Times New Roman" w:cs="Times New Roman" w:eastAsia="Times New Roman" w:hAnsi="Times New Roman"/>
          <w:sz w:val="20"/>
          <w:szCs w:val="20"/>
          <w:color w:val="010000"/>
        </w:rPr>
      </w:pPr>
    </w:p>
    <w:p>
      <w:pPr>
        <w:jc w:val="both"/>
        <w:ind w:firstLine="592"/>
        <w:spacing w:after="0" w:line="268" w:lineRule="auto"/>
        <w:tabs>
          <w:tab w:leader="none" w:pos="1111"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 ] LTIP Units (PB) to be issued, the Common Units issuable upon conversion of the [ ] LTIP Units (PB) and any REIT Shares issued in connection with the redemption of any such Common Units will be acquired for the account of the Grantee for investment only and not with a current view to, or with any intention of, a distribution or</w:t>
      </w:r>
    </w:p>
    <w:p>
      <w:pPr>
        <w:spacing w:after="0" w:line="37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0820"/>
          </w:cols>
          <w:pgMar w:left="840" w:top="587" w:right="2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0"/>
          <w:szCs w:val="20"/>
          <w:color w:val="auto"/>
        </w:rPr>
        <w:t>resale thereof, in whole or in part, or the grant of any participation therein, without prejudice, however, to the Grantee’s right (subject to the terms of the [ ] LTIP Units (PB), the Stock Plan, the agreement of limited partnership of the Partnership, the articles of organization of the Company, as amended, and the Award Agreement) at all times to sell or otherwise dispose of all or any part of his [ ] LTIP Units (PB), Common Units or REIT Shares in compliance with the Securities Act, and applicable state securities laws, and subject, nevertheless, to the disposition of his assets being at all times within his control.</w:t>
      </w:r>
    </w:p>
    <w:p>
      <w:pPr>
        <w:spacing w:after="0" w:line="167" w:lineRule="exact"/>
        <w:rPr>
          <w:sz w:val="20"/>
          <w:szCs w:val="20"/>
          <w:color w:val="auto"/>
        </w:rPr>
      </w:pPr>
    </w:p>
    <w:p>
      <w:pPr>
        <w:jc w:val="both"/>
        <w:ind w:firstLine="592"/>
        <w:spacing w:after="0" w:line="248" w:lineRule="auto"/>
        <w:tabs>
          <w:tab w:leader="none" w:pos="1068"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acknowledges that (A) neither the [ ] LTIP Units (PB) to be issued, nor the Common Units issuable upon conversion of the [ ] LTIP Units (PB), have been registered under the Securities Act or state securities laws by reason of a specific exemption or exemptions from registration under the Securities Act and applicable state securities laws and, if such [ ] LTIP Units (PB) or Common Units are represented by certificates, such certificates will bear a legend to such effect, (B) the reliance by the Partnership and the Company on such exemptions is predicated in part on the accuracy and completeness of the representations and warranties of the Grantee contained herein, (C) such [ ] LTIP Units (PB) or Common Units, therefore, cannot be resold unless registered under the Securities Act and applicable state securities laws, or unless an exemption from registration is available, (D) there is no public market for such [ ] LTIP Units (PB) and Common Units and (E) neither the Partnership nor the Company has any obligation or intention to register such [ ] LTIP Units (PB) or the Common Units issuable upon conversion of the [ ] LTIP Units (PB) under the Securities Act or any state securities laws or to take any action that would make available any exemption from the registration requirements of such laws, except, that, upon the redemption of the Common Units for REIT Shares, the Company may issue such REIT Shares under the Stock Plan and pursuant to a Registration Statement on Form S-8 under the Securities Act, to the extent that (I) the Grantee is eligible to receive such REIT Shares under the Stock Plan at the time of such issuance, (II) the Company has filed a Form S-8 Registration Statement with the Securities and Exchange Commission registering the issuance of such REIT Shares and (III) such Form S-8 is effective at the time of the issuance of such REIT Shares. The Grantee hereby acknowledges that because of the restrictions on transfer or assignment of such [ ] LTIP Units (PB) acquired hereby and the Common Units issuable upon conversion of the [ ] LTIP Units (PB) which are set forth in the Partnership Agreement or this Agreement, the Grantee may have to bear the economic risk of his ownership of the [ ] LTIP Units (PB) acquired hereby and the Common Units issuable upon conversion of the [ ] LTIP Units (PB) for an indefinite period of time.</w:t>
      </w:r>
    </w:p>
    <w:p>
      <w:pPr>
        <w:spacing w:after="0" w:line="180" w:lineRule="exact"/>
        <w:rPr>
          <w:rFonts w:ascii="Times New Roman" w:cs="Times New Roman" w:eastAsia="Times New Roman" w:hAnsi="Times New Roman"/>
          <w:sz w:val="20"/>
          <w:szCs w:val="20"/>
          <w:color w:val="010000"/>
        </w:rPr>
      </w:pPr>
    </w:p>
    <w:p>
      <w:pPr>
        <w:ind w:left="1040" w:hanging="448"/>
        <w:spacing w:after="0"/>
        <w:tabs>
          <w:tab w:leader="none" w:pos="1040"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Grantee has determined that the [ ] LTIP Units (PB) are a suitable investment for the Grantee.</w:t>
      </w:r>
    </w:p>
    <w:p>
      <w:pPr>
        <w:spacing w:after="0" w:line="217" w:lineRule="exact"/>
        <w:rPr>
          <w:rFonts w:ascii="Times New Roman" w:cs="Times New Roman" w:eastAsia="Times New Roman" w:hAnsi="Times New Roman"/>
          <w:sz w:val="20"/>
          <w:szCs w:val="20"/>
          <w:color w:val="010000"/>
        </w:rPr>
      </w:pPr>
    </w:p>
    <w:p>
      <w:pPr>
        <w:jc w:val="both"/>
        <w:ind w:firstLine="592"/>
        <w:spacing w:after="0" w:line="268" w:lineRule="auto"/>
        <w:tabs>
          <w:tab w:leader="none" w:pos="1204"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representations or warranties have been made to the Grantee by the Partnership or the Company, or any officer, director, stockholder, agent, or affiliate of any of them, and the Grantee has received no information relating to an investment in the Partnership or the [ ] LTIP Units (PB) except the information specified in paragraph (b) above.</w:t>
      </w:r>
    </w:p>
    <w:p>
      <w:pPr>
        <w:spacing w:after="0" w:line="37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0820"/>
          </w:cols>
          <w:pgMar w:left="840" w:top="586" w:right="239" w:bottom="1440" w:gutter="0" w:footer="0" w:header="0"/>
        </w:sectPr>
      </w:pPr>
    </w:p>
    <w:bookmarkStart w:id="70" w:name="page71"/>
    <w:bookmarkEnd w:id="70"/>
    <w:p>
      <w:pPr>
        <w:jc w:val="both"/>
        <w:ind w:left="-596" w:firstLine="596"/>
        <w:spacing w:after="0" w:line="260" w:lineRule="auto"/>
        <w:tabs>
          <w:tab w:leader="none" w:pos="412"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the Grantee holds any [ ] LTIP Units (PB), the Grantee shall disclose to the Partnership in writing such information as may be reasonably requested with respect to ownership of [ ] LTIP Units (PB) as the Partnership may deem reasonably necessary to ascertain and to establish compliance with provisions of the Code, applicable to the Partnership or to comply with requirements of any other appropriate taxing authority.</w:t>
      </w:r>
    </w:p>
    <w:p>
      <w:pPr>
        <w:spacing w:after="0" w:line="158" w:lineRule="exact"/>
        <w:rPr>
          <w:rFonts w:ascii="Times New Roman" w:cs="Times New Roman" w:eastAsia="Times New Roman" w:hAnsi="Times New Roman"/>
          <w:sz w:val="20"/>
          <w:szCs w:val="20"/>
          <w:color w:val="010000"/>
        </w:rPr>
      </w:pPr>
    </w:p>
    <w:p>
      <w:pPr>
        <w:jc w:val="both"/>
        <w:ind w:left="-596" w:firstLine="596"/>
        <w:spacing w:after="0" w:line="254" w:lineRule="auto"/>
        <w:tabs>
          <w:tab w:leader="none" w:pos="43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Grantee hereby agrees to make an election under Section 83(b) of the Code with respect to the [ ] LTIP Units (PB) awarded hereunder, and has delivered with this Agreement a completed, executed copy of the election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The Grantee agrees to file the election (or to permit the Partnership to file such election on the Grantee’s behalf) within thirty (30) days after the award of the [ ] LTIP Units (PB) hereunder with the IRS Service Center at which such Grantee files his personal income tax returns, and to file a copy of such election with the Grantee’s U.S. federal income tax return for the taxable year in which [ ] LTIP Units (PB) are issued or awarded to the Grantee.</w:t>
      </w:r>
    </w:p>
    <w:p>
      <w:pPr>
        <w:spacing w:after="0" w:line="167" w:lineRule="exact"/>
        <w:rPr>
          <w:rFonts w:ascii="Times New Roman" w:cs="Times New Roman" w:eastAsia="Times New Roman" w:hAnsi="Times New Roman"/>
          <w:sz w:val="20"/>
          <w:szCs w:val="20"/>
          <w:color w:val="010000"/>
        </w:rPr>
      </w:pPr>
    </w:p>
    <w:p>
      <w:pPr>
        <w:jc w:val="both"/>
        <w:ind w:left="-596" w:firstLine="596"/>
        <w:spacing w:after="0" w:line="268" w:lineRule="auto"/>
        <w:tabs>
          <w:tab w:leader="none" w:pos="412"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10824"/>
          </w:cols>
          <w:pgMar w:left="836" w:top="586" w:right="239" w:bottom="1440" w:gutter="0" w:footer="0" w:header="0"/>
        </w:sectPr>
      </w:pPr>
    </w:p>
    <w:bookmarkStart w:id="71" w:name="page72"/>
    <w:bookmarkEnd w:id="71"/>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ELECTION TO INCLUDE IN GROSS INCOME IN YEAR OF</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TRANSFER OF PROPERTY PURSUANT TO SECTION 83(b)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INTERNAL REVENUE CODE</w:t>
      </w:r>
    </w:p>
    <w:p>
      <w:pPr>
        <w:spacing w:after="0" w:line="183"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The undersigned hereby makes an election pursuant to Section 83(b) of the Internal Revenue Code of 1986, as amended, Treasury Regulations Section 1.83-2 promulgated thereunder, and Rev. Proc. 2012-29, 2012-28 IRB, 06/26/2012, to include in gross income as compensation for services the excess (if any) of the fair market value of the property described below over the amount paid for such property.</w:t>
      </w:r>
    </w:p>
    <w:p>
      <w:pPr>
        <w:spacing w:after="0" w:line="157" w:lineRule="exact"/>
        <w:rPr>
          <w:sz w:val="20"/>
          <w:szCs w:val="20"/>
          <w:color w:val="auto"/>
        </w:rPr>
      </w:pPr>
    </w:p>
    <w:p>
      <w:pPr>
        <w:ind w:left="1200" w:hanging="604"/>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taxpayer identification number of the undersigned are:</w:t>
      </w:r>
    </w:p>
    <w:p>
      <w:pPr>
        <w:spacing w:after="0" w:line="205" w:lineRule="exact"/>
        <w:rPr>
          <w:sz w:val="20"/>
          <w:szCs w:val="20"/>
          <w:color w:val="auto"/>
        </w:rPr>
      </w:pPr>
    </w:p>
    <w:p>
      <w:pPr>
        <w:ind w:left="1200"/>
        <w:spacing w:after="0"/>
        <w:tabs>
          <w:tab w:leader="none" w:pos="21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Taxpayer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-10795</wp:posOffset>
            </wp:positionV>
            <wp:extent cx="1263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-10795</wp:posOffset>
            </wp:positionV>
            <wp:extent cx="1263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264160</wp:posOffset>
            </wp:positionV>
            <wp:extent cx="2527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27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Social Security No./Taxpayer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-10795</wp:posOffset>
            </wp:positionV>
            <wp:extent cx="1263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Taxable Year: Calendar Year [__]</w:t>
      </w:r>
    </w:p>
    <w:p>
      <w:pPr>
        <w:spacing w:after="0" w:line="205" w:lineRule="exact"/>
        <w:rPr>
          <w:sz w:val="20"/>
          <w:szCs w:val="20"/>
          <w:color w:val="auto"/>
        </w:rPr>
      </w:pPr>
    </w:p>
    <w:p>
      <w:pPr>
        <w:ind w:left="1200" w:hanging="604"/>
        <w:spacing w:after="0"/>
        <w:tabs>
          <w:tab w:leader="none" w:pos="12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property with respect to which the election is being made:</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59"/>
        </w:trPr>
        <w:tc>
          <w:tcPr>
            <w:tcW w:w="360" w:type="dxa"/>
            <w:vAlign w:val="bottom"/>
          </w:tcPr>
          <w:p>
            <w:pPr>
              <w:spacing w:after="0"/>
              <w:rPr>
                <w:sz w:val="22"/>
                <w:szCs w:val="22"/>
                <w:color w:val="auto"/>
              </w:rPr>
            </w:pPr>
          </w:p>
        </w:tc>
        <w:tc>
          <w:tcPr>
            <w:tcW w:w="9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 election is being made with respect to   [ ] LTIP Units (PB) in The Macerich Partnership,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tc>
      </w:tr>
      <w:tr>
        <w:trPr>
          <w:trHeight w:val="435"/>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3.</w:t>
            </w:r>
          </w:p>
        </w:tc>
        <w:tc>
          <w:tcPr>
            <w:tcW w:w="9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 date on which the [ ] LTIP Units (PB) were transferred to the undersigned is   , [__].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-305435</wp:posOffset>
            </wp:positionV>
            <wp:extent cx="1263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-29845</wp:posOffset>
            </wp:positionV>
            <wp:extent cx="1263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56" w:lineRule="exact"/>
        <w:rPr>
          <w:sz w:val="20"/>
          <w:szCs w:val="20"/>
          <w:color w:val="auto"/>
        </w:rPr>
      </w:pPr>
    </w:p>
    <w:p>
      <w:pPr>
        <w:ind w:left="1200" w:hanging="604"/>
        <w:spacing w:after="0"/>
        <w:tabs>
          <w:tab w:leader="none" w:pos="12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restrictions to which the [ ] LTIP Units (PB) are subject:</w:t>
      </w:r>
    </w:p>
    <w:p>
      <w:pPr>
        <w:spacing w:after="0" w:line="204" w:lineRule="exact"/>
        <w:rPr>
          <w:rFonts w:ascii="Times New Roman" w:cs="Times New Roman" w:eastAsia="Times New Roman" w:hAnsi="Times New Roman"/>
          <w:sz w:val="20"/>
          <w:szCs w:val="20"/>
          <w:color w:val="auto"/>
        </w:rPr>
      </w:pPr>
    </w:p>
    <w:p>
      <w:pPr>
        <w:ind w:left="1780" w:hanging="588"/>
        <w:spacing w:after="0" w:line="276" w:lineRule="auto"/>
        <w:tabs>
          <w:tab w:leader="none" w:pos="17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 ] LTIP Units (PB) vest, the Taxpayer may not transfer in any manner any portion of the [ ] LTIP Units (PB) without the consent of the Partnership.</w:t>
      </w:r>
    </w:p>
    <w:p>
      <w:pPr>
        <w:spacing w:after="0" w:line="141" w:lineRule="exact"/>
        <w:rPr>
          <w:rFonts w:ascii="Times New Roman" w:cs="Times New Roman" w:eastAsia="Times New Roman" w:hAnsi="Times New Roman"/>
          <w:sz w:val="20"/>
          <w:szCs w:val="20"/>
          <w:color w:val="auto"/>
        </w:rPr>
      </w:pPr>
    </w:p>
    <w:p>
      <w:pPr>
        <w:jc w:val="both"/>
        <w:ind w:left="1780" w:hanging="588"/>
        <w:spacing w:after="0" w:line="261" w:lineRule="auto"/>
        <w:tabs>
          <w:tab w:leader="none" w:pos="17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Taxpayer’s [ ] LTIP Units (PB) vest in accordance with the vesting provisions described in the Schedule attached hereto. Unvested [ ] LTIP Units (PB) are forfeited in accordance with the vesting provisions described in the Schedule attached hereto.</w:t>
      </w:r>
    </w:p>
    <w:p>
      <w:pPr>
        <w:spacing w:after="0" w:line="156" w:lineRule="exact"/>
        <w:rPr>
          <w:rFonts w:ascii="Times New Roman" w:cs="Times New Roman" w:eastAsia="Times New Roman" w:hAnsi="Times New Roman"/>
          <w:sz w:val="20"/>
          <w:szCs w:val="20"/>
          <w:color w:val="auto"/>
        </w:rPr>
      </w:pPr>
    </w:p>
    <w:p>
      <w:pPr>
        <w:jc w:val="both"/>
        <w:ind w:left="1200" w:hanging="604"/>
        <w:spacing w:after="0" w:line="261" w:lineRule="auto"/>
        <w:tabs>
          <w:tab w:leader="none" w:pos="12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at time of transfer (determined without regard to any restrictions other than a nonlapse restriction as defined in Treasury Regulations Section 1.83-3(h)) of the [ ] LTIP Units (PB) with respect to which this election is being made was $0 per [ ] LTIP Unit (PB).</w:t>
      </w:r>
    </w:p>
    <w:p>
      <w:pPr>
        <w:spacing w:after="0" w:line="3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1420"/>
          </w:cols>
          <w:pgMar w:left="240" w:top="582" w:right="239" w:bottom="1440" w:gutter="0" w:footer="0" w:header="0"/>
        </w:sectPr>
      </w:pPr>
    </w:p>
    <w:bookmarkStart w:id="72" w:name="page73"/>
    <w:bookmarkEnd w:id="72"/>
    <w:p>
      <w:pPr>
        <w:ind w:left="1200" w:hanging="604"/>
        <w:spacing w:after="0"/>
        <w:tabs>
          <w:tab w:leader="none" w:pos="12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by the Taxpayer for the [ ] LTIP Units (PB) was $0 per [ ] LTIP Unit (PB).</w:t>
      </w:r>
    </w:p>
    <w:p>
      <w:pPr>
        <w:spacing w:after="0" w:line="204" w:lineRule="exact"/>
        <w:rPr>
          <w:rFonts w:ascii="Times New Roman" w:cs="Times New Roman" w:eastAsia="Times New Roman" w:hAnsi="Times New Roman"/>
          <w:sz w:val="20"/>
          <w:szCs w:val="20"/>
          <w:color w:val="auto"/>
        </w:rPr>
      </w:pPr>
    </w:p>
    <w:p>
      <w:pPr>
        <w:ind w:left="1200" w:hanging="604"/>
        <w:spacing w:after="0"/>
        <w:tabs>
          <w:tab w:leader="none" w:pos="12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include in gross income is $0.</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1263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C-2</w:t>
      </w:r>
    </w:p>
    <w:p>
      <w:pPr>
        <w:sectPr>
          <w:pgSz w:w="11900" w:h="16838" w:orient="portrait"/>
          <w:cols w:equalWidth="0" w:num="1">
            <w:col w:w="11420"/>
          </w:cols>
          <w:pgMar w:left="240" w:top="586"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TO 83(b) ELECTION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Provisions of [ ] LTIP Units (PB)</w:t>
      </w:r>
    </w:p>
    <w:p>
      <w:pPr>
        <w:spacing w:after="0" w:line="209"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The [ ] LTIP Units (PB) are subject to performance-based vesting. Performance-based vesting will be from 0-100% based on The Macerich Company’s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per-share total return to holders of common stock (the “</w:t>
      </w:r>
      <w:r>
        <w:rPr>
          <w:rFonts w:ascii="Times New Roman" w:cs="Times New Roman" w:eastAsia="Times New Roman" w:hAnsi="Times New Roman"/>
          <w:sz w:val="20"/>
          <w:szCs w:val="20"/>
          <w:u w:val="single" w:color="auto"/>
          <w:color w:val="auto"/>
        </w:rPr>
        <w:t>Total Return</w:t>
      </w:r>
      <w:r>
        <w:rPr>
          <w:rFonts w:ascii="Times New Roman" w:cs="Times New Roman" w:eastAsia="Times New Roman" w:hAnsi="Times New Roman"/>
          <w:sz w:val="20"/>
          <w:szCs w:val="20"/>
          <w:color w:val="auto"/>
        </w:rPr>
        <w:t>”) for the period from January 1, [ ] through December 31, [ ] (or earlier in certain circumstances). The [ ] LTIP Units (PB) may vest depending on the percentile rank of the Company in terms of Total Return relative to the Total Return of a group of peer REITs (the “</w:t>
      </w:r>
      <w:r>
        <w:rPr>
          <w:rFonts w:ascii="Times New Roman" w:cs="Times New Roman" w:eastAsia="Times New Roman" w:hAnsi="Times New Roman"/>
          <w:sz w:val="20"/>
          <w:szCs w:val="20"/>
          <w:u w:val="single" w:color="auto"/>
          <w:color w:val="auto"/>
        </w:rPr>
        <w:t>Peer REITs</w:t>
      </w:r>
      <w:r>
        <w:rPr>
          <w:rFonts w:ascii="Times New Roman" w:cs="Times New Roman" w:eastAsia="Times New Roman" w:hAnsi="Times New Roman"/>
          <w:sz w:val="20"/>
          <w:szCs w:val="20"/>
          <w:color w:val="auto"/>
        </w:rPr>
        <w:t>”), as measured at the end of the performance period. Vesting of the [ ] LTIP Units (PB) will occur as follows:</w:t>
      </w:r>
    </w:p>
    <w:p>
      <w:pPr>
        <w:spacing w:after="0" w:line="200" w:lineRule="exact"/>
        <w:rPr>
          <w:sz w:val="20"/>
          <w:szCs w:val="20"/>
          <w:color w:val="auto"/>
        </w:rPr>
      </w:pPr>
    </w:p>
    <w:p>
      <w:pPr>
        <w:spacing w:after="0" w:line="283" w:lineRule="exact"/>
        <w:rPr>
          <w:sz w:val="20"/>
          <w:szCs w:val="20"/>
          <w:color w:val="auto"/>
        </w:rPr>
      </w:pPr>
    </w:p>
    <w:tbl>
      <w:tblPr>
        <w:tblLayout w:type="fixed"/>
        <w:tblInd w:w="730" w:type="dxa"/>
        <w:tblCellMar>
          <w:top w:w="0" w:type="dxa"/>
          <w:left w:w="0" w:type="dxa"/>
          <w:bottom w:w="0" w:type="dxa"/>
          <w:right w:w="0" w:type="dxa"/>
        </w:tblCellMar>
      </w:tblPr>
      <w:tr>
        <w:trPr>
          <w:trHeight w:val="224"/>
        </w:trPr>
        <w:tc>
          <w:tcPr>
            <w:tcW w:w="6020" w:type="dxa"/>
            <w:vAlign w:val="bottom"/>
            <w:tcBorders>
              <w:top w:val="single" w:sz="8" w:color="00000A"/>
              <w:left w:val="single" w:sz="8" w:color="00000A"/>
              <w:right w:val="single" w:sz="8" w:color="00000A"/>
            </w:tcBorders>
            <w:gridSpan w:val="3"/>
          </w:tcPr>
          <w:p>
            <w:pPr>
              <w:ind w:left="60"/>
              <w:spacing w:after="0" w:line="224" w:lineRule="exact"/>
              <w:rPr>
                <w:sz w:val="20"/>
                <w:szCs w:val="20"/>
                <w:color w:val="auto"/>
              </w:rPr>
            </w:pPr>
            <w:r>
              <w:rPr>
                <w:rFonts w:ascii="Times New Roman" w:cs="Times New Roman" w:eastAsia="Times New Roman" w:hAnsi="Times New Roman"/>
                <w:sz w:val="20"/>
                <w:szCs w:val="20"/>
                <w:b w:val="1"/>
                <w:bCs w:val="1"/>
                <w:color w:val="auto"/>
              </w:rPr>
              <w:t>Percentile Rank</w:t>
            </w:r>
          </w:p>
        </w:tc>
        <w:tc>
          <w:tcPr>
            <w:tcW w:w="40" w:type="dxa"/>
            <w:vAlign w:val="bottom"/>
            <w:tcBorders>
              <w:top w:val="single" w:sz="8" w:color="00000A"/>
            </w:tcBorders>
          </w:tcPr>
          <w:p>
            <w:pPr>
              <w:spacing w:after="0"/>
              <w:rPr>
                <w:sz w:val="19"/>
                <w:szCs w:val="19"/>
                <w:color w:val="auto"/>
              </w:rPr>
            </w:pPr>
          </w:p>
        </w:tc>
        <w:tc>
          <w:tcPr>
            <w:tcW w:w="3940" w:type="dxa"/>
            <w:vAlign w:val="bottom"/>
            <w:tcBorders>
              <w:top w:val="single" w:sz="8" w:color="00000A"/>
              <w:right w:val="single" w:sz="8" w:color="00000A"/>
            </w:tcBorders>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Award Vested (*)</w:t>
            </w:r>
          </w:p>
        </w:tc>
      </w:tr>
      <w:tr>
        <w:trPr>
          <w:trHeight w:val="67"/>
        </w:trPr>
        <w:tc>
          <w:tcPr>
            <w:tcW w:w="60" w:type="dxa"/>
            <w:vAlign w:val="bottom"/>
            <w:tcBorders>
              <w:left w:val="single" w:sz="8" w:color="00000A"/>
              <w:bottom w:val="single" w:sz="8" w:color="00000A"/>
            </w:tcBorders>
          </w:tcPr>
          <w:p>
            <w:pPr>
              <w:spacing w:after="0"/>
              <w:rPr>
                <w:sz w:val="5"/>
                <w:szCs w:val="5"/>
                <w:color w:val="auto"/>
              </w:rPr>
            </w:pPr>
          </w:p>
        </w:tc>
        <w:tc>
          <w:tcPr>
            <w:tcW w:w="1360" w:type="dxa"/>
            <w:vAlign w:val="bottom"/>
            <w:tcBorders>
              <w:top w:val="single" w:sz="8" w:color="auto"/>
              <w:bottom w:val="single" w:sz="8" w:color="00000A"/>
            </w:tcBorders>
          </w:tcPr>
          <w:p>
            <w:pPr>
              <w:spacing w:after="0"/>
              <w:rPr>
                <w:sz w:val="5"/>
                <w:szCs w:val="5"/>
                <w:color w:val="auto"/>
              </w:rPr>
            </w:pPr>
          </w:p>
        </w:tc>
        <w:tc>
          <w:tcPr>
            <w:tcW w:w="4600" w:type="dxa"/>
            <w:vAlign w:val="bottom"/>
            <w:tcBorders>
              <w:bottom w:val="single" w:sz="8" w:color="00000A"/>
              <w:right w:val="single" w:sz="8" w:color="00000A"/>
            </w:tcBorders>
          </w:tcPr>
          <w:p>
            <w:pPr>
              <w:spacing w:after="0"/>
              <w:rPr>
                <w:sz w:val="5"/>
                <w:szCs w:val="5"/>
                <w:color w:val="auto"/>
              </w:rPr>
            </w:pPr>
          </w:p>
        </w:tc>
        <w:tc>
          <w:tcPr>
            <w:tcW w:w="40" w:type="dxa"/>
            <w:vAlign w:val="bottom"/>
            <w:tcBorders>
              <w:bottom w:val="single" w:sz="8" w:color="00000A"/>
            </w:tcBorders>
          </w:tcPr>
          <w:p>
            <w:pPr>
              <w:spacing w:after="0"/>
              <w:rPr>
                <w:sz w:val="5"/>
                <w:szCs w:val="5"/>
                <w:color w:val="auto"/>
              </w:rPr>
            </w:pPr>
          </w:p>
        </w:tc>
        <w:tc>
          <w:tcPr>
            <w:tcW w:w="1460" w:type="dxa"/>
            <w:vAlign w:val="bottom"/>
            <w:tcBorders>
              <w:top w:val="single" w:sz="8" w:color="auto"/>
              <w:bottom w:val="single" w:sz="8" w:color="00000A"/>
            </w:tcBorders>
          </w:tcPr>
          <w:p>
            <w:pPr>
              <w:spacing w:after="0"/>
              <w:rPr>
                <w:sz w:val="5"/>
                <w:szCs w:val="5"/>
                <w:color w:val="auto"/>
              </w:rPr>
            </w:pPr>
          </w:p>
        </w:tc>
        <w:tc>
          <w:tcPr>
            <w:tcW w:w="2480" w:type="dxa"/>
            <w:vAlign w:val="bottom"/>
            <w:tcBorders>
              <w:bottom w:val="single" w:sz="8" w:color="00000A"/>
              <w:right w:val="single" w:sz="8" w:color="00000A"/>
            </w:tcBorders>
          </w:tcPr>
          <w:p>
            <w:pPr>
              <w:spacing w:after="0"/>
              <w:rPr>
                <w:sz w:val="5"/>
                <w:szCs w:val="5"/>
                <w:color w:val="auto"/>
              </w:rPr>
            </w:pPr>
          </w:p>
        </w:tc>
      </w:tr>
      <w:tr>
        <w:trPr>
          <w:trHeight w:val="252"/>
        </w:trPr>
        <w:tc>
          <w:tcPr>
            <w:tcW w:w="602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or above the 75th percentile</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100%</w:t>
            </w:r>
          </w:p>
        </w:tc>
        <w:tc>
          <w:tcPr>
            <w:tcW w:w="2480" w:type="dxa"/>
            <w:vAlign w:val="bottom"/>
            <w:tcBorders>
              <w:right w:val="single" w:sz="8" w:color="00000A"/>
            </w:tcBorders>
          </w:tcPr>
          <w:p>
            <w:pPr>
              <w:spacing w:after="0"/>
              <w:rPr>
                <w:sz w:val="21"/>
                <w:szCs w:val="21"/>
                <w:color w:val="auto"/>
              </w:rPr>
            </w:pP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460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1460" w:type="dxa"/>
            <w:vAlign w:val="bottom"/>
            <w:tcBorders>
              <w:bottom w:val="single" w:sz="8" w:color="00000A"/>
            </w:tcBorders>
          </w:tcPr>
          <w:p>
            <w:pPr>
              <w:spacing w:after="0"/>
              <w:rPr>
                <w:sz w:val="3"/>
                <w:szCs w:val="3"/>
                <w:color w:val="auto"/>
              </w:rPr>
            </w:pPr>
          </w:p>
        </w:tc>
        <w:tc>
          <w:tcPr>
            <w:tcW w:w="2480" w:type="dxa"/>
            <w:vAlign w:val="bottom"/>
            <w:tcBorders>
              <w:bottom w:val="single" w:sz="8" w:color="00000A"/>
              <w:right w:val="single" w:sz="8" w:color="00000A"/>
            </w:tcBorders>
          </w:tcPr>
          <w:p>
            <w:pPr>
              <w:spacing w:after="0"/>
              <w:rPr>
                <w:sz w:val="3"/>
                <w:szCs w:val="3"/>
                <w:color w:val="auto"/>
              </w:rPr>
            </w:pPr>
          </w:p>
        </w:tc>
      </w:tr>
      <w:tr>
        <w:trPr>
          <w:trHeight w:val="252"/>
        </w:trPr>
        <w:tc>
          <w:tcPr>
            <w:tcW w:w="602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the 50th percentile</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66-2/3%</w:t>
            </w:r>
          </w:p>
        </w:tc>
        <w:tc>
          <w:tcPr>
            <w:tcW w:w="2480" w:type="dxa"/>
            <w:vAlign w:val="bottom"/>
            <w:tcBorders>
              <w:right w:val="single" w:sz="8" w:color="00000A"/>
            </w:tcBorders>
          </w:tcPr>
          <w:p>
            <w:pPr>
              <w:spacing w:after="0"/>
              <w:rPr>
                <w:sz w:val="21"/>
                <w:szCs w:val="21"/>
                <w:color w:val="auto"/>
              </w:rPr>
            </w:pP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460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1460" w:type="dxa"/>
            <w:vAlign w:val="bottom"/>
            <w:tcBorders>
              <w:bottom w:val="single" w:sz="8" w:color="00000A"/>
            </w:tcBorders>
          </w:tcPr>
          <w:p>
            <w:pPr>
              <w:spacing w:after="0"/>
              <w:rPr>
                <w:sz w:val="3"/>
                <w:szCs w:val="3"/>
                <w:color w:val="auto"/>
              </w:rPr>
            </w:pPr>
          </w:p>
        </w:tc>
        <w:tc>
          <w:tcPr>
            <w:tcW w:w="2480" w:type="dxa"/>
            <w:vAlign w:val="bottom"/>
            <w:tcBorders>
              <w:bottom w:val="single" w:sz="8" w:color="00000A"/>
              <w:right w:val="single" w:sz="8" w:color="00000A"/>
            </w:tcBorders>
          </w:tcPr>
          <w:p>
            <w:pPr>
              <w:spacing w:after="0"/>
              <w:rPr>
                <w:sz w:val="3"/>
                <w:szCs w:val="3"/>
                <w:color w:val="auto"/>
              </w:rPr>
            </w:pPr>
          </w:p>
        </w:tc>
      </w:tr>
      <w:tr>
        <w:trPr>
          <w:trHeight w:val="252"/>
        </w:trPr>
        <w:tc>
          <w:tcPr>
            <w:tcW w:w="602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At the 25th percentile</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33-1/3%</w:t>
            </w:r>
          </w:p>
        </w:tc>
        <w:tc>
          <w:tcPr>
            <w:tcW w:w="2480" w:type="dxa"/>
            <w:vAlign w:val="bottom"/>
            <w:tcBorders>
              <w:right w:val="single" w:sz="8" w:color="00000A"/>
            </w:tcBorders>
          </w:tcPr>
          <w:p>
            <w:pPr>
              <w:spacing w:after="0"/>
              <w:rPr>
                <w:sz w:val="21"/>
                <w:szCs w:val="21"/>
                <w:color w:val="auto"/>
              </w:rPr>
            </w:pP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460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1460" w:type="dxa"/>
            <w:vAlign w:val="bottom"/>
            <w:tcBorders>
              <w:bottom w:val="single" w:sz="8" w:color="00000A"/>
            </w:tcBorders>
          </w:tcPr>
          <w:p>
            <w:pPr>
              <w:spacing w:after="0"/>
              <w:rPr>
                <w:sz w:val="3"/>
                <w:szCs w:val="3"/>
                <w:color w:val="auto"/>
              </w:rPr>
            </w:pPr>
          </w:p>
        </w:tc>
        <w:tc>
          <w:tcPr>
            <w:tcW w:w="2480" w:type="dxa"/>
            <w:vAlign w:val="bottom"/>
            <w:tcBorders>
              <w:bottom w:val="single" w:sz="8" w:color="00000A"/>
              <w:right w:val="single" w:sz="8" w:color="00000A"/>
            </w:tcBorders>
          </w:tcPr>
          <w:p>
            <w:pPr>
              <w:spacing w:after="0"/>
              <w:rPr>
                <w:sz w:val="3"/>
                <w:szCs w:val="3"/>
                <w:color w:val="auto"/>
              </w:rPr>
            </w:pPr>
          </w:p>
        </w:tc>
      </w:tr>
      <w:tr>
        <w:trPr>
          <w:trHeight w:val="252"/>
        </w:trPr>
        <w:tc>
          <w:tcPr>
            <w:tcW w:w="6020" w:type="dxa"/>
            <w:vAlign w:val="bottom"/>
            <w:tcBorders>
              <w:left w:val="single" w:sz="8" w:color="00000A"/>
              <w:right w:val="single" w:sz="8" w:color="00000A"/>
            </w:tcBorders>
            <w:gridSpan w:val="3"/>
          </w:tcPr>
          <w:p>
            <w:pPr>
              <w:ind w:left="60"/>
              <w:spacing w:after="0"/>
              <w:rPr>
                <w:sz w:val="20"/>
                <w:szCs w:val="20"/>
                <w:color w:val="auto"/>
              </w:rPr>
            </w:pPr>
            <w:r>
              <w:rPr>
                <w:rFonts w:ascii="Times New Roman" w:cs="Times New Roman" w:eastAsia="Times New Roman" w:hAnsi="Times New Roman"/>
                <w:sz w:val="20"/>
                <w:szCs w:val="20"/>
                <w:color w:val="auto"/>
              </w:rPr>
              <w:t>Below the 25th percentile</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0%</w:t>
            </w:r>
          </w:p>
        </w:tc>
        <w:tc>
          <w:tcPr>
            <w:tcW w:w="2480" w:type="dxa"/>
            <w:vAlign w:val="bottom"/>
            <w:tcBorders>
              <w:right w:val="single" w:sz="8" w:color="00000A"/>
            </w:tcBorders>
          </w:tcPr>
          <w:p>
            <w:pPr>
              <w:spacing w:after="0"/>
              <w:rPr>
                <w:sz w:val="21"/>
                <w:szCs w:val="21"/>
                <w:color w:val="auto"/>
              </w:rPr>
            </w:pPr>
          </w:p>
        </w:tc>
      </w:tr>
      <w:tr>
        <w:trPr>
          <w:trHeight w:val="39"/>
        </w:trPr>
        <w:tc>
          <w:tcPr>
            <w:tcW w:w="60" w:type="dxa"/>
            <w:vAlign w:val="bottom"/>
            <w:tcBorders>
              <w:left w:val="single" w:sz="8" w:color="00000A"/>
              <w:bottom w:val="single" w:sz="8" w:color="00000A"/>
            </w:tcBorders>
          </w:tcPr>
          <w:p>
            <w:pPr>
              <w:spacing w:after="0"/>
              <w:rPr>
                <w:sz w:val="3"/>
                <w:szCs w:val="3"/>
                <w:color w:val="auto"/>
              </w:rPr>
            </w:pPr>
          </w:p>
        </w:tc>
        <w:tc>
          <w:tcPr>
            <w:tcW w:w="1360" w:type="dxa"/>
            <w:vAlign w:val="bottom"/>
            <w:tcBorders>
              <w:bottom w:val="single" w:sz="8" w:color="00000A"/>
            </w:tcBorders>
          </w:tcPr>
          <w:p>
            <w:pPr>
              <w:spacing w:after="0"/>
              <w:rPr>
                <w:sz w:val="3"/>
                <w:szCs w:val="3"/>
                <w:color w:val="auto"/>
              </w:rPr>
            </w:pPr>
          </w:p>
        </w:tc>
        <w:tc>
          <w:tcPr>
            <w:tcW w:w="4600" w:type="dxa"/>
            <w:vAlign w:val="bottom"/>
            <w:tcBorders>
              <w:bottom w:val="single" w:sz="8" w:color="00000A"/>
              <w:right w:val="single" w:sz="8" w:color="00000A"/>
            </w:tcBorders>
          </w:tcPr>
          <w:p>
            <w:pPr>
              <w:spacing w:after="0"/>
              <w:rPr>
                <w:sz w:val="3"/>
                <w:szCs w:val="3"/>
                <w:color w:val="auto"/>
              </w:rPr>
            </w:pPr>
          </w:p>
        </w:tc>
        <w:tc>
          <w:tcPr>
            <w:tcW w:w="40" w:type="dxa"/>
            <w:vAlign w:val="bottom"/>
            <w:tcBorders>
              <w:bottom w:val="single" w:sz="8" w:color="00000A"/>
            </w:tcBorders>
          </w:tcPr>
          <w:p>
            <w:pPr>
              <w:spacing w:after="0"/>
              <w:rPr>
                <w:sz w:val="3"/>
                <w:szCs w:val="3"/>
                <w:color w:val="auto"/>
              </w:rPr>
            </w:pPr>
          </w:p>
        </w:tc>
        <w:tc>
          <w:tcPr>
            <w:tcW w:w="1460" w:type="dxa"/>
            <w:vAlign w:val="bottom"/>
            <w:tcBorders>
              <w:bottom w:val="single" w:sz="8" w:color="00000A"/>
            </w:tcBorders>
          </w:tcPr>
          <w:p>
            <w:pPr>
              <w:spacing w:after="0"/>
              <w:rPr>
                <w:sz w:val="3"/>
                <w:szCs w:val="3"/>
                <w:color w:val="auto"/>
              </w:rPr>
            </w:pPr>
          </w:p>
        </w:tc>
        <w:tc>
          <w:tcPr>
            <w:tcW w:w="2480" w:type="dxa"/>
            <w:vAlign w:val="bottom"/>
            <w:tcBorders>
              <w:bottom w:val="single" w:sz="8" w:color="00000A"/>
              <w:right w:val="single" w:sz="8" w:color="00000A"/>
            </w:tcBorders>
          </w:tcPr>
          <w:p>
            <w:pPr>
              <w:spacing w:after="0"/>
              <w:rPr>
                <w:sz w:val="3"/>
                <w:szCs w:val="3"/>
                <w:color w:val="auto"/>
              </w:rPr>
            </w:pPr>
          </w:p>
        </w:tc>
      </w:tr>
    </w:tbl>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 Linear interpolation between the 25th and 75th percentiles.</w:t>
      </w:r>
    </w:p>
    <w:p>
      <w:pPr>
        <w:spacing w:after="0" w:line="20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auto"/>
        </w:rPr>
        <w:t>The above vesting is conditioned upon the Taxpayer remaining an employee of the Company through the applicable vesting date, subject to acceleration under specified circumstances. Unvested [ ] LTIP Units (PB) are subject to forfeiture in the event of failure to vest.</w:t>
      </w:r>
    </w:p>
    <w:p>
      <w:pPr>
        <w:sectPr>
          <w:pgSz w:w="11900" w:h="16838" w:orient="portrait"/>
          <w:cols w:equalWidth="0" w:num="1">
            <w:col w:w="11420"/>
          </w:cols>
          <w:pgMar w:left="240" w:top="582" w:right="2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36"/>
        </w:trPr>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60" w:type="dxa"/>
            <w:vAlign w:val="bottom"/>
          </w:tcPr>
          <w:p>
            <w:pPr>
              <w:jc w:val="center"/>
              <w:ind w:right="301"/>
              <w:spacing w:after="0"/>
              <w:rPr>
                <w:sz w:val="20"/>
                <w:szCs w:val="20"/>
                <w:color w:val="auto"/>
              </w:rPr>
            </w:pPr>
            <w:r>
              <w:rPr>
                <w:rFonts w:ascii="Times New Roman" w:cs="Times New Roman" w:eastAsia="Times New Roman" w:hAnsi="Times New Roman"/>
                <w:sz w:val="20"/>
                <w:szCs w:val="20"/>
                <w:b w:val="1"/>
                <w:bCs w:val="1"/>
                <w:color w:val="auto"/>
                <w:w w:val="97"/>
              </w:rPr>
              <w:t>SCHEDULE A TO [ ] LTIP UNIT AWARD AGREEMENT</w:t>
            </w:r>
          </w:p>
        </w:tc>
        <w:tc>
          <w:tcPr>
            <w:tcW w:w="2720" w:type="dxa"/>
            <w:vAlign w:val="bottom"/>
          </w:tcPr>
          <w:p>
            <w:pPr>
              <w:spacing w:after="0"/>
              <w:rPr>
                <w:sz w:val="20"/>
                <w:szCs w:val="20"/>
                <w:color w:val="auto"/>
              </w:rPr>
            </w:pPr>
          </w:p>
        </w:tc>
      </w:tr>
      <w:tr>
        <w:trPr>
          <w:trHeight w:val="263"/>
        </w:trPr>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60" w:type="dxa"/>
            <w:vAlign w:val="bottom"/>
          </w:tcPr>
          <w:p>
            <w:pPr>
              <w:jc w:val="center"/>
              <w:ind w:right="261"/>
              <w:spacing w:after="0"/>
              <w:rPr>
                <w:sz w:val="20"/>
                <w:szCs w:val="20"/>
                <w:color w:val="auto"/>
              </w:rPr>
            </w:pPr>
            <w:r>
              <w:rPr>
                <w:rFonts w:ascii="Times New Roman" w:cs="Times New Roman" w:eastAsia="Times New Roman" w:hAnsi="Times New Roman"/>
                <w:sz w:val="20"/>
                <w:szCs w:val="20"/>
                <w:b w:val="1"/>
                <w:bCs w:val="1"/>
                <w:color w:val="auto"/>
                <w:w w:val="98"/>
              </w:rPr>
              <w:t>(PERFORMANCE-BASED)</w:t>
            </w:r>
          </w:p>
        </w:tc>
        <w:tc>
          <w:tcPr>
            <w:tcW w:w="2720" w:type="dxa"/>
            <w:vAlign w:val="bottom"/>
          </w:tcPr>
          <w:p>
            <w:pPr>
              <w:spacing w:after="0"/>
              <w:rPr>
                <w:sz w:val="22"/>
                <w:szCs w:val="22"/>
                <w:color w:val="auto"/>
              </w:rPr>
            </w:pPr>
          </w:p>
        </w:tc>
      </w:tr>
      <w:tr>
        <w:trPr>
          <w:trHeight w:val="511"/>
        </w:trPr>
        <w:tc>
          <w:tcPr>
            <w:tcW w:w="156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11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566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r>
      <w:tr>
        <w:trPr>
          <w:trHeight w:val="252"/>
        </w:trPr>
        <w:tc>
          <w:tcPr>
            <w:tcW w:w="8720" w:type="dxa"/>
            <w:vAlign w:val="bottom"/>
            <w:tcBorders>
              <w:left w:val="single" w:sz="8" w:color="00000A"/>
              <w:right w:val="single" w:sz="8" w:color="00000A"/>
            </w:tcBorders>
            <w:gridSpan w:val="5"/>
          </w:tcPr>
          <w:p>
            <w:pPr>
              <w:ind w:left="60"/>
              <w:spacing w:after="0"/>
              <w:rPr>
                <w:sz w:val="20"/>
                <w:szCs w:val="20"/>
                <w:color w:val="auto"/>
              </w:rPr>
            </w:pPr>
            <w:r>
              <w:rPr>
                <w:rFonts w:ascii="Times New Roman" w:cs="Times New Roman" w:eastAsia="Times New Roman" w:hAnsi="Times New Roman"/>
                <w:sz w:val="20"/>
                <w:szCs w:val="20"/>
                <w:color w:val="auto"/>
              </w:rPr>
              <w:t>Date of Award Agreement:</w:t>
            </w:r>
          </w:p>
        </w:tc>
        <w:tc>
          <w:tcPr>
            <w:tcW w:w="272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January 1, [__]</w:t>
            </w:r>
          </w:p>
        </w:tc>
      </w:tr>
      <w:tr>
        <w:trPr>
          <w:trHeight w:val="39"/>
        </w:trPr>
        <w:tc>
          <w:tcPr>
            <w:tcW w:w="1560" w:type="dxa"/>
            <w:vAlign w:val="bottom"/>
            <w:tcBorders>
              <w:left w:val="single" w:sz="8" w:color="00000A"/>
              <w:bottom w:val="single" w:sz="8" w:color="00000A"/>
            </w:tcBorders>
          </w:tcPr>
          <w:p>
            <w:pPr>
              <w:spacing w:after="0"/>
              <w:rPr>
                <w:sz w:val="3"/>
                <w:szCs w:val="3"/>
                <w:color w:val="auto"/>
              </w:rPr>
            </w:pPr>
          </w:p>
        </w:tc>
        <w:tc>
          <w:tcPr>
            <w:tcW w:w="180" w:type="dxa"/>
            <w:vAlign w:val="bottom"/>
            <w:tcBorders>
              <w:bottom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5660" w:type="dxa"/>
            <w:vAlign w:val="bottom"/>
            <w:tcBorders>
              <w:bottom w:val="single" w:sz="8" w:color="00000A"/>
              <w:right w:val="single" w:sz="8" w:color="00000A"/>
            </w:tcBorders>
          </w:tcPr>
          <w:p>
            <w:pPr>
              <w:spacing w:after="0"/>
              <w:rPr>
                <w:sz w:val="3"/>
                <w:szCs w:val="3"/>
                <w:color w:val="auto"/>
              </w:rPr>
            </w:pPr>
          </w:p>
        </w:tc>
        <w:tc>
          <w:tcPr>
            <w:tcW w:w="2720" w:type="dxa"/>
            <w:vAlign w:val="bottom"/>
            <w:tcBorders>
              <w:bottom w:val="single" w:sz="8" w:color="00000A"/>
              <w:right w:val="single" w:sz="8" w:color="00000A"/>
            </w:tcBorders>
          </w:tcPr>
          <w:p>
            <w:pPr>
              <w:spacing w:after="0"/>
              <w:rPr>
                <w:sz w:val="3"/>
                <w:szCs w:val="3"/>
                <w:color w:val="auto"/>
              </w:rPr>
            </w:pPr>
          </w:p>
        </w:tc>
      </w:tr>
      <w:tr>
        <w:trPr>
          <w:trHeight w:val="252"/>
        </w:trPr>
        <w:tc>
          <w:tcPr>
            <w:tcW w:w="8720" w:type="dxa"/>
            <w:vAlign w:val="bottom"/>
            <w:tcBorders>
              <w:left w:val="single" w:sz="8" w:color="00000A"/>
              <w:right w:val="single" w:sz="8" w:color="00000A"/>
            </w:tcBorders>
            <w:gridSpan w:val="5"/>
          </w:tcPr>
          <w:p>
            <w:pPr>
              <w:ind w:left="60"/>
              <w:spacing w:after="0"/>
              <w:rPr>
                <w:sz w:val="20"/>
                <w:szCs w:val="20"/>
                <w:color w:val="auto"/>
              </w:rPr>
            </w:pPr>
            <w:r>
              <w:rPr>
                <w:rFonts w:ascii="Times New Roman" w:cs="Times New Roman" w:eastAsia="Times New Roman" w:hAnsi="Times New Roman"/>
                <w:sz w:val="20"/>
                <w:szCs w:val="20"/>
                <w:color w:val="auto"/>
              </w:rPr>
              <w:t>Name of Grantee:</w:t>
            </w:r>
          </w:p>
        </w:tc>
        <w:tc>
          <w:tcPr>
            <w:tcW w:w="2720" w:type="dxa"/>
            <w:vAlign w:val="bottom"/>
            <w:tcBorders>
              <w:right w:val="single" w:sz="8" w:color="00000A"/>
            </w:tcBorders>
          </w:tcPr>
          <w:p>
            <w:pPr>
              <w:spacing w:after="0"/>
              <w:rPr>
                <w:sz w:val="21"/>
                <w:szCs w:val="21"/>
                <w:color w:val="auto"/>
              </w:rPr>
            </w:pPr>
          </w:p>
        </w:tc>
      </w:tr>
      <w:tr>
        <w:trPr>
          <w:trHeight w:val="39"/>
        </w:trPr>
        <w:tc>
          <w:tcPr>
            <w:tcW w:w="1560" w:type="dxa"/>
            <w:vAlign w:val="bottom"/>
            <w:tcBorders>
              <w:left w:val="single" w:sz="8" w:color="00000A"/>
              <w:bottom w:val="single" w:sz="8" w:color="00000A"/>
            </w:tcBorders>
          </w:tcPr>
          <w:p>
            <w:pPr>
              <w:spacing w:after="0"/>
              <w:rPr>
                <w:sz w:val="3"/>
                <w:szCs w:val="3"/>
                <w:color w:val="auto"/>
              </w:rPr>
            </w:pPr>
          </w:p>
        </w:tc>
        <w:tc>
          <w:tcPr>
            <w:tcW w:w="180" w:type="dxa"/>
            <w:vAlign w:val="bottom"/>
            <w:tcBorders>
              <w:bottom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5660" w:type="dxa"/>
            <w:vAlign w:val="bottom"/>
            <w:tcBorders>
              <w:bottom w:val="single" w:sz="8" w:color="00000A"/>
              <w:right w:val="single" w:sz="8" w:color="00000A"/>
            </w:tcBorders>
          </w:tcPr>
          <w:p>
            <w:pPr>
              <w:spacing w:after="0"/>
              <w:rPr>
                <w:sz w:val="3"/>
                <w:szCs w:val="3"/>
                <w:color w:val="auto"/>
              </w:rPr>
            </w:pPr>
          </w:p>
        </w:tc>
        <w:tc>
          <w:tcPr>
            <w:tcW w:w="2720" w:type="dxa"/>
            <w:vAlign w:val="bottom"/>
            <w:tcBorders>
              <w:bottom w:val="single" w:sz="8" w:color="00000A"/>
              <w:right w:val="single" w:sz="8" w:color="00000A"/>
            </w:tcBorders>
          </w:tcPr>
          <w:p>
            <w:pPr>
              <w:spacing w:after="0"/>
              <w:rPr>
                <w:sz w:val="3"/>
                <w:szCs w:val="3"/>
                <w:color w:val="auto"/>
              </w:rPr>
            </w:pPr>
          </w:p>
        </w:tc>
      </w:tr>
      <w:tr>
        <w:trPr>
          <w:trHeight w:val="252"/>
        </w:trPr>
        <w:tc>
          <w:tcPr>
            <w:tcW w:w="8720" w:type="dxa"/>
            <w:vAlign w:val="bottom"/>
            <w:tcBorders>
              <w:left w:val="single" w:sz="8" w:color="00000A"/>
              <w:right w:val="single" w:sz="8" w:color="00000A"/>
            </w:tcBorders>
            <w:gridSpan w:val="5"/>
          </w:tcPr>
          <w:p>
            <w:pPr>
              <w:ind w:left="60"/>
              <w:spacing w:after="0"/>
              <w:rPr>
                <w:sz w:val="20"/>
                <w:szCs w:val="20"/>
                <w:color w:val="auto"/>
              </w:rPr>
            </w:pPr>
            <w:r>
              <w:rPr>
                <w:rFonts w:ascii="Times New Roman" w:cs="Times New Roman" w:eastAsia="Times New Roman" w:hAnsi="Times New Roman"/>
                <w:sz w:val="20"/>
                <w:szCs w:val="20"/>
                <w:color w:val="auto"/>
              </w:rPr>
              <w:t>Number of [ ] LTIP Units (PB) Subject to Grant:</w:t>
            </w:r>
          </w:p>
        </w:tc>
        <w:tc>
          <w:tcPr>
            <w:tcW w:w="2720" w:type="dxa"/>
            <w:vAlign w:val="bottom"/>
            <w:tcBorders>
              <w:right w:val="single" w:sz="8" w:color="00000A"/>
            </w:tcBorders>
          </w:tcPr>
          <w:p>
            <w:pPr>
              <w:spacing w:after="0"/>
              <w:rPr>
                <w:sz w:val="21"/>
                <w:szCs w:val="21"/>
                <w:color w:val="auto"/>
              </w:rPr>
            </w:pPr>
          </w:p>
        </w:tc>
      </w:tr>
      <w:tr>
        <w:trPr>
          <w:trHeight w:val="39"/>
        </w:trPr>
        <w:tc>
          <w:tcPr>
            <w:tcW w:w="1560" w:type="dxa"/>
            <w:vAlign w:val="bottom"/>
            <w:tcBorders>
              <w:left w:val="single" w:sz="8" w:color="00000A"/>
              <w:bottom w:val="single" w:sz="8" w:color="00000A"/>
            </w:tcBorders>
          </w:tcPr>
          <w:p>
            <w:pPr>
              <w:spacing w:after="0"/>
              <w:rPr>
                <w:sz w:val="3"/>
                <w:szCs w:val="3"/>
                <w:color w:val="auto"/>
              </w:rPr>
            </w:pPr>
          </w:p>
        </w:tc>
        <w:tc>
          <w:tcPr>
            <w:tcW w:w="180" w:type="dxa"/>
            <w:vAlign w:val="bottom"/>
            <w:tcBorders>
              <w:bottom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5660" w:type="dxa"/>
            <w:vAlign w:val="bottom"/>
            <w:tcBorders>
              <w:bottom w:val="single" w:sz="8" w:color="00000A"/>
              <w:right w:val="single" w:sz="8" w:color="00000A"/>
            </w:tcBorders>
          </w:tcPr>
          <w:p>
            <w:pPr>
              <w:spacing w:after="0"/>
              <w:rPr>
                <w:sz w:val="3"/>
                <w:szCs w:val="3"/>
                <w:color w:val="auto"/>
              </w:rPr>
            </w:pPr>
          </w:p>
        </w:tc>
        <w:tc>
          <w:tcPr>
            <w:tcW w:w="2720" w:type="dxa"/>
            <w:vAlign w:val="bottom"/>
            <w:tcBorders>
              <w:bottom w:val="single" w:sz="8" w:color="00000A"/>
              <w:right w:val="single" w:sz="8" w:color="00000A"/>
            </w:tcBorders>
          </w:tcPr>
          <w:p>
            <w:pPr>
              <w:spacing w:after="0"/>
              <w:rPr>
                <w:sz w:val="3"/>
                <w:szCs w:val="3"/>
                <w:color w:val="auto"/>
              </w:rPr>
            </w:pPr>
          </w:p>
        </w:tc>
      </w:tr>
      <w:tr>
        <w:trPr>
          <w:trHeight w:val="252"/>
        </w:trPr>
        <w:tc>
          <w:tcPr>
            <w:tcW w:w="8720" w:type="dxa"/>
            <w:vAlign w:val="bottom"/>
            <w:tcBorders>
              <w:left w:val="single" w:sz="8" w:color="00000A"/>
              <w:right w:val="single" w:sz="8" w:color="00000A"/>
            </w:tcBorders>
            <w:gridSpan w:val="5"/>
          </w:tcPr>
          <w:p>
            <w:pPr>
              <w:ind w:left="60"/>
              <w:spacing w:after="0"/>
              <w:rPr>
                <w:sz w:val="20"/>
                <w:szCs w:val="20"/>
                <w:color w:val="auto"/>
              </w:rPr>
            </w:pPr>
            <w:r>
              <w:rPr>
                <w:rFonts w:ascii="Times New Roman" w:cs="Times New Roman" w:eastAsia="Times New Roman" w:hAnsi="Times New Roman"/>
                <w:sz w:val="20"/>
                <w:szCs w:val="20"/>
                <w:color w:val="auto"/>
              </w:rPr>
              <w:t>Grant Date:</w:t>
            </w:r>
          </w:p>
        </w:tc>
        <w:tc>
          <w:tcPr>
            <w:tcW w:w="272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January 1, [__]</w:t>
            </w:r>
          </w:p>
        </w:tc>
      </w:tr>
      <w:tr>
        <w:trPr>
          <w:trHeight w:val="39"/>
        </w:trPr>
        <w:tc>
          <w:tcPr>
            <w:tcW w:w="1560" w:type="dxa"/>
            <w:vAlign w:val="bottom"/>
            <w:tcBorders>
              <w:left w:val="single" w:sz="8" w:color="00000A"/>
              <w:bottom w:val="single" w:sz="8" w:color="00000A"/>
            </w:tcBorders>
          </w:tcPr>
          <w:p>
            <w:pPr>
              <w:spacing w:after="0"/>
              <w:rPr>
                <w:sz w:val="3"/>
                <w:szCs w:val="3"/>
                <w:color w:val="auto"/>
              </w:rPr>
            </w:pPr>
          </w:p>
        </w:tc>
        <w:tc>
          <w:tcPr>
            <w:tcW w:w="180" w:type="dxa"/>
            <w:vAlign w:val="bottom"/>
            <w:tcBorders>
              <w:bottom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5660" w:type="dxa"/>
            <w:vAlign w:val="bottom"/>
            <w:tcBorders>
              <w:bottom w:val="single" w:sz="8" w:color="00000A"/>
              <w:right w:val="single" w:sz="8" w:color="00000A"/>
            </w:tcBorders>
          </w:tcPr>
          <w:p>
            <w:pPr>
              <w:spacing w:after="0"/>
              <w:rPr>
                <w:sz w:val="3"/>
                <w:szCs w:val="3"/>
                <w:color w:val="auto"/>
              </w:rPr>
            </w:pPr>
          </w:p>
        </w:tc>
        <w:tc>
          <w:tcPr>
            <w:tcW w:w="2720" w:type="dxa"/>
            <w:vAlign w:val="bottom"/>
            <w:tcBorders>
              <w:bottom w:val="single" w:sz="8" w:color="00000A"/>
              <w:right w:val="single" w:sz="8" w:color="00000A"/>
            </w:tcBorders>
          </w:tcPr>
          <w:p>
            <w:pPr>
              <w:spacing w:after="0"/>
              <w:rPr>
                <w:sz w:val="3"/>
                <w:szCs w:val="3"/>
                <w:color w:val="auto"/>
              </w:rPr>
            </w:pPr>
          </w:p>
        </w:tc>
      </w:tr>
      <w:tr>
        <w:trPr>
          <w:trHeight w:val="427"/>
        </w:trPr>
        <w:tc>
          <w:tcPr>
            <w:tcW w:w="2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Initials of Company representative:</w:t>
            </w:r>
          </w:p>
        </w:tc>
        <w:tc>
          <w:tcPr>
            <w:tcW w:w="200" w:type="dxa"/>
            <w:vAlign w:val="bottom"/>
            <w:tcBorders>
              <w:bottom w:val="single" w:sz="8" w:color="auto"/>
            </w:tcBorders>
          </w:tcPr>
          <w:p>
            <w:pPr>
              <w:spacing w:after="0"/>
              <w:rPr>
                <w:sz w:val="24"/>
                <w:szCs w:val="24"/>
                <w:color w:val="auto"/>
              </w:rPr>
            </w:pPr>
          </w:p>
        </w:tc>
        <w:tc>
          <w:tcPr>
            <w:tcW w:w="56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1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Initials of Grantee:</w:t>
            </w:r>
          </w:p>
        </w:tc>
        <w:tc>
          <w:tcPr>
            <w:tcW w:w="180" w:type="dxa"/>
            <w:vAlign w:val="bottom"/>
            <w:tcBorders>
              <w:bottom w:val="single" w:sz="8" w:color="auto"/>
            </w:tcBorders>
          </w:tcPr>
          <w:p>
            <w:pPr>
              <w:spacing w:after="0"/>
              <w:rPr>
                <w:sz w:val="24"/>
                <w:szCs w:val="24"/>
                <w:color w:val="auto"/>
              </w:rPr>
            </w:pPr>
          </w:p>
        </w:tc>
        <w:tc>
          <w:tcPr>
            <w:tcW w:w="6980" w:type="dxa"/>
            <w:vAlign w:val="bottom"/>
            <w:gridSpan w:val="3"/>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40"/>
          </w:cols>
          <w:pgMar w:left="240" w:top="583" w:right="2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THE MACERICH COMPANY</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 ] LTIP UNIT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(SERVICE-BASED)</w:t>
      </w:r>
    </w:p>
    <w:p>
      <w:pPr>
        <w:spacing w:after="0" w:line="6" w:lineRule="exact"/>
        <w:rPr>
          <w:sz w:val="20"/>
          <w:szCs w:val="20"/>
          <w:color w:val="auto"/>
        </w:rPr>
      </w:pPr>
    </w:p>
    <w:p>
      <w:pPr>
        <w:jc w:val="both"/>
        <w:ind w:firstLine="596"/>
        <w:spacing w:after="0" w:line="248" w:lineRule="auto"/>
        <w:tabs>
          <w:tab w:leader="none" w:pos="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LTIP UNIT AWARD AGREEMENT (Service-Based) made as of the date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between The Macerich Company, a Maryland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its subsidiary The Macerich Partnership, L.P., a Delaware limited partnership and the entity through which the Company conducts substantially all of its operations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xml:space="preserve">”), and the party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05" w:lineRule="exact"/>
        <w:rPr>
          <w:sz w:val="20"/>
          <w:szCs w:val="20"/>
          <w:color w:val="auto"/>
        </w:rPr>
      </w:pPr>
    </w:p>
    <w:p>
      <w:pPr>
        <w:ind w:left="980" w:hanging="384"/>
        <w:spacing w:after="0"/>
        <w:tabs>
          <w:tab w:leader="none" w:pos="9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a key employee of the Company or one of its Subsidiaries or affiliates and provides services to the Partnership.</w:t>
      </w:r>
    </w:p>
    <w:p>
      <w:pPr>
        <w:spacing w:after="0" w:line="204" w:lineRule="exact"/>
        <w:rPr>
          <w:rFonts w:ascii="Times New Roman" w:cs="Times New Roman" w:eastAsia="Times New Roman" w:hAnsi="Times New Roman"/>
          <w:sz w:val="20"/>
          <w:szCs w:val="20"/>
          <w:color w:val="auto"/>
        </w:rPr>
      </w:pPr>
    </w:p>
    <w:p>
      <w:pPr>
        <w:jc w:val="both"/>
        <w:ind w:firstLine="596"/>
        <w:spacing w:after="0" w:line="249" w:lineRule="auto"/>
        <w:tabs>
          <w:tab w:leader="none" w:pos="99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its Long-Term Incentive Plan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the Company can award units of limited partnership interest of the Partnership designated as “LTIP Units” in the Partnership Agreement (as defined herein) under The Macerich Company 2003 Equity Incentive Plan, as amended (the “</w:t>
      </w:r>
      <w:r>
        <w:rPr>
          <w:rFonts w:ascii="Times New Roman" w:cs="Times New Roman" w:eastAsia="Times New Roman" w:hAnsi="Times New Roman"/>
          <w:sz w:val="20"/>
          <w:szCs w:val="20"/>
          <w:u w:val="single" w:color="auto"/>
          <w:color w:val="auto"/>
        </w:rPr>
        <w:t>2003 Plan</w:t>
      </w:r>
      <w:r>
        <w:rPr>
          <w:rFonts w:ascii="Times New Roman" w:cs="Times New Roman" w:eastAsia="Times New Roman" w:hAnsi="Times New Roman"/>
          <w:sz w:val="20"/>
          <w:szCs w:val="20"/>
          <w:color w:val="auto"/>
        </w:rPr>
        <w:t>”), to provide certain key employees of the Company or its Subsidiaries and affiliates, including the Grantee, in connection with their employment with the long-term incentive compensation described in this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thereby provide additional incentive for them to promote the progress and success of the business of the Company and its Subsidiaries and affiliates, including the Partnership, while increasing the total return to the Company’s stockholders. [ ] LTIP Units (SB) (as defined herein) have been awarded by 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pursuant to authority delegated to it by the Board as set forth in the Committee’s charter, including authority to make grants of equity interests in the Partnership which may, under certain circumstances, become exchangeable for shares of the Company’s Common Stock reserved for issuance under the 2003 Plan, or any successor equity plan (as any such plan may be amended, modified or supplemented from time to time, collectively the “</w:t>
      </w:r>
      <w:r>
        <w:rPr>
          <w:rFonts w:ascii="Times New Roman" w:cs="Times New Roman" w:eastAsia="Times New Roman" w:hAnsi="Times New Roman"/>
          <w:sz w:val="20"/>
          <w:szCs w:val="20"/>
          <w:u w:val="single" w:color="auto"/>
          <w:color w:val="auto"/>
        </w:rPr>
        <w:t>Stock Plan</w:t>
      </w:r>
      <w:r>
        <w:rPr>
          <w:rFonts w:ascii="Times New Roman" w:cs="Times New Roman" w:eastAsia="Times New Roman" w:hAnsi="Times New Roman"/>
          <w:sz w:val="20"/>
          <w:szCs w:val="20"/>
          <w:color w:val="auto"/>
        </w:rPr>
        <w:t>”). This Agreement evidences an award to the Grantee under the LTIP (this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which is subject to the terms and conditions set forth herein.</w:t>
      </w:r>
    </w:p>
    <w:p>
      <w:pPr>
        <w:spacing w:after="0" w:line="168" w:lineRule="exact"/>
        <w:rPr>
          <w:rFonts w:ascii="Times New Roman" w:cs="Times New Roman" w:eastAsia="Times New Roman" w:hAnsi="Times New Roman"/>
          <w:sz w:val="20"/>
          <w:szCs w:val="20"/>
          <w:color w:val="auto"/>
        </w:rPr>
      </w:pPr>
    </w:p>
    <w:p>
      <w:pPr>
        <w:jc w:val="both"/>
        <w:ind w:firstLine="596"/>
        <w:spacing w:after="0" w:line="256" w:lineRule="auto"/>
        <w:tabs>
          <w:tab w:leader="none" w:pos="9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Grantee was selected by the Committee to receive this Award as one of a select group of highly compensated or management employees who, through the effective execution of their assigned duties and responsibilities, are in a position to have a direct and measurable impact on the Company’s long-term financial results. Effective as of the grant date specified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the Committee awarded to the Grantee the number of [ ] LTIP Units (SB) (as defined herein) set forth in 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-38735</wp:posOffset>
            </wp:positionV>
            <wp:extent cx="1155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115570" cy="7620"/>
                    </a:xfrm>
                    <a:prstGeom prst="rect">
                      <a:avLst/>
                    </a:prstGeom>
                    <a:noFill/>
                  </pic:spPr>
                </pic:pic>
              </a:graphicData>
            </a:graphic>
          </wp:anchor>
        </w:drawing>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Company, the Partnership and the Grantee agree as follows:</w:t>
      </w:r>
    </w:p>
    <w:p>
      <w:pPr>
        <w:spacing w:after="0" w:line="205" w:lineRule="exact"/>
        <w:rPr>
          <w:sz w:val="20"/>
          <w:szCs w:val="20"/>
          <w:color w:val="auto"/>
        </w:rPr>
      </w:pPr>
    </w:p>
    <w:p>
      <w:pPr>
        <w:jc w:val="both"/>
        <w:ind w:firstLine="596"/>
        <w:spacing w:after="0" w:line="263" w:lineRule="auto"/>
        <w:tabs>
          <w:tab w:leader="none" w:pos="134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LTIP and all awards thereunder, including this Award, shall be administered by the Committee, which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of the LTIP shall have all the powers and authority it has in the administration of the Stock Plan, as set forth in the Stock Plan. The Committee may from time to time adopt any rules or procedures it deems necessary or desirable</w:t>
      </w:r>
    </w:p>
    <w:p>
      <w:pPr>
        <w:sectPr>
          <w:pgSz w:w="11900" w:h="16838" w:orient="portrait"/>
          <w:cols w:equalWidth="0" w:num="1">
            <w:col w:w="11420"/>
          </w:cols>
          <w:pgMar w:left="240" w:top="583" w:right="239" w:bottom="1440" w:gutter="0" w:footer="0" w:header="0"/>
        </w:sectPr>
      </w:pPr>
    </w:p>
    <w:bookmarkStart w:id="76" w:name="page77"/>
    <w:bookmarkEnd w:id="76"/>
    <w:p>
      <w:pPr>
        <w:spacing w:after="0" w:line="276" w:lineRule="auto"/>
        <w:rPr>
          <w:sz w:val="20"/>
          <w:szCs w:val="20"/>
          <w:color w:val="auto"/>
        </w:rPr>
      </w:pPr>
      <w:r>
        <w:rPr>
          <w:rFonts w:ascii="Times New Roman" w:cs="Times New Roman" w:eastAsia="Times New Roman" w:hAnsi="Times New Roman"/>
          <w:sz w:val="20"/>
          <w:szCs w:val="20"/>
          <w:color w:val="auto"/>
        </w:rPr>
        <w:t>for the proper and efficient administration of the LTIP, consistent with the terms hereof and of the Stock Plan. The Committee’s determinations and interpretations with respect to the LTIP and this Agreement shall be final and binding on all parties.</w:t>
      </w:r>
    </w:p>
    <w:p>
      <w:pPr>
        <w:spacing w:after="0" w:line="138" w:lineRule="exact"/>
        <w:rPr>
          <w:sz w:val="20"/>
          <w:szCs w:val="20"/>
          <w:color w:val="auto"/>
        </w:rPr>
      </w:pPr>
    </w:p>
    <w:p>
      <w:pPr>
        <w:ind w:firstLine="596"/>
        <w:spacing w:after="0" w:line="293" w:lineRule="auto"/>
        <w:tabs>
          <w:tab w:leader="none" w:pos="96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used herein without definitions shall have the meanings given to those terms in the Stock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 as used herein:</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 LTIP Units (SB)</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for termination of the Grantee’s employment means that the Company, acting in good faith based upon the information then known to the Company, determines that the Grantee has:</w:t>
      </w:r>
    </w:p>
    <w:p>
      <w:pPr>
        <w:spacing w:after="0" w:line="142" w:lineRule="exact"/>
        <w:rPr>
          <w:sz w:val="20"/>
          <w:szCs w:val="20"/>
          <w:color w:val="auto"/>
        </w:rPr>
      </w:pPr>
    </w:p>
    <w:p>
      <w:pPr>
        <w:ind w:left="1200"/>
        <w:spacing w:after="0"/>
        <w:tabs>
          <w:tab w:leader="none" w:pos="1580" w:val="left"/>
        </w:tabs>
        <w:rPr>
          <w:sz w:val="20"/>
          <w:szCs w:val="20"/>
          <w:color w:val="auto"/>
        </w:rPr>
      </w:pPr>
      <w:r>
        <w:rPr>
          <w:rFonts w:ascii="Times New Roman" w:cs="Times New Roman" w:eastAsia="Times New Roman" w:hAnsi="Times New Roman"/>
          <w:sz w:val="20"/>
          <w:szCs w:val="20"/>
          <w:color w:val="auto"/>
        </w:rPr>
        <w:t>(a)</w:t>
        <w:tab/>
        <w:t>failed to perform in a material respect without proper cause his obligations under the Grantee’s Service Agreement (if one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exists);</w:t>
      </w:r>
    </w:p>
    <w:p>
      <w:pPr>
        <w:spacing w:after="0" w:line="190" w:lineRule="exact"/>
        <w:rPr>
          <w:sz w:val="20"/>
          <w:szCs w:val="20"/>
          <w:color w:val="auto"/>
        </w:rPr>
      </w:pPr>
    </w:p>
    <w:p>
      <w:pPr>
        <w:ind w:left="1580" w:hanging="388"/>
        <w:spacing w:after="0"/>
        <w:tabs>
          <w:tab w:leader="none" w:pos="15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been convicted of or pled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or</w:t>
      </w:r>
    </w:p>
    <w:p>
      <w:pPr>
        <w:spacing w:after="0" w:line="221" w:lineRule="exact"/>
        <w:rPr>
          <w:rFonts w:ascii="Times New Roman" w:cs="Times New Roman" w:eastAsia="Times New Roman" w:hAnsi="Times New Roman"/>
          <w:sz w:val="20"/>
          <w:szCs w:val="20"/>
          <w:color w:val="auto"/>
        </w:rPr>
      </w:pPr>
    </w:p>
    <w:p>
      <w:pPr>
        <w:ind w:left="1580" w:hanging="388"/>
        <w:spacing w:after="0"/>
        <w:tabs>
          <w:tab w:leader="none" w:pos="15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committed an act of fraud, dishonesty or gross misconduct which is materially injurious to the Company.</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 act, or failure to act, based upon authority given pursuant to a resolution duly adopted by the Applicable Board (as defined below) or upon the instructions of the Chief Executive Officer of the Company or based upon the advice of counsel or independent accountants for the Company shall be conclusively presumed for purposes of this Agreement to be done, or omitted to be done, by the Grantee in good faith and in the best interests of the Company. The cessation of employment of the Grantee shall not be deemed to be for Cause under clause (a) or (c) above unless and until there shall have been delivered to the Grantee a copy of a resolution duly adopted by the affirmative vote of at least a majority of the entire membership of the Applicable Board (excluding the Grantee and any relative of the Grantee, if the Grantee or such relative is a member of the Applicable Board) at a meeting of the Applicable Board called and held for such purpose (after reasonable notice is provided to the Grantee and the Grantee is given an opportunity, together with counsel for the Grantee, to be heard before the Applicable Board), finding that, in the good faith opinion of the Applicable Board, the Grantee is guilty of the conduct described in clause (a) or (c) above, and specifying the particulars thereof in reasonable detail. For purposes of the definition of Cause, “</w:t>
      </w:r>
      <w:r>
        <w:rPr>
          <w:rFonts w:ascii="Times New Roman" w:cs="Times New Roman" w:eastAsia="Times New Roman" w:hAnsi="Times New Roman"/>
          <w:sz w:val="20"/>
          <w:szCs w:val="20"/>
          <w:u w:val="single" w:color="auto"/>
          <w:color w:val="auto"/>
        </w:rPr>
        <w:t>Applicable Board</w:t>
      </w:r>
      <w:r>
        <w:rPr>
          <w:rFonts w:ascii="Times New Roman" w:cs="Times New Roman" w:eastAsia="Times New Roman" w:hAnsi="Times New Roman"/>
          <w:sz w:val="20"/>
          <w:szCs w:val="20"/>
          <w:color w:val="auto"/>
        </w:rPr>
        <w:t>” means the Board or, if the Company is not the ultimate parent corporation of the Company and its affiliates and is not publicly-traded, the board of directors of the ultimate parent of the Company.</w:t>
      </w:r>
    </w:p>
    <w:p>
      <w:pPr>
        <w:spacing w:after="0" w:line="168"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Arrangement</w:t>
      </w:r>
      <w:r>
        <w:rPr>
          <w:rFonts w:ascii="Times New Roman" w:cs="Times New Roman" w:eastAsia="Times New Roman" w:hAnsi="Times New Roman"/>
          <w:sz w:val="20"/>
          <w:szCs w:val="20"/>
          <w:color w:val="auto"/>
        </w:rPr>
        <w:t>” means [The Macerich Company Change in Control Severance Pay Plan For the CEO, President and Senior Executive Vice Presidents][The Macerich Company Change in Control Severance Pay Plan for Executive Vice Presidents], as may be amended or modified from time to time.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586" w:right="239" w:bottom="1440" w:gutter="0" w:footer="0" w:header="0"/>
        </w:sectPr>
      </w:pPr>
    </w:p>
    <w:bookmarkStart w:id="77" w:name="page78"/>
    <w:bookmarkEnd w:id="77"/>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any of the following:</w:t>
      </w:r>
    </w:p>
    <w:p>
      <w:pPr>
        <w:spacing w:after="0" w:line="205" w:lineRule="exact"/>
        <w:rPr>
          <w:sz w:val="20"/>
          <w:szCs w:val="20"/>
          <w:color w:val="auto"/>
        </w:rPr>
      </w:pPr>
    </w:p>
    <w:p>
      <w:pPr>
        <w:jc w:val="both"/>
        <w:ind w:firstLine="1192"/>
        <w:spacing w:after="0" w:line="253" w:lineRule="auto"/>
        <w:tabs>
          <w:tab w:leader="none" w:pos="157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Person of beneficial ownership (within the meaning of Rule 13d-3 promulgated under the Exchange Act) of 33% or more of either (A) the then-outstanding shares of common stock of the Company (the “</w:t>
      </w:r>
      <w:r>
        <w:rPr>
          <w:rFonts w:ascii="Times New Roman" w:cs="Times New Roman" w:eastAsia="Times New Roman" w:hAnsi="Times New Roman"/>
          <w:sz w:val="20"/>
          <w:szCs w:val="20"/>
          <w:u w:val="single" w:color="auto"/>
          <w:color w:val="auto"/>
        </w:rPr>
        <w:t>Outstanding Company Common Stock</w:t>
      </w:r>
      <w:r>
        <w:rPr>
          <w:rFonts w:ascii="Times New Roman" w:cs="Times New Roman" w:eastAsia="Times New Roman" w:hAnsi="Times New Roman"/>
          <w:sz w:val="20"/>
          <w:szCs w:val="20"/>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0"/>
          <w:szCs w:val="20"/>
          <w:u w:val="single" w:color="auto"/>
          <w:color w:val="auto"/>
        </w:rPr>
        <w:t>Outstanding Company Voting Securities</w:t>
      </w:r>
      <w:r>
        <w:rPr>
          <w:rFonts w:ascii="Times New Roman" w:cs="Times New Roman" w:eastAsia="Times New Roman" w:hAnsi="Times New Roman"/>
          <w:sz w:val="20"/>
          <w:szCs w:val="20"/>
          <w:color w:val="auto"/>
        </w:rPr>
        <w:t>”); provided, however, that, for purposes of this definition, the following acquisitions shall not constitute a Change of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(c)(i), (c)(ii) and (c)(iii) below;</w:t>
      </w:r>
    </w:p>
    <w:p>
      <w:pPr>
        <w:spacing w:after="0" w:line="166" w:lineRule="exact"/>
        <w:rPr>
          <w:rFonts w:ascii="Times New Roman" w:cs="Times New Roman" w:eastAsia="Times New Roman" w:hAnsi="Times New Roman"/>
          <w:sz w:val="20"/>
          <w:szCs w:val="20"/>
          <w:color w:val="auto"/>
        </w:rPr>
      </w:pPr>
    </w:p>
    <w:p>
      <w:pPr>
        <w:jc w:val="both"/>
        <w:ind w:firstLine="1192"/>
        <w:spacing w:after="0" w:line="252" w:lineRule="auto"/>
        <w:tabs>
          <w:tab w:leader="none" w:pos="162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date hereof,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7" w:lineRule="exact"/>
        <w:rPr>
          <w:rFonts w:ascii="Times New Roman" w:cs="Times New Roman" w:eastAsia="Times New Roman" w:hAnsi="Times New Roman"/>
          <w:sz w:val="20"/>
          <w:szCs w:val="20"/>
          <w:color w:val="auto"/>
        </w:rPr>
      </w:pPr>
    </w:p>
    <w:p>
      <w:pPr>
        <w:jc w:val="both"/>
        <w:ind w:firstLine="1192"/>
        <w:spacing w:after="0" w:line="249" w:lineRule="auto"/>
        <w:tabs>
          <w:tab w:leader="none" w:pos="16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586" w:right="2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20"/>
          <w:szCs w:val="20"/>
          <w:color w:val="auto"/>
        </w:rPr>
        <w:t>in excess of 20% existed prior to the Business Combination, and (iii)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57" w:lineRule="exact"/>
        <w:rPr>
          <w:sz w:val="20"/>
          <w:szCs w:val="20"/>
          <w:color w:val="auto"/>
        </w:rPr>
      </w:pPr>
    </w:p>
    <w:p>
      <w:pPr>
        <w:ind w:left="600" w:right="1600" w:firstLine="592"/>
        <w:spacing w:after="0" w:line="460" w:lineRule="auto"/>
        <w:tabs>
          <w:tab w:leader="none" w:pos="159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the Company of a complete liquidation or dissolution of the Company.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shares of the Company’s common stock, par value $0.01 per share, either currently existing or authorized hereafter.</w:t>
      </w:r>
    </w:p>
    <w:p>
      <w:pPr>
        <w:spacing w:after="0" w:line="142" w:lineRule="exact"/>
        <w:rPr>
          <w:sz w:val="20"/>
          <w:szCs w:val="20"/>
          <w:color w:val="auto"/>
        </w:rPr>
      </w:pPr>
    </w:p>
    <w:p>
      <w:pPr>
        <w:jc w:val="both"/>
        <w:ind w:firstLine="5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Activities</w:t>
      </w:r>
      <w:r>
        <w:rPr>
          <w:rFonts w:ascii="Times New Roman" w:cs="Times New Roman" w:eastAsia="Times New Roman" w:hAnsi="Times New Roman"/>
          <w:sz w:val="20"/>
          <w:szCs w:val="20"/>
          <w:color w:val="auto"/>
        </w:rPr>
        <w:t>” means that the Grantee, directly or indirectly, whether as owner, partner, shareholder, consultant, agent, employee, co-venturer or otherwise, engages, participates, assists or invests in any Competing Business (as hereinafter defined). The term “Competing Business” shall mean a publicly-traded real estate investment trust that is identified by the National Association of Real Estate Investment Trusts as a “mall REIT” or “shopping center REIT” (other than the Company or a surviving or resulting entity upon a Change of Control or any of their respective affiliates). Notwithstanding the foregoing, the Grantee may own equity securities of an entity which constitutes or is affiliated with a Competing Business, so long at their value does not exceed two percent (2%) of the aggregate equity market capitalization of the Competing Business.</w:t>
      </w:r>
    </w:p>
    <w:p>
      <w:pPr>
        <w:spacing w:after="0" w:line="167" w:lineRule="exact"/>
        <w:rPr>
          <w:sz w:val="20"/>
          <w:szCs w:val="20"/>
          <w:color w:val="auto"/>
        </w:rPr>
      </w:pPr>
    </w:p>
    <w:p>
      <w:pPr>
        <w:jc w:val="both"/>
        <w:ind w:firstLine="5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Continuous Service</w:t>
      </w:r>
      <w:r>
        <w:rPr>
          <w:rFonts w:ascii="Times New Roman" w:cs="Times New Roman" w:eastAsia="Times New Roman" w:hAnsi="Times New Roman"/>
          <w:sz w:val="20"/>
          <w:szCs w:val="20"/>
          <w:color w:val="auto"/>
        </w:rPr>
        <w:t>” means the continuous service to the Company or any Subsidiary or affiliate, without interruption or termination, in any capacity of employee, or, with the written consent of the Committee, consultant. Continuous Service shall not be considered interrupted in the case of (A) any approved leave of absence, (B) transfers among the Company and any Subsidiary or affiliate, or any successor, in any capacity of employee, or with the written consent of the Committee, consultant, or (C) any change in status as long as the individual remains in the service of the Company and any Subsidiary or affiliate in any capacity of employee, member of the Board or (if the Company specifically agrees in writing that the Continuous Service is not uninterrupted) a consultant. An approved leave of absence shall include sick leave, military leave, or any other authorized personal leave.</w:t>
      </w:r>
    </w:p>
    <w:p>
      <w:pPr>
        <w:spacing w:after="0" w:line="167"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(A) a “permanent and total disability” within the meaning of Section 22(e)(3) of the Code, or (B) the absence of the Grantee from his duties with the Company on a full-time basis for a period of nine months as a result of incapacity due to mental or physical illness which is determined to be total and permanent by a physician selected by the Company or its insurers and acceptable to the Grantee or his legal representative (such agreements as to acceptability not to be unreasonably withheld). “Incapacity” as used herein shall be limited only to a condition that substantially prevents the Grantee from performing his or her duties.</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January 1, [ ].</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586" w:right="239" w:bottom="1440" w:gutter="0" w:footer="0" w:header="0"/>
        </w:sectPr>
      </w:pPr>
    </w:p>
    <w:bookmarkStart w:id="79" w:name="page80"/>
    <w:bookmarkEnd w:id="79"/>
    <w:p>
      <w:pPr>
        <w:jc w:val="both"/>
        <w:ind w:firstLine="5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 action taken by the Company, without the Grantee’s written consent thereto, resulting in a material negative change in the employment relationship, to the extent not remedied by the Company within 30 days after receipt by the Company of written notice from the Grantee provided to the Company within 90 days (the “Cure Period”) of the Grantee’s knowledge of the occurrence of such material negative change in the employment relationship specifying in reasonable detail such occurrence. For these purposes, a “material negative change in the employment relationship” shall include, without limitation, any one or more of the following reasons, set forth in clauses (a) through (e) below:</w:t>
      </w:r>
    </w:p>
    <w:p>
      <w:pPr>
        <w:spacing w:after="0" w:line="166" w:lineRule="exact"/>
        <w:rPr>
          <w:sz w:val="20"/>
          <w:szCs w:val="20"/>
          <w:color w:val="auto"/>
        </w:rPr>
      </w:pPr>
    </w:p>
    <w:p>
      <w:pPr>
        <w:jc w:val="both"/>
        <w:ind w:firstLine="1192"/>
        <w:spacing w:after="0" w:line="268" w:lineRule="auto"/>
        <w:tabs>
          <w:tab w:leader="none" w:pos="164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to the Grantee of any duties materially inconsistent in any respect with the Grantee’s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148" w:lineRule="exact"/>
        <w:rPr>
          <w:rFonts w:ascii="Times New Roman" w:cs="Times New Roman" w:eastAsia="Times New Roman" w:hAnsi="Times New Roman"/>
          <w:sz w:val="20"/>
          <w:szCs w:val="20"/>
          <w:color w:val="auto"/>
        </w:rPr>
      </w:pPr>
    </w:p>
    <w:p>
      <w:pPr>
        <w:ind w:firstLine="1192"/>
        <w:spacing w:after="0" w:line="289" w:lineRule="auto"/>
        <w:tabs>
          <w:tab w:leader="none" w:pos="161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Grantee’s principal office location to a location further away from the Grantee’s home which is more than 30 miles from the Grantee’s current principal office;</w:t>
      </w:r>
    </w:p>
    <w:p>
      <w:pPr>
        <w:spacing w:after="0" w:line="129" w:lineRule="exact"/>
        <w:rPr>
          <w:rFonts w:ascii="Times New Roman" w:cs="Times New Roman" w:eastAsia="Times New Roman" w:hAnsi="Times New Roman"/>
          <w:sz w:val="20"/>
          <w:szCs w:val="20"/>
          <w:color w:val="auto"/>
        </w:rPr>
      </w:pPr>
    </w:p>
    <w:p>
      <w:pPr>
        <w:jc w:val="both"/>
        <w:ind w:firstLine="1192"/>
        <w:spacing w:after="0" w:line="253" w:lineRule="auto"/>
        <w:tabs>
          <w:tab w:leader="none" w:pos="160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taking of any action by the Company to eliminate benefit plans in which the Grantee participated in or was eligible to participate in immediately prior to a Change of Control without providing substitutes therefor, to materially reduce benefits thereunder or to substantially diminish the aggregate value of the incentive awards or other fringe benefits; provided that if neither a surviving entity nor its parent following a Change of Control is a publicly-held company, the failure to provide stock-based benefits shall not be deemed good reason if benefits of comparable value using recognized valuation methodology are substituted therefor; and provided further that a reduction or elimination in the aggregate of not more than 10% in aggregate benefits in connection with across the board reductions or modifications affecting similarly situated persons of executive rank in the Company or a combined organization shall not constitute Good Reason;</w:t>
      </w:r>
    </w:p>
    <w:p>
      <w:pPr>
        <w:spacing w:after="0" w:line="166" w:lineRule="exact"/>
        <w:rPr>
          <w:rFonts w:ascii="Times New Roman" w:cs="Times New Roman" w:eastAsia="Times New Roman" w:hAnsi="Times New Roman"/>
          <w:sz w:val="20"/>
          <w:szCs w:val="20"/>
          <w:color w:val="auto"/>
        </w:rPr>
      </w:pPr>
    </w:p>
    <w:p>
      <w:pPr>
        <w:ind w:left="1580" w:hanging="388"/>
        <w:spacing w:after="0"/>
        <w:tabs>
          <w:tab w:leader="none" w:pos="15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one or more reductions in the Grantee’s Base Salary that, individually or in the aggregate, exceed 10% of the Grantee’s</w:t>
      </w:r>
    </w:p>
    <w:p>
      <w:pPr>
        <w:spacing w:after="0" w:line="4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Base Salary; or</w:t>
      </w:r>
    </w:p>
    <w:p>
      <w:pPr>
        <w:spacing w:after="0" w:line="194" w:lineRule="exact"/>
        <w:rPr>
          <w:rFonts w:ascii="Times New Roman" w:cs="Times New Roman" w:eastAsia="Times New Roman" w:hAnsi="Times New Roman"/>
          <w:sz w:val="19"/>
          <w:szCs w:val="19"/>
          <w:color w:val="auto"/>
        </w:rPr>
      </w:pPr>
    </w:p>
    <w:p>
      <w:pPr>
        <w:ind w:left="1580" w:hanging="388"/>
        <w:spacing w:after="0"/>
        <w:tabs>
          <w:tab w:leader="none" w:pos="15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by the Company of the Grantee’s Service Agreement (if one exists).</w:t>
      </w:r>
    </w:p>
    <w:p>
      <w:pPr>
        <w:spacing w:after="0" w:line="217" w:lineRule="exact"/>
        <w:rPr>
          <w:sz w:val="20"/>
          <w:szCs w:val="20"/>
          <w:color w:val="auto"/>
        </w:rPr>
      </w:pPr>
    </w:p>
    <w:p>
      <w:pPr>
        <w:jc w:val="both"/>
        <w:ind w:firstLine="596"/>
        <w:spacing w:after="0" w:line="250" w:lineRule="auto"/>
        <w:rPr>
          <w:sz w:val="20"/>
          <w:szCs w:val="20"/>
          <w:color w:val="auto"/>
        </w:rPr>
      </w:pPr>
      <w:r>
        <w:rPr>
          <w:rFonts w:ascii="Times New Roman" w:cs="Times New Roman" w:eastAsia="Times New Roman" w:hAnsi="Times New Roman"/>
          <w:sz w:val="20"/>
          <w:szCs w:val="20"/>
          <w:color w:val="auto"/>
        </w:rPr>
        <w:t>In the event that the Company fails to remedy the condition constituting Good Reason during the applicable Cure Period, the Grantee’s “separation from service” (within the meaning of Section 409A of the Code) must occur, if at all, within two years following the occurrence of such condition in order for such termination as a result of such condition to constitute a termination for Good Reason. If the Grantee suffers a Disability or dies following the occurrence of such material negative change in the employment relationship and the Grantee has given the Company the requisite written notice but the Company has failed to remedy the situation prior to such physical or mental incapacity or death, the Grantee’s physical or mental incapacity or death shall not affect the ability of the Grantee or his heirs or beneficiaries, as applicable, to treat the Grantee’s termination of employment as a termination for Good Reason, Retirement, death or Disability. For purposes of the definition of Good Reason, the term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the annual base rate of compensation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586" w:right="239" w:bottom="1440" w:gutter="0" w:footer="0" w:header="0"/>
        </w:sectPr>
      </w:pPr>
    </w:p>
    <w:bookmarkStart w:id="80" w:name="page81"/>
    <w:bookmarkEnd w:id="80"/>
    <w:p>
      <w:pPr>
        <w:jc w:val="both"/>
        <w:ind w:left="1"/>
        <w:spacing w:after="0" w:line="261" w:lineRule="auto"/>
        <w:rPr>
          <w:sz w:val="20"/>
          <w:szCs w:val="20"/>
          <w:color w:val="auto"/>
        </w:rPr>
      </w:pPr>
      <w:r>
        <w:rPr>
          <w:rFonts w:ascii="Times New Roman" w:cs="Times New Roman" w:eastAsia="Times New Roman" w:hAnsi="Times New Roman"/>
          <w:sz w:val="20"/>
          <w:szCs w:val="20"/>
          <w:color w:val="auto"/>
        </w:rPr>
        <w:t>payable to Grantee by the Company prior to any reduction thereof, before deductions or voluntary deferrals authorized by the Grantee or required by law to be withheld from the Grantee by the Company. Salary excludes all other extra pay such as overtime, pensions, severance payments, bonuses, equity-based incentives, living or other allowances, and other perquisites.</w:t>
      </w:r>
    </w:p>
    <w:p>
      <w:pPr>
        <w:spacing w:after="0" w:line="157" w:lineRule="exact"/>
        <w:rPr>
          <w:sz w:val="20"/>
          <w:szCs w:val="20"/>
          <w:color w:val="auto"/>
        </w:rPr>
      </w:pPr>
    </w:p>
    <w:p>
      <w:pPr>
        <w:jc w:val="both"/>
        <w:ind w:left="1"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means units of limited partnership interest of the Partnership designated as “LTIP Units” in the Partnership Agreement awarded pursuant to this Agreement under the LTIP having the rights, voting powers, restrictions, limitations as to distributions, qualifications and terms and conditions of redemption set forth in the Partnership Agreement.</w:t>
      </w:r>
    </w:p>
    <w:p>
      <w:pPr>
        <w:spacing w:after="0" w:line="15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Partial Service Factor</w:t>
      </w:r>
      <w:r>
        <w:rPr>
          <w:rFonts w:ascii="Times New Roman" w:cs="Times New Roman" w:eastAsia="Times New Roman" w:hAnsi="Times New Roman"/>
          <w:sz w:val="20"/>
          <w:szCs w:val="20"/>
          <w:color w:val="auto"/>
        </w:rPr>
        <w:t>” means a factor carried out to the sixth decimal, but never greater than one (1.000000), determined by dividing</w:t>
      </w:r>
    </w:p>
    <w:p>
      <w:pPr>
        <w:spacing w:after="0" w:line="28" w:lineRule="exact"/>
        <w:rPr>
          <w:sz w:val="20"/>
          <w:szCs w:val="20"/>
          <w:color w:val="auto"/>
        </w:rPr>
      </w:pPr>
    </w:p>
    <w:p>
      <w:pPr>
        <w:ind w:left="1" w:hanging="1"/>
        <w:spacing w:after="0" w:line="253" w:lineRule="auto"/>
        <w:tabs>
          <w:tab w:leader="none" w:pos="3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calendar days that have elapsed since the Effective Date to and including the date of the Grantee’s Retirement, death or Disability (as applicable) by (B) 365.</w:t>
      </w:r>
    </w:p>
    <w:p>
      <w:pPr>
        <w:spacing w:after="0" w:line="164" w:lineRule="exact"/>
        <w:rPr>
          <w:sz w:val="20"/>
          <w:szCs w:val="20"/>
          <w:color w:val="auto"/>
        </w:rPr>
      </w:pPr>
    </w:p>
    <w:p>
      <w:pPr>
        <w:jc w:val="both"/>
        <w:ind w:left="1"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Agreement</w:t>
      </w:r>
      <w:r>
        <w:rPr>
          <w:rFonts w:ascii="Times New Roman" w:cs="Times New Roman" w:eastAsia="Times New Roman" w:hAnsi="Times New Roman"/>
          <w:sz w:val="20"/>
          <w:szCs w:val="20"/>
          <w:color w:val="auto"/>
        </w:rPr>
        <w:t>” means the Amended and Restated Limited Partnership Agreement of the Partnership, dated as of March 16, 1994, among the Company, as general partner, and the limited partners who are parties thereto, as amended from time to time.</w:t>
      </w:r>
    </w:p>
    <w:p>
      <w:pPr>
        <w:spacing w:after="0" w:line="142" w:lineRule="exact"/>
        <w:rPr>
          <w:sz w:val="20"/>
          <w:szCs w:val="20"/>
          <w:color w:val="auto"/>
        </w:rPr>
      </w:pPr>
    </w:p>
    <w:p>
      <w:pPr>
        <w:jc w:val="both"/>
        <w:ind w:left="1"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corporation, partnership, limited liability company, joint venture, association, trust, unincorporated organization, other entity or “group” (as defined in the Exchange Act).</w:t>
      </w:r>
    </w:p>
    <w:p>
      <w:pPr>
        <w:spacing w:after="0" w:line="142" w:lineRule="exact"/>
        <w:rPr>
          <w:sz w:val="20"/>
          <w:szCs w:val="20"/>
          <w:color w:val="auto"/>
        </w:rPr>
      </w:pPr>
    </w:p>
    <w:p>
      <w:pPr>
        <w:jc w:val="both"/>
        <w:ind w:left="1"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Prior LTIP Units</w:t>
      </w:r>
      <w:r>
        <w:rPr>
          <w:rFonts w:ascii="Times New Roman" w:cs="Times New Roman" w:eastAsia="Times New Roman" w:hAnsi="Times New Roman"/>
          <w:sz w:val="20"/>
          <w:szCs w:val="20"/>
          <w:color w:val="auto"/>
        </w:rPr>
        <w:t>” means units of limited partnership interest of the Partnership designated as “LTIP Units” in the Partnership Agreement awarded to Grantee prior to the Effective Date under the LTIP (or any other predecessor plan or equity or partnership interest plan) that are subject to service-based vesting requirements.</w:t>
      </w:r>
    </w:p>
    <w:p>
      <w:pPr>
        <w:spacing w:after="0" w:line="157" w:lineRule="exact"/>
        <w:rPr>
          <w:sz w:val="20"/>
          <w:szCs w:val="20"/>
          <w:color w:val="auto"/>
        </w:rPr>
      </w:pPr>
    </w:p>
    <w:p>
      <w:pPr>
        <w:jc w:val="both"/>
        <w:ind w:left="1"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means a termination of the Grantee’s employment (A) by the Company for no reason, or for any reason (other than for Cause, death or Disability) or, (B) by the Grantee for Good Reason.</w:t>
      </w:r>
    </w:p>
    <w:p>
      <w:pPr>
        <w:spacing w:after="0" w:line="142" w:lineRule="exact"/>
        <w:rPr>
          <w:sz w:val="20"/>
          <w:szCs w:val="20"/>
          <w:color w:val="auto"/>
        </w:rPr>
      </w:pPr>
    </w:p>
    <w:p>
      <w:pPr>
        <w:jc w:val="both"/>
        <w:ind w:left="1" w:firstLine="596"/>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 Factor</w:t>
      </w:r>
      <w:r>
        <w:rPr>
          <w:rFonts w:ascii="Times New Roman" w:cs="Times New Roman" w:eastAsia="Times New Roman" w:hAnsi="Times New Roman"/>
          <w:sz w:val="20"/>
          <w:szCs w:val="20"/>
          <w:color w:val="auto"/>
        </w:rPr>
        <w:t>” means a factor carried out to the sixth decimal, but never greater than one (1.000000), determined by dividing (A) the number of days between the last Vesting Date that occurred prior to Grantee’s Qualified Termination (or, if such Qualified Termination occurs prior to the occurrence of the first Vesting Date, the Effective Date) and the date of the Grantee’s termination of employment divided by (B) 365.</w:t>
      </w:r>
    </w:p>
    <w:p>
      <w:pPr>
        <w:spacing w:after="0" w:line="16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January 1, [ ] through the December 31, [ ].</w:t>
      </w:r>
    </w:p>
    <w:p>
      <w:pPr>
        <w:spacing w:after="0" w:line="205" w:lineRule="exact"/>
        <w:rPr>
          <w:sz w:val="20"/>
          <w:szCs w:val="20"/>
          <w:color w:val="auto"/>
        </w:rPr>
      </w:pPr>
    </w:p>
    <w:p>
      <w:pPr>
        <w:jc w:val="both"/>
        <w:ind w:left="1" w:firstLine="5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if the Grantee is a party to a Service Agreement immediately prior to such event, and “Retirement” is defined therein, then “Retirement” shall have the meaning set forth in such Service Agreement, or (B) if the Grantee is not party to a Service Agreement immediately prior to such event and/or the Grantee’s Service Agreement does not define “Retirement,” then “Retirement” shall mean the Grantee’s voluntary termination of employment with the Company and its Subsidiaries on or after the attainment of age 55 and completion of ten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1"/>
          </w:cols>
          <w:pgMar w:left="239" w:top="586" w:right="239" w:bottom="1440" w:gutter="0" w:footer="0" w:header="0"/>
        </w:sectPr>
      </w:pPr>
    </w:p>
    <w:bookmarkStart w:id="81" w:name="page82"/>
    <w:bookmarkEnd w:id="81"/>
    <w:p>
      <w:pPr>
        <w:ind w:left="1" w:hanging="1"/>
        <w:spacing w:after="0" w:line="276" w:lineRule="auto"/>
        <w:tabs>
          <w:tab w:leader="none" w:pos="42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years of employment with the Company and/or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Retirement the Grantee does not engage in Competitive Activities during the balance of the Restricted Period.</w:t>
      </w:r>
    </w:p>
    <w:p>
      <w:pPr>
        <w:spacing w:after="0" w:line="142" w:lineRule="exact"/>
        <w:rPr>
          <w:sz w:val="20"/>
          <w:szCs w:val="20"/>
          <w:color w:val="auto"/>
        </w:rPr>
      </w:pPr>
    </w:p>
    <w:p>
      <w:pPr>
        <w:jc w:val="both"/>
        <w:ind w:left="1" w:firstLine="5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means, as of a particular date, any employment, consulting or similar service agreement, including, without limitation, management continuity agreement, then in effect between the Grantee, on the one hand, and the Company or one of its affiliates, on the other hand, as amended or supplemented through such date.</w:t>
      </w:r>
    </w:p>
    <w:p>
      <w:pPr>
        <w:spacing w:after="0" w:line="157" w:lineRule="exact"/>
        <w:rPr>
          <w:sz w:val="20"/>
          <w:szCs w:val="20"/>
          <w:color w:val="auto"/>
        </w:rPr>
      </w:pPr>
    </w:p>
    <w:p>
      <w:pPr>
        <w:jc w:val="both"/>
        <w:ind w:left="1" w:firstLine="5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means Partnership Units (as defined in the Partnership Agreement) that are outstanding or are issuable upon the conversion, exercise, exchange or redemption of any securities of any kind convertible, exercisable, exchangeable or redeemable for Partnership Units.</w:t>
      </w:r>
    </w:p>
    <w:p>
      <w:pPr>
        <w:spacing w:after="0" w:line="14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means each of the vesting dates set forth in Section 4.</w:t>
      </w:r>
    </w:p>
    <w:p>
      <w:pPr>
        <w:spacing w:after="0" w:line="205"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means the vesting schedule set forth in Section 4.</w:t>
      </w:r>
    </w:p>
    <w:p>
      <w:pPr>
        <w:spacing w:after="0" w:line="201" w:lineRule="exact"/>
        <w:rPr>
          <w:sz w:val="20"/>
          <w:szCs w:val="20"/>
          <w:color w:val="auto"/>
        </w:rPr>
      </w:pPr>
    </w:p>
    <w:p>
      <w:pPr>
        <w:ind w:left="921" w:hanging="324"/>
        <w:spacing w:after="0"/>
        <w:tabs>
          <w:tab w:leader="none" w:pos="92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of [ ] LTIP Units (SB)</w:t>
      </w:r>
      <w:r>
        <w:rPr>
          <w:rFonts w:ascii="Times New Roman" w:cs="Times New Roman" w:eastAsia="Times New Roman" w:hAnsi="Times New Roman"/>
          <w:sz w:val="20"/>
          <w:szCs w:val="20"/>
          <w:b w:val="1"/>
          <w:bCs w:val="1"/>
          <w:color w:val="auto"/>
        </w:rPr>
        <w:t>.</w:t>
      </w:r>
    </w:p>
    <w:p>
      <w:pPr>
        <w:spacing w:after="0" w:line="221" w:lineRule="exact"/>
        <w:rPr>
          <w:rFonts w:ascii="Times New Roman" w:cs="Times New Roman" w:eastAsia="Times New Roman" w:hAnsi="Times New Roman"/>
          <w:sz w:val="20"/>
          <w:szCs w:val="20"/>
          <w:color w:val="auto"/>
        </w:rPr>
      </w:pPr>
    </w:p>
    <w:p>
      <w:pPr>
        <w:jc w:val="both"/>
        <w:ind w:left="1" w:firstLine="1192"/>
        <w:spacing w:after="0" w:line="268" w:lineRule="auto"/>
        <w:tabs>
          <w:tab w:leader="none" w:pos="159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terms and conditions set forth in this Agreement, as well as the terms and conditions of the Stock Plan, the Grantee is hereby granted this Award consisting of the number of [ ] LTIP Units (SB)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opposite “[ ] LTIP Units (SB)”, which is incorporated herein by reference (the “</w:t>
      </w:r>
      <w:r>
        <w:rPr>
          <w:rFonts w:ascii="Times New Roman" w:cs="Times New Roman" w:eastAsia="Times New Roman" w:hAnsi="Times New Roman"/>
          <w:sz w:val="20"/>
          <w:szCs w:val="20"/>
          <w:u w:val="single" w:color="auto"/>
          <w:color w:val="auto"/>
        </w:rPr>
        <w:t>[ ] LTIP Units (SB)</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1" w:firstLine="1192"/>
        <w:spacing w:after="0" w:line="260" w:lineRule="auto"/>
        <w:tabs>
          <w:tab w:leader="none" w:pos="161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 LTIP Units (SB) shall constitute and be treated as the property of the Grantee as of the applicable grant date, subject to the terms of this Agreement and the Partnership Agreement. Every grant of [ ] LTIP Units (SB) to the Grantee pursuant to this Award shall be set forth in minutes of the meetings of the Committee. [ ] LTIP Units (SB) will be: (A) subject to vesting and/or forfeiture to the extent provided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and (B) subject to restrictions on transfer as provided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hereof.</w:t>
      </w:r>
    </w:p>
    <w:p>
      <w:pPr>
        <w:spacing w:after="0" w:line="154" w:lineRule="exact"/>
        <w:rPr>
          <w:rFonts w:ascii="Times New Roman" w:cs="Times New Roman" w:eastAsia="Times New Roman" w:hAnsi="Times New Roman"/>
          <w:sz w:val="20"/>
          <w:szCs w:val="20"/>
          <w:color w:val="auto"/>
        </w:rPr>
      </w:pPr>
    </w:p>
    <w:p>
      <w:pPr>
        <w:ind w:left="921" w:hanging="324"/>
        <w:spacing w:after="0"/>
        <w:tabs>
          <w:tab w:leader="none" w:pos="92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 ] LTIP Units (SB).</w:t>
      </w:r>
    </w:p>
    <w:p>
      <w:pPr>
        <w:spacing w:after="0" w:line="221" w:lineRule="exact"/>
        <w:rPr>
          <w:rFonts w:ascii="Times New Roman" w:cs="Times New Roman" w:eastAsia="Times New Roman" w:hAnsi="Times New Roman"/>
          <w:sz w:val="20"/>
          <w:szCs w:val="20"/>
          <w:color w:val="auto"/>
        </w:rPr>
      </w:pPr>
    </w:p>
    <w:p>
      <w:pPr>
        <w:jc w:val="both"/>
        <w:ind w:left="1" w:firstLine="1192"/>
        <w:spacing w:after="0" w:line="268" w:lineRule="auto"/>
        <w:tabs>
          <w:tab w:leader="none" w:pos="165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and/or the Stock Plan, the [ ] LTIP Units (SB) shall become vested in the amounts provided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Continuous Service of the Grantee continues through and on the relevant Vesting Date.</w:t>
      </w:r>
    </w:p>
    <w:p>
      <w:pPr>
        <w:spacing w:after="0" w:line="148" w:lineRule="exact"/>
        <w:rPr>
          <w:rFonts w:ascii="Times New Roman" w:cs="Times New Roman" w:eastAsia="Times New Roman" w:hAnsi="Times New Roman"/>
          <w:sz w:val="20"/>
          <w:szCs w:val="20"/>
          <w:color w:val="auto"/>
        </w:rPr>
      </w:pPr>
    </w:p>
    <w:p>
      <w:pPr>
        <w:jc w:val="both"/>
        <w:ind w:left="1" w:firstLine="1192"/>
        <w:spacing w:after="0" w:line="254" w:lineRule="auto"/>
        <w:tabs>
          <w:tab w:leader="none" w:pos="171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Grantee agrees to provide Continuous Service to the Company in consideration for the conditional rights to the unvested [ ] LTIP Units (SB). Except as otherwise provided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or pursuant to the Stock Plan, the Vesting Schedule provided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requires Continuous Service through each applicable Vesting Date as a condition to the vesting of the applicable installment and rights and benefits under this Agreement. Partial service, even if substantial, during any vesting period will not entitle the Grantee to any proportionate vesting or avoid or mitigate a termination of rights and benefits upon or following a termination of employment or service except as provided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or under the Stock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1"/>
          </w:cols>
          <w:pgMar w:left="239" w:top="586" w:right="239" w:bottom="1440" w:gutter="0" w:footer="0" w:header="0"/>
        </w:sectPr>
      </w:pPr>
    </w:p>
    <w:bookmarkStart w:id="82" w:name="page83"/>
    <w:bookmarkEnd w:id="82"/>
    <w:p>
      <w:pPr>
        <w:jc w:val="both"/>
        <w:ind w:firstLine="1192"/>
        <w:spacing w:after="0" w:line="260" w:lineRule="auto"/>
        <w:tabs>
          <w:tab w:leader="none" w:pos="159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 ] LTIP Units (SB) that do not become vested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shall, without payment of any consideration by the Partnership, automatically and without notice terminate, be forfeited and be and become null and void, and neither the Grantee nor any of his or her successors, heirs, assigns, or personal representatives will thereafter have any further rights or interests in such unvested [ ] LTIP Units (SB).</w:t>
      </w:r>
    </w:p>
    <w:p>
      <w:pPr>
        <w:spacing w:after="0" w:line="154" w:lineRule="exact"/>
        <w:rPr>
          <w:rFonts w:ascii="Times New Roman" w:cs="Times New Roman" w:eastAsia="Times New Roman" w:hAnsi="Times New Roman"/>
          <w:sz w:val="20"/>
          <w:szCs w:val="20"/>
          <w:color w:val="auto"/>
        </w:rPr>
      </w:pPr>
    </w:p>
    <w:p>
      <w:pPr>
        <w:ind w:left="920" w:hanging="324"/>
        <w:spacing w:after="0"/>
        <w:tabs>
          <w:tab w:leader="none" w:pos="9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of Control or Termination of Grantee’s Service Relationship.</w:t>
      </w:r>
    </w:p>
    <w:p>
      <w:pPr>
        <w:spacing w:after="0" w:line="221" w:lineRule="exact"/>
        <w:rPr>
          <w:rFonts w:ascii="Times New Roman" w:cs="Times New Roman" w:eastAsia="Times New Roman" w:hAnsi="Times New Roman"/>
          <w:sz w:val="20"/>
          <w:szCs w:val="20"/>
          <w:color w:val="auto"/>
        </w:rPr>
      </w:pPr>
    </w:p>
    <w:p>
      <w:pPr>
        <w:jc w:val="both"/>
        <w:ind w:firstLine="1192"/>
        <w:spacing w:after="0" w:line="263" w:lineRule="auto"/>
        <w:tabs>
          <w:tab w:leader="none" w:pos="159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Grantee is a party to a Service Agreement, the provisions of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shall govern the vesting of the Grantee’s [ ] LTIP Units (SB) exclusively in the event of a Change of Control or termination of the Grantee’s service relationship with the Company or any Subsidiary or affiliate, unless the Service Agreement contains provisions that expressly refer to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and provides that those provisions of the Service Agreement shall instead govern the vesting of the Grantee’s [ ] LTIP Units (SB). The foregoing sentence will be deemed an amendment to any applicable Service Agreement to the extent required to apply its terms consistently with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such that, by way of illustration, any provisions of the Service Agreement with respect to accelerated vesting or payout of the Grantee’s bonus or incentive compensation awards in the event of certain types of terminations of Grantee’s service relationship (such as, for example, termination at the end of the term, termination without Cause by the employer or termination for Good Reason by the employee) shall not (unless the Service Agreement contains provisions that expressly refer to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and provides that those provisions of the Service Agreement shall instead govern the vesting of the Grantee’s [ ] LTIP Units (SB)) be interpreted as requiring that any vesting occur with respect to this Award other than as specifically provided in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In the event an entity ceases to be a Subsidiary or affiliate of the Company, such action shall be deemed to be a termination of employment of all employees of that entity for purposes of this Agreement, resulting in any then unvested [ ] LTIP Units (PB), without payment of any consideration by the Partnership, being automatically and without notice forfeited,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Committee, in its sole and absolute discretion, may make provision in such circumstances for accelerated vesting of some or all of the Grantee’s remaining unvested [ ] LTIP Units (SB) that have not previously been forfeited effective immediately prior to such event.</w:t>
      </w:r>
    </w:p>
    <w:p>
      <w:pPr>
        <w:spacing w:after="0" w:line="160" w:lineRule="exact"/>
        <w:rPr>
          <w:rFonts w:ascii="Times New Roman" w:cs="Times New Roman" w:eastAsia="Times New Roman" w:hAnsi="Times New Roman"/>
          <w:sz w:val="19"/>
          <w:szCs w:val="19"/>
          <w:color w:val="auto"/>
        </w:rPr>
      </w:pPr>
    </w:p>
    <w:p>
      <w:pPr>
        <w:ind w:left="1580" w:hanging="388"/>
        <w:spacing w:after="0"/>
        <w:tabs>
          <w:tab w:leader="none" w:pos="15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of Control prior to December 31, [ ], then:</w:t>
      </w:r>
    </w:p>
    <w:p>
      <w:pPr>
        <w:spacing w:after="0" w:line="217" w:lineRule="exact"/>
        <w:rPr>
          <w:rFonts w:ascii="Times New Roman" w:cs="Times New Roman" w:eastAsia="Times New Roman" w:hAnsi="Times New Roman"/>
          <w:sz w:val="20"/>
          <w:szCs w:val="20"/>
          <w:color w:val="auto"/>
        </w:rPr>
      </w:pPr>
    </w:p>
    <w:p>
      <w:pPr>
        <w:jc w:val="both"/>
        <w:ind w:left="1200" w:firstLine="1185"/>
        <w:spacing w:after="0" w:line="268" w:lineRule="auto"/>
        <w:tabs>
          <w:tab w:leader="none" w:pos="2746"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 ] LTIP Units (SB) remain outstanding after a Change of Control or equivalent replacement awards (as defined in </w:t>
      </w:r>
      <w:r>
        <w:rPr>
          <w:rFonts w:ascii="Times New Roman" w:cs="Times New Roman" w:eastAsia="Times New Roman" w:hAnsi="Times New Roman"/>
          <w:sz w:val="19"/>
          <w:szCs w:val="19"/>
          <w:u w:val="single" w:color="auto"/>
          <w:color w:val="auto"/>
        </w:rPr>
        <w:t>Section 5(b)(iii)</w:t>
      </w:r>
      <w:r>
        <w:rPr>
          <w:rFonts w:ascii="Times New Roman" w:cs="Times New Roman" w:eastAsia="Times New Roman" w:hAnsi="Times New Roman"/>
          <w:sz w:val="19"/>
          <w:szCs w:val="19"/>
          <w:color w:val="auto"/>
        </w:rPr>
        <w:t xml:space="preserve"> hereof) are substituted for the [ ] LTIP Units (SB) at the time of the Change of Control, then unvested [ ] LTIP Units (SB) shall remain subject to vesting tied to the Grantee’s Continuous Service until December 31, [ ] as if no Change of Control had occurred, except that the Grantee shall become fully vested in such [ ] LTIP Units (SB) immediately</w:t>
      </w:r>
    </w:p>
    <w:p>
      <w:pPr>
        <w:spacing w:after="0" w:line="2" w:lineRule="exact"/>
        <w:rPr>
          <w:rFonts w:ascii="Times New Roman" w:cs="Times New Roman" w:eastAsia="Times New Roman" w:hAnsi="Times New Roman"/>
          <w:sz w:val="19"/>
          <w:szCs w:val="19"/>
          <w:color w:val="auto"/>
        </w:rPr>
      </w:pPr>
    </w:p>
    <w:p>
      <w:pPr>
        <w:ind w:left="120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upon the Grantee’s Qualified Termination in connection with or within twenty-four (24) months after the Change of Control, or (B) upon the Grantee’s death, Disability or Retirement;</w:t>
      </w:r>
    </w:p>
    <w:p>
      <w:pPr>
        <w:spacing w:after="0" w:line="163" w:lineRule="exact"/>
        <w:rPr>
          <w:rFonts w:ascii="Times New Roman" w:cs="Times New Roman" w:eastAsia="Times New Roman" w:hAnsi="Times New Roman"/>
          <w:sz w:val="19"/>
          <w:szCs w:val="19"/>
          <w:color w:val="auto"/>
        </w:rPr>
      </w:pPr>
    </w:p>
    <w:p>
      <w:pPr>
        <w:ind w:left="1200" w:firstLine="1185"/>
        <w:spacing w:after="0" w:line="289" w:lineRule="auto"/>
        <w:tabs>
          <w:tab w:leader="none" w:pos="2826"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neither the [ ] LTIP Units (SB) remain outstanding after a Change of Control nor equivalent replacement awards (as defined in </w:t>
      </w:r>
      <w:r>
        <w:rPr>
          <w:rFonts w:ascii="Times New Roman" w:cs="Times New Roman" w:eastAsia="Times New Roman" w:hAnsi="Times New Roman"/>
          <w:sz w:val="20"/>
          <w:szCs w:val="20"/>
          <w:u w:val="single" w:color="auto"/>
          <w:color w:val="auto"/>
        </w:rPr>
        <w:t>Section 5(b)(iii)</w:t>
      </w:r>
      <w:r>
        <w:rPr>
          <w:rFonts w:ascii="Times New Roman" w:cs="Times New Roman" w:eastAsia="Times New Roman" w:hAnsi="Times New Roman"/>
          <w:sz w:val="20"/>
          <w:szCs w:val="20"/>
          <w:color w:val="auto"/>
        </w:rPr>
        <w:t xml:space="preserve"> hereof) are substituted for the [ ] LTIP Units (SB) at the time of the Change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586" w:right="239" w:bottom="1440" w:gutter="0" w:footer="0" w:header="0"/>
        </w:sectPr>
      </w:pPr>
    </w:p>
    <w:bookmarkStart w:id="83" w:name="page84"/>
    <w:bookmarkEnd w:id="83"/>
    <w:p>
      <w:pPr>
        <w:ind w:left="1200"/>
        <w:spacing w:after="0" w:line="276" w:lineRule="auto"/>
        <w:rPr>
          <w:sz w:val="20"/>
          <w:szCs w:val="20"/>
          <w:color w:val="auto"/>
        </w:rPr>
      </w:pPr>
      <w:r>
        <w:rPr>
          <w:rFonts w:ascii="Times New Roman" w:cs="Times New Roman" w:eastAsia="Times New Roman" w:hAnsi="Times New Roman"/>
          <w:sz w:val="20"/>
          <w:szCs w:val="20"/>
          <w:color w:val="auto"/>
        </w:rPr>
        <w:t>of Control, then the Grantee shall become fully vested in all unvested [ ] LTIP Units (SB) as of the date of the Change of Control; and</w:t>
      </w:r>
    </w:p>
    <w:p>
      <w:pPr>
        <w:spacing w:after="0" w:line="142" w:lineRule="exact"/>
        <w:rPr>
          <w:sz w:val="20"/>
          <w:szCs w:val="20"/>
          <w:color w:val="auto"/>
        </w:rPr>
      </w:pPr>
    </w:p>
    <w:p>
      <w:pPr>
        <w:ind w:left="1200" w:firstLine="1185"/>
        <w:spacing w:after="0" w:line="289" w:lineRule="auto"/>
        <w:tabs>
          <w:tab w:leader="none" w:pos="28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shall qualify as an “equivalent replacement award” if the following conditions are met in the good faith discretion of the Committee:</w:t>
      </w:r>
    </w:p>
    <w:p>
      <w:pPr>
        <w:spacing w:after="0" w:line="129" w:lineRule="exact"/>
        <w:rPr>
          <w:rFonts w:ascii="Times New Roman" w:cs="Times New Roman" w:eastAsia="Times New Roman" w:hAnsi="Times New Roman"/>
          <w:sz w:val="20"/>
          <w:szCs w:val="20"/>
          <w:color w:val="auto"/>
        </w:rPr>
      </w:pPr>
    </w:p>
    <w:p>
      <w:pPr>
        <w:jc w:val="both"/>
        <w:ind w:left="1780" w:firstLine="1201"/>
        <w:spacing w:after="0" w:line="268" w:lineRule="auto"/>
        <w:tabs>
          <w:tab w:leader="none" w:pos="3501"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award is of the same type as the [ ] LTIP Units (SB) being replaced, including, without limitation, income tax attributes relating to the extent and timing of recognition of taxable income, gain or loss by the Grantee;</w:t>
      </w:r>
    </w:p>
    <w:p>
      <w:pPr>
        <w:spacing w:after="0" w:line="148" w:lineRule="exact"/>
        <w:rPr>
          <w:rFonts w:ascii="Times New Roman" w:cs="Times New Roman" w:eastAsia="Times New Roman" w:hAnsi="Times New Roman"/>
          <w:sz w:val="20"/>
          <w:szCs w:val="20"/>
          <w:color w:val="auto"/>
        </w:rPr>
      </w:pPr>
    </w:p>
    <w:p>
      <w:pPr>
        <w:ind w:left="1780" w:firstLine="1201"/>
        <w:spacing w:after="0" w:line="289" w:lineRule="auto"/>
        <w:tabs>
          <w:tab w:leader="none" w:pos="344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award has a value equal to the Fair Market Value of the [ ] LTIP Units (SB) being replaced as of the effective date of the Change of Control;</w:t>
      </w:r>
    </w:p>
    <w:p>
      <w:pPr>
        <w:spacing w:after="0" w:line="129" w:lineRule="exact"/>
        <w:rPr>
          <w:rFonts w:ascii="Times New Roman" w:cs="Times New Roman" w:eastAsia="Times New Roman" w:hAnsi="Times New Roman"/>
          <w:sz w:val="20"/>
          <w:szCs w:val="20"/>
          <w:color w:val="auto"/>
        </w:rPr>
      </w:pPr>
    </w:p>
    <w:p>
      <w:pPr>
        <w:jc w:val="both"/>
        <w:ind w:left="1780" w:firstLine="1201"/>
        <w:spacing w:after="0" w:line="268" w:lineRule="auto"/>
        <w:tabs>
          <w:tab w:leader="none" w:pos="3602"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securities issuable upon the conversion, exercise, exchange or redemption of the replacement award, or securities underlying the replacement award, as applicable, are listed on a national stock exchange;</w:t>
      </w:r>
    </w:p>
    <w:p>
      <w:pPr>
        <w:spacing w:after="0" w:line="148" w:lineRule="exact"/>
        <w:rPr>
          <w:rFonts w:ascii="Times New Roman" w:cs="Times New Roman" w:eastAsia="Times New Roman" w:hAnsi="Times New Roman"/>
          <w:sz w:val="20"/>
          <w:szCs w:val="20"/>
          <w:color w:val="auto"/>
        </w:rPr>
      </w:pPr>
    </w:p>
    <w:p>
      <w:pPr>
        <w:jc w:val="both"/>
        <w:ind w:left="1780" w:firstLine="1201"/>
        <w:spacing w:after="0" w:line="268" w:lineRule="auto"/>
        <w:tabs>
          <w:tab w:leader="none" w:pos="3488"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award contains terms relating to vesting (including with respect to the Grantee’s Qualified Termination, death, Disability or Retirement) that are substantially identical to those of the [ ] LTIP Units (SB); and</w:t>
      </w:r>
    </w:p>
    <w:p>
      <w:pPr>
        <w:spacing w:after="0" w:line="148" w:lineRule="exact"/>
        <w:rPr>
          <w:rFonts w:ascii="Times New Roman" w:cs="Times New Roman" w:eastAsia="Times New Roman" w:hAnsi="Times New Roman"/>
          <w:sz w:val="20"/>
          <w:szCs w:val="20"/>
          <w:color w:val="auto"/>
        </w:rPr>
      </w:pPr>
    </w:p>
    <w:p>
      <w:pPr>
        <w:ind w:left="1780" w:firstLine="1201"/>
        <w:spacing w:after="0" w:line="289" w:lineRule="auto"/>
        <w:tabs>
          <w:tab w:leader="none" w:pos="342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terms and conditions of the replacement award are not less favorable to the Grantee than the terms and conditions of the [ ] LTIP Units (SB).</w:t>
      </w:r>
    </w:p>
    <w:p>
      <w:pPr>
        <w:spacing w:after="0" w:line="129" w:lineRule="exact"/>
        <w:rPr>
          <w:rFonts w:ascii="Times New Roman" w:cs="Times New Roman" w:eastAsia="Times New Roman" w:hAnsi="Times New Roman"/>
          <w:sz w:val="20"/>
          <w:szCs w:val="20"/>
          <w:color w:val="auto"/>
        </w:rPr>
      </w:pPr>
    </w:p>
    <w:p>
      <w:pPr>
        <w:jc w:val="both"/>
        <w:ind w:firstLine="1192"/>
        <w:spacing w:after="0" w:line="255" w:lineRule="auto"/>
        <w:tabs>
          <w:tab w:leader="none" w:pos="16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in the event of the Grantee’s Qualified Termination, death or Disability or Retirement (as applicable below) prior to the end of the Restricted Period, conditioned upon the execution and delivery by the Grantee of a customary release of claims and covenant not to solicit employees of the Company or its Subsidiaries or Affiliates following termination, the following provisions of this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 xml:space="preserve"> shall modify the vesting for the Grantee, subject, in each case, to the provisions of Sections 6.4 and</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of the Stock Plan:</w:t>
      </w:r>
    </w:p>
    <w:p>
      <w:pPr>
        <w:spacing w:after="0" w:line="182" w:lineRule="exact"/>
        <w:rPr>
          <w:rFonts w:ascii="Times New Roman" w:cs="Times New Roman" w:eastAsia="Times New Roman" w:hAnsi="Times New Roman"/>
          <w:sz w:val="20"/>
          <w:szCs w:val="20"/>
          <w:color w:val="auto"/>
        </w:rPr>
      </w:pPr>
    </w:p>
    <w:p>
      <w:pPr>
        <w:jc w:val="both"/>
        <w:ind w:left="1200" w:firstLine="1185"/>
        <w:spacing w:after="0" w:line="257" w:lineRule="auto"/>
        <w:tabs>
          <w:tab w:leader="none" w:pos="275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Grantee experiences a Retirement, death or Disability, in each case, prior to the first anniversary of the Effective Date, the [ ] LTIP Units (SB) shall continue to vest in accordance with the Vesting Schedule; provided, however, that the number of unvested [ ] LTIP Units (SB) that vest on each Vesting Date following Grantee’s termination of employment shall equal (i) the number of [ ] LTIP Units (SB) scheduled to vest on such Vesting Date as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multiplied by (ii) the Partial Service Factor (with the resulting number being rounded up to the nearest whole LTIP Unit);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586" w:right="239" w:bottom="1440" w:gutter="0" w:footer="0" w:header="0"/>
        </w:sectPr>
      </w:pPr>
    </w:p>
    <w:bookmarkStart w:id="84" w:name="page85"/>
    <w:bookmarkEnd w:id="84"/>
    <w:p>
      <w:pPr>
        <w:jc w:val="both"/>
        <w:ind w:left="1200" w:firstLine="1185"/>
        <w:spacing w:after="0" w:line="268" w:lineRule="auto"/>
        <w:tabs>
          <w:tab w:leader="none" w:pos="282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experiences a Retirement, death or Disability, in each case, on or following the first anniversary of the Effective Date, any portion of the [ ] LTIP Units (SB) that has not then vested shall continue to vest in accordance with the Vesting Schedule; and</w:t>
      </w:r>
    </w:p>
    <w:p>
      <w:pPr>
        <w:spacing w:after="0" w:line="148" w:lineRule="exact"/>
        <w:rPr>
          <w:rFonts w:ascii="Times New Roman" w:cs="Times New Roman" w:eastAsia="Times New Roman" w:hAnsi="Times New Roman"/>
          <w:sz w:val="20"/>
          <w:szCs w:val="20"/>
          <w:color w:val="auto"/>
        </w:rPr>
      </w:pPr>
    </w:p>
    <w:p>
      <w:pPr>
        <w:jc w:val="both"/>
        <w:ind w:left="1200" w:firstLine="1185"/>
        <w:spacing w:after="0" w:line="271" w:lineRule="auto"/>
        <w:tabs>
          <w:tab w:leader="none" w:pos="290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Grantee experiences a Qualified Termination prior to the end of the Restricted Period, the Grantee shall immediately vest in a number of [ ] LTIP Units (SB) equal to (i) the number of [ ] LTIP Units (SB) scheduled to vest on the first Vesting Date following the date on which Grantee’s Qualified Termination occurs as set forth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multiplied by</w:t>
      </w:r>
    </w:p>
    <w:p>
      <w:pPr>
        <w:spacing w:after="0" w:line="2" w:lineRule="exact"/>
        <w:rPr>
          <w:rFonts w:ascii="Times New Roman" w:cs="Times New Roman" w:eastAsia="Times New Roman" w:hAnsi="Times New Roman"/>
          <w:sz w:val="19"/>
          <w:szCs w:val="19"/>
          <w:color w:val="auto"/>
        </w:rPr>
      </w:pPr>
    </w:p>
    <w:p>
      <w:pPr>
        <w:ind w:left="1480" w:hanging="288"/>
        <w:spacing w:after="0"/>
        <w:tabs>
          <w:tab w:leader="none" w:pos="14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Qualified Termination Factor (with the resulting number being rounded up to the nearest whole LTIP Unit).</w:t>
      </w:r>
    </w:p>
    <w:p>
      <w:pPr>
        <w:spacing w:after="0" w:line="183" w:lineRule="exact"/>
        <w:rPr>
          <w:sz w:val="20"/>
          <w:szCs w:val="20"/>
          <w:color w:val="auto"/>
        </w:rPr>
      </w:pPr>
    </w:p>
    <w:p>
      <w:pPr>
        <w:jc w:val="both"/>
        <w:ind w:firstLine="1192"/>
        <w:spacing w:after="0" w:line="252" w:lineRule="auto"/>
        <w:tabs>
          <w:tab w:leader="none" w:pos="160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Grantee becomes engaged in Competitive Activities at any time on or following the effective date of Retirement and before the end of the applicable Restricted Period, then the provisions relating to vesting due to Retirement under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5(c)</w:t>
      </w:r>
      <w:r>
        <w:rPr>
          <w:rFonts w:ascii="Times New Roman" w:cs="Times New Roman" w:eastAsia="Times New Roman" w:hAnsi="Times New Roman"/>
          <w:sz w:val="20"/>
          <w:szCs w:val="20"/>
          <w:color w:val="auto"/>
        </w:rPr>
        <w:t xml:space="preserve">, as applicable, will not apply, and, upon the date the Grantee becomes engaged in any such Competitive Activities during such period, all [ ] LTIP Units (SB), except for those that, prior to such engagement in Competitive Activities, had previously been vested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during the Grantee’s Continuous Service or that otherwise became vested under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shall automatically and immediately be forfeited by the Grantee. Any forfeited Award [ ] LTIP Units (SB)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Award [ ] LTIP Units (SB).</w:t>
      </w:r>
    </w:p>
    <w:p>
      <w:pPr>
        <w:spacing w:after="0" w:line="167" w:lineRule="exact"/>
        <w:rPr>
          <w:rFonts w:ascii="Times New Roman" w:cs="Times New Roman" w:eastAsia="Times New Roman" w:hAnsi="Times New Roman"/>
          <w:sz w:val="20"/>
          <w:szCs w:val="20"/>
          <w:color w:val="auto"/>
        </w:rPr>
      </w:pPr>
    </w:p>
    <w:p>
      <w:pPr>
        <w:jc w:val="both"/>
        <w:ind w:firstLine="1192"/>
        <w:spacing w:after="0" w:line="253" w:lineRule="auto"/>
        <w:tabs>
          <w:tab w:leader="none" w:pos="165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Grantee’s employment with the Company or a Subsidiary or affiliate terminates as a result of a retirement under circumstances that do not meet the definition of “Retirement” under this Agreement, the Committee may, on a case-by-case basis and in its sole discretion, provide for accelerated or continued vesting of some or all of the Grantee’s unvested [ ] LTIP Units (SB) that have not previously been forfeited effective prior to the effective date of retirement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but in any such event, the provisions of </w:t>
      </w:r>
      <w:r>
        <w:rPr>
          <w:rFonts w:ascii="Times New Roman" w:cs="Times New Roman" w:eastAsia="Times New Roman" w:hAnsi="Times New Roman"/>
          <w:sz w:val="20"/>
          <w:szCs w:val="20"/>
          <w:u w:val="single" w:color="auto"/>
          <w:color w:val="auto"/>
        </w:rPr>
        <w:t>Section 5(d)</w:t>
      </w:r>
      <w:r>
        <w:rPr>
          <w:rFonts w:ascii="Times New Roman" w:cs="Times New Roman" w:eastAsia="Times New Roman" w:hAnsi="Times New Roman"/>
          <w:sz w:val="20"/>
          <w:szCs w:val="20"/>
          <w:color w:val="auto"/>
        </w:rPr>
        <w:t xml:space="preserve"> will apply as if such retirement was deemed a “Retirement” for purposes of this Agreement, and any such vesting will be conditioned upon the execution and delivery by the Grantee of a customary release of claims and covenant not to solicit employees of the Company or its Subsidiaries or Affiliates following such termination.</w:t>
      </w:r>
    </w:p>
    <w:p>
      <w:pPr>
        <w:spacing w:after="0" w:line="166" w:lineRule="exact"/>
        <w:rPr>
          <w:rFonts w:ascii="Times New Roman" w:cs="Times New Roman" w:eastAsia="Times New Roman" w:hAnsi="Times New Roman"/>
          <w:sz w:val="20"/>
          <w:szCs w:val="20"/>
          <w:color w:val="auto"/>
        </w:rPr>
      </w:pPr>
    </w:p>
    <w:p>
      <w:pPr>
        <w:jc w:val="both"/>
        <w:ind w:firstLine="1192"/>
        <w:spacing w:after="0" w:line="254" w:lineRule="auto"/>
        <w:tabs>
          <w:tab w:leader="none" w:pos="158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termination of employment or other cessation of the Grantee’s Continuous Service prior to the end of the Restricted Period, effective as of the date of such termination or cessation, all [ ] LTIP Units (SB) except for those that had previously vested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and those that otherwise become vested or will continue to vest pursuant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automatically and immediately be forfeited by the Grantee. Any forfeited [ ] LTIP Units (SB)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 ] LTIP Units (SB).</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586" w:right="239" w:bottom="1440" w:gutter="0" w:footer="0" w:header="0"/>
        </w:sectPr>
      </w:pPr>
    </w:p>
    <w:bookmarkStart w:id="85" w:name="page86"/>
    <w:bookmarkEnd w:id="85"/>
    <w:p>
      <w:pPr>
        <w:jc w:val="both"/>
        <w:ind w:firstLine="1192"/>
        <w:spacing w:after="0" w:line="254" w:lineRule="auto"/>
        <w:tabs>
          <w:tab w:leader="none" w:pos="161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Prior LTIP Units, in the event of Grantee’s Qualified Termination (as defined in the award agreement applicable to such Prior LTIP Units) or termination of employment due to death, Disability (as defined in the award agreement applicable to such Prior LTIP Units) or Retirement (as defined in the award agreement applicable to such Prior LTIP Units), if Grantee is entitled to any accelerated vesting or continued vesting of any such Prior LTIP Units under the terms of the award agreement applicable to such Prior LTIP units, such vesting shall be conditioned upon the execution and delivery by the Grantee of a customary release of claims and covenant not to solicit employees of the Company or its Subsidiaries or affiliates following termination.</w:t>
      </w:r>
    </w:p>
    <w:p>
      <w:pPr>
        <w:spacing w:after="0" w:line="163" w:lineRule="exact"/>
        <w:rPr>
          <w:rFonts w:ascii="Times New Roman" w:cs="Times New Roman" w:eastAsia="Times New Roman" w:hAnsi="Times New Roman"/>
          <w:sz w:val="20"/>
          <w:szCs w:val="20"/>
          <w:color w:val="auto"/>
        </w:rPr>
      </w:pPr>
    </w:p>
    <w:p>
      <w:pPr>
        <w:ind w:firstLine="596"/>
        <w:spacing w:after="0" w:line="293" w:lineRule="auto"/>
        <w:tabs>
          <w:tab w:leader="none" w:pos="97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Payments by Award Recipients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amount shall be payable to the Company or the Partnership by the Grantee at any time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this Award.</w:t>
      </w:r>
    </w:p>
    <w:p>
      <w:pPr>
        <w:spacing w:after="0" w:line="121" w:lineRule="exact"/>
        <w:rPr>
          <w:rFonts w:ascii="Times New Roman" w:cs="Times New Roman" w:eastAsia="Times New Roman" w:hAnsi="Times New Roman"/>
          <w:sz w:val="20"/>
          <w:szCs w:val="20"/>
          <w:color w:val="auto"/>
        </w:rPr>
      </w:pPr>
    </w:p>
    <w:p>
      <w:pPr>
        <w:ind w:left="920" w:hanging="324"/>
        <w:spacing w:after="0"/>
        <w:tabs>
          <w:tab w:leader="none" w:pos="9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Distributions.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Distributions on [ ] LTIP Units (SB) will be paid in accordance with the Partnership Agreement as modified hereby</w:t>
      </w:r>
    </w:p>
    <w:p>
      <w:pPr>
        <w:spacing w:after="0" w:line="3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follows:</w:t>
      </w:r>
    </w:p>
    <w:p>
      <w:pPr>
        <w:spacing w:after="0" w:line="194" w:lineRule="exact"/>
        <w:rPr>
          <w:rFonts w:ascii="Times New Roman" w:cs="Times New Roman" w:eastAsia="Times New Roman" w:hAnsi="Times New Roman"/>
          <w:sz w:val="20"/>
          <w:szCs w:val="20"/>
          <w:color w:val="auto"/>
        </w:rPr>
      </w:pPr>
    </w:p>
    <w:p>
      <w:pPr>
        <w:jc w:val="both"/>
        <w:ind w:firstLine="1192"/>
        <w:spacing w:after="0" w:line="257" w:lineRule="auto"/>
        <w:tabs>
          <w:tab w:leader="none" w:pos="159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LTIP Unit Distribution Participation Date (as defined in the Partnership Agreement) with respect to the [ ] LTIP Units (SB) shall be the Effective Date and the [ ] LTIP Units (SB) shall be entitled to the full distribution payable on Units outstanding as of the record date for the quarterly distribution in which the Effective Date falls even though the [ ] LTIP Units (SB) will not have been outstanding for the whole quarterly period. All distributions paid with respect to [ ] LTIP Units (SB) shall be fully vested and non-forfeitable when paid whether the underlying [ ] LTIP Units (SB) are vested or unvested.</w:t>
      </w:r>
    </w:p>
    <w:p>
      <w:pPr>
        <w:spacing w:after="0" w:line="160" w:lineRule="exact"/>
        <w:rPr>
          <w:rFonts w:ascii="Times New Roman" w:cs="Times New Roman" w:eastAsia="Times New Roman" w:hAnsi="Times New Roman"/>
          <w:sz w:val="20"/>
          <w:szCs w:val="20"/>
          <w:color w:val="auto"/>
        </w:rPr>
      </w:pPr>
    </w:p>
    <w:p>
      <w:pPr>
        <w:jc w:val="both"/>
        <w:ind w:firstLine="1192"/>
        <w:spacing w:after="0" w:line="260" w:lineRule="auto"/>
        <w:tabs>
          <w:tab w:leader="none" w:pos="161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Partnership makes distributions to holders of Units partially in cash and partially in additional Units or other securities, unless the Committee in its sole discretion determines to allow the Grantee to make a different election, the Grantee shall be deemed to have elected with respect to all [ ] LTIP Units (SB) eligible to receive such distribution to receive 10% of such distribution in cash and 90% in Units.</w:t>
      </w:r>
    </w:p>
    <w:p>
      <w:pPr>
        <w:spacing w:after="0" w:line="154" w:lineRule="exact"/>
        <w:rPr>
          <w:rFonts w:ascii="Times New Roman" w:cs="Times New Roman" w:eastAsia="Times New Roman" w:hAnsi="Times New Roman"/>
          <w:sz w:val="20"/>
          <w:szCs w:val="20"/>
          <w:color w:val="auto"/>
        </w:rPr>
      </w:pPr>
    </w:p>
    <w:p>
      <w:pPr>
        <w:jc w:val="both"/>
        <w:ind w:firstLine="596"/>
        <w:spacing w:after="0" w:line="250" w:lineRule="auto"/>
        <w:tabs>
          <w:tab w:leader="none" w:pos="92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on Transfer</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None of the [ ] LTIP Units (SB) shall be sold, assigned, transferred, pledged or otherwise disposed of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encumbered (whether voluntarily or involuntarily or by judgment, levy, attachment, garnishment or other legal or equitable proceeding) (each such action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or redeemed in accordance with the Partnership Agreement (a) prior to vesting, and (b) unless such Transfer is in compliance with all applicable securities laws (including, without limitation,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xml:space="preserve">”)), and such Transfer is in accordance with the applicable terms and conditions of the Partnership Agreement; provided, however, that clause (a) above shall not apply with respect to (i) the conversion into Units of [ ] LTIP Units (SB) that have become vested in accordance with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 or 5</w:t>
      </w:r>
      <w:r>
        <w:rPr>
          <w:rFonts w:ascii="Times New Roman" w:cs="Times New Roman" w:eastAsia="Times New Roman" w:hAnsi="Times New Roman"/>
          <w:sz w:val="20"/>
          <w:szCs w:val="20"/>
          <w:color w:val="auto"/>
        </w:rPr>
        <w:t xml:space="preserve"> hereof (“Converted LTIP Units”) or (ii) any Transfer either of [ ] LTIP Units (SB) that have become vested in accordance with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or 5</w:t>
      </w:r>
      <w:r>
        <w:rPr>
          <w:rFonts w:ascii="Times New Roman" w:cs="Times New Roman" w:eastAsia="Times New Roman" w:hAnsi="Times New Roman"/>
          <w:sz w:val="20"/>
          <w:szCs w:val="20"/>
          <w:color w:val="auto"/>
        </w:rPr>
        <w:t xml:space="preserve"> hereof or of Converted LTIP Units, so long as such Transfer is (A) permitted under the Partnership Agreement and (B) in connection with donative, estate or tax planning by the Grantee; and provided, further, that the Transferee agrees in writing with the Company and the Partnership not to make any further Transfer of such vested [ ] LTIP Units (SB) or Converted LTIP Units other than as permitted by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In connection with any Transfer of [ ] LTIP Units (SB) or Converted LTIP Units, the Partnership may require the Grantee to provide an opinion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586" w:right="239" w:bottom="1440" w:gutter="0" w:footer="0" w:header="0"/>
        </w:sectPr>
      </w:pPr>
    </w:p>
    <w:bookmarkStart w:id="86" w:name="page87"/>
    <w:bookmarkEnd w:id="86"/>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of counsel, satisfactory to the Partnership, that such Transfer is in compliance with all federal and state securities laws (including, without limitation, the Securities Act). Any attempted Transfer of [ ] LTIP Units (SB) not in accordance with the terms and conditions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null and void, and the Partnership shall not reflect on its records any change in record ownership of any [ ] LTIP Units (SB) as a result of any such Transfer, shall otherwise refuse to recognize any such Transfer and shall not in any way give effect to any such Transfer of any [ ] LTIP Units (SB). The restrictions on Transfer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not be interpreted to prohibit the Grantee from designating one or more beneficiaries to receive the Grantee’s LTIP Units or Converted LTIP Units that are payable in the event of the Grantee’s death. Any such beneficiary designation shall be on a form provided or approved by the Company.</w:t>
      </w:r>
    </w:p>
    <w:p>
      <w:pPr>
        <w:spacing w:after="0" w:line="163" w:lineRule="exact"/>
        <w:rPr>
          <w:sz w:val="20"/>
          <w:szCs w:val="20"/>
          <w:color w:val="auto"/>
        </w:rPr>
      </w:pPr>
    </w:p>
    <w:p>
      <w:pPr>
        <w:jc w:val="both"/>
        <w:ind w:firstLine="596"/>
        <w:spacing w:after="0" w:line="250" w:lineRule="auto"/>
        <w:tabs>
          <w:tab w:leader="none" w:pos="93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Changes in Capital Structure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duplication with the provisions of Section 6.2 of the Stock Plan, if (a)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be involved in a merger, consolidation, dissolution, liquidation, reorganization, exchange of shares, sale of all or substantially all of the assets or stock of the Company, spin-off of a Subsidiary, business unit or significant portion of assets or other fundamental transaction similar thereto, (b) any stock dividend, stock split, reverse stock split, stock combination, reclassification, recapitalization, significant repurchases of stock, or other similar change in the capital structure of the Company shall occur, (c) any extraordinary dividend or other distribution to holders of shares of Common Stock or Units other than regular cash dividends shall be made, or (d) any other event shall occur that in each case in the good faith judgment of the Committee necessitates action by way of appropriate equitable adjustment in the terms of this Award, the LTIP or the [ ] LTIP Units (SB), then the Committee shall take such action as it deems necessary to maintain the Grantee’s rights hereunder so that they are substantially proportionate to the rights existing under this Award, the LTIP and the terms of the [ ] LTIP Units (SB) prior to such event, including, without limitation: (i) adjustments in the [ ] LTIP Units (SB) or other pertinent terms of this Award; and (ii) substitution of other awards under the Stock Plan or otherwise. The Grantee shall have the right to vote the [ ] LTIP Units (SB) if and when voting is allowed under the Partnership Agreement, regardless of whether vesting has occurred.</w:t>
      </w:r>
    </w:p>
    <w:p>
      <w:pPr>
        <w:spacing w:after="0" w:line="168" w:lineRule="exact"/>
        <w:rPr>
          <w:rFonts w:ascii="Times New Roman" w:cs="Times New Roman" w:eastAsia="Times New Roman" w:hAnsi="Times New Roman"/>
          <w:sz w:val="20"/>
          <w:szCs w:val="20"/>
          <w:color w:val="auto"/>
        </w:rPr>
      </w:pPr>
    </w:p>
    <w:p>
      <w:pPr>
        <w:ind w:left="1000" w:hanging="404"/>
        <w:spacing w:after="0"/>
        <w:tabs>
          <w:tab w:leader="none" w:pos="1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1" w:lineRule="exact"/>
        <w:rPr>
          <w:rFonts w:ascii="Times New Roman" w:cs="Times New Roman" w:eastAsia="Times New Roman" w:hAnsi="Times New Roman"/>
          <w:sz w:val="20"/>
          <w:szCs w:val="20"/>
          <w:color w:val="auto"/>
        </w:rPr>
      </w:pPr>
    </w:p>
    <w:p>
      <w:pPr>
        <w:jc w:val="both"/>
        <w:ind w:firstLine="1192"/>
        <w:spacing w:after="0" w:line="251" w:lineRule="auto"/>
        <w:tabs>
          <w:tab w:leader="none" w:pos="159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Modifications</w:t>
      </w:r>
      <w:r>
        <w:rPr>
          <w:rFonts w:ascii="Times New Roman" w:cs="Times New Roman" w:eastAsia="Times New Roman" w:hAnsi="Times New Roman"/>
          <w:sz w:val="20"/>
          <w:szCs w:val="20"/>
          <w:color w:val="auto"/>
        </w:rPr>
        <w:t xml:space="preserve">. This Agreement may be amended or modified only with the consent of the Company and the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amendment or modification materially and adversely affecting the rights of the Grantee hereunder must be consented to by the Grantee to be effective as against him;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Grantee acknowledges that the Stock Plan may be amended or discontinued in accordance with Section 6.6 thereof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586" w:right="239" w:bottom="1440" w:gutter="0" w:footer="0" w:header="0"/>
        </w:sectPr>
      </w:pPr>
    </w:p>
    <w:bookmarkStart w:id="87" w:name="page88"/>
    <w:bookmarkEnd w:id="87"/>
    <w:p>
      <w:pPr>
        <w:spacing w:after="0" w:line="276" w:lineRule="auto"/>
        <w:rPr>
          <w:sz w:val="20"/>
          <w:szCs w:val="20"/>
          <w:color w:val="auto"/>
        </w:rPr>
      </w:pPr>
      <w:r>
        <w:rPr>
          <w:rFonts w:ascii="Times New Roman" w:cs="Times New Roman" w:eastAsia="Times New Roman" w:hAnsi="Times New Roman"/>
          <w:sz w:val="20"/>
          <w:szCs w:val="20"/>
          <w:color w:val="auto"/>
        </w:rPr>
        <w:t>grant shall in no way affect the Grantee’s participation or benefits under any other plan or benefit program maintained or provided by the Company.</w:t>
      </w:r>
    </w:p>
    <w:p>
      <w:pPr>
        <w:spacing w:after="0" w:line="142" w:lineRule="exact"/>
        <w:rPr>
          <w:sz w:val="20"/>
          <w:szCs w:val="20"/>
          <w:color w:val="auto"/>
        </w:rPr>
      </w:pPr>
    </w:p>
    <w:p>
      <w:pPr>
        <w:jc w:val="both"/>
        <w:ind w:firstLine="1192"/>
        <w:spacing w:after="0" w:line="257" w:lineRule="auto"/>
        <w:tabs>
          <w:tab w:leader="none" w:pos="161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Stock Plan and Change in Control Arrangement; Committee Determinations</w:t>
      </w:r>
      <w:r>
        <w:rPr>
          <w:rFonts w:ascii="Times New Roman" w:cs="Times New Roman" w:eastAsia="Times New Roman" w:hAnsi="Times New Roman"/>
          <w:sz w:val="20"/>
          <w:szCs w:val="20"/>
          <w:color w:val="auto"/>
        </w:rPr>
        <w:t>. The provisions of the Stock Plan and the Change in Control Arrangement are hereby incorporated by reference as if set forth herein. In the event of a conflict between this Agreement and the Stock Plan or this Agreement and the Change in Control Arrangement, this Agreement shall be controlling and determinative. The Committee will make the determinations and certifications required by this Award as promptly as reasonably practicable following the occurrence of the event or events necessitating such determinations or certifications.</w:t>
      </w:r>
    </w:p>
    <w:p>
      <w:pPr>
        <w:spacing w:after="0" w:line="160" w:lineRule="exact"/>
        <w:rPr>
          <w:rFonts w:ascii="Times New Roman" w:cs="Times New Roman" w:eastAsia="Times New Roman" w:hAnsi="Times New Roman"/>
          <w:sz w:val="20"/>
          <w:szCs w:val="20"/>
          <w:color w:val="auto"/>
        </w:rPr>
      </w:pPr>
    </w:p>
    <w:p>
      <w:pPr>
        <w:jc w:val="both"/>
        <w:ind w:firstLine="1192"/>
        <w:spacing w:after="0" w:line="260" w:lineRule="auto"/>
        <w:tabs>
          <w:tab w:leader="none" w:pos="170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as a Partner</w:t>
      </w:r>
      <w:r>
        <w:rPr>
          <w:rFonts w:ascii="Times New Roman" w:cs="Times New Roman" w:eastAsia="Times New Roman" w:hAnsi="Times New Roman"/>
          <w:sz w:val="20"/>
          <w:szCs w:val="20"/>
          <w:color w:val="auto"/>
        </w:rPr>
        <w:t xml:space="preserve">. As of the grant date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Grantee shall be admitted as a partner of the Partnership with beneficial ownership of the number of [ ] LTIP Units (SB) issued to the Grantee as of such date pursuant to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hereof by: (A) signing and delivering to the Partnership a copy of this Agreement; and (B) signing, as a Limited Partner, and delivering to the Partnership a counterpart signature page to the Partnership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jc w:val="both"/>
        <w:ind w:firstLine="1192"/>
        <w:spacing w:after="0" w:line="252" w:lineRule="auto"/>
        <w:tabs>
          <w:tab w:leader="none" w:pos="160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 ] LTIP Units (SB) under the Stock Plan</w:t>
      </w:r>
      <w:r>
        <w:rPr>
          <w:rFonts w:ascii="Times New Roman" w:cs="Times New Roman" w:eastAsia="Times New Roman" w:hAnsi="Times New Roman"/>
          <w:sz w:val="20"/>
          <w:szCs w:val="20"/>
          <w:color w:val="auto"/>
        </w:rPr>
        <w:t xml:space="preserve">. Insofar as the LTIP has been established as an incentive program of the Company and the Partnership, the [ ] LTIP Units (SB) are both issued as equity securities of the Partnership and granted as awards under the Stock Plan. The Company will have the right at its option, as set forth in the Partnership Agreement, to issue shares of Common Stock in exchange for Units into which [ ] LTIP Units (SB) may have been converted pursuant to the Partnership Agreement, subject to certain limitations set forth in the Partnership Agreement, and such shares of Common Stock, if issued, will be issued under the Stock Plan. The Grantee must be eligible to receive the [ ] LTIP Units (SB) in compliance with applicable federal and state securities laws and to that effect is required to complete, execute and deliver certain covenants, representations and warranties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Grantee acknowledges that the Grantee will have no right to approve or disapprove such determination by the Committee.</w:t>
      </w:r>
    </w:p>
    <w:p>
      <w:pPr>
        <w:spacing w:after="0" w:line="167"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The records of the Partnership evidencing the [ ] LTIP Units (SB) shall bear an appropriate legend, as determined by the Partnership in its sole discretion, to the effect that such [ ] LTIP Units (SB) are subject to restrictions as set forth herein, in the Stock Plan and in the Partnership Agreement.</w:t>
      </w:r>
    </w:p>
    <w:p>
      <w:pPr>
        <w:spacing w:after="0" w:line="148"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8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Securities Laws</w:t>
      </w:r>
      <w:r>
        <w:rPr>
          <w:rFonts w:ascii="Times New Roman" w:cs="Times New Roman" w:eastAsia="Times New Roman" w:hAnsi="Times New Roman"/>
          <w:sz w:val="20"/>
          <w:szCs w:val="20"/>
          <w:color w:val="auto"/>
        </w:rPr>
        <w:t>. The Partnership and the Grantee will make reasonable efforts to comply with all applicable securities laws. In addition, notwithstanding any provision of this Agreement to the contrary, no [ ] LTIP Units (SB) will become vested or be issued at a time that such vesting or issuance would result in a violation of any such laws.</w:t>
      </w:r>
    </w:p>
    <w:p>
      <w:pPr>
        <w:spacing w:after="0" w:line="148" w:lineRule="exact"/>
        <w:rPr>
          <w:rFonts w:ascii="Times New Roman" w:cs="Times New Roman" w:eastAsia="Times New Roman" w:hAnsi="Times New Roman"/>
          <w:sz w:val="20"/>
          <w:szCs w:val="20"/>
          <w:color w:val="auto"/>
        </w:rPr>
      </w:pPr>
    </w:p>
    <w:p>
      <w:pPr>
        <w:jc w:val="both"/>
        <w:ind w:firstLine="1192"/>
        <w:spacing w:after="0" w:line="257" w:lineRule="auto"/>
        <w:tabs>
          <w:tab w:leader="none" w:pos="168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Representations; Registration</w:t>
      </w:r>
      <w:r>
        <w:rPr>
          <w:rFonts w:ascii="Times New Roman" w:cs="Times New Roman" w:eastAsia="Times New Roman" w:hAnsi="Times New Roman"/>
          <w:sz w:val="20"/>
          <w:szCs w:val="20"/>
          <w:color w:val="auto"/>
        </w:rPr>
        <w:t xml:space="preserve">. The Grantee hereby makes the covenants, representations and warranties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All of such covenants, warranties and representations shall survive the execution and delivery of this Agreement by the Grantee. The Partnership will have no obligation to register under the Securities Act any [ ] LTIP Units (SB) or any other securities issued pursuant to this Agreement or upon conversion or exchange of [ ] LTIP Units (SB). The Grantee agrees that any resale of the shares of Common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586" w:right="2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20"/>
          <w:szCs w:val="20"/>
          <w:color w:val="auto"/>
        </w:rPr>
        <w:t>Stock received upon the exchange of Units into which [ ] LTIP Units (SB) may be converted shall not occur during the “blackout periods” forbidding sales of Company securities, as set forth in the 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62" w:lineRule="exact"/>
        <w:rPr>
          <w:sz w:val="20"/>
          <w:szCs w:val="20"/>
          <w:color w:val="auto"/>
        </w:rPr>
      </w:pPr>
    </w:p>
    <w:p>
      <w:pPr>
        <w:jc w:val="both"/>
        <w:ind w:firstLine="1192"/>
        <w:spacing w:after="0" w:line="257" w:lineRule="auto"/>
        <w:tabs>
          <w:tab w:leader="none" w:pos="166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xml:space="preserve">. In connection with the issuance of [ ] LTIP Units (SB) under this Award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the Grantee may (but is not required to) make an election to include in gross income in the year of transfer the applicable [ ] LTIP Units (SB) pursuant to Section 83(b) of the Code substantially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if such an election is made, the Grantee shall provide to the Company a copy thereof and supply to the Company such other information as the Company is required to maintain or file in accordance with the regulations promulgated thereunder.</w:t>
      </w:r>
    </w:p>
    <w:p>
      <w:pPr>
        <w:spacing w:after="0" w:line="160" w:lineRule="exact"/>
        <w:rPr>
          <w:rFonts w:ascii="Times New Roman" w:cs="Times New Roman" w:eastAsia="Times New Roman" w:hAnsi="Times New Roman"/>
          <w:sz w:val="20"/>
          <w:szCs w:val="20"/>
          <w:color w:val="auto"/>
        </w:rPr>
      </w:pPr>
    </w:p>
    <w:p>
      <w:pPr>
        <w:jc w:val="both"/>
        <w:ind w:firstLine="1192"/>
        <w:spacing w:after="0" w:line="257" w:lineRule="auto"/>
        <w:tabs>
          <w:tab w:leader="none" w:pos="159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0" w:lineRule="exact"/>
        <w:rPr>
          <w:rFonts w:ascii="Times New Roman" w:cs="Times New Roman" w:eastAsia="Times New Roman" w:hAnsi="Times New Roman"/>
          <w:sz w:val="20"/>
          <w:szCs w:val="20"/>
          <w:color w:val="auto"/>
        </w:rPr>
      </w:pPr>
    </w:p>
    <w:p>
      <w:pPr>
        <w:ind w:firstLine="1192"/>
        <w:spacing w:after="0" w:line="289" w:lineRule="auto"/>
        <w:tabs>
          <w:tab w:leader="none" w:pos="168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is made under, and will be construed in accordance with, the laws of the State of Delaware, without giving effect to the principles of conflict of laws of such state.</w:t>
      </w:r>
    </w:p>
    <w:p>
      <w:pPr>
        <w:spacing w:after="0" w:line="129"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8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Position as an Employee, Consultant or Advisor</w:t>
      </w:r>
      <w:r>
        <w:rPr>
          <w:rFonts w:ascii="Times New Roman" w:cs="Times New Roman" w:eastAsia="Times New Roman" w:hAnsi="Times New Roman"/>
          <w:sz w:val="20"/>
          <w:szCs w:val="20"/>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48" w:lineRule="exact"/>
        <w:rPr>
          <w:rFonts w:ascii="Times New Roman" w:cs="Times New Roman" w:eastAsia="Times New Roman" w:hAnsi="Times New Roman"/>
          <w:sz w:val="20"/>
          <w:szCs w:val="20"/>
          <w:color w:val="auto"/>
        </w:rPr>
      </w:pPr>
    </w:p>
    <w:p>
      <w:pPr>
        <w:jc w:val="both"/>
        <w:ind w:firstLine="1192"/>
        <w:spacing w:after="0" w:line="268" w:lineRule="auto"/>
        <w:tabs>
          <w:tab w:leader="none" w:pos="154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48" w:lineRule="exact"/>
        <w:rPr>
          <w:rFonts w:ascii="Times New Roman" w:cs="Times New Roman" w:eastAsia="Times New Roman" w:hAnsi="Times New Roman"/>
          <w:sz w:val="20"/>
          <w:szCs w:val="20"/>
          <w:color w:val="auto"/>
        </w:rPr>
      </w:pPr>
    </w:p>
    <w:p>
      <w:pPr>
        <w:jc w:val="both"/>
        <w:ind w:firstLine="1192"/>
        <w:spacing w:after="0" w:line="257" w:lineRule="auto"/>
        <w:tabs>
          <w:tab w:leader="none" w:pos="16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Taxes</w:t>
      </w:r>
      <w:r>
        <w:rPr>
          <w:rFonts w:ascii="Times New Roman" w:cs="Times New Roman" w:eastAsia="Times New Roman" w:hAnsi="Times New Roman"/>
          <w:sz w:val="20"/>
          <w:szCs w:val="20"/>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420"/>
          </w:cols>
          <w:pgMar w:left="240" w:top="586"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its affiliates shall, to the extent permitted by law, have the right to deduct any such taxes from any payment otherwise due to the Grantee.</w:t>
      </w:r>
    </w:p>
    <w:p>
      <w:pPr>
        <w:spacing w:after="0" w:line="205" w:lineRule="exact"/>
        <w:rPr>
          <w:sz w:val="20"/>
          <w:szCs w:val="20"/>
          <w:color w:val="auto"/>
        </w:rPr>
      </w:pPr>
    </w:p>
    <w:p>
      <w:pPr>
        <w:ind w:firstLine="1192"/>
        <w:spacing w:after="0" w:line="289" w:lineRule="auto"/>
        <w:tabs>
          <w:tab w:leader="none" w:pos="165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paragraphs hereof are included solely for convenience of reference and shall not control the meaning or interpretation of any of the provisions of this Agreement.</w:t>
      </w:r>
    </w:p>
    <w:p>
      <w:pPr>
        <w:spacing w:after="0" w:line="129" w:lineRule="exact"/>
        <w:rPr>
          <w:rFonts w:ascii="Times New Roman" w:cs="Times New Roman" w:eastAsia="Times New Roman" w:hAnsi="Times New Roman"/>
          <w:sz w:val="20"/>
          <w:szCs w:val="20"/>
          <w:color w:val="auto"/>
        </w:rPr>
      </w:pPr>
    </w:p>
    <w:p>
      <w:pPr>
        <w:ind w:firstLine="1192"/>
        <w:spacing w:after="0" w:line="289" w:lineRule="auto"/>
        <w:tabs>
          <w:tab w:leader="none" w:pos="167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29"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8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48" w:lineRule="exact"/>
        <w:rPr>
          <w:rFonts w:ascii="Times New Roman" w:cs="Times New Roman" w:eastAsia="Times New Roman" w:hAnsi="Times New Roman"/>
          <w:sz w:val="20"/>
          <w:szCs w:val="20"/>
          <w:color w:val="auto"/>
        </w:rPr>
      </w:pPr>
    </w:p>
    <w:p>
      <w:pPr>
        <w:jc w:val="both"/>
        <w:ind w:firstLine="1192"/>
        <w:spacing w:after="0" w:line="265" w:lineRule="auto"/>
        <w:tabs>
          <w:tab w:leader="none" w:pos="160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409A</w:t>
      </w:r>
      <w:r>
        <w:rPr>
          <w:rFonts w:ascii="Times New Roman" w:cs="Times New Roman" w:eastAsia="Times New Roman" w:hAnsi="Times New Roman"/>
          <w:sz w:val="19"/>
          <w:szCs w:val="19"/>
          <w:color w:val="auto"/>
        </w:rPr>
        <w:t>. To the extent applicable, this Agreement shall be construed, administered and interpreted in accordance with a good faith interpretation of Section 409A of the Code. Any provision of this Agreement that is inconsistent with Section 409A of the Code to the extent applicable, or that may result in penalties under Section 409A of the Code, shall be amended, in consultation with the Grantee and with the reasonable cooperation of the Grantee and the Company, in the least restrictive manner necessary to (i) exclude the applicable payment or benefit under this Agreement from the definition of “deferred compensation” within the meaning of such Section 409A or (ii) comply with the provisions of Section 409A, other applicable provision(s) of the Code and/or any rules, regulations or other regulatory guidance issued under such statutory provisions, in each case without diminution in the value of the benefits granted hereby to the Grantee. Notwithstanding anything herein to the contrary, in the event the amounts payable under this Agreement are determined to constitute “nonqualified deferred compensation” subject to Section 409A of the Code, then, to the extent the Grantee is a “specified employee” under Section 409A of the Code subject to the six-month delay thereunder, any such vesting or related payments to be made during the six-month period commencing on the Grantee’s “separation from service” (as defined in Section 409A of the Code) shall be delayed until the expiration of such six-month period.</w:t>
      </w:r>
    </w:p>
    <w:p>
      <w:pPr>
        <w:spacing w:after="0" w:line="154" w:lineRule="exact"/>
        <w:rPr>
          <w:rFonts w:ascii="Times New Roman" w:cs="Times New Roman" w:eastAsia="Times New Roman" w:hAnsi="Times New Roman"/>
          <w:sz w:val="19"/>
          <w:szCs w:val="19"/>
          <w:color w:val="auto"/>
        </w:rPr>
      </w:pPr>
    </w:p>
    <w:p>
      <w:pPr>
        <w:jc w:val="both"/>
        <w:ind w:firstLine="1192"/>
        <w:spacing w:after="0" w:line="260" w:lineRule="auto"/>
        <w:tabs>
          <w:tab w:leader="none" w:pos="156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420"/>
          </w:cols>
          <w:pgMar w:left="240" w:top="587"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color w:val="auto"/>
        </w:rPr>
        <w:t>IN WITNESS WHEREOF, the undersigned have caused this Award Agreement to be executed as of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January, [ ].</w:t>
      </w:r>
    </w:p>
    <w:p>
      <w:pPr>
        <w:spacing w:after="0" w:line="1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-10795</wp:posOffset>
            </wp:positionV>
            <wp:extent cx="1263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THE MACERICH PARTNERSHIP, L.P.</w:t>
      </w:r>
    </w:p>
    <w:p>
      <w:pPr>
        <w:spacing w:after="0" w:line="205" w:lineRule="exact"/>
        <w:rPr>
          <w:sz w:val="20"/>
          <w:szCs w:val="20"/>
          <w:color w:val="auto"/>
        </w:rPr>
      </w:pPr>
    </w:p>
    <w:p>
      <w:pPr>
        <w:ind w:left="298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The Macerich Company,</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-10795</wp:posOffset>
            </wp:positionV>
            <wp:extent cx="1263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6812915</wp:posOffset>
            </wp:positionH>
            <wp:positionV relativeFrom="paragraph">
              <wp:posOffset>516890</wp:posOffset>
            </wp:positionV>
            <wp:extent cx="1212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020"/>
          </w:cols>
          <w:pgMar w:left="840" w:top="977" w:right="10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LIMITED PARTNER SIGNATURE PAGE</w:t>
      </w:r>
    </w:p>
    <w:p>
      <w:pPr>
        <w:spacing w:after="0" w:line="209"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The Grantee, desiring to become one of the within named Limited Partners of The Macerich Company, L.P., hereby accepts all of the terms and conditions of (including, without limitation, the provisions related to powers of attorney), and becomes a party to, the Agreement of Limited Partnership, dated as of March 16, 1994, of The Macerich Partnership, L.P., as amended (the “</w:t>
      </w:r>
      <w:r>
        <w:rPr>
          <w:rFonts w:ascii="Times New Roman" w:cs="Times New Roman" w:eastAsia="Times New Roman" w:hAnsi="Times New Roman"/>
          <w:sz w:val="20"/>
          <w:szCs w:val="20"/>
          <w:u w:val="single" w:color="auto"/>
          <w:color w:val="auto"/>
        </w:rPr>
        <w:t>Partnership Agreement</w:t>
      </w:r>
      <w:r>
        <w:rPr>
          <w:rFonts w:ascii="Times New Roman" w:cs="Times New Roman" w:eastAsia="Times New Roman" w:hAnsi="Times New Roman"/>
          <w:sz w:val="20"/>
          <w:szCs w:val="20"/>
          <w:color w:val="auto"/>
        </w:rPr>
        <w:t>”). The Grantee agrees that this signature page may be attached to any counterpart of the Partnership Agreement and further agrees as follows (where the term “Limited Partner” refers to the Grantee):</w:t>
      </w:r>
    </w:p>
    <w:p>
      <w:pPr>
        <w:spacing w:after="0" w:line="167" w:lineRule="exact"/>
        <w:rPr>
          <w:sz w:val="20"/>
          <w:szCs w:val="20"/>
          <w:color w:val="auto"/>
        </w:rPr>
      </w:pPr>
    </w:p>
    <w:p>
      <w:pPr>
        <w:jc w:val="both"/>
        <w:ind w:firstLine="596"/>
        <w:spacing w:after="0" w:line="256" w:lineRule="auto"/>
        <w:tabs>
          <w:tab w:leader="none" w:pos="134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Without limitation of the foregoing, the Limited Partner is deemed to have made all of the acknowledgements, waivers and agreements set forth in Sections 10.6 and 13.11 of the Partnership Agreement.</w:t>
      </w:r>
    </w:p>
    <w:p>
      <w:pPr>
        <w:spacing w:after="0" w:line="161" w:lineRule="exact"/>
        <w:rPr>
          <w:rFonts w:ascii="Times New Roman" w:cs="Times New Roman" w:eastAsia="Times New Roman" w:hAnsi="Times New Roman"/>
          <w:sz w:val="20"/>
          <w:szCs w:val="20"/>
          <w:color w:val="auto"/>
        </w:rPr>
      </w:pPr>
    </w:p>
    <w:p>
      <w:pPr>
        <w:jc w:val="both"/>
        <w:ind w:firstLine="596"/>
        <w:spacing w:after="0" w:line="249" w:lineRule="auto"/>
        <w:tabs>
          <w:tab w:leader="none" w:pos="93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all applicable state and foreign securities laws, and the General Partner may refuse to transfer 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shares of common stock of the General Partner (“</w:t>
      </w:r>
      <w:r>
        <w:rPr>
          <w:rFonts w:ascii="Times New Roman" w:cs="Times New Roman" w:eastAsia="Times New Roman" w:hAnsi="Times New Roman"/>
          <w:sz w:val="20"/>
          <w:szCs w:val="20"/>
          <w:u w:val="single" w:color="auto"/>
          <w:color w:val="auto"/>
        </w:rPr>
        <w:t>Common Shares</w:t>
      </w:r>
      <w:r>
        <w:rPr>
          <w:rFonts w:ascii="Times New Roman" w:cs="Times New Roman" w:eastAsia="Times New Roman" w:hAnsi="Times New Roman"/>
          <w:sz w:val="20"/>
          <w:szCs w:val="20"/>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175" w:lineRule="exact"/>
        <w:rPr>
          <w:rFonts w:ascii="Times New Roman" w:cs="Times New Roman" w:eastAsia="Times New Roman" w:hAnsi="Times New Roman"/>
          <w:sz w:val="20"/>
          <w:szCs w:val="20"/>
          <w:color w:val="auto"/>
        </w:rPr>
      </w:pPr>
    </w:p>
    <w:p>
      <w:pPr>
        <w:jc w:val="both"/>
        <w:ind w:firstLine="596"/>
        <w:spacing w:after="0" w:line="257" w:lineRule="auto"/>
        <w:tabs>
          <w:tab w:leader="none" w:pos="93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hereby affirms that it has appointed the General Partner, any liquidator and authorized officers and attorneys-in-fact of each, and each of those acting singly, in each case with full power of substitution, as its true and lawful agent and attorney-in-fact, with full power and authority in its name, place and stead, in accordance with Section 6.10 of the Partnership Agreement, which Section is hereby incorporated by reference. The foregoing power of attorney is hereby declared to be irrevocable and a power coupled with an interest, and it shall survive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420"/>
          </w:cols>
          <w:pgMar w:left="240" w:top="583" w:right="239" w:bottom="1440" w:gutter="0" w:footer="0" w:header="0"/>
        </w:sectPr>
      </w:pPr>
    </w:p>
    <w:bookmarkStart w:id="92" w:name="page93"/>
    <w:bookmarkEnd w:id="92"/>
    <w:p>
      <w:pPr>
        <w:spacing w:after="0" w:line="276" w:lineRule="auto"/>
        <w:rPr>
          <w:sz w:val="20"/>
          <w:szCs w:val="20"/>
          <w:color w:val="auto"/>
        </w:rPr>
      </w:pPr>
      <w:r>
        <w:rPr>
          <w:rFonts w:ascii="Times New Roman" w:cs="Times New Roman" w:eastAsia="Times New Roman" w:hAnsi="Times New Roman"/>
          <w:sz w:val="20"/>
          <w:szCs w:val="20"/>
          <w:color w:val="auto"/>
        </w:rPr>
        <w:t>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42" w:lineRule="exact"/>
        <w:rPr>
          <w:sz w:val="20"/>
          <w:szCs w:val="20"/>
          <w:color w:val="auto"/>
        </w:rPr>
      </w:pPr>
    </w:p>
    <w:p>
      <w:pPr>
        <w:jc w:val="both"/>
        <w:ind w:firstLine="596"/>
        <w:spacing w:after="0" w:line="253" w:lineRule="auto"/>
        <w:tabs>
          <w:tab w:leader="none" w:pos="108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(a) any amendment to the provisions of Section 9.1 or the Redemption Rights Exhibit of the Partnership Agreement intended to increase the waiting period between the delivery of a notice of redemption and the redemption date to up to sixty (60) days or (b) any other amendment to the Partnership Agreement intended to make the redemption and transfer provisions, with respect to certain redemptions and transfers, more similar to the provisions described in Treasury Regulations Section 1.7704 1(f).</w:t>
      </w:r>
    </w:p>
    <w:p>
      <w:pPr>
        <w:spacing w:after="0" w:line="166" w:lineRule="exact"/>
        <w:rPr>
          <w:rFonts w:ascii="Times New Roman" w:cs="Times New Roman" w:eastAsia="Times New Roman" w:hAnsi="Times New Roman"/>
          <w:sz w:val="20"/>
          <w:szCs w:val="20"/>
          <w:color w:val="auto"/>
        </w:rPr>
      </w:pPr>
    </w:p>
    <w:p>
      <w:pPr>
        <w:jc w:val="both"/>
        <w:ind w:firstLine="596"/>
        <w:spacing w:after="0" w:line="254" w:lineRule="auto"/>
        <w:tabs>
          <w:tab w:leader="none" w:pos="93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4(a)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67" w:lineRule="exact"/>
        <w:rPr>
          <w:rFonts w:ascii="Times New Roman" w:cs="Times New Roman" w:eastAsia="Times New Roman" w:hAnsi="Times New Roman"/>
          <w:sz w:val="20"/>
          <w:szCs w:val="20"/>
          <w:color w:val="auto"/>
        </w:rPr>
      </w:pPr>
    </w:p>
    <w:p>
      <w:pPr>
        <w:jc w:val="both"/>
        <w:ind w:firstLine="596"/>
        <w:spacing w:after="0" w:line="254" w:lineRule="auto"/>
        <w:tabs>
          <w:tab w:leader="none" w:pos="9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Partner agrees that it will not transfer any interest in the Partnership Units (i) through a national, non-U.S., regional, local or other securities exchange or (ii) an over-the-counter market (including an interdealer quotation system that regularly disseminates firm buy or sell quotations by identified brokers or dealers by electronic means or otherwise) or (iii) to or through (a) a person, such as a broker or dealer, that makes a market in, or regularly quotes prices for, interests in the Partnership or (b) 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67" w:lineRule="exact"/>
        <w:rPr>
          <w:rFonts w:ascii="Times New Roman" w:cs="Times New Roman" w:eastAsia="Times New Roman" w:hAnsi="Times New Roman"/>
          <w:sz w:val="20"/>
          <w:szCs w:val="20"/>
          <w:color w:val="auto"/>
        </w:rPr>
      </w:pPr>
    </w:p>
    <w:p>
      <w:pPr>
        <w:jc w:val="both"/>
        <w:ind w:firstLine="596"/>
        <w:spacing w:after="0" w:line="260" w:lineRule="auto"/>
        <w:tabs>
          <w:tab w:leader="none" w:pos="93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Limited Partner acknowledges that the General Partner shall be a third party beneficiary of the representations, covenants and agreements set forth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 The Limited Partner agrees that it will transfer, whether by assignment or otherwise, Partnership Units only to the General Partner or to transferees that provide the Partnership and the General Partner with the representations and covenants set forth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hereof.</w:t>
      </w:r>
    </w:p>
    <w:p>
      <w:pPr>
        <w:spacing w:after="0" w:line="158" w:lineRule="exact"/>
        <w:rPr>
          <w:rFonts w:ascii="Times New Roman" w:cs="Times New Roman" w:eastAsia="Times New Roman" w:hAnsi="Times New Roman"/>
          <w:sz w:val="20"/>
          <w:szCs w:val="20"/>
          <w:color w:val="auto"/>
        </w:rPr>
      </w:pPr>
    </w:p>
    <w:p>
      <w:pPr>
        <w:ind w:firstLine="596"/>
        <w:spacing w:after="0" w:line="289" w:lineRule="auto"/>
        <w:tabs>
          <w:tab w:leader="none" w:pos="96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Acceptance shall be construed and enforced in accordance with and governed by the laws of the State of Delaware, without regard to the principles of conflicts of law.</w:t>
      </w:r>
    </w:p>
    <w:p>
      <w:pPr>
        <w:spacing w:after="0" w:line="1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420"/>
          </w:cols>
          <w:pgMar w:left="240" w:top="586" w:right="239" w:bottom="1440" w:gutter="0" w:footer="0" w:header="0"/>
        </w:sectPr>
      </w:pPr>
    </w:p>
    <w:bookmarkStart w:id="93" w:name="page94"/>
    <w:bookmarkEnd w:id="93"/>
    <w:p>
      <w:pPr>
        <w:ind w:left="2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7346315</wp:posOffset>
            </wp:positionH>
            <wp:positionV relativeFrom="page">
              <wp:posOffset>507365</wp:posOffset>
            </wp:positionV>
            <wp:extent cx="1212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121285" cy="7620"/>
                    </a:xfrm>
                    <a:prstGeom prst="rect">
                      <a:avLst/>
                    </a:prstGeom>
                    <a:noFill/>
                  </pic:spPr>
                </pic:pic>
              </a:graphicData>
            </a:graphic>
          </wp:anchor>
        </w:drawing>
        <w:t>Date: January 1, [ ]</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Address of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9019"/>
          </w:cols>
          <w:pgMar w:left="1440" w:top="1220" w:right="1440" w:bottom="1440" w:gutter="0" w:footer="0" w:header="0"/>
        </w:sectPr>
      </w:pPr>
    </w:p>
    <w:bookmarkStart w:id="94" w:name="page95"/>
    <w:bookmarkEnd w:id="94"/>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GRANTEE’S COVENANTS, REPRESENTATIONS AND WARRANTIES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Grantee hereby represents, warrants and covenants as follows:</w:t>
      </w:r>
    </w:p>
    <w:p>
      <w:pPr>
        <w:spacing w:after="0" w:line="205" w:lineRule="exact"/>
        <w:rPr>
          <w:sz w:val="20"/>
          <w:szCs w:val="20"/>
          <w:color w:val="auto"/>
        </w:rPr>
      </w:pPr>
    </w:p>
    <w:p>
      <w:pPr>
        <w:ind w:left="1580" w:hanging="388"/>
        <w:spacing w:after="0"/>
        <w:tabs>
          <w:tab w:leader="none" w:pos="1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has received and had an opportunity to review the following documents (the “</w:t>
      </w:r>
      <w:r>
        <w:rPr>
          <w:rFonts w:ascii="Times New Roman" w:cs="Times New Roman" w:eastAsia="Times New Roman" w:hAnsi="Times New Roman"/>
          <w:sz w:val="20"/>
          <w:szCs w:val="20"/>
          <w:u w:val="single" w:color="auto"/>
          <w:color w:val="auto"/>
        </w:rPr>
        <w:t>Background Documents</w:t>
      </w:r>
      <w:r>
        <w:rPr>
          <w:rFonts w:ascii="Times New Roman" w:cs="Times New Roman" w:eastAsia="Times New Roman" w:hAnsi="Times New Roman"/>
          <w:sz w:val="20"/>
          <w:szCs w:val="20"/>
          <w:color w:val="auto"/>
        </w:rPr>
        <w:t>”):</w:t>
      </w:r>
    </w:p>
    <w:p>
      <w:pPr>
        <w:spacing w:after="0" w:line="217" w:lineRule="exact"/>
        <w:rPr>
          <w:rFonts w:ascii="Times New Roman" w:cs="Times New Roman" w:eastAsia="Times New Roman" w:hAnsi="Times New Roman"/>
          <w:sz w:val="20"/>
          <w:szCs w:val="20"/>
          <w:color w:val="auto"/>
        </w:rPr>
      </w:pPr>
    </w:p>
    <w:p>
      <w:pPr>
        <w:ind w:left="2140" w:hanging="352"/>
        <w:spacing w:after="0"/>
        <w:tabs>
          <w:tab w:leader="none" w:pos="21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latest Annual Report to Stockholders;</w:t>
      </w:r>
    </w:p>
    <w:p>
      <w:pPr>
        <w:spacing w:after="0" w:line="217" w:lineRule="exact"/>
        <w:rPr>
          <w:rFonts w:ascii="Times New Roman" w:cs="Times New Roman" w:eastAsia="Times New Roman" w:hAnsi="Times New Roman"/>
          <w:sz w:val="20"/>
          <w:szCs w:val="20"/>
          <w:color w:val="auto"/>
        </w:rPr>
      </w:pPr>
    </w:p>
    <w:p>
      <w:pPr>
        <w:ind w:left="2200" w:hanging="412"/>
        <w:spacing w:after="0"/>
        <w:tabs>
          <w:tab w:leader="none" w:pos="22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Proxy Statement for its most recent Annual Meeting of Stockholders;</w:t>
      </w:r>
    </w:p>
    <w:p>
      <w:pPr>
        <w:spacing w:after="0" w:line="217" w:lineRule="exact"/>
        <w:rPr>
          <w:rFonts w:ascii="Times New Roman" w:cs="Times New Roman" w:eastAsia="Times New Roman" w:hAnsi="Times New Roman"/>
          <w:sz w:val="20"/>
          <w:szCs w:val="20"/>
          <w:color w:val="auto"/>
        </w:rPr>
      </w:pPr>
    </w:p>
    <w:p>
      <w:pPr>
        <w:ind w:left="2260" w:hanging="472"/>
        <w:spacing w:after="0"/>
        <w:tabs>
          <w:tab w:leader="none" w:pos="22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Report on Form 10-K for the fiscal year most recently ended;</w:t>
      </w:r>
    </w:p>
    <w:p>
      <w:pPr>
        <w:spacing w:after="0" w:line="217" w:lineRule="exact"/>
        <w:rPr>
          <w:rFonts w:ascii="Times New Roman" w:cs="Times New Roman" w:eastAsia="Times New Roman" w:hAnsi="Times New Roman"/>
          <w:sz w:val="20"/>
          <w:szCs w:val="20"/>
          <w:color w:val="auto"/>
        </w:rPr>
      </w:pPr>
    </w:p>
    <w:p>
      <w:pPr>
        <w:ind w:left="600" w:firstLine="1188"/>
        <w:spacing w:after="0" w:line="289" w:lineRule="auto"/>
        <w:tabs>
          <w:tab w:leader="none" w:pos="228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Form 10-Q, if any, for the most recently ended quarter filed by the Company with the Securities and Exchange Commission since the filing of the Form 10-K described in clause (iii) above;</w:t>
      </w:r>
    </w:p>
    <w:p>
      <w:pPr>
        <w:spacing w:after="0" w:line="129" w:lineRule="exact"/>
        <w:rPr>
          <w:rFonts w:ascii="Times New Roman" w:cs="Times New Roman" w:eastAsia="Times New Roman" w:hAnsi="Times New Roman"/>
          <w:sz w:val="20"/>
          <w:szCs w:val="20"/>
          <w:color w:val="auto"/>
        </w:rPr>
      </w:pPr>
    </w:p>
    <w:p>
      <w:pPr>
        <w:ind w:left="600" w:firstLine="1188"/>
        <w:spacing w:after="0" w:line="289" w:lineRule="auto"/>
        <w:tabs>
          <w:tab w:leader="none" w:pos="222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Current Report(s) on Form 8-K, if any, filed since the end of the fiscal year most recently ended for which a Form 10-K has been filed by the Company;</w:t>
      </w:r>
    </w:p>
    <w:p>
      <w:pPr>
        <w:spacing w:after="0" w:line="129" w:lineRule="exact"/>
        <w:rPr>
          <w:rFonts w:ascii="Times New Roman" w:cs="Times New Roman" w:eastAsia="Times New Roman" w:hAnsi="Times New Roman"/>
          <w:sz w:val="20"/>
          <w:szCs w:val="20"/>
          <w:color w:val="auto"/>
        </w:rPr>
      </w:pPr>
    </w:p>
    <w:p>
      <w:pPr>
        <w:ind w:left="2240" w:hanging="452"/>
        <w:spacing w:after="0"/>
        <w:tabs>
          <w:tab w:leader="none" w:pos="22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Agreement;</w:t>
      </w:r>
    </w:p>
    <w:p>
      <w:pPr>
        <w:spacing w:after="0" w:line="217" w:lineRule="exact"/>
        <w:rPr>
          <w:rFonts w:ascii="Times New Roman" w:cs="Times New Roman" w:eastAsia="Times New Roman" w:hAnsi="Times New Roman"/>
          <w:sz w:val="20"/>
          <w:szCs w:val="20"/>
          <w:color w:val="auto"/>
        </w:rPr>
      </w:pPr>
    </w:p>
    <w:p>
      <w:pPr>
        <w:ind w:left="2300" w:hanging="512"/>
        <w:spacing w:after="0"/>
        <w:tabs>
          <w:tab w:leader="none" w:pos="23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 Plan; and</w:t>
      </w:r>
    </w:p>
    <w:p>
      <w:pPr>
        <w:spacing w:after="0" w:line="217" w:lineRule="exact"/>
        <w:rPr>
          <w:rFonts w:ascii="Times New Roman" w:cs="Times New Roman" w:eastAsia="Times New Roman" w:hAnsi="Times New Roman"/>
          <w:sz w:val="20"/>
          <w:szCs w:val="20"/>
          <w:color w:val="auto"/>
        </w:rPr>
      </w:pPr>
    </w:p>
    <w:p>
      <w:pPr>
        <w:ind w:left="2360" w:hanging="572"/>
        <w:spacing w:after="0"/>
        <w:tabs>
          <w:tab w:leader="none" w:pos="23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Articles of Amendment and Restatement, as amended.</w:t>
      </w:r>
    </w:p>
    <w:p>
      <w:pPr>
        <w:spacing w:after="0" w:line="217" w:lineRule="exact"/>
        <w:rPr>
          <w:sz w:val="20"/>
          <w:szCs w:val="20"/>
          <w:color w:val="auto"/>
        </w:rPr>
      </w:pPr>
    </w:p>
    <w:p>
      <w:pPr>
        <w:jc w:val="both"/>
        <w:ind w:firstLine="1193"/>
        <w:spacing w:after="0" w:line="261" w:lineRule="auto"/>
        <w:rPr>
          <w:sz w:val="20"/>
          <w:szCs w:val="20"/>
          <w:color w:val="auto"/>
        </w:rPr>
      </w:pPr>
      <w:r>
        <w:rPr>
          <w:rFonts w:ascii="Times New Roman" w:cs="Times New Roman" w:eastAsia="Times New Roman" w:hAnsi="Times New Roman"/>
          <w:sz w:val="20"/>
          <w:szCs w:val="20"/>
          <w:color w:val="auto"/>
        </w:rPr>
        <w:t>The Grantee also acknowledges that any delivery of the Background Documents and other information relating to the Company and the Partnership prior to the determination by the Partnership of the suitability of the Grantee as a holder of [ ] LTIP Units (SB) shall not constitute an offer of [ ] LTIP Units (SB) until such determination of suitability shall be made.</w:t>
      </w:r>
    </w:p>
    <w:p>
      <w:pPr>
        <w:spacing w:after="0" w:line="157" w:lineRule="exact"/>
        <w:rPr>
          <w:sz w:val="20"/>
          <w:szCs w:val="20"/>
          <w:color w:val="auto"/>
        </w:rPr>
      </w:pPr>
    </w:p>
    <w:p>
      <w:pPr>
        <w:ind w:left="1580" w:hanging="388"/>
        <w:spacing w:after="0"/>
        <w:tabs>
          <w:tab w:leader="none" w:pos="15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hereby represents and warrants that</w:t>
      </w:r>
    </w:p>
    <w:p>
      <w:pPr>
        <w:spacing w:after="0" w:line="217" w:lineRule="exact"/>
        <w:rPr>
          <w:rFonts w:ascii="Times New Roman" w:cs="Times New Roman" w:eastAsia="Times New Roman" w:hAnsi="Times New Roman"/>
          <w:sz w:val="20"/>
          <w:szCs w:val="20"/>
          <w:color w:val="auto"/>
        </w:rPr>
      </w:pPr>
    </w:p>
    <w:p>
      <w:pPr>
        <w:jc w:val="both"/>
        <w:ind w:left="600" w:firstLine="1188"/>
        <w:spacing w:after="0" w:line="254" w:lineRule="auto"/>
        <w:tabs>
          <w:tab w:leader="none" w:pos="22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either (A) is an “accredited investor” as defined in Rule 501(a) under the Securities Act, or (B) by reason of the business and financial experience of the Grantee, together with the business and financial experience of those persons, if any, retained by the Grantee to represent or advise him with respect to the grant to him of [ ] LTIP Units (SB), the potential conversion of [ ] LTIP Units (SB) into units of limited partnership of the Partnership (“</w:t>
      </w:r>
      <w:r>
        <w:rPr>
          <w:rFonts w:ascii="Times New Roman" w:cs="Times New Roman" w:eastAsia="Times New Roman" w:hAnsi="Times New Roman"/>
          <w:sz w:val="20"/>
          <w:szCs w:val="20"/>
          <w:u w:val="single" w:color="auto"/>
          <w:color w:val="auto"/>
        </w:rPr>
        <w:t>Common Units</w:t>
      </w:r>
      <w:r>
        <w:rPr>
          <w:rFonts w:ascii="Times New Roman" w:cs="Times New Roman" w:eastAsia="Times New Roman" w:hAnsi="Times New Roman"/>
          <w:sz w:val="20"/>
          <w:szCs w:val="20"/>
          <w:color w:val="auto"/>
        </w:rPr>
        <w:t>”) and the potential redemption of such Common Units for shares the Company’s common stock (“</w:t>
      </w:r>
      <w:r>
        <w:rPr>
          <w:rFonts w:ascii="Times New Roman" w:cs="Times New Roman" w:eastAsia="Times New Roman" w:hAnsi="Times New Roman"/>
          <w:sz w:val="20"/>
          <w:szCs w:val="20"/>
          <w:u w:val="single" w:color="auto"/>
          <w:color w:val="auto"/>
        </w:rPr>
        <w:t>REIT Shares</w:t>
      </w:r>
      <w:r>
        <w:rPr>
          <w:rFonts w:ascii="Times New Roman" w:cs="Times New Roman" w:eastAsia="Times New Roman" w:hAnsi="Times New Roman"/>
          <w:sz w:val="20"/>
          <w:szCs w:val="20"/>
          <w:color w:val="auto"/>
        </w:rPr>
        <w:t>”), has such knowledge, sophistication and experience in financial and business matters and in making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420"/>
          </w:cols>
          <w:pgMar w:left="240" w:top="583" w:right="2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20"/>
          <w:szCs w:val="20"/>
          <w:color w:val="auto"/>
        </w:rPr>
        <w:t>investment decisions of this type that the Grantee (I) is capable of evaluating the merits and risks of an investment in the Partnership and potential investment in the Company and of making an informed investment decision, (II) is capable of protecting his own interest or has engaged representatives or advisors to assist him in protecting his interests, and (III) is capable of bearing the economic risk of such investment.</w:t>
      </w:r>
    </w:p>
    <w:p>
      <w:pPr>
        <w:spacing w:after="0" w:line="162" w:lineRule="exact"/>
        <w:rPr>
          <w:sz w:val="20"/>
          <w:szCs w:val="20"/>
          <w:color w:val="auto"/>
        </w:rPr>
      </w:pPr>
    </w:p>
    <w:p>
      <w:pPr>
        <w:jc w:val="both"/>
        <w:ind w:firstLine="1188"/>
        <w:spacing w:after="0" w:line="253" w:lineRule="auto"/>
        <w:tabs>
          <w:tab w:leader="none" w:pos="163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after due inquiry, hereby certifies that for purposes of Rule 506(d) and Rule 506(e) of the Securities Act, he is not subject to any felony or misdemeanor conviction related to any securities matter; any federal or state order, judgment, decree or injunction related to any securities, insurance, banking or U.S. Postal Service matter; any SEC disciplinary or cease and desist order; or any suspension, expulsion or bar related to a registered national securities exchange, national or affiliated securities association or member thereof, whether it occurred or was issued before, on or after September 23, 2013, and agrees that he will notify the Company immediately upon becoming aware that the foregoing is not, or is no longer, complete and accurate in every material respect, including as a result of events occurring after the date hereof.</w:t>
      </w:r>
    </w:p>
    <w:p>
      <w:pPr>
        <w:spacing w:after="0" w:line="166" w:lineRule="exact"/>
        <w:rPr>
          <w:rFonts w:ascii="Times New Roman" w:cs="Times New Roman" w:eastAsia="Times New Roman" w:hAnsi="Times New Roman"/>
          <w:sz w:val="20"/>
          <w:szCs w:val="20"/>
          <w:color w:val="auto"/>
        </w:rPr>
      </w:pPr>
    </w:p>
    <w:p>
      <w:pPr>
        <w:jc w:val="both"/>
        <w:ind w:firstLine="1188"/>
        <w:spacing w:after="0" w:line="249" w:lineRule="auto"/>
        <w:tabs>
          <w:tab w:leader="none" w:pos="165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Grantee understands that (A) the Grantee is responsible for consulting his own tax advisors with respect to the application of the U.S. federal income tax laws, and the tax laws of any state, local or other taxing jurisdiction to which the Grantee is or by reason of the award of [ ] LTIP Units (SB) may become subject, to his particular situation; (B) 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 to accept the award of [ ] LTIP Units (SB); and (D) an investment in the Partnership and/or the Company involves substantial risks. The Grantee has been given the opportunity to make a thorough investigation of matters relevant to the [ ] LTIP Units (SB)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 that all documents, records, and books pertaining to his receipt of [ ] LTIP Units (SB) which were requested by the Grantee have been made available or delivered to the Grantee. The Grantee has had an opportunity to ask questions of and receive answers from the Partnership and the Company, or from a person or persons acting on their behalf, concerning the terms and conditions of the [ ] LTIP Units (SB). </w:t>
      </w:r>
      <w:r>
        <w:rPr>
          <w:rFonts w:ascii="Times New Roman" w:cs="Times New Roman" w:eastAsia="Times New Roman" w:hAnsi="Times New Roman"/>
          <w:sz w:val="20"/>
          <w:szCs w:val="20"/>
          <w:b w:val="1"/>
          <w:bCs w:val="1"/>
          <w:color w:val="auto"/>
        </w:rPr>
        <w:t>The Grantee has relied upon, and is making its decision solely upon, the Background Documents and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written information provided to the Grantee by the Partnership or the Company.</w:t>
      </w:r>
    </w:p>
    <w:p>
      <w:pPr>
        <w:spacing w:after="0" w:line="167" w:lineRule="exact"/>
        <w:rPr>
          <w:rFonts w:ascii="Times New Roman" w:cs="Times New Roman" w:eastAsia="Times New Roman" w:hAnsi="Times New Roman"/>
          <w:sz w:val="20"/>
          <w:szCs w:val="20"/>
          <w:color w:val="auto"/>
        </w:rPr>
      </w:pPr>
    </w:p>
    <w:p>
      <w:pPr>
        <w:ind w:firstLine="1188"/>
        <w:spacing w:after="0" w:line="289" w:lineRule="auto"/>
        <w:tabs>
          <w:tab w:leader="none" w:pos="167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 ] LTIP Units (SB) to be issued, the Common Units issuable upon conversion of the [ ] LTIP Units (SB) and any REIT Shares issued in connection</w:t>
      </w:r>
    </w:p>
    <w:p>
      <w:pPr>
        <w:spacing w:after="0" w:line="3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0820"/>
          </w:cols>
          <w:pgMar w:left="840" w:top="586" w:right="239" w:bottom="1440" w:gutter="0" w:footer="0" w:header="0"/>
        </w:sectPr>
      </w:pPr>
    </w:p>
    <w:bookmarkStart w:id="96" w:name="page97"/>
    <w:bookmarkEnd w:id="96"/>
    <w:p>
      <w:pPr>
        <w:jc w:val="both"/>
        <w:spacing w:after="0" w:line="251" w:lineRule="auto"/>
        <w:rPr>
          <w:sz w:val="20"/>
          <w:szCs w:val="20"/>
          <w:color w:val="auto"/>
        </w:rPr>
      </w:pPr>
      <w:r>
        <w:rPr>
          <w:rFonts w:ascii="Times New Roman" w:cs="Times New Roman" w:eastAsia="Times New Roman" w:hAnsi="Times New Roman"/>
          <w:sz w:val="20"/>
          <w:szCs w:val="20"/>
          <w:color w:val="auto"/>
        </w:rPr>
        <w:t>with the redemption of any such Common Units will be acquired for the account of the Grantee for investment only and not with a current view to, or with any intention of, a distribution or resale thereof, in whole or in part, or the grant of any participation therein, without prejudice, however, to the Grantee’s right (subject to the terms of the [ ] LTIP Units (SB), the Stock Plan, the agreement of limited partnership of the Partnership, the articles of organization of the Company, as amended, and the Award Agreement) at all times to sell or otherwise dispose of all or any part of his [ ] LTIP Units (SB), Common Units or REIT Shares in compliance with the Securities Act, and applicable state securities laws, and subject, nevertheless, to the disposition of his assets being at all times within his control.</w:t>
      </w:r>
    </w:p>
    <w:p>
      <w:pPr>
        <w:spacing w:after="0" w:line="167" w:lineRule="exact"/>
        <w:rPr>
          <w:sz w:val="20"/>
          <w:szCs w:val="20"/>
          <w:color w:val="auto"/>
        </w:rPr>
      </w:pPr>
    </w:p>
    <w:p>
      <w:pPr>
        <w:jc w:val="both"/>
        <w:ind w:firstLine="1188"/>
        <w:spacing w:after="0" w:line="238" w:lineRule="exact"/>
        <w:tabs>
          <w:tab w:leader="none" w:pos="1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acknowledges that (A) neither the [ ] LTIP Units (SB) to be issued, nor the Common Units issuable upon conversion of the [ ] LTIP Units (SB), have been registered under the Securities Act or state securities laws by reason of a specific exemption or exemptions from registration under the Securities Act and applicable state securities laws and, if such [ ] LTIP Units (SB) or Common Units are represented by certificates, such certificates will bear a legend to such effect, (B) the reliance by the Partnership and the Company on such exemptions is predicated in part on the accuracy and completeness of the representations and warranties of the Grantee contained herein, (C) such [ ] LTIP Units (SB) or Common Units, therefore, cannot be resold unless registered under the Securities Act and applicable state securities laws, or unless an exemption from registration is available, (D) there is no public market for such [ ] LTIP Units (SB) and Common Units and (E) neither the Partnership nor the Company has any obligation or intention to register such [ ] LTIP Units (SB) or the Common Units issuable upon conversion of the [ ] LTIP Units (SB) under the Securities Act or any state securities laws or to take any action that would make available any exemption from the registration requirements of such laws, except, that, upon the redemption of the Common Units for REIT Shares, the Company may issue such REIT Shares under the Stock Plan and pursuant to a Registration Statement on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under the Securities Act, to the extent that (I) the Grantee is eligible to receive such REIT Shares under the Stock Plan at the time of such issuance, (II) the Company has filed a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Registration Statement with the Securities and Exchange Commission registering the issuance of such REIT Shares and (III) such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is effective at the time of the issuance of such REIT Shares. The Grantee hereby acknowledges that because of the restrictions on transfer or assignment of such [ ] LTIP Units (SB) acquired hereby and the Common Units issuable upon conversion of the [ ] LTIP Units (SB) which are set forth in the Partnership Agreement or this Agreement, the Grantee may have to bear the economic risk of his ownership of the [ ] LTIP Units (SB) acquired hereby and the Common Units issuable upon conversion of the [ ] LTIP Units (SB) for an indefinite period of time.</w:t>
      </w:r>
    </w:p>
    <w:p>
      <w:pPr>
        <w:spacing w:after="0" w:line="180" w:lineRule="exact"/>
        <w:rPr>
          <w:rFonts w:ascii="Times New Roman" w:cs="Times New Roman" w:eastAsia="Times New Roman" w:hAnsi="Times New Roman"/>
          <w:sz w:val="20"/>
          <w:szCs w:val="20"/>
          <w:color w:val="auto"/>
        </w:rPr>
      </w:pPr>
    </w:p>
    <w:p>
      <w:pPr>
        <w:ind w:left="1640" w:hanging="452"/>
        <w:spacing w:after="0"/>
        <w:tabs>
          <w:tab w:leader="none" w:pos="1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has determined that the [ ] LTIP Units (SB) are a suitable investment for the Grantee.</w:t>
      </w:r>
    </w:p>
    <w:p>
      <w:pPr>
        <w:spacing w:after="0" w:line="217" w:lineRule="exact"/>
        <w:rPr>
          <w:rFonts w:ascii="Times New Roman" w:cs="Times New Roman" w:eastAsia="Times New Roman" w:hAnsi="Times New Roman"/>
          <w:sz w:val="20"/>
          <w:szCs w:val="20"/>
          <w:color w:val="auto"/>
        </w:rPr>
      </w:pPr>
    </w:p>
    <w:p>
      <w:pPr>
        <w:ind w:firstLine="1188"/>
        <w:spacing w:after="0" w:line="317" w:lineRule="auto"/>
        <w:tabs>
          <w:tab w:leader="none" w:pos="170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representations or warranties have been made to the Grantee by the Partnership or the Company, or any officer, director, stockholder, agent, or affiliate of any of them, and the Grantee has received no information relating to an investment in the</w:t>
      </w:r>
    </w:p>
    <w:p>
      <w:pPr>
        <w:spacing w:after="0" w:line="3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0820"/>
          </w:cols>
          <w:pgMar w:left="840" w:top="586" w:right="239"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20"/>
          <w:szCs w:val="20"/>
          <w:color w:val="auto"/>
        </w:rPr>
        <w:t>Partnership or the [ ] LTIP Units (SB) except the information specified in paragraph (b) above.</w:t>
      </w:r>
    </w:p>
    <w:p>
      <w:pPr>
        <w:spacing w:after="0" w:line="205" w:lineRule="exact"/>
        <w:rPr>
          <w:sz w:val="20"/>
          <w:szCs w:val="20"/>
          <w:color w:val="auto"/>
        </w:rPr>
      </w:pPr>
    </w:p>
    <w:p>
      <w:pPr>
        <w:jc w:val="both"/>
        <w:ind w:firstLine="1192"/>
        <w:spacing w:after="0" w:line="260" w:lineRule="auto"/>
        <w:tabs>
          <w:tab w:leader="none" w:pos="170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Grantee holds any [ ] LTIP Units (SB), the Grantee shall disclose to the Partnership in writing such information as may be reasonably requested with respect to ownership of [ ] LTIP Units (SB) as the Partnership may deem reasonably necessary to ascertain and to establish compliance with provisions of the Code, applicable to the Partnership or to comply with requirements of any other appropriate taxing authority.</w:t>
      </w:r>
    </w:p>
    <w:p>
      <w:pPr>
        <w:spacing w:after="0" w:line="158" w:lineRule="exact"/>
        <w:rPr>
          <w:rFonts w:ascii="Times New Roman" w:cs="Times New Roman" w:eastAsia="Times New Roman" w:hAnsi="Times New Roman"/>
          <w:sz w:val="20"/>
          <w:szCs w:val="20"/>
          <w:color w:val="auto"/>
        </w:rPr>
      </w:pPr>
    </w:p>
    <w:p>
      <w:pPr>
        <w:jc w:val="both"/>
        <w:ind w:firstLine="1192"/>
        <w:spacing w:after="0" w:line="254" w:lineRule="auto"/>
        <w:tabs>
          <w:tab w:leader="none" w:pos="1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Grantee hereby agrees to make an election under Section 83(b) of the Code with respect to the [ ] LTIP Units (SB) awarded hereunder, and has delivered with this Agreement a completed, executed copy of the election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The Grantee agrees to file the election (or to permit the Partnership to file such election on the Grantee’s behalf) within thirty (30) days after the award of the [ ] LTIP Units (SB) hereunder with the IRS Service Center at which such Grantee files his personal income tax returns, and to file a copy of such election with the Grantee’s U.S. federal income tax return for the taxable year in which [ ] LTIP Units (SB) are issued or awarded to the Grantee.</w:t>
      </w:r>
    </w:p>
    <w:p>
      <w:pPr>
        <w:spacing w:after="0" w:line="167"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1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11420"/>
          </w:cols>
          <w:pgMar w:left="240" w:top="586" w:right="239" w:bottom="1440" w:gutter="0" w:footer="0" w:header="0"/>
        </w:sectPr>
      </w:pPr>
    </w:p>
    <w:bookmarkStart w:id="98" w:name="page99"/>
    <w:bookmarkEnd w:id="98"/>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ELECTION TO INCLUDE IN GROSS INCOME IN YEAR OF</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TRANSFER OF PROPERTY PURSUANT TO SECTION 83(b)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INTERNAL REVENUE CODE</w:t>
      </w:r>
    </w:p>
    <w:p>
      <w:pPr>
        <w:spacing w:after="0" w:line="183"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The undersigned hereby makes an election pursuant to Section 83(b) of the Internal Revenue Code of 1986, as amended, Treasury Regulations Section 1.83-2 promulgated thereunder, and Rev. Proc. 2012-29, 2012-28 IRB, 06/26/2012, to include in gross income as compensation for services the excess (if any) of the fair market value of the property described below over the amount paid for such property.</w:t>
      </w:r>
    </w:p>
    <w:p>
      <w:pPr>
        <w:spacing w:after="0" w:line="157" w:lineRule="exact"/>
        <w:rPr>
          <w:sz w:val="20"/>
          <w:szCs w:val="20"/>
          <w:color w:val="auto"/>
        </w:rPr>
      </w:pPr>
    </w:p>
    <w:p>
      <w:pPr>
        <w:ind w:left="1200" w:hanging="604"/>
        <w:spacing w:after="0"/>
        <w:tabs>
          <w:tab w:leader="none" w:pos="12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taxpayer identification number of the undersigned are:</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w w:val="96"/>
              </w:rPr>
              <w:t>(the “Taxpayer”)</w:t>
            </w:r>
          </w:p>
        </w:tc>
      </w:tr>
      <w:tr>
        <w:trPr>
          <w:trHeight w:val="36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w w:val="98"/>
              </w:rPr>
              <w:t>Address:</w:t>
            </w: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236855</wp:posOffset>
            </wp:positionV>
            <wp:extent cx="1263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Social Security No./Taxpayer Identification No.: _____________</w:t>
      </w:r>
    </w:p>
    <w:p>
      <w:pPr>
        <w:spacing w:after="0" w:line="1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Taxable Year: Calendar Year [ ]</w:t>
      </w:r>
    </w:p>
    <w:p>
      <w:pPr>
        <w:spacing w:after="0" w:line="155" w:lineRule="exact"/>
        <w:rPr>
          <w:sz w:val="20"/>
          <w:szCs w:val="20"/>
          <w:color w:val="auto"/>
        </w:rPr>
      </w:pPr>
    </w:p>
    <w:p>
      <w:pPr>
        <w:ind w:left="1200" w:hanging="604"/>
        <w:spacing w:after="0"/>
        <w:tabs>
          <w:tab w:leader="none" w:pos="12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property with respect to which the election is being made:</w:t>
      </w:r>
    </w:p>
    <w:p>
      <w:pPr>
        <w:spacing w:after="0" w:line="204" w:lineRule="exact"/>
        <w:rPr>
          <w:rFonts w:ascii="Times New Roman" w:cs="Times New Roman" w:eastAsia="Times New Roman" w:hAnsi="Times New Roman"/>
          <w:sz w:val="20"/>
          <w:szCs w:val="20"/>
          <w:color w:val="auto"/>
        </w:rPr>
      </w:pPr>
    </w:p>
    <w:p>
      <w:pPr>
        <w:ind w:left="120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is being made with respect to __________ [ ] LTIP Units (SB) in The Macerich Partnership,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ind w:left="1200" w:hanging="604"/>
        <w:spacing w:after="0"/>
        <w:tabs>
          <w:tab w:leader="none" w:pos="12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 ] LTIP Units (SB) were transferred to the undersigned is ___________, [ ].</w:t>
      </w:r>
    </w:p>
    <w:p>
      <w:pPr>
        <w:spacing w:after="0" w:line="204" w:lineRule="exact"/>
        <w:rPr>
          <w:rFonts w:ascii="Times New Roman" w:cs="Times New Roman" w:eastAsia="Times New Roman" w:hAnsi="Times New Roman"/>
          <w:sz w:val="20"/>
          <w:szCs w:val="20"/>
          <w:color w:val="auto"/>
        </w:rPr>
      </w:pPr>
    </w:p>
    <w:p>
      <w:pPr>
        <w:ind w:left="1200" w:hanging="604"/>
        <w:spacing w:after="0"/>
        <w:tabs>
          <w:tab w:leader="none" w:pos="12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restrictions to which the [ ] LTIP Units (SB) are subject:</w:t>
      </w:r>
    </w:p>
    <w:p>
      <w:pPr>
        <w:spacing w:after="0" w:line="204" w:lineRule="exact"/>
        <w:rPr>
          <w:rFonts w:ascii="Times New Roman" w:cs="Times New Roman" w:eastAsia="Times New Roman" w:hAnsi="Times New Roman"/>
          <w:sz w:val="20"/>
          <w:szCs w:val="20"/>
          <w:color w:val="auto"/>
        </w:rPr>
      </w:pPr>
    </w:p>
    <w:p>
      <w:pPr>
        <w:ind w:left="1780" w:hanging="588"/>
        <w:spacing w:after="0" w:line="276" w:lineRule="auto"/>
        <w:tabs>
          <w:tab w:leader="none" w:pos="17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 ] LTIP Units (SB) vest, the Taxpayer may not transfer in any manner any portion of the [ ] LTIP Units (SB) without the consent of the Partnership.</w:t>
      </w:r>
    </w:p>
    <w:p>
      <w:pPr>
        <w:spacing w:after="0" w:line="141" w:lineRule="exact"/>
        <w:rPr>
          <w:rFonts w:ascii="Times New Roman" w:cs="Times New Roman" w:eastAsia="Times New Roman" w:hAnsi="Times New Roman"/>
          <w:sz w:val="20"/>
          <w:szCs w:val="20"/>
          <w:color w:val="auto"/>
        </w:rPr>
      </w:pPr>
    </w:p>
    <w:p>
      <w:pPr>
        <w:jc w:val="both"/>
        <w:ind w:left="1780" w:hanging="588"/>
        <w:spacing w:after="0" w:line="261" w:lineRule="auto"/>
        <w:tabs>
          <w:tab w:leader="none" w:pos="17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Taxpayer’s [ ] LTIP Units (SB) vest in accordance with the vesting provisions described in the Schedule attached hereto. Unvested [ ] LTIP Units (SB) are forfeited in accordance with the vesting provisions described in the Schedule attached hereto.</w:t>
      </w:r>
    </w:p>
    <w:p>
      <w:pPr>
        <w:spacing w:after="0" w:line="156" w:lineRule="exact"/>
        <w:rPr>
          <w:rFonts w:ascii="Times New Roman" w:cs="Times New Roman" w:eastAsia="Times New Roman" w:hAnsi="Times New Roman"/>
          <w:sz w:val="20"/>
          <w:szCs w:val="20"/>
          <w:color w:val="auto"/>
        </w:rPr>
      </w:pPr>
    </w:p>
    <w:p>
      <w:pPr>
        <w:jc w:val="both"/>
        <w:ind w:left="1200" w:hanging="604"/>
        <w:spacing w:after="0" w:line="261" w:lineRule="auto"/>
        <w:tabs>
          <w:tab w:leader="none" w:pos="12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at time of transfer (determined without regard to any restrictions other than a nonlapse restriction as defined in Treasury Regulations Section 1.83-3(h)) of the [ ] LTIP Units (SB) with respect to which this election is being made was $0 per [ ] LTIP Unit (SB).</w:t>
      </w:r>
    </w:p>
    <w:p>
      <w:pPr>
        <w:spacing w:after="0" w:line="156" w:lineRule="exact"/>
        <w:rPr>
          <w:rFonts w:ascii="Times New Roman" w:cs="Times New Roman" w:eastAsia="Times New Roman" w:hAnsi="Times New Roman"/>
          <w:sz w:val="20"/>
          <w:szCs w:val="20"/>
          <w:color w:val="auto"/>
        </w:rPr>
      </w:pPr>
    </w:p>
    <w:p>
      <w:pPr>
        <w:ind w:left="1200" w:hanging="604"/>
        <w:spacing w:after="0"/>
        <w:tabs>
          <w:tab w:leader="none" w:pos="12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by the Taxpayer for the [ ] LTIP Units (SB) was $0 per [ ] LTIP Unit (SB).</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1420"/>
          </w:cols>
          <w:pgMar w:left="240" w:top="582" w:right="239" w:bottom="1440" w:gutter="0" w:footer="0" w:header="0"/>
        </w:sectPr>
      </w:pPr>
    </w:p>
    <w:bookmarkStart w:id="99" w:name="page100"/>
    <w:bookmarkEnd w:id="99"/>
    <w:p>
      <w:pPr>
        <w:ind w:left="1200" w:hanging="604"/>
        <w:spacing w:after="0"/>
        <w:tabs>
          <w:tab w:leader="none" w:pos="12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include in gross income is $0.</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1263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233045</wp:posOffset>
            </wp:positionV>
            <wp:extent cx="1263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ectPr>
          <w:pgSz w:w="11900" w:h="16838" w:orient="portrait"/>
          <w:cols w:equalWidth="0" w:num="1">
            <w:col w:w="11420"/>
          </w:cols>
          <w:pgMar w:left="240" w:top="586"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TO 83(b) ELECTION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Provisions of [ ] LTIP Units (SB)</w:t>
      </w:r>
    </w:p>
    <w:p>
      <w:pPr>
        <w:spacing w:after="0" w:line="209"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LTIP Units are subject to service-based vesting with 33 1/3% of such units vesting on December 31, [ ], December 31, [ ] and December 31, [ ]. The above vesting is conditioned upon the Taxpayer remaining an employee of The Macerich Company (the “Company”) through the applicable vesting dates, and subject to acceleration or continued vesting in the event of a change of control of the Company or termination of the Taxpayer’s service relationship with the Company under specified circumstances. Unvested LTIP Units are subject to forfeiture in the event of failure to vest based on the passage of time and continued employment with the Company or its subsidiaries.</w:t>
      </w:r>
    </w:p>
    <w:p>
      <w:pPr>
        <w:sectPr>
          <w:pgSz w:w="11900" w:h="16838" w:orient="portrait"/>
          <w:cols w:equalWidth="0" w:num="1">
            <w:col w:w="11420"/>
          </w:cols>
          <w:pgMar w:left="240" w:top="582" w:right="239" w:bottom="1440" w:gutter="0" w:footer="0" w:header="0"/>
        </w:sectPr>
      </w:pPr>
    </w:p>
    <w:bookmarkStart w:id="101" w:name="page102"/>
    <w:bookmarkEnd w:id="10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SCHEDULE A TO [ ] LTIP UNIT AWARD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(SERVICE-BASED)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3700" w:type="dxa"/>
            <w:vAlign w:val="bottom"/>
            <w:tcBorders>
              <w:top w:val="single" w:sz="8" w:color="00000A"/>
              <w:left w:val="single" w:sz="8" w:color="00000A"/>
              <w:bottom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Date of Award Agreement:</w:t>
            </w:r>
          </w:p>
        </w:tc>
        <w:tc>
          <w:tcPr>
            <w:tcW w:w="2840" w:type="dxa"/>
            <w:vAlign w:val="bottom"/>
            <w:tcBorders>
              <w:top w:val="single" w:sz="8" w:color="00000A"/>
              <w:bottom w:val="single" w:sz="8" w:color="00000A"/>
              <w:right w:val="single" w:sz="8" w:color="00000A"/>
            </w:tcBorders>
          </w:tcPr>
          <w:p>
            <w:pPr>
              <w:spacing w:after="0"/>
              <w:rPr>
                <w:sz w:val="24"/>
                <w:szCs w:val="24"/>
                <w:color w:val="auto"/>
              </w:rPr>
            </w:pPr>
          </w:p>
        </w:tc>
        <w:tc>
          <w:tcPr>
            <w:tcW w:w="4900" w:type="dxa"/>
            <w:vAlign w:val="bottom"/>
            <w:tcBorders>
              <w:top w:val="single" w:sz="8" w:color="00000A"/>
              <w:bottom w:val="single" w:sz="8" w:color="00000A"/>
              <w:right w:val="single" w:sz="8" w:color="00000A"/>
            </w:tcBorders>
            <w:gridSpan w:val="4"/>
          </w:tcPr>
          <w:p>
            <w:pPr>
              <w:ind w:left="20"/>
              <w:spacing w:after="0"/>
              <w:rPr>
                <w:sz w:val="20"/>
                <w:szCs w:val="20"/>
                <w:color w:val="auto"/>
              </w:rPr>
            </w:pPr>
            <w:r>
              <w:rPr>
                <w:rFonts w:ascii="Times New Roman" w:cs="Times New Roman" w:eastAsia="Times New Roman" w:hAnsi="Times New Roman"/>
                <w:sz w:val="20"/>
                <w:szCs w:val="20"/>
                <w:color w:val="auto"/>
              </w:rPr>
              <w:t>January 1, [ ]</w:t>
            </w:r>
          </w:p>
        </w:tc>
        <w:tc>
          <w:tcPr>
            <w:tcW w:w="0" w:type="dxa"/>
            <w:vAlign w:val="bottom"/>
          </w:tcPr>
          <w:p>
            <w:pPr>
              <w:spacing w:after="0"/>
              <w:rPr>
                <w:sz w:val="1"/>
                <w:szCs w:val="1"/>
                <w:color w:val="auto"/>
              </w:rPr>
            </w:pPr>
          </w:p>
        </w:tc>
      </w:tr>
      <w:tr>
        <w:trPr>
          <w:trHeight w:val="266"/>
        </w:trPr>
        <w:tc>
          <w:tcPr>
            <w:tcW w:w="3700" w:type="dxa"/>
            <w:vAlign w:val="bottom"/>
            <w:tcBorders>
              <w:left w:val="single" w:sz="8" w:color="00000A"/>
              <w:bottom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Name of Grantee:</w:t>
            </w:r>
          </w:p>
        </w:tc>
        <w:tc>
          <w:tcPr>
            <w:tcW w:w="2840" w:type="dxa"/>
            <w:vAlign w:val="bottom"/>
            <w:tcBorders>
              <w:bottom w:val="single" w:sz="8" w:color="00000A"/>
              <w:right w:val="single" w:sz="8" w:color="00000A"/>
            </w:tcBorders>
          </w:tcPr>
          <w:p>
            <w:pPr>
              <w:spacing w:after="0"/>
              <w:rPr>
                <w:sz w:val="23"/>
                <w:szCs w:val="23"/>
                <w:color w:val="auto"/>
              </w:rPr>
            </w:pPr>
          </w:p>
        </w:tc>
        <w:tc>
          <w:tcPr>
            <w:tcW w:w="1140" w:type="dxa"/>
            <w:vAlign w:val="bottom"/>
            <w:tcBorders>
              <w:bottom w:val="single" w:sz="8" w:color="00000A"/>
            </w:tcBorders>
          </w:tcPr>
          <w:p>
            <w:pPr>
              <w:spacing w:after="0"/>
              <w:rPr>
                <w:sz w:val="23"/>
                <w:szCs w:val="23"/>
                <w:color w:val="auto"/>
              </w:rPr>
            </w:pPr>
          </w:p>
        </w:tc>
        <w:tc>
          <w:tcPr>
            <w:tcW w:w="20" w:type="dxa"/>
            <w:vAlign w:val="bottom"/>
            <w:tcBorders>
              <w:bottom w:val="single" w:sz="8" w:color="00000A"/>
            </w:tcBorders>
          </w:tcPr>
          <w:p>
            <w:pPr>
              <w:spacing w:after="0"/>
              <w:rPr>
                <w:sz w:val="23"/>
                <w:szCs w:val="23"/>
                <w:color w:val="auto"/>
              </w:rPr>
            </w:pPr>
          </w:p>
        </w:tc>
        <w:tc>
          <w:tcPr>
            <w:tcW w:w="1460" w:type="dxa"/>
            <w:vAlign w:val="bottom"/>
            <w:tcBorders>
              <w:bottom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540" w:type="dxa"/>
            <w:vAlign w:val="bottom"/>
            <w:tcBorders>
              <w:left w:val="single" w:sz="8" w:color="00000A"/>
              <w:bottom w:val="single" w:sz="8" w:color="00000A"/>
              <w:right w:val="single" w:sz="8" w:color="00000A"/>
            </w:tcBorders>
            <w:gridSpan w:val="5"/>
          </w:tcPr>
          <w:p>
            <w:pPr>
              <w:ind w:left="40"/>
              <w:spacing w:after="0"/>
              <w:rPr>
                <w:sz w:val="20"/>
                <w:szCs w:val="20"/>
                <w:color w:val="auto"/>
              </w:rPr>
            </w:pPr>
            <w:r>
              <w:rPr>
                <w:rFonts w:ascii="Times New Roman" w:cs="Times New Roman" w:eastAsia="Times New Roman" w:hAnsi="Times New Roman"/>
                <w:sz w:val="20"/>
                <w:szCs w:val="20"/>
                <w:color w:val="auto"/>
              </w:rPr>
              <w:t>Number of [ ] LTIP Units (SB) Subject to Grant:</w:t>
            </w:r>
          </w:p>
        </w:tc>
        <w:tc>
          <w:tcPr>
            <w:tcW w:w="1140" w:type="dxa"/>
            <w:vAlign w:val="bottom"/>
            <w:tcBorders>
              <w:bottom w:val="single" w:sz="8" w:color="00000A"/>
            </w:tcBorders>
          </w:tcPr>
          <w:p>
            <w:pPr>
              <w:spacing w:after="0"/>
              <w:rPr>
                <w:sz w:val="23"/>
                <w:szCs w:val="23"/>
                <w:color w:val="auto"/>
              </w:rPr>
            </w:pPr>
          </w:p>
        </w:tc>
        <w:tc>
          <w:tcPr>
            <w:tcW w:w="20" w:type="dxa"/>
            <w:vAlign w:val="bottom"/>
            <w:tcBorders>
              <w:bottom w:val="single" w:sz="8" w:color="00000A"/>
            </w:tcBorders>
          </w:tcPr>
          <w:p>
            <w:pPr>
              <w:spacing w:after="0"/>
              <w:rPr>
                <w:sz w:val="23"/>
                <w:szCs w:val="23"/>
                <w:color w:val="auto"/>
              </w:rPr>
            </w:pPr>
          </w:p>
        </w:tc>
        <w:tc>
          <w:tcPr>
            <w:tcW w:w="1460" w:type="dxa"/>
            <w:vAlign w:val="bottom"/>
            <w:tcBorders>
              <w:bottom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00" w:type="dxa"/>
            <w:vAlign w:val="bottom"/>
            <w:tcBorders>
              <w:left w:val="single" w:sz="8" w:color="00000A"/>
              <w:bottom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Grant Date:</w:t>
            </w:r>
          </w:p>
        </w:tc>
        <w:tc>
          <w:tcPr>
            <w:tcW w:w="2840" w:type="dxa"/>
            <w:vAlign w:val="bottom"/>
            <w:tcBorders>
              <w:bottom w:val="single" w:sz="8" w:color="00000A"/>
              <w:right w:val="single" w:sz="8" w:color="00000A"/>
            </w:tcBorders>
          </w:tcPr>
          <w:p>
            <w:pPr>
              <w:spacing w:after="0"/>
              <w:rPr>
                <w:sz w:val="23"/>
                <w:szCs w:val="23"/>
                <w:color w:val="auto"/>
              </w:rPr>
            </w:pPr>
          </w:p>
        </w:tc>
        <w:tc>
          <w:tcPr>
            <w:tcW w:w="4900" w:type="dxa"/>
            <w:vAlign w:val="bottom"/>
            <w:tcBorders>
              <w:bottom w:val="single" w:sz="8" w:color="00000A"/>
              <w:right w:val="single" w:sz="8" w:color="00000A"/>
            </w:tcBorders>
            <w:gridSpan w:val="4"/>
          </w:tcPr>
          <w:p>
            <w:pPr>
              <w:ind w:left="20"/>
              <w:spacing w:after="0"/>
              <w:rPr>
                <w:sz w:val="20"/>
                <w:szCs w:val="20"/>
                <w:color w:val="auto"/>
              </w:rPr>
            </w:pPr>
            <w:r>
              <w:rPr>
                <w:rFonts w:ascii="Times New Roman" w:cs="Times New Roman" w:eastAsia="Times New Roman" w:hAnsi="Times New Roman"/>
                <w:sz w:val="20"/>
                <w:szCs w:val="20"/>
                <w:color w:val="auto"/>
              </w:rPr>
              <w:t>January 1, [ ]</w:t>
            </w:r>
          </w:p>
        </w:tc>
        <w:tc>
          <w:tcPr>
            <w:tcW w:w="0" w:type="dxa"/>
            <w:vAlign w:val="bottom"/>
          </w:tcPr>
          <w:p>
            <w:pPr>
              <w:spacing w:after="0"/>
              <w:rPr>
                <w:sz w:val="1"/>
                <w:szCs w:val="1"/>
                <w:color w:val="auto"/>
              </w:rPr>
            </w:pPr>
          </w:p>
        </w:tc>
      </w:tr>
      <w:tr>
        <w:trPr>
          <w:trHeight w:val="434"/>
        </w:trPr>
        <w:tc>
          <w:tcPr>
            <w:tcW w:w="3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Borders>
              <w:top w:val="single" w:sz="8" w:color="auto"/>
              <w:bottom w:val="single" w:sz="8" w:color="00000A"/>
            </w:tcBorders>
          </w:tcPr>
          <w:p>
            <w:pPr>
              <w:spacing w:after="0"/>
              <w:rPr>
                <w:sz w:val="24"/>
                <w:szCs w:val="24"/>
                <w:color w:val="auto"/>
              </w:rPr>
            </w:pPr>
          </w:p>
        </w:tc>
        <w:tc>
          <w:tcPr>
            <w:tcW w:w="1040" w:type="dxa"/>
            <w:vAlign w:val="bottom"/>
            <w:tcBorders>
              <w:top w:val="single" w:sz="8" w:color="auto"/>
              <w:bottom w:val="single" w:sz="8" w:color="00000A"/>
            </w:tcBorders>
          </w:tcPr>
          <w:p>
            <w:pPr>
              <w:spacing w:after="0"/>
              <w:rPr>
                <w:sz w:val="24"/>
                <w:szCs w:val="24"/>
                <w:color w:val="auto"/>
              </w:rPr>
            </w:pPr>
          </w:p>
        </w:tc>
        <w:tc>
          <w:tcPr>
            <w:tcW w:w="300" w:type="dxa"/>
            <w:vAlign w:val="bottom"/>
            <w:tcBorders>
              <w:top w:val="single" w:sz="8" w:color="auto"/>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2840" w:type="dxa"/>
            <w:vAlign w:val="bottom"/>
            <w:tcBorders>
              <w:bottom w:val="single" w:sz="8" w:color="00000A"/>
            </w:tcBorders>
          </w:tcPr>
          <w:p>
            <w:pPr>
              <w:spacing w:after="0"/>
              <w:rPr>
                <w:sz w:val="24"/>
                <w:szCs w:val="24"/>
                <w:color w:val="auto"/>
              </w:rPr>
            </w:pPr>
          </w:p>
        </w:tc>
        <w:tc>
          <w:tcPr>
            <w:tcW w:w="11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46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0" w:type="dxa"/>
            <w:vAlign w:val="bottom"/>
            <w:tcBorders>
              <w:left w:val="single" w:sz="8" w:color="00000A"/>
            </w:tcBorders>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Borders>
              <w:right w:val="single" w:sz="8" w:color="00000A"/>
            </w:tcBorders>
          </w:tcPr>
          <w:p>
            <w:pPr>
              <w:spacing w:after="0"/>
              <w:rPr>
                <w:sz w:val="24"/>
                <w:szCs w:val="24"/>
                <w:color w:val="auto"/>
              </w:rPr>
            </w:pPr>
          </w:p>
        </w:tc>
        <w:tc>
          <w:tcPr>
            <w:tcW w:w="3980" w:type="dxa"/>
            <w:vAlign w:val="bottom"/>
            <w:tcBorders>
              <w:right w:val="single" w:sz="8" w:color="00000A"/>
            </w:tcBorders>
            <w:gridSpan w:val="2"/>
          </w:tcPr>
          <w:p>
            <w:pPr>
              <w:ind w:left="20"/>
              <w:spacing w:after="0"/>
              <w:rPr>
                <w:sz w:val="20"/>
                <w:szCs w:val="20"/>
                <w:color w:val="auto"/>
              </w:rPr>
            </w:pPr>
            <w:r>
              <w:rPr>
                <w:rFonts w:ascii="Times New Roman" w:cs="Times New Roman" w:eastAsia="Times New Roman" w:hAnsi="Times New Roman"/>
                <w:sz w:val="20"/>
                <w:szCs w:val="20"/>
                <w:color w:val="auto"/>
                <w:w w:val="98"/>
              </w:rPr>
              <w:t>Number of [ ] LTIP Units (SB) Becoming Vested</w:t>
            </w:r>
          </w:p>
        </w:tc>
        <w:tc>
          <w:tcPr>
            <w:tcW w:w="3760" w:type="dxa"/>
            <w:vAlign w:val="bottom"/>
            <w:tcBorders>
              <w:right w:val="single" w:sz="8" w:color="00000A"/>
            </w:tcBorders>
            <w:gridSpan w:val="3"/>
          </w:tcPr>
          <w:p>
            <w:pPr>
              <w:ind w:left="20"/>
              <w:spacing w:after="0"/>
              <w:rPr>
                <w:sz w:val="20"/>
                <w:szCs w:val="20"/>
                <w:color w:val="auto"/>
              </w:rPr>
            </w:pPr>
            <w:r>
              <w:rPr>
                <w:rFonts w:ascii="Times New Roman" w:cs="Times New Roman" w:eastAsia="Times New Roman" w:hAnsi="Times New Roman"/>
                <w:sz w:val="20"/>
                <w:szCs w:val="20"/>
                <w:color w:val="auto"/>
              </w:rPr>
              <w:t>Cumulative</w:t>
            </w:r>
          </w:p>
        </w:tc>
        <w:tc>
          <w:tcPr>
            <w:tcW w:w="0" w:type="dxa"/>
            <w:vAlign w:val="bottom"/>
          </w:tcPr>
          <w:p>
            <w:pPr>
              <w:spacing w:after="0"/>
              <w:rPr>
                <w:sz w:val="1"/>
                <w:szCs w:val="1"/>
                <w:color w:val="auto"/>
              </w:rPr>
            </w:pPr>
          </w:p>
        </w:tc>
      </w:tr>
      <w:tr>
        <w:trPr>
          <w:trHeight w:val="400"/>
        </w:trPr>
        <w:tc>
          <w:tcPr>
            <w:tcW w:w="3700" w:type="dxa"/>
            <w:vAlign w:val="bottom"/>
            <w:tcBorders>
              <w:left w:val="single" w:sz="8" w:color="00000A"/>
              <w:right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Vesting Date</w:t>
            </w:r>
          </w:p>
        </w:tc>
        <w:tc>
          <w:tcPr>
            <w:tcW w:w="2840" w:type="dxa"/>
            <w:vAlign w:val="bottom"/>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3760" w:type="dxa"/>
            <w:vAlign w:val="bottom"/>
            <w:tcBorders>
              <w:right w:val="single" w:sz="8" w:color="00000A"/>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Percentage Vested</w:t>
            </w:r>
          </w:p>
        </w:tc>
        <w:tc>
          <w:tcPr>
            <w:tcW w:w="0" w:type="dxa"/>
            <w:vAlign w:val="bottom"/>
          </w:tcPr>
          <w:p>
            <w:pPr>
              <w:spacing w:after="0"/>
              <w:rPr>
                <w:sz w:val="1"/>
                <w:szCs w:val="1"/>
                <w:color w:val="auto"/>
              </w:rPr>
            </w:pPr>
          </w:p>
        </w:tc>
      </w:tr>
      <w:tr>
        <w:trPr>
          <w:trHeight w:val="154"/>
        </w:trPr>
        <w:tc>
          <w:tcPr>
            <w:tcW w:w="40" w:type="dxa"/>
            <w:vAlign w:val="bottom"/>
            <w:tcBorders>
              <w:left w:val="single" w:sz="8" w:color="00000A"/>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tcBorders>
              <w:right w:val="single" w:sz="8" w:color="00000A"/>
            </w:tcBorders>
          </w:tcPr>
          <w:p>
            <w:pPr>
              <w:spacing w:after="0"/>
              <w:rPr>
                <w:sz w:val="13"/>
                <w:szCs w:val="13"/>
                <w:color w:val="auto"/>
              </w:rPr>
            </w:pPr>
          </w:p>
        </w:tc>
        <w:tc>
          <w:tcPr>
            <w:tcW w:w="2840" w:type="dxa"/>
            <w:vAlign w:val="bottom"/>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3760" w:type="dxa"/>
            <w:vAlign w:val="bottom"/>
            <w:tcBorders>
              <w:right w:val="single" w:sz="8" w:color="00000A"/>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00000A"/>
              <w:bottom w:val="single" w:sz="8" w:color="00000A"/>
            </w:tcBorders>
          </w:tcPr>
          <w:p>
            <w:pPr>
              <w:spacing w:after="0"/>
              <w:rPr>
                <w:sz w:val="20"/>
                <w:szCs w:val="20"/>
                <w:color w:val="auto"/>
              </w:rPr>
            </w:pPr>
          </w:p>
        </w:tc>
        <w:tc>
          <w:tcPr>
            <w:tcW w:w="1040" w:type="dxa"/>
            <w:vAlign w:val="bottom"/>
            <w:tcBorders>
              <w:bottom w:val="single" w:sz="8" w:color="00000A"/>
            </w:tcBorders>
          </w:tcPr>
          <w:p>
            <w:pPr>
              <w:spacing w:after="0"/>
              <w:rPr>
                <w:sz w:val="20"/>
                <w:szCs w:val="20"/>
                <w:color w:val="auto"/>
              </w:rPr>
            </w:pPr>
          </w:p>
        </w:tc>
        <w:tc>
          <w:tcPr>
            <w:tcW w:w="300" w:type="dxa"/>
            <w:vAlign w:val="bottom"/>
            <w:tcBorders>
              <w:bottom w:val="single" w:sz="8" w:color="00000A"/>
            </w:tcBorders>
          </w:tcPr>
          <w:p>
            <w:pPr>
              <w:spacing w:after="0"/>
              <w:rPr>
                <w:sz w:val="20"/>
                <w:szCs w:val="20"/>
                <w:color w:val="auto"/>
              </w:rPr>
            </w:pPr>
          </w:p>
        </w:tc>
        <w:tc>
          <w:tcPr>
            <w:tcW w:w="2320" w:type="dxa"/>
            <w:vAlign w:val="bottom"/>
            <w:tcBorders>
              <w:bottom w:val="single" w:sz="8" w:color="00000A"/>
              <w:right w:val="single" w:sz="8" w:color="00000A"/>
            </w:tcBorders>
          </w:tcPr>
          <w:p>
            <w:pPr>
              <w:spacing w:after="0"/>
              <w:rPr>
                <w:sz w:val="20"/>
                <w:szCs w:val="20"/>
                <w:color w:val="auto"/>
              </w:rPr>
            </w:pPr>
          </w:p>
        </w:tc>
        <w:tc>
          <w:tcPr>
            <w:tcW w:w="2840" w:type="dxa"/>
            <w:vAlign w:val="bottom"/>
            <w:tcBorders>
              <w:bottom w:val="single" w:sz="8" w:color="00000A"/>
            </w:tcBorders>
          </w:tcPr>
          <w:p>
            <w:pPr>
              <w:spacing w:after="0"/>
              <w:rPr>
                <w:sz w:val="20"/>
                <w:szCs w:val="20"/>
                <w:color w:val="auto"/>
              </w:rPr>
            </w:pPr>
          </w:p>
        </w:tc>
        <w:tc>
          <w:tcPr>
            <w:tcW w:w="1140" w:type="dxa"/>
            <w:vAlign w:val="bottom"/>
            <w:tcBorders>
              <w:bottom w:val="single" w:sz="8" w:color="00000A"/>
              <w:right w:val="single" w:sz="8" w:color="00000A"/>
            </w:tcBorders>
          </w:tcPr>
          <w:p>
            <w:pPr>
              <w:spacing w:after="0"/>
              <w:rPr>
                <w:sz w:val="20"/>
                <w:szCs w:val="20"/>
                <w:color w:val="auto"/>
              </w:rPr>
            </w:pPr>
          </w:p>
        </w:tc>
        <w:tc>
          <w:tcPr>
            <w:tcW w:w="20" w:type="dxa"/>
            <w:vAlign w:val="bottom"/>
            <w:tcBorders>
              <w:bottom w:val="single" w:sz="8" w:color="00000A"/>
            </w:tcBorders>
          </w:tcPr>
          <w:p>
            <w:pPr>
              <w:spacing w:after="0"/>
              <w:rPr>
                <w:sz w:val="20"/>
                <w:szCs w:val="20"/>
                <w:color w:val="auto"/>
              </w:rPr>
            </w:pPr>
          </w:p>
        </w:tc>
        <w:tc>
          <w:tcPr>
            <w:tcW w:w="1460" w:type="dxa"/>
            <w:vAlign w:val="bottom"/>
            <w:tcBorders>
              <w:top w:val="single" w:sz="8" w:color="auto"/>
              <w:bottom w:val="single" w:sz="8" w:color="00000A"/>
            </w:tcBorders>
          </w:tcPr>
          <w:p>
            <w:pPr>
              <w:spacing w:after="0"/>
              <w:rPr>
                <w:sz w:val="20"/>
                <w:szCs w:val="20"/>
                <w:color w:val="auto"/>
              </w:rPr>
            </w:pPr>
          </w:p>
        </w:tc>
        <w:tc>
          <w:tcPr>
            <w:tcW w:w="22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700" w:type="dxa"/>
            <w:vAlign w:val="bottom"/>
            <w:tcBorders>
              <w:left w:val="single" w:sz="8" w:color="00000A"/>
              <w:bottom w:val="single" w:sz="8" w:color="00000A"/>
              <w:right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December 31, [ ]</w:t>
            </w:r>
          </w:p>
        </w:tc>
        <w:tc>
          <w:tcPr>
            <w:tcW w:w="2840" w:type="dxa"/>
            <w:vAlign w:val="bottom"/>
            <w:tcBorders>
              <w:bottom w:val="single" w:sz="8" w:color="00000A"/>
            </w:tcBorders>
          </w:tcPr>
          <w:p>
            <w:pPr>
              <w:jc w:val="right"/>
              <w:ind w:right="1321"/>
              <w:spacing w:after="0"/>
              <w:rPr>
                <w:sz w:val="20"/>
                <w:szCs w:val="20"/>
                <w:color w:val="auto"/>
              </w:rPr>
            </w:pPr>
            <w:r>
              <w:rPr>
                <w:rFonts w:ascii="Times New Roman" w:cs="Times New Roman" w:eastAsia="Times New Roman" w:hAnsi="Times New Roman"/>
                <w:sz w:val="20"/>
                <w:szCs w:val="20"/>
                <w:color w:val="auto"/>
              </w:rPr>
              <w:t>(33 1/3%)</w:t>
            </w:r>
          </w:p>
        </w:tc>
        <w:tc>
          <w:tcPr>
            <w:tcW w:w="11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gridSpan w:val="2"/>
          </w:tcPr>
          <w:p>
            <w:pPr>
              <w:ind w:left="20"/>
              <w:spacing w:after="0"/>
              <w:rPr>
                <w:sz w:val="20"/>
                <w:szCs w:val="20"/>
                <w:color w:val="auto"/>
              </w:rPr>
            </w:pPr>
            <w:r>
              <w:rPr>
                <w:rFonts w:ascii="Times New Roman" w:cs="Times New Roman" w:eastAsia="Times New Roman" w:hAnsi="Times New Roman"/>
                <w:sz w:val="20"/>
                <w:szCs w:val="20"/>
                <w:color w:val="auto"/>
              </w:rPr>
              <w:t>33 1/3%</w:t>
            </w:r>
          </w:p>
        </w:tc>
        <w:tc>
          <w:tcPr>
            <w:tcW w:w="228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700" w:type="dxa"/>
            <w:vAlign w:val="bottom"/>
            <w:tcBorders>
              <w:left w:val="single" w:sz="8" w:color="00000A"/>
              <w:bottom w:val="single" w:sz="8" w:color="00000A"/>
              <w:right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December 31, [ ]</w:t>
            </w:r>
          </w:p>
        </w:tc>
        <w:tc>
          <w:tcPr>
            <w:tcW w:w="2840" w:type="dxa"/>
            <w:vAlign w:val="bottom"/>
            <w:tcBorders>
              <w:bottom w:val="single" w:sz="8" w:color="00000A"/>
            </w:tcBorders>
          </w:tcPr>
          <w:p>
            <w:pPr>
              <w:jc w:val="right"/>
              <w:ind w:right="1321"/>
              <w:spacing w:after="0"/>
              <w:rPr>
                <w:sz w:val="20"/>
                <w:szCs w:val="20"/>
                <w:color w:val="auto"/>
              </w:rPr>
            </w:pPr>
            <w:r>
              <w:rPr>
                <w:rFonts w:ascii="Times New Roman" w:cs="Times New Roman" w:eastAsia="Times New Roman" w:hAnsi="Times New Roman"/>
                <w:sz w:val="20"/>
                <w:szCs w:val="20"/>
                <w:color w:val="auto"/>
              </w:rPr>
              <w:t>(33 1/3%)</w:t>
            </w:r>
          </w:p>
        </w:tc>
        <w:tc>
          <w:tcPr>
            <w:tcW w:w="1140" w:type="dxa"/>
            <w:vAlign w:val="bottom"/>
            <w:tcBorders>
              <w:bottom w:val="single" w:sz="8" w:color="00000A"/>
              <w:right w:val="single" w:sz="8" w:color="00000A"/>
            </w:tcBorders>
          </w:tcPr>
          <w:p>
            <w:pPr>
              <w:spacing w:after="0"/>
              <w:rPr>
                <w:sz w:val="23"/>
                <w:szCs w:val="23"/>
                <w:color w:val="auto"/>
              </w:rPr>
            </w:pPr>
          </w:p>
        </w:tc>
        <w:tc>
          <w:tcPr>
            <w:tcW w:w="1480" w:type="dxa"/>
            <w:vAlign w:val="bottom"/>
            <w:tcBorders>
              <w:bottom w:val="single" w:sz="8" w:color="00000A"/>
            </w:tcBorders>
            <w:gridSpan w:val="2"/>
          </w:tcPr>
          <w:p>
            <w:pPr>
              <w:ind w:left="20"/>
              <w:spacing w:after="0"/>
              <w:rPr>
                <w:sz w:val="20"/>
                <w:szCs w:val="20"/>
                <w:color w:val="auto"/>
              </w:rPr>
            </w:pPr>
            <w:r>
              <w:rPr>
                <w:rFonts w:ascii="Times New Roman" w:cs="Times New Roman" w:eastAsia="Times New Roman" w:hAnsi="Times New Roman"/>
                <w:sz w:val="20"/>
                <w:szCs w:val="20"/>
                <w:color w:val="auto"/>
              </w:rPr>
              <w:t>66 2/3%</w:t>
            </w:r>
          </w:p>
        </w:tc>
        <w:tc>
          <w:tcPr>
            <w:tcW w:w="228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00" w:type="dxa"/>
            <w:vAlign w:val="bottom"/>
            <w:tcBorders>
              <w:left w:val="single" w:sz="8" w:color="00000A"/>
              <w:bottom w:val="single" w:sz="8" w:color="00000A"/>
              <w:right w:val="single" w:sz="8" w:color="00000A"/>
            </w:tcBorders>
            <w:gridSpan w:val="4"/>
          </w:tcPr>
          <w:p>
            <w:pPr>
              <w:ind w:left="40"/>
              <w:spacing w:after="0"/>
              <w:rPr>
                <w:sz w:val="20"/>
                <w:szCs w:val="20"/>
                <w:color w:val="auto"/>
              </w:rPr>
            </w:pPr>
            <w:r>
              <w:rPr>
                <w:rFonts w:ascii="Times New Roman" w:cs="Times New Roman" w:eastAsia="Times New Roman" w:hAnsi="Times New Roman"/>
                <w:sz w:val="20"/>
                <w:szCs w:val="20"/>
                <w:color w:val="auto"/>
              </w:rPr>
              <w:t>December 31, [ ]</w:t>
            </w:r>
          </w:p>
        </w:tc>
        <w:tc>
          <w:tcPr>
            <w:tcW w:w="2840" w:type="dxa"/>
            <w:vAlign w:val="bottom"/>
            <w:tcBorders>
              <w:bottom w:val="single" w:sz="8" w:color="00000A"/>
            </w:tcBorders>
          </w:tcPr>
          <w:p>
            <w:pPr>
              <w:jc w:val="right"/>
              <w:ind w:right="1321"/>
              <w:spacing w:after="0"/>
              <w:rPr>
                <w:sz w:val="20"/>
                <w:szCs w:val="20"/>
                <w:color w:val="auto"/>
              </w:rPr>
            </w:pPr>
            <w:r>
              <w:rPr>
                <w:rFonts w:ascii="Times New Roman" w:cs="Times New Roman" w:eastAsia="Times New Roman" w:hAnsi="Times New Roman"/>
                <w:sz w:val="20"/>
                <w:szCs w:val="20"/>
                <w:color w:val="auto"/>
              </w:rPr>
              <w:t>(33 1/3%)</w:t>
            </w:r>
          </w:p>
        </w:tc>
        <w:tc>
          <w:tcPr>
            <w:tcW w:w="1140" w:type="dxa"/>
            <w:vAlign w:val="bottom"/>
            <w:tcBorders>
              <w:bottom w:val="single" w:sz="8" w:color="00000A"/>
              <w:right w:val="single" w:sz="8" w:color="00000A"/>
            </w:tcBorders>
          </w:tcPr>
          <w:p>
            <w:pPr>
              <w:spacing w:after="0"/>
              <w:rPr>
                <w:sz w:val="23"/>
                <w:szCs w:val="23"/>
                <w:color w:val="auto"/>
              </w:rPr>
            </w:pPr>
          </w:p>
        </w:tc>
        <w:tc>
          <w:tcPr>
            <w:tcW w:w="1480" w:type="dxa"/>
            <w:vAlign w:val="bottom"/>
            <w:tcBorders>
              <w:bottom w:val="single" w:sz="8" w:color="00000A"/>
            </w:tcBorders>
            <w:gridSpan w:val="2"/>
          </w:tcPr>
          <w:p>
            <w:pPr>
              <w:ind w:left="20"/>
              <w:spacing w:after="0"/>
              <w:rPr>
                <w:sz w:val="20"/>
                <w:szCs w:val="20"/>
                <w:color w:val="auto"/>
              </w:rPr>
            </w:pPr>
            <w:r>
              <w:rPr>
                <w:rFonts w:ascii="Times New Roman" w:cs="Times New Roman" w:eastAsia="Times New Roman" w:hAnsi="Times New Roman"/>
                <w:sz w:val="20"/>
                <w:szCs w:val="20"/>
                <w:color w:val="auto"/>
              </w:rPr>
              <w:t>100%</w:t>
            </w:r>
          </w:p>
        </w:tc>
        <w:tc>
          <w:tcPr>
            <w:tcW w:w="228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Initials of Company representative: 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Initials of Grantee: _________</w:t>
      </w:r>
    </w:p>
    <w:p>
      <w:pPr>
        <w:sectPr>
          <w:pgSz w:w="11900" w:h="16838" w:orient="portrait"/>
          <w:cols w:equalWidth="0" w:num="1">
            <w:col w:w="11440"/>
          </w:cols>
          <w:pgMar w:left="240" w:top="582" w:right="2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THE MACERICH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 IN CONTROL SEVERANCE PAY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VICE PRESIDENTS</w:t>
      </w:r>
    </w:p>
    <w:p>
      <w:pPr>
        <w:spacing w:after="0" w:line="183" w:lineRule="exact"/>
        <w:rPr>
          <w:sz w:val="20"/>
          <w:szCs w:val="20"/>
          <w:color w:val="auto"/>
        </w:rPr>
      </w:pPr>
    </w:p>
    <w:p>
      <w:pPr>
        <w:jc w:val="both"/>
        <w:ind w:firstLine="596"/>
        <w:spacing w:after="0" w:line="276" w:lineRule="auto"/>
        <w:rPr>
          <w:sz w:val="20"/>
          <w:szCs w:val="20"/>
          <w:color w:val="auto"/>
        </w:rPr>
      </w:pPr>
      <w:r>
        <w:rPr>
          <w:rFonts w:ascii="Times New Roman" w:cs="Times New Roman" w:eastAsia="Times New Roman" w:hAnsi="Times New Roman"/>
          <w:sz w:val="20"/>
          <w:szCs w:val="20"/>
          <w:color w:val="auto"/>
        </w:rPr>
        <w:t>The Macerich Company sets forth herein the terms of its Change in Control Severance Pay Plan for Executive Vice Presidents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follows as of May 3, 2019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1.</w:t>
      </w:r>
      <w:r>
        <w:rPr>
          <w:sz w:val="20"/>
          <w:szCs w:val="20"/>
          <w:color w:val="auto"/>
        </w:rPr>
        <w:tab/>
      </w:r>
      <w:r>
        <w:rPr>
          <w:rFonts w:ascii="Times New Roman" w:cs="Times New Roman" w:eastAsia="Times New Roman" w:hAnsi="Times New Roman"/>
          <w:sz w:val="20"/>
          <w:szCs w:val="20"/>
          <w:u w:val="single" w:color="auto"/>
          <w:color w:val="auto"/>
        </w:rPr>
        <w:t>PURPOSE</w:t>
      </w:r>
    </w:p>
    <w:p>
      <w:pPr>
        <w:spacing w:after="0" w:line="217" w:lineRule="exact"/>
        <w:rPr>
          <w:sz w:val="20"/>
          <w:szCs w:val="20"/>
          <w:color w:val="auto"/>
        </w:rPr>
      </w:pPr>
    </w:p>
    <w:p>
      <w:pPr>
        <w:jc w:val="both"/>
        <w:ind w:firstLine="596"/>
        <w:spacing w:after="0" w:line="252" w:lineRule="auto"/>
        <w:rPr>
          <w:sz w:val="20"/>
          <w:szCs w:val="20"/>
          <w:color w:val="auto"/>
        </w:rPr>
      </w:pPr>
      <w:r>
        <w:rPr>
          <w:rFonts w:ascii="Times New Roman" w:cs="Times New Roman" w:eastAsia="Times New Roman" w:hAnsi="Times New Roman"/>
          <w:sz w:val="20"/>
          <w:szCs w:val="20"/>
          <w:color w:val="auto"/>
        </w:rPr>
        <w:t>The Board of Directors of the Company (defined below) believes that it is in the best interests of the Company to encourage the continued dedication to the Company of certain of the Company’s and its Subsidiaries’ employees in the face of potentially distracting circumstances arising from the possibility or occurrence of a change in control of the Company, and the Board (defined below) has established the Plan for this purpose. The purpose of the Plan is to provide severance benefits in the event certain employees incur a Qualified Termination during the Change in Control Period. The adoption of this Plan in no event guarantees any employee severance benefits in the event she/he is terminated by the Company or the Employer prior to a Change in Control.</w:t>
      </w:r>
    </w:p>
    <w:p>
      <w:pPr>
        <w:spacing w:after="0" w:line="16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2.</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217" w:lineRule="exact"/>
        <w:rPr>
          <w:sz w:val="20"/>
          <w:szCs w:val="20"/>
          <w:color w:val="auto"/>
        </w:rPr>
      </w:pPr>
    </w:p>
    <w:p>
      <w:pPr>
        <w:jc w:val="both"/>
        <w:ind w:firstLine="1192"/>
        <w:spacing w:after="0" w:line="249" w:lineRule="auto"/>
        <w:tabs>
          <w:tab w:leader="none" w:pos="1628"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means, with respect to an Eligible Employee, the sum of the Eligible Employee’s (i) Base Salary through the Date of Termination to the extent earned and not theretofore paid, (ii) accrued vacation pay and/or personal days to the extent earned and payable in connection with the termination of employment pursuant to the Company’s policy, (iii) accrued annual incentive bonus for the fiscal year immediately preceding the year in which the Date of Termination occurs, to the extent such bonus is determined to otherwise have been earned based on the Company’s achievement of applicable performance targets but not theretofore paid, and (iv) vested rights under any equity, compensation or benefit plan, policy, practice or program of or any other contract or agreement with the Company or the Employer including, without limitation, any acceleration of vesting of equity awards that shall occur upon a Qualifying Termination as set forth in the applicable equity award agreement and/or equity incentive plan pursuant to which such awards have been granted (“</w:t>
      </w:r>
      <w:r>
        <w:rPr>
          <w:rFonts w:ascii="Times New Roman" w:cs="Times New Roman" w:eastAsia="Times New Roman" w:hAnsi="Times New Roman"/>
          <w:sz w:val="20"/>
          <w:szCs w:val="20"/>
          <w:u w:val="single" w:color="auto"/>
          <w:color w:val="auto"/>
        </w:rPr>
        <w:t>Double Trigger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Accrued Obligations described in clauses (i) and (ii) shall be paid in a lump sum in cash within the time required by law but in no event more than 30 days after the Date of Termination. Accrued Obligations described in clause (iii) shall be paid at such time as annual incentive bonuses for such fiscal year are otherwise paid pursuant to the terms of the applicable plan but in no event later than 75 days after the end of such fiscal year. Accrued Obligations described in clause (iv) (including without limitation the Double Trigger Equity Vesting) shall be paid at such time(s) as required under the terms of the applicable plan or program.</w:t>
      </w:r>
    </w:p>
    <w:p>
      <w:pPr>
        <w:spacing w:after="0" w:line="177" w:lineRule="exact"/>
        <w:rPr>
          <w:rFonts w:ascii="Times New Roman" w:cs="Times New Roman" w:eastAsia="Times New Roman" w:hAnsi="Times New Roman"/>
          <w:sz w:val="20"/>
          <w:szCs w:val="20"/>
          <w:color w:val="010000"/>
        </w:rPr>
      </w:pPr>
    </w:p>
    <w:p>
      <w:pPr>
        <w:jc w:val="both"/>
        <w:ind w:firstLine="1192"/>
        <w:spacing w:after="0" w:line="260" w:lineRule="auto"/>
        <w:tabs>
          <w:tab w:leader="none" w:pos="1602"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the annual base rate of compensation payable as salary to the Eligible Employee by the Employer as of the Eligible Employee’s Date of Termination or as of immediately prior to the first day of the Change in Control Period, whichever is higher, before deductions of voluntary deferrals authorized by the Eligible Employee or required by law to be withheld from the Eligible Employee by the Employer, and excludes all other extra pay such as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46"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overtime, pensions, severance payments, bonuses, stock incentives, living or other allowances, and other benefits and perquisites.</w:t>
      </w:r>
    </w:p>
    <w:p>
      <w:pPr>
        <w:spacing w:after="0" w:line="205" w:lineRule="exact"/>
        <w:rPr>
          <w:sz w:val="20"/>
          <w:szCs w:val="20"/>
          <w:color w:val="auto"/>
        </w:rPr>
      </w:pPr>
    </w:p>
    <w:p>
      <w:pPr>
        <w:ind w:left="1580" w:hanging="388"/>
        <w:spacing w:after="0"/>
        <w:tabs>
          <w:tab w:leader="none" w:pos="158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7" w:lineRule="exact"/>
        <w:rPr>
          <w:rFonts w:ascii="Times New Roman" w:cs="Times New Roman" w:eastAsia="Times New Roman" w:hAnsi="Times New Roman"/>
          <w:sz w:val="20"/>
          <w:szCs w:val="20"/>
          <w:color w:val="010000"/>
        </w:rPr>
      </w:pPr>
    </w:p>
    <w:p>
      <w:pPr>
        <w:jc w:val="both"/>
        <w:ind w:firstLine="1192"/>
        <w:spacing w:after="0" w:line="257" w:lineRule="auto"/>
        <w:tabs>
          <w:tab w:leader="none" w:pos="1602"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xml:space="preserve">” means, with respect to an Eligible Employee, the average of the annual incentive bonuses awarded to the Eligible Employee in respect of the immediately preceding three years (including, for the avoidance of doubt, the grant date fair value of any annual incentive bonuses awarded in the form of cash and/or equity, </w:t>
      </w:r>
      <w:r>
        <w:rPr>
          <w:rFonts w:ascii="Times New Roman" w:cs="Times New Roman" w:eastAsia="Times New Roman" w:hAnsi="Times New Roman"/>
          <w:sz w:val="20"/>
          <w:szCs w:val="20"/>
          <w:u w:val="single" w:color="auto"/>
          <w:color w:val="auto"/>
        </w:rPr>
        <w:t>but</w:t>
      </w:r>
      <w:r>
        <w:rPr>
          <w:rFonts w:ascii="Times New Roman" w:cs="Times New Roman" w:eastAsia="Times New Roman" w:hAnsi="Times New Roman"/>
          <w:sz w:val="20"/>
          <w:szCs w:val="20"/>
          <w:color w:val="auto"/>
        </w:rPr>
        <w:t xml:space="preserve"> excluding for the avoidance of doubt, any equity incentive awards granted as part of the Company’s long-term equity incentive award program, which exists separate and apart from the Company’s annual short-term incentive bonus program).</w:t>
      </w:r>
    </w:p>
    <w:p>
      <w:pPr>
        <w:spacing w:after="0" w:line="160" w:lineRule="exact"/>
        <w:rPr>
          <w:rFonts w:ascii="Times New Roman" w:cs="Times New Roman" w:eastAsia="Times New Roman" w:hAnsi="Times New Roman"/>
          <w:sz w:val="20"/>
          <w:szCs w:val="20"/>
          <w:color w:val="010000"/>
        </w:rPr>
      </w:pPr>
    </w:p>
    <w:p>
      <w:pPr>
        <w:ind w:firstLine="1192"/>
        <w:spacing w:after="0" w:line="289" w:lineRule="auto"/>
        <w:tabs>
          <w:tab w:leader="none" w:pos="166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with respect to an Eligible Employee, means a termination of service based upon a finding by the Employer, acting in good faith based on upon the information then known to the Employer, that the Eligible Employee:</w:t>
      </w:r>
    </w:p>
    <w:p>
      <w:pPr>
        <w:spacing w:after="0" w:line="129" w:lineRule="exact"/>
        <w:rPr>
          <w:rFonts w:ascii="Times New Roman" w:cs="Times New Roman" w:eastAsia="Times New Roman" w:hAnsi="Times New Roman"/>
          <w:sz w:val="20"/>
          <w:szCs w:val="20"/>
          <w:color w:val="010000"/>
        </w:rPr>
      </w:pPr>
    </w:p>
    <w:p>
      <w:pPr>
        <w:ind w:left="2140" w:hanging="352"/>
        <w:spacing w:after="0"/>
        <w:tabs>
          <w:tab w:leader="none" w:pos="214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has failed to perform job duties in a material respect without proper cause; or</w:t>
      </w:r>
    </w:p>
    <w:p>
      <w:pPr>
        <w:spacing w:after="0" w:line="217" w:lineRule="exact"/>
        <w:rPr>
          <w:rFonts w:ascii="Times New Roman" w:cs="Times New Roman" w:eastAsia="Times New Roman" w:hAnsi="Times New Roman"/>
          <w:sz w:val="20"/>
          <w:szCs w:val="20"/>
          <w:color w:val="010000"/>
        </w:rPr>
      </w:pPr>
    </w:p>
    <w:p>
      <w:pPr>
        <w:ind w:left="2200" w:hanging="412"/>
        <w:spacing w:after="0"/>
        <w:tabs>
          <w:tab w:leader="none" w:pos="220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been convicted of or pled guilty or nolo contendere to a felony; or</w:t>
      </w:r>
    </w:p>
    <w:p>
      <w:pPr>
        <w:spacing w:after="0" w:line="217" w:lineRule="exact"/>
        <w:rPr>
          <w:rFonts w:ascii="Times New Roman" w:cs="Times New Roman" w:eastAsia="Times New Roman" w:hAnsi="Times New Roman"/>
          <w:sz w:val="20"/>
          <w:szCs w:val="20"/>
          <w:color w:val="010000"/>
        </w:rPr>
      </w:pPr>
    </w:p>
    <w:p>
      <w:pPr>
        <w:ind w:left="2320" w:hanging="532"/>
        <w:spacing w:after="0"/>
        <w:tabs>
          <w:tab w:leader="none" w:pos="232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committed an act of fraud, dishonesty or gross misconduct which is materially injurious to the Employer or the</w:t>
      </w:r>
    </w:p>
    <w:p>
      <w:pPr>
        <w:spacing w:after="0" w:line="29"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Company.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Any act, or failure to act, based upon authority given pursuant to a resolution duly adopted by the Applicable Board (as defined below) or upon the instructions of an executive officer of the Company or the Eligible Employee’s direct or indirect supervisor, or based upon the advice of counsel or independent accountants for the Employer or the Company shall be conclusively presumed for purposes of this Plan to be done, or omitted to be done, by the Eligible Employee in good faith and in the best interests of the Employer or the Company. For purposes of the definition of Cause, “</w:t>
      </w:r>
      <w:r>
        <w:rPr>
          <w:rFonts w:ascii="Times New Roman" w:cs="Times New Roman" w:eastAsia="Times New Roman" w:hAnsi="Times New Roman"/>
          <w:sz w:val="20"/>
          <w:szCs w:val="20"/>
          <w:u w:val="single" w:color="auto"/>
          <w:color w:val="auto"/>
        </w:rPr>
        <w:t>Applicable Board</w:t>
      </w:r>
      <w:r>
        <w:rPr>
          <w:rFonts w:ascii="Times New Roman" w:cs="Times New Roman" w:eastAsia="Times New Roman" w:hAnsi="Times New Roman"/>
          <w:sz w:val="20"/>
          <w:szCs w:val="20"/>
          <w:color w:val="auto"/>
        </w:rPr>
        <w:t>” means the Board or, if the Company is not publicly-traded, the board of directors of the ultimate parent of the Company.</w:t>
      </w:r>
    </w:p>
    <w:p>
      <w:pPr>
        <w:spacing w:after="0" w:line="166" w:lineRule="exact"/>
        <w:rPr>
          <w:sz w:val="20"/>
          <w:szCs w:val="20"/>
          <w:color w:val="auto"/>
        </w:rPr>
      </w:pPr>
    </w:p>
    <w:p>
      <w:pPr>
        <w:jc w:val="both"/>
        <w:ind w:firstLine="1193"/>
        <w:spacing w:after="0" w:line="256" w:lineRule="auto"/>
        <w:rPr>
          <w:sz w:val="20"/>
          <w:szCs w:val="20"/>
          <w:color w:val="auto"/>
        </w:rPr>
      </w:pPr>
      <w:r>
        <w:rPr>
          <w:rFonts w:ascii="Times New Roman" w:cs="Times New Roman" w:eastAsia="Times New Roman" w:hAnsi="Times New Roman"/>
          <w:sz w:val="20"/>
          <w:szCs w:val="20"/>
          <w:color w:val="auto"/>
        </w:rPr>
        <w:t>A termination for Cause shall be deemed to occur on the date on which the Employer first delivers written notice to the Eligible Employee of a finding of termination for Cause; provided, however, that such termination shall only occur following the Eligible Employee’s failure to cure, within ten days after receiving notice from the Company of an allegation of an act or failure to act of the kind described in clause (i) or (ii) above, to the extent the Company determines such act or failure to act is curable.</w:t>
      </w:r>
    </w:p>
    <w:p>
      <w:pPr>
        <w:spacing w:after="0" w:line="162" w:lineRule="exact"/>
        <w:rPr>
          <w:sz w:val="20"/>
          <w:szCs w:val="20"/>
          <w:color w:val="auto"/>
        </w:rPr>
      </w:pPr>
    </w:p>
    <w:p>
      <w:pPr>
        <w:ind w:left="1560" w:hanging="368"/>
        <w:spacing w:after="0"/>
        <w:tabs>
          <w:tab w:leader="none" w:pos="1560"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any of the following:</w:t>
      </w:r>
    </w:p>
    <w:p>
      <w:pPr>
        <w:spacing w:after="0" w:line="217" w:lineRule="exact"/>
        <w:rPr>
          <w:rFonts w:ascii="Times New Roman" w:cs="Times New Roman" w:eastAsia="Times New Roman" w:hAnsi="Times New Roman"/>
          <w:sz w:val="20"/>
          <w:szCs w:val="20"/>
          <w:color w:val="010000"/>
        </w:rPr>
      </w:pPr>
    </w:p>
    <w:p>
      <w:pPr>
        <w:jc w:val="both"/>
        <w:ind w:firstLine="1788"/>
        <w:spacing w:after="0" w:line="268" w:lineRule="auto"/>
        <w:tabs>
          <w:tab w:leader="none" w:pos="2279"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(such individual, entity or group, a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of beneficial ownership (within the meaning of Rule 13d-3 promulgated under the Exchange Act) of 33% or more of either (A) the then-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350" w:right="239" w:bottom="1440" w:gutter="0" w:footer="0" w:header="0"/>
        </w:sectPr>
      </w:pPr>
    </w:p>
    <w:bookmarkStart w:id="104" w:name="page105"/>
    <w:bookmarkEnd w:id="104"/>
    <w:p>
      <w:pPr>
        <w:jc w:val="both"/>
        <w:spacing w:after="0" w:line="252" w:lineRule="auto"/>
        <w:rPr>
          <w:sz w:val="20"/>
          <w:szCs w:val="20"/>
          <w:color w:val="auto"/>
        </w:rPr>
      </w:pPr>
      <w:r>
        <w:rPr>
          <w:rFonts w:ascii="Times New Roman" w:cs="Times New Roman" w:eastAsia="Times New Roman" w:hAnsi="Times New Roman"/>
          <w:sz w:val="20"/>
          <w:szCs w:val="20"/>
          <w:color w:val="auto"/>
        </w:rPr>
        <w:t>outstanding shares of common stock of the Company (the “</w:t>
      </w:r>
      <w:r>
        <w:rPr>
          <w:rFonts w:ascii="Times New Roman" w:cs="Times New Roman" w:eastAsia="Times New Roman" w:hAnsi="Times New Roman"/>
          <w:sz w:val="20"/>
          <w:szCs w:val="20"/>
          <w:u w:val="single" w:color="auto"/>
          <w:color w:val="auto"/>
        </w:rPr>
        <w:t>Outstanding Company Common Stock</w:t>
      </w:r>
      <w:r>
        <w:rPr>
          <w:rFonts w:ascii="Times New Roman" w:cs="Times New Roman" w:eastAsia="Times New Roman" w:hAnsi="Times New Roman"/>
          <w:sz w:val="20"/>
          <w:szCs w:val="20"/>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0"/>
          <w:szCs w:val="20"/>
          <w:u w:val="single" w:color="auto"/>
          <w:color w:val="auto"/>
        </w:rPr>
        <w:t>Outstanding Company 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purposes of this definition, the following acquisitions shall not constitute a Change in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(f)(iii)(1), (f)(iii)(2) or (f)(iii)(3) below;</w:t>
      </w:r>
    </w:p>
    <w:p>
      <w:pPr>
        <w:spacing w:after="0" w:line="166" w:lineRule="exact"/>
        <w:rPr>
          <w:sz w:val="20"/>
          <w:szCs w:val="20"/>
          <w:color w:val="auto"/>
        </w:rPr>
      </w:pPr>
    </w:p>
    <w:p>
      <w:pPr>
        <w:jc w:val="both"/>
        <w:ind w:firstLine="1788"/>
        <w:spacing w:after="0" w:line="252" w:lineRule="auto"/>
        <w:tabs>
          <w:tab w:leader="none" w:pos="2259"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individuals who, as of the Effective Date,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xml:space="preserve">”) cease for any reason to constitute at least a majority of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her/his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7" w:lineRule="exact"/>
        <w:rPr>
          <w:rFonts w:ascii="Times New Roman" w:cs="Times New Roman" w:eastAsia="Times New Roman" w:hAnsi="Times New Roman"/>
          <w:sz w:val="20"/>
          <w:szCs w:val="20"/>
          <w:color w:val="010000"/>
        </w:rPr>
      </w:pPr>
    </w:p>
    <w:p>
      <w:pPr>
        <w:jc w:val="both"/>
        <w:ind w:firstLine="1788"/>
        <w:spacing w:after="0" w:line="249" w:lineRule="auto"/>
        <w:tabs>
          <w:tab w:leader="none" w:pos="2439"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(3)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350" w:right="239" w:bottom="1440" w:gutter="0" w:footer="0" w:header="0"/>
        </w:sectPr>
      </w:pPr>
    </w:p>
    <w:bookmarkStart w:id="105" w:name="page106"/>
    <w:bookmarkEnd w:id="105"/>
    <w:p>
      <w:pPr>
        <w:ind w:left="2240" w:hanging="452"/>
        <w:spacing w:after="0"/>
        <w:tabs>
          <w:tab w:leader="none" w:pos="2240"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approval by the stockholders of the Company of a complete liquidation or dissolution of the Company.</w:t>
      </w:r>
    </w:p>
    <w:p>
      <w:pPr>
        <w:spacing w:after="0" w:line="217" w:lineRule="exact"/>
        <w:rPr>
          <w:rFonts w:ascii="Times New Roman" w:cs="Times New Roman" w:eastAsia="Times New Roman" w:hAnsi="Times New Roman"/>
          <w:sz w:val="20"/>
          <w:szCs w:val="20"/>
          <w:color w:val="010000"/>
        </w:rPr>
      </w:pPr>
    </w:p>
    <w:p>
      <w:pPr>
        <w:ind w:firstLine="1192"/>
        <w:spacing w:after="0" w:line="289" w:lineRule="auto"/>
        <w:tabs>
          <w:tab w:leader="none" w:pos="1602"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means the period commencing upon the consummation of a Change in Control and ending 24 months after such Change in Control.</w:t>
      </w:r>
    </w:p>
    <w:p>
      <w:pPr>
        <w:spacing w:after="0" w:line="129" w:lineRule="exact"/>
        <w:rPr>
          <w:rFonts w:ascii="Times New Roman" w:cs="Times New Roman" w:eastAsia="Times New Roman" w:hAnsi="Times New Roman"/>
          <w:sz w:val="20"/>
          <w:szCs w:val="20"/>
          <w:color w:val="010000"/>
        </w:rPr>
      </w:pPr>
    </w:p>
    <w:p>
      <w:pPr>
        <w:ind w:left="1580" w:hanging="388"/>
        <w:spacing w:after="0"/>
        <w:tabs>
          <w:tab w:leader="none" w:pos="158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Internal Revenue Code of 1986, as amended.</w:t>
      </w:r>
    </w:p>
    <w:p>
      <w:pPr>
        <w:spacing w:after="0" w:line="217" w:lineRule="exact"/>
        <w:rPr>
          <w:rFonts w:ascii="Times New Roman" w:cs="Times New Roman" w:eastAsia="Times New Roman" w:hAnsi="Times New Roman"/>
          <w:sz w:val="20"/>
          <w:szCs w:val="20"/>
          <w:color w:val="010000"/>
        </w:rPr>
      </w:pPr>
    </w:p>
    <w:p>
      <w:pPr>
        <w:ind w:firstLine="1192"/>
        <w:spacing w:after="0" w:line="289" w:lineRule="auto"/>
        <w:tabs>
          <w:tab w:leader="none" w:pos="1558"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The Macerich Company, a Maryland corporation, or, from and after a Change in Control, the successor to the Company in any such Change in Control.</w:t>
      </w:r>
    </w:p>
    <w:p>
      <w:pPr>
        <w:spacing w:after="0" w:line="129" w:lineRule="exact"/>
        <w:rPr>
          <w:rFonts w:ascii="Times New Roman" w:cs="Times New Roman" w:eastAsia="Times New Roman" w:hAnsi="Times New Roman"/>
          <w:sz w:val="20"/>
          <w:szCs w:val="20"/>
          <w:color w:val="010000"/>
        </w:rPr>
      </w:pPr>
    </w:p>
    <w:p>
      <w:pPr>
        <w:ind w:left="1540" w:hanging="348"/>
        <w:spacing w:after="0"/>
        <w:tabs>
          <w:tab w:leader="none" w:pos="154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17" w:lineRule="exact"/>
        <w:rPr>
          <w:rFonts w:ascii="Times New Roman" w:cs="Times New Roman" w:eastAsia="Times New Roman" w:hAnsi="Times New Roman"/>
          <w:sz w:val="20"/>
          <w:szCs w:val="20"/>
          <w:color w:val="010000"/>
        </w:rPr>
      </w:pPr>
    </w:p>
    <w:p>
      <w:pPr>
        <w:ind w:firstLine="1192"/>
        <w:spacing w:after="0" w:line="289" w:lineRule="auto"/>
        <w:tabs>
          <w:tab w:leader="none" w:pos="1702"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means, with respect to an Eligible Employee, the effective date of termination of the Eligible Employee’s employment with the Employer.</w:t>
      </w:r>
    </w:p>
    <w:p>
      <w:pPr>
        <w:spacing w:after="0" w:line="129" w:lineRule="exact"/>
        <w:rPr>
          <w:rFonts w:ascii="Times New Roman" w:cs="Times New Roman" w:eastAsia="Times New Roman" w:hAnsi="Times New Roman"/>
          <w:sz w:val="20"/>
          <w:szCs w:val="20"/>
          <w:color w:val="010000"/>
        </w:rPr>
      </w:pPr>
    </w:p>
    <w:p>
      <w:pPr>
        <w:ind w:firstLine="1192"/>
        <w:spacing w:after="0" w:line="289" w:lineRule="auto"/>
        <w:tabs>
          <w:tab w:leader="none" w:pos="1558"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Employee</w:t>
      </w:r>
      <w:r>
        <w:rPr>
          <w:rFonts w:ascii="Times New Roman" w:cs="Times New Roman" w:eastAsia="Times New Roman" w:hAnsi="Times New Roman"/>
          <w:sz w:val="20"/>
          <w:szCs w:val="20"/>
          <w:color w:val="auto"/>
        </w:rPr>
        <w:t>” means an employee of the Employer with a title of Executive Vice President and who is not a party to an individual agreement with the Employer that provides for greater severance payments and benefits, in the aggregate.</w:t>
      </w:r>
    </w:p>
    <w:p>
      <w:pPr>
        <w:spacing w:after="0" w:line="129" w:lineRule="exact"/>
        <w:rPr>
          <w:rFonts w:ascii="Times New Roman" w:cs="Times New Roman" w:eastAsia="Times New Roman" w:hAnsi="Times New Roman"/>
          <w:sz w:val="20"/>
          <w:szCs w:val="20"/>
          <w:color w:val="010000"/>
        </w:rPr>
      </w:pPr>
    </w:p>
    <w:p>
      <w:pPr>
        <w:ind w:firstLine="1192"/>
        <w:spacing w:after="0" w:line="289" w:lineRule="auto"/>
        <w:tabs>
          <w:tab w:leader="none" w:pos="1695"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Macerich Management Company or other Subsidiary that employs one or more Eligible Employees, or, from and after the Change in Control, any other subsidiaries of the successor to the Company that employ the Eligible Employees.</w:t>
      </w:r>
    </w:p>
    <w:p>
      <w:pPr>
        <w:spacing w:after="0" w:line="129" w:lineRule="exact"/>
        <w:rPr>
          <w:rFonts w:ascii="Times New Roman" w:cs="Times New Roman" w:eastAsia="Times New Roman" w:hAnsi="Times New Roman"/>
          <w:sz w:val="20"/>
          <w:szCs w:val="20"/>
          <w:color w:val="010000"/>
        </w:rPr>
      </w:pPr>
    </w:p>
    <w:p>
      <w:pPr>
        <w:jc w:val="both"/>
        <w:ind w:firstLine="1192"/>
        <w:spacing w:after="0" w:line="254" w:lineRule="auto"/>
        <w:tabs>
          <w:tab w:leader="none" w:pos="1602"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 action taken by the Employer, without the Eligible Employee’s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Employer within 30 days after receipt by the Employer of written notice from the Eligible Employee provided to the Company within 90 days (the “</w:t>
      </w:r>
      <w:r>
        <w:rPr>
          <w:rFonts w:ascii="Times New Roman" w:cs="Times New Roman" w:eastAsia="Times New Roman" w:hAnsi="Times New Roman"/>
          <w:sz w:val="20"/>
          <w:szCs w:val="20"/>
          <w:u w:val="single" w:color="auto"/>
          <w:color w:val="auto"/>
        </w:rPr>
        <w:t>Cure Period</w:t>
      </w:r>
      <w:r>
        <w:rPr>
          <w:rFonts w:ascii="Times New Roman" w:cs="Times New Roman" w:eastAsia="Times New Roman" w:hAnsi="Times New Roman"/>
          <w:sz w:val="20"/>
          <w:szCs w:val="20"/>
          <w:color w:val="auto"/>
        </w:rPr>
        <w:t>”) of the Eligible Employee’s knowledge of the occurrence of an event or circumstance set forth in clauses (i) through (v) below specifying in reasonable detail such occurrence:</w:t>
      </w:r>
    </w:p>
    <w:p>
      <w:pPr>
        <w:spacing w:after="0" w:line="167" w:lineRule="exact"/>
        <w:rPr>
          <w:rFonts w:ascii="Times New Roman" w:cs="Times New Roman" w:eastAsia="Times New Roman" w:hAnsi="Times New Roman"/>
          <w:sz w:val="20"/>
          <w:szCs w:val="20"/>
          <w:color w:val="010000"/>
        </w:rPr>
      </w:pPr>
    </w:p>
    <w:p>
      <w:pPr>
        <w:jc w:val="both"/>
        <w:ind w:firstLine="1788"/>
        <w:spacing w:after="0" w:line="260" w:lineRule="auto"/>
        <w:tabs>
          <w:tab w:leader="none" w:pos="2254" w:val="left"/>
        </w:tabs>
        <w:numPr>
          <w:ilvl w:val="1"/>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assignment to the Eligible Employee of any duties materially inconsistent in any respect with the Eligible Employee’s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158" w:lineRule="exact"/>
        <w:rPr>
          <w:rFonts w:ascii="Times New Roman" w:cs="Times New Roman" w:eastAsia="Times New Roman" w:hAnsi="Times New Roman"/>
          <w:sz w:val="20"/>
          <w:szCs w:val="20"/>
          <w:color w:val="010000"/>
        </w:rPr>
      </w:pPr>
    </w:p>
    <w:p>
      <w:pPr>
        <w:ind w:firstLine="1788"/>
        <w:spacing w:after="0" w:line="289" w:lineRule="auto"/>
        <w:tabs>
          <w:tab w:leader="none" w:pos="2371" w:val="left"/>
        </w:tabs>
        <w:numPr>
          <w:ilvl w:val="1"/>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the Eligible Employee’s principal office location to a location further away from the Eligible Employee’s home which is more than 30 miles from the Eligible Employee’s current principal office;</w:t>
      </w:r>
    </w:p>
    <w:p>
      <w:pPr>
        <w:spacing w:after="0" w:line="129" w:lineRule="exact"/>
        <w:rPr>
          <w:rFonts w:ascii="Times New Roman" w:cs="Times New Roman" w:eastAsia="Times New Roman" w:hAnsi="Times New Roman"/>
          <w:sz w:val="20"/>
          <w:szCs w:val="20"/>
          <w:color w:val="010000"/>
        </w:rPr>
      </w:pPr>
    </w:p>
    <w:p>
      <w:pPr>
        <w:ind w:firstLine="1788"/>
        <w:spacing w:after="0" w:line="289" w:lineRule="auto"/>
        <w:tabs>
          <w:tab w:leader="none" w:pos="2277" w:val="left"/>
        </w:tabs>
        <w:numPr>
          <w:ilvl w:val="1"/>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taking of any action by the Employer to eliminate long-term incentive compensation or benefit plans in which the Eligible Employee participated in or was eligible to participate in immediately prior to a Change in Control without providing substitutes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350" w:right="239" w:bottom="1440" w:gutter="0" w:footer="0" w:header="0"/>
        </w:sectPr>
      </w:pPr>
    </w:p>
    <w:bookmarkStart w:id="106" w:name="page107"/>
    <w:bookmarkEnd w:id="106"/>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therefor, to materially reduce benefits thereunder or to substantially diminish other fringe benefits;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neither a surviving entity nor its parent following a Change in Control is a publicly-held company, the failure to provide stock-based incentive compensation or benefits shall not be deemed Good Reason if compensation or benefits of comparable value, using a recognized valuation methodology, are substituted therefor; and provided further that a reduction or elimination in the aggregate of not more than 10% in aggregate employee benefits in connection with across the board reductions or modifications affecting similarly situated persons of comparable rank in the Employer or a combined organization shall not constitute Good Reason;</w:t>
      </w:r>
    </w:p>
    <w:p>
      <w:pPr>
        <w:spacing w:after="0" w:line="166" w:lineRule="exact"/>
        <w:rPr>
          <w:sz w:val="20"/>
          <w:szCs w:val="20"/>
          <w:color w:val="auto"/>
        </w:rPr>
      </w:pPr>
    </w:p>
    <w:p>
      <w:pPr>
        <w:ind w:firstLine="1788"/>
        <w:spacing w:after="0" w:line="289" w:lineRule="auto"/>
        <w:tabs>
          <w:tab w:leader="none" w:pos="2254"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one or more reductions in the Eligible Employee’s Base Salary and/or Target Bonus that, individually or in the aggregate, exceed 10% of the Eligible Employee’s Base Salary and Target Bonus, in the aggregate; or</w:t>
      </w:r>
    </w:p>
    <w:p>
      <w:pPr>
        <w:spacing w:after="0" w:line="129" w:lineRule="exact"/>
        <w:rPr>
          <w:rFonts w:ascii="Times New Roman" w:cs="Times New Roman" w:eastAsia="Times New Roman" w:hAnsi="Times New Roman"/>
          <w:sz w:val="20"/>
          <w:szCs w:val="20"/>
          <w:color w:val="010000"/>
        </w:rPr>
      </w:pPr>
    </w:p>
    <w:p>
      <w:pPr>
        <w:ind w:left="2180" w:hanging="392"/>
        <w:spacing w:after="0"/>
        <w:tabs>
          <w:tab w:leader="none" w:pos="218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breach by the Employer of the Eligible Employee’s service agreement (if one exists).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that the Employer fails to remedy the condition constituting Good Reason during the applicable Cure Period, the Eligible Employee’s “termination of employment” must occur, if at all, within 120 days of the end of the Cure Period but not later than the last day of the Change in Control Period (such that, for the avoidance of doubt, if an event giving rise to a claim of Good Reason first occurs within 120 days prior to the last day of the Change in Control Period, the Company acknowledges that the Eligible Employee may resign for Good Reason prior to the expiration of the 30-day notice and/or applicable Cure Period, if applicable).</w:t>
      </w:r>
    </w:p>
    <w:p>
      <w:pPr>
        <w:spacing w:after="0" w:line="167" w:lineRule="exact"/>
        <w:rPr>
          <w:sz w:val="20"/>
          <w:szCs w:val="20"/>
          <w:color w:val="auto"/>
        </w:rPr>
      </w:pPr>
    </w:p>
    <w:p>
      <w:pPr>
        <w:jc w:val="both"/>
        <w:ind w:firstLine="1192"/>
        <w:spacing w:after="0" w:line="260" w:lineRule="auto"/>
        <w:tabs>
          <w:tab w:leader="none" w:pos="1664"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Pro-Rata Bonus</w:t>
      </w:r>
      <w:r>
        <w:rPr>
          <w:rFonts w:ascii="Times New Roman" w:cs="Times New Roman" w:eastAsia="Times New Roman" w:hAnsi="Times New Roman"/>
          <w:sz w:val="20"/>
          <w:szCs w:val="20"/>
          <w:color w:val="auto"/>
        </w:rPr>
        <w:t>” means a pro-rated annual incentive bonus otherwise payable under the Company’s applicable annual incentive bonus plan pursuant to which the Eligible Employee was eligible to earn a bonus for the year of termination, determined by multiplying the Eligible Employee’s Target Bonus by a fraction, the numerator of which is the number of days the Eligible Employee is employed in the year of termination and the denominator of which is 365.</w:t>
      </w:r>
    </w:p>
    <w:p>
      <w:pPr>
        <w:spacing w:after="0" w:line="158" w:lineRule="exact"/>
        <w:rPr>
          <w:rFonts w:ascii="Times New Roman" w:cs="Times New Roman" w:eastAsia="Times New Roman" w:hAnsi="Times New Roman"/>
          <w:sz w:val="20"/>
          <w:szCs w:val="20"/>
          <w:color w:val="010000"/>
        </w:rPr>
      </w:pPr>
    </w:p>
    <w:p>
      <w:pPr>
        <w:jc w:val="both"/>
        <w:ind w:firstLine="1192"/>
        <w:spacing w:after="0" w:line="268" w:lineRule="auto"/>
        <w:tabs>
          <w:tab w:leader="none" w:pos="16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means (i) any termination of employment of an Eligible Employee by the Employer (other than for Cause or because of the Eligible Employee’s death or Total Disability) during a Change in Control Period, and (ii) any termination of employment by an Eligible Employee for Good Reason during a Change in Control Period.</w:t>
      </w:r>
    </w:p>
    <w:p>
      <w:pPr>
        <w:spacing w:after="0" w:line="148" w:lineRule="exact"/>
        <w:rPr>
          <w:rFonts w:ascii="Times New Roman" w:cs="Times New Roman" w:eastAsia="Times New Roman" w:hAnsi="Times New Roman"/>
          <w:sz w:val="20"/>
          <w:szCs w:val="20"/>
          <w:color w:val="010000"/>
        </w:rPr>
      </w:pPr>
    </w:p>
    <w:p>
      <w:pPr>
        <w:ind w:left="1580" w:hanging="388"/>
        <w:spacing w:after="0"/>
        <w:tabs>
          <w:tab w:leader="none" w:pos="158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means an amount determined pursuant to</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1192"/>
        <w:spacing w:after="0" w:line="289" w:lineRule="auto"/>
        <w:tabs>
          <w:tab w:leader="none" w:pos="1582"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Company or The Macerich Partnership, L.P., or, from and after the Change in Control, any other subsidiaries of the successor to the Company or The Macerich Partnership, L.P.</w:t>
      </w:r>
    </w:p>
    <w:p>
      <w:pPr>
        <w:spacing w:after="0" w:line="129" w:lineRule="exact"/>
        <w:rPr>
          <w:rFonts w:ascii="Times New Roman" w:cs="Times New Roman" w:eastAsia="Times New Roman" w:hAnsi="Times New Roman"/>
          <w:sz w:val="20"/>
          <w:szCs w:val="20"/>
          <w:color w:val="010000"/>
        </w:rPr>
      </w:pPr>
    </w:p>
    <w:p>
      <w:pPr>
        <w:ind w:firstLine="1192"/>
        <w:spacing w:after="0" w:line="289" w:lineRule="auto"/>
        <w:tabs>
          <w:tab w:leader="none" w:pos="1568"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means an Eligible Employee’s target annual incentive bonus that the Eligible Employee was eligible to earn under the Company’s applicable annual incentive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350" w:right="239" w:bottom="1440" w:gutter="0" w:footer="0" w:header="0"/>
        </w:sectPr>
      </w:pPr>
    </w:p>
    <w:bookmarkStart w:id="107" w:name="page108"/>
    <w:bookmarkEnd w:id="107"/>
    <w:p>
      <w:pPr>
        <w:spacing w:after="0" w:line="276" w:lineRule="auto"/>
        <w:rPr>
          <w:sz w:val="20"/>
          <w:szCs w:val="20"/>
          <w:color w:val="auto"/>
        </w:rPr>
      </w:pPr>
      <w:r>
        <w:rPr>
          <w:rFonts w:ascii="Times New Roman" w:cs="Times New Roman" w:eastAsia="Times New Roman" w:hAnsi="Times New Roman"/>
          <w:sz w:val="20"/>
          <w:szCs w:val="20"/>
          <w:color w:val="auto"/>
        </w:rPr>
        <w:t>bonus plan for the year of termination (or the immediately prior year, if such a target annual incentive bonus has not been determined for the year of termination).</w:t>
      </w:r>
    </w:p>
    <w:p>
      <w:pPr>
        <w:spacing w:after="0" w:line="142" w:lineRule="exact"/>
        <w:rPr>
          <w:sz w:val="20"/>
          <w:szCs w:val="20"/>
          <w:color w:val="auto"/>
        </w:rPr>
      </w:pPr>
    </w:p>
    <w:p>
      <w:pPr>
        <w:ind w:firstLine="1192"/>
        <w:spacing w:after="0" w:line="289" w:lineRule="auto"/>
        <w:tabs>
          <w:tab w:leader="none" w:pos="1595"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Disability</w:t>
      </w:r>
      <w:r>
        <w:rPr>
          <w:rFonts w:ascii="Times New Roman" w:cs="Times New Roman" w:eastAsia="Times New Roman" w:hAnsi="Times New Roman"/>
          <w:sz w:val="20"/>
          <w:szCs w:val="20"/>
          <w:color w:val="auto"/>
        </w:rPr>
        <w:t>” means a “permanent and total disability” within the meaning of Section 22(a)(3) of the Code and such other disabilities, infirmities, afflictions or conditions as the Administrator by rule may include.</w:t>
      </w:r>
    </w:p>
    <w:p>
      <w:pPr>
        <w:spacing w:after="0" w:line="1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3.</w:t>
      </w:r>
      <w:r>
        <w:rPr>
          <w:sz w:val="20"/>
          <w:szCs w:val="20"/>
          <w:color w:val="auto"/>
        </w:rPr>
        <w:tab/>
      </w:r>
      <w:r>
        <w:rPr>
          <w:rFonts w:ascii="Times New Roman" w:cs="Times New Roman" w:eastAsia="Times New Roman" w:hAnsi="Times New Roman"/>
          <w:sz w:val="20"/>
          <w:szCs w:val="20"/>
          <w:u w:val="single" w:color="auto"/>
          <w:color w:val="auto"/>
        </w:rPr>
        <w:t>TERM</w:t>
      </w:r>
    </w:p>
    <w:p>
      <w:pPr>
        <w:spacing w:after="0" w:line="217" w:lineRule="exact"/>
        <w:rPr>
          <w:sz w:val="20"/>
          <w:szCs w:val="20"/>
          <w:color w:val="auto"/>
        </w:rPr>
      </w:pPr>
    </w:p>
    <w:p>
      <w:pPr>
        <w:jc w:val="both"/>
        <w:ind w:firstLine="596"/>
        <w:spacing w:after="0" w:line="256" w:lineRule="auto"/>
        <w:rPr>
          <w:sz w:val="20"/>
          <w:szCs w:val="20"/>
          <w:color w:val="auto"/>
        </w:rPr>
      </w:pPr>
      <w:r>
        <w:rPr>
          <w:rFonts w:ascii="Times New Roman" w:cs="Times New Roman" w:eastAsia="Times New Roman" w:hAnsi="Times New Roman"/>
          <w:sz w:val="20"/>
          <w:szCs w:val="20"/>
          <w:color w:val="auto"/>
        </w:rPr>
        <w:t xml:space="preserve">This Plan shall be effective during the Change in Control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initial term of the Plan shall be automatically extended, if necessary, so that this Plan remains in full force and effect until all payments required to be made hereunder have been made. References herein to the term of this Plan shall include the initial term and any additional period for which this Plan is extended or renewed.</w:t>
      </w:r>
    </w:p>
    <w:p>
      <w:pPr>
        <w:spacing w:after="0" w:line="16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19"/>
          <w:szCs w:val="19"/>
          <w:u w:val="single" w:color="auto"/>
          <w:color w:val="auto"/>
        </w:rPr>
        <w:t>SEVERANCE BENEFITS FOLLOWING A CHANGE IN CONTROL</w:t>
      </w:r>
    </w:p>
    <w:p>
      <w:pPr>
        <w:spacing w:after="0" w:line="217" w:lineRule="exact"/>
        <w:rPr>
          <w:sz w:val="20"/>
          <w:szCs w:val="20"/>
          <w:color w:val="auto"/>
        </w:rPr>
      </w:pPr>
    </w:p>
    <w:p>
      <w:pPr>
        <w:jc w:val="both"/>
        <w:ind w:firstLine="1192"/>
        <w:spacing w:after="0" w:line="260" w:lineRule="auto"/>
        <w:tabs>
          <w:tab w:leader="none" w:pos="1703"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 Eligible Employee suffers a Qualified Termination, the Employer shall pay the Eligible Employee the Accrued Obligations in accordance with the payment provisions set forth in Section 2(a). In addition, subject to the execution and effectiveness of a Release Agreement substantially in the form set forth in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the Eligible Employee shall be entitled to the following payments and benefits:</w:t>
      </w:r>
    </w:p>
    <w:p>
      <w:pPr>
        <w:spacing w:after="0" w:line="158" w:lineRule="exact"/>
        <w:rPr>
          <w:rFonts w:ascii="Times New Roman" w:cs="Times New Roman" w:eastAsia="Times New Roman" w:hAnsi="Times New Roman"/>
          <w:sz w:val="20"/>
          <w:szCs w:val="20"/>
          <w:color w:val="010000"/>
        </w:rPr>
      </w:pPr>
    </w:p>
    <w:p>
      <w:pPr>
        <w:ind w:left="2140" w:hanging="352"/>
        <w:spacing w:after="0"/>
        <w:tabs>
          <w:tab w:leader="none" w:pos="214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Eligible Employee’s Severance Payment;</w:t>
      </w:r>
    </w:p>
    <w:p>
      <w:pPr>
        <w:spacing w:after="0" w:line="217" w:lineRule="exact"/>
        <w:rPr>
          <w:rFonts w:ascii="Times New Roman" w:cs="Times New Roman" w:eastAsia="Times New Roman" w:hAnsi="Times New Roman"/>
          <w:sz w:val="20"/>
          <w:szCs w:val="20"/>
          <w:color w:val="010000"/>
        </w:rPr>
      </w:pPr>
    </w:p>
    <w:p>
      <w:pPr>
        <w:ind w:left="2200" w:hanging="412"/>
        <w:spacing w:after="0"/>
        <w:tabs>
          <w:tab w:leader="none" w:pos="220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Eligible Employee’s Pro-Rata Bonus;</w:t>
      </w:r>
    </w:p>
    <w:p>
      <w:pPr>
        <w:spacing w:after="0" w:line="217" w:lineRule="exact"/>
        <w:rPr>
          <w:rFonts w:ascii="Times New Roman" w:cs="Times New Roman" w:eastAsia="Times New Roman" w:hAnsi="Times New Roman"/>
          <w:sz w:val="20"/>
          <w:szCs w:val="20"/>
          <w:color w:val="010000"/>
        </w:rPr>
      </w:pPr>
    </w:p>
    <w:p>
      <w:pPr>
        <w:ind w:left="2280" w:hanging="492"/>
        <w:spacing w:after="0"/>
        <w:tabs>
          <w:tab w:leader="none" w:pos="228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outplacement services pursuant to the Company’s outplacement services plan for senior executives, for the period</w:t>
      </w:r>
    </w:p>
    <w:p>
      <w:pPr>
        <w:spacing w:after="0" w:line="29"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provided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010000"/>
        </w:rPr>
      </w:pPr>
    </w:p>
    <w:p>
      <w:pPr>
        <w:jc w:val="both"/>
        <w:ind w:firstLine="1788"/>
        <w:spacing w:after="0" w:line="268" w:lineRule="auto"/>
        <w:tabs>
          <w:tab w:leader="none" w:pos="2291"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payment equal to the product of (x) the total amount of the COBRA continuation (medical, vision and dental) monthly premium rate that would otherwise be payable by the Eligible Employee for such COBRA continuation for the Eligible Employee and any eligible dependents, as applicable, as of the Date of Termination and (y) 36; and</w:t>
      </w:r>
    </w:p>
    <w:p>
      <w:pPr>
        <w:spacing w:after="0" w:line="148" w:lineRule="exact"/>
        <w:rPr>
          <w:rFonts w:ascii="Times New Roman" w:cs="Times New Roman" w:eastAsia="Times New Roman" w:hAnsi="Times New Roman"/>
          <w:sz w:val="20"/>
          <w:szCs w:val="20"/>
          <w:color w:val="010000"/>
        </w:rPr>
      </w:pPr>
    </w:p>
    <w:p>
      <w:pPr>
        <w:jc w:val="both"/>
        <w:ind w:firstLine="1788"/>
        <w:spacing w:after="0" w:line="268" w:lineRule="auto"/>
        <w:tabs>
          <w:tab w:leader="none" w:pos="2236"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amounts payable under Sections 4(a)(i), (ii) and (iv) shall be paid out in a lump-sum within 60 days after the Date of 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60-day period begins in one calendar year and ends in a second calendar year, such amounts shall be paid in the second calendar year by the last day of such 60-day period.</w:t>
      </w:r>
    </w:p>
    <w:p>
      <w:pPr>
        <w:spacing w:after="0" w:line="149" w:lineRule="exact"/>
        <w:rPr>
          <w:sz w:val="20"/>
          <w:szCs w:val="20"/>
          <w:color w:val="auto"/>
        </w:rPr>
      </w:pPr>
    </w:p>
    <w:p>
      <w:pPr>
        <w:jc w:val="both"/>
        <w:ind w:firstLine="1193"/>
        <w:spacing w:after="0" w:line="261" w:lineRule="auto"/>
        <w:rPr>
          <w:sz w:val="20"/>
          <w:szCs w:val="20"/>
          <w:color w:val="auto"/>
        </w:rPr>
      </w:pPr>
      <w:r>
        <w:rPr>
          <w:rFonts w:ascii="Times New Roman" w:cs="Times New Roman" w:eastAsia="Times New Roman" w:hAnsi="Times New Roman"/>
          <w:sz w:val="20"/>
          <w:szCs w:val="20"/>
          <w:color w:val="auto"/>
        </w:rPr>
        <w:t>The mere occurrence of a Change in Control shall not be treated as a termination of an Eligible Employee’s employment under this Plan, nor shall the mere transfer of an Eligible Employee’s employment to and between the Employer and/or any Subsidiary be treated as a termination under this Plan.</w:t>
      </w:r>
    </w:p>
    <w:p>
      <w:pPr>
        <w:spacing w:after="0" w:line="157" w:lineRule="exact"/>
        <w:rPr>
          <w:sz w:val="20"/>
          <w:szCs w:val="20"/>
          <w:color w:val="auto"/>
        </w:rPr>
      </w:pPr>
    </w:p>
    <w:p>
      <w:pPr>
        <w:ind w:firstLine="1192"/>
        <w:spacing w:after="0" w:line="289" w:lineRule="auto"/>
        <w:tabs>
          <w:tab w:leader="none" w:pos="1602"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Cause; Other Than for Good Reason</w:t>
      </w:r>
      <w:r>
        <w:rPr>
          <w:rFonts w:ascii="Times New Roman" w:cs="Times New Roman" w:eastAsia="Times New Roman" w:hAnsi="Times New Roman"/>
          <w:sz w:val="20"/>
          <w:szCs w:val="20"/>
          <w:color w:val="auto"/>
        </w:rPr>
        <w:t>. If an Eligible Employee’s employment is terminated for Cause during the Change in Control Period or the Eligible Employee voluntarily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350" w:right="239" w:bottom="1440" w:gutter="0" w:footer="0" w:header="0"/>
        </w:sectPr>
      </w:pPr>
    </w:p>
    <w:bookmarkStart w:id="108" w:name="page109"/>
    <w:bookmarkEnd w:id="108"/>
    <w:p>
      <w:pPr>
        <w:spacing w:after="0" w:line="276" w:lineRule="auto"/>
        <w:rPr>
          <w:sz w:val="20"/>
          <w:szCs w:val="20"/>
          <w:color w:val="auto"/>
        </w:rPr>
      </w:pPr>
      <w:r>
        <w:rPr>
          <w:rFonts w:ascii="Times New Roman" w:cs="Times New Roman" w:eastAsia="Times New Roman" w:hAnsi="Times New Roman"/>
          <w:sz w:val="20"/>
          <w:szCs w:val="20"/>
          <w:color w:val="auto"/>
        </w:rPr>
        <w:t>terminates employment without Good Reason, the Eligible Employee shall be entitled to only her/his Accrued Obligations through the Date of Termination to the extent theretofore unpaid.</w:t>
      </w:r>
    </w:p>
    <w:p>
      <w:pPr>
        <w:spacing w:after="0" w:line="14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REDUCTION OF CERTAIN BENEFITS</w:t>
      </w:r>
    </w:p>
    <w:p>
      <w:pPr>
        <w:spacing w:after="0" w:line="217" w:lineRule="exact"/>
        <w:rPr>
          <w:sz w:val="20"/>
          <w:szCs w:val="20"/>
          <w:color w:val="auto"/>
        </w:rPr>
      </w:pPr>
    </w:p>
    <w:p>
      <w:pPr>
        <w:jc w:val="both"/>
        <w:ind w:firstLine="1192"/>
        <w:spacing w:after="0" w:line="251" w:lineRule="auto"/>
        <w:tabs>
          <w:tab w:leader="none" w:pos="1579"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Reduction in Benefits</w:t>
      </w:r>
      <w:r>
        <w:rPr>
          <w:rFonts w:ascii="Times New Roman" w:cs="Times New Roman" w:eastAsia="Times New Roman" w:hAnsi="Times New Roman"/>
          <w:sz w:val="20"/>
          <w:szCs w:val="20"/>
          <w:color w:val="auto"/>
        </w:rPr>
        <w:t>. Anything in this Plan to the contrary notwithstanding, in the event that the receipt of all payments or distributions by the Company or the Employer in the nature of compensation to or for the Eligible Employee’s benefit, whether paid or payable pursuant to this Plan or otherwise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would subject the Eligible Employee to the excise tax under Section 4999 of the Code, the accounting firm which audited the Company prior to the corporate transaction which results in the application of such excise tax, or another nationally known accounting or employee benefits consulting firm selected by the Company prior to such corporate transaction (the “</w:t>
      </w:r>
      <w:r>
        <w:rPr>
          <w:rFonts w:ascii="Times New Roman" w:cs="Times New Roman" w:eastAsia="Times New Roman" w:hAnsi="Times New Roman"/>
          <w:sz w:val="20"/>
          <w:szCs w:val="20"/>
          <w:u w:val="single" w:color="auto"/>
          <w:color w:val="auto"/>
        </w:rPr>
        <w:t>Accounting Firm</w:t>
      </w:r>
      <w:r>
        <w:rPr>
          <w:rFonts w:ascii="Times New Roman" w:cs="Times New Roman" w:eastAsia="Times New Roman" w:hAnsi="Times New Roman"/>
          <w:sz w:val="20"/>
          <w:szCs w:val="20"/>
          <w:color w:val="auto"/>
        </w:rPr>
        <w:t xml:space="preserve">”), shall determine whether to reduce any of the Payments to the Reduced Amount (as defined below). The Payments shall be reduced to the Reduced Amount </w:t>
      </w:r>
      <w:r>
        <w:rPr>
          <w:rFonts w:ascii="Times New Roman" w:cs="Times New Roman" w:eastAsia="Times New Roman" w:hAnsi="Times New Roman"/>
          <w:sz w:val="20"/>
          <w:szCs w:val="20"/>
          <w:i w:val="1"/>
          <w:iCs w:val="1"/>
          <w:color w:val="auto"/>
        </w:rPr>
        <w:t>only if</w:t>
      </w:r>
      <w:r>
        <w:rPr>
          <w:rFonts w:ascii="Times New Roman" w:cs="Times New Roman" w:eastAsia="Times New Roman" w:hAnsi="Times New Roman"/>
          <w:sz w:val="20"/>
          <w:szCs w:val="20"/>
          <w:color w:val="auto"/>
        </w:rPr>
        <w:t xml:space="preserve"> the Accounting Firm determines that the Eligible Employee would have a greater Net After-Tax Receipt (as defined below) of aggregate Payments if the Eligible Employee’s Payments were reduced to the Reduced Amount. If such a determination is not made by the Accounting Firm, the Eligible Employee shall receive all Payments to which Eligible Employee is entitled to receive.</w:t>
      </w:r>
    </w:p>
    <w:p>
      <w:pPr>
        <w:spacing w:after="0" w:line="166" w:lineRule="exact"/>
        <w:rPr>
          <w:rFonts w:ascii="Times New Roman" w:cs="Times New Roman" w:eastAsia="Times New Roman" w:hAnsi="Times New Roman"/>
          <w:sz w:val="20"/>
          <w:szCs w:val="20"/>
          <w:color w:val="010000"/>
        </w:rPr>
      </w:pPr>
    </w:p>
    <w:p>
      <w:pPr>
        <w:jc w:val="both"/>
        <w:ind w:firstLine="1192"/>
        <w:spacing w:after="0" w:line="250" w:lineRule="auto"/>
        <w:tabs>
          <w:tab w:leader="none" w:pos="1727"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Order of Reduction</w:t>
      </w:r>
      <w:r>
        <w:rPr>
          <w:rFonts w:ascii="Times New Roman" w:cs="Times New Roman" w:eastAsia="Times New Roman" w:hAnsi="Times New Roman"/>
          <w:sz w:val="20"/>
          <w:szCs w:val="20"/>
          <w:color w:val="auto"/>
        </w:rPr>
        <w:t xml:space="preserve">. If the Accounting Firm determines that aggregate Payments should be reduced to the Reduced Amount, the Company shall promptly give the Eligible Employee notice to that effect and a copy of the detailed calculation thereof. All determinations made by the Accounting Firm under this Section 5 shall be made as soon as reasonably practicable and in no event later than 60 days following the date of termination of employment or such earlier date as requested by the Company and the Eligible Employee. All fees and expenses of the Accounting Firm shall be borne solely by the Company. Any determination by the Accounting Firm shall be binding on the Company, its Subsidiaries and the Eligible Employee. For purposes of reducing the Payments to the Reduced Amount, the Payments shall be reduced in the following order, in each case, in reverse chronological order beginning with the Payments that are to be paid or become vested the furthest in time from consummation of the Change in Control: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amounts or payments that are not subject to calculation under Treas. Reg. § 1.280G-1, Q&amp;A-24(b) or (c) shall be reduced before any amounts that are subject to calculation under Treas. Reg. § 1.280G-1, Q&amp;A-24(b) or (c).</w:t>
      </w:r>
    </w:p>
    <w:p>
      <w:pPr>
        <w:spacing w:after="0" w:line="172" w:lineRule="exact"/>
        <w:rPr>
          <w:rFonts w:ascii="Times New Roman" w:cs="Times New Roman" w:eastAsia="Times New Roman" w:hAnsi="Times New Roman"/>
          <w:sz w:val="20"/>
          <w:szCs w:val="20"/>
          <w:color w:val="010000"/>
        </w:rPr>
      </w:pPr>
    </w:p>
    <w:p>
      <w:pPr>
        <w:jc w:val="both"/>
        <w:ind w:firstLine="1192"/>
        <w:spacing w:after="0" w:line="253" w:lineRule="auto"/>
        <w:tabs>
          <w:tab w:leader="none" w:pos="1591"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Underpayment or Overpayment</w:t>
      </w:r>
      <w:r>
        <w:rPr>
          <w:rFonts w:ascii="Times New Roman" w:cs="Times New Roman" w:eastAsia="Times New Roman" w:hAnsi="Times New Roman"/>
          <w:sz w:val="20"/>
          <w:szCs w:val="20"/>
          <w:color w:val="auto"/>
        </w:rPr>
        <w:t>. As a result of the uncertainty in the application of Section 4999 of the Code at the time of the initial determination by the Accounting Firm hereunder, it is possible that amounts will have been paid or distributed by the Company to or for the benefit of the Eligible Employee pursuant to this Plan which should not have been so paid or distributed (the “</w:t>
      </w:r>
      <w:r>
        <w:rPr>
          <w:rFonts w:ascii="Times New Roman" w:cs="Times New Roman" w:eastAsia="Times New Roman" w:hAnsi="Times New Roman"/>
          <w:sz w:val="20"/>
          <w:szCs w:val="20"/>
          <w:u w:val="single" w:color="auto"/>
          <w:color w:val="auto"/>
        </w:rPr>
        <w:t>Overpayment</w:t>
      </w:r>
      <w:r>
        <w:rPr>
          <w:rFonts w:ascii="Times New Roman" w:cs="Times New Roman" w:eastAsia="Times New Roman" w:hAnsi="Times New Roman"/>
          <w:sz w:val="20"/>
          <w:szCs w:val="20"/>
          <w:color w:val="auto"/>
        </w:rPr>
        <w:t>”) or that additional amounts which will have not been paid or distributed by the Company to or for the benefit of the Eligible Employee pursuant to this Plan could have been so paid or distributed (the “</w:t>
      </w:r>
      <w:r>
        <w:rPr>
          <w:rFonts w:ascii="Times New Roman" w:cs="Times New Roman" w:eastAsia="Times New Roman" w:hAnsi="Times New Roman"/>
          <w:sz w:val="20"/>
          <w:szCs w:val="20"/>
          <w:u w:val="single" w:color="auto"/>
          <w:color w:val="auto"/>
        </w:rPr>
        <w:t>Underpayment</w:t>
      </w:r>
      <w:r>
        <w:rPr>
          <w:rFonts w:ascii="Times New Roman" w:cs="Times New Roman" w:eastAsia="Times New Roman" w:hAnsi="Times New Roman"/>
          <w:sz w:val="20"/>
          <w:szCs w:val="20"/>
          <w:color w:val="auto"/>
        </w:rPr>
        <w:t>”), in each case, consistent with the calculation of the Reduced Amount hereunder. In the event that the Accounting Firm, based upon the assertion of a deficiency by the Internal Revenue Service against either the Company or a</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350" w:right="2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Subsidiary or the Eligible Employee which the Accounting Firm believes has a high probability of success, determines that an Overpayment has been made, the Eligible Employee shall pay any such Overpayment to the Company together with interest at the applicable federal rate provided for in Section 7872(f)(2)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amount shall be payable by the Eligible Employee to the Company if and to the extent such payment would not either reduce the amount on which the Eligible Employee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 benefit of the Eligible Employee together with interest at the applicable federal rate provided for in Section 7872(f)(2) of the Code.</w:t>
      </w:r>
    </w:p>
    <w:p>
      <w:pPr>
        <w:spacing w:after="0" w:line="171" w:lineRule="exact"/>
        <w:rPr>
          <w:sz w:val="20"/>
          <w:szCs w:val="20"/>
          <w:color w:val="auto"/>
        </w:rPr>
      </w:pPr>
    </w:p>
    <w:p>
      <w:pPr>
        <w:jc w:val="both"/>
        <w:ind w:firstLine="1192"/>
        <w:spacing w:after="0" w:line="252" w:lineRule="auto"/>
        <w:tabs>
          <w:tab w:leader="none" w:pos="1627"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Reduced Amount and After-Tax Receipt</w:t>
      </w:r>
      <w:r>
        <w:rPr>
          <w:rFonts w:ascii="Times New Roman" w:cs="Times New Roman" w:eastAsia="Times New Roman" w:hAnsi="Times New Roman"/>
          <w:sz w:val="20"/>
          <w:szCs w:val="20"/>
          <w:color w:val="auto"/>
        </w:rPr>
        <w:t>. For purposes hereof, the following terms have the meanings set forth below: (i)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shall mean the greatest amount of Payments that can be paid that would not result in the imposition of the excise tax under Section 4999 of the Code if the Accounting Firm determines to reduce Payments pursuant to this Section 12 and (ii) “</w:t>
      </w:r>
      <w:r>
        <w:rPr>
          <w:rFonts w:ascii="Times New Roman" w:cs="Times New Roman" w:eastAsia="Times New Roman" w:hAnsi="Times New Roman"/>
          <w:sz w:val="20"/>
          <w:szCs w:val="20"/>
          <w:u w:val="single" w:color="auto"/>
          <w:color w:val="auto"/>
        </w:rPr>
        <w:t>Net After-Tax Receipt</w:t>
      </w:r>
      <w:r>
        <w:rPr>
          <w:rFonts w:ascii="Times New Roman" w:cs="Times New Roman" w:eastAsia="Times New Roman" w:hAnsi="Times New Roman"/>
          <w:sz w:val="20"/>
          <w:szCs w:val="20"/>
          <w:color w:val="auto"/>
        </w:rPr>
        <w:t>” shall mean the present value (as determined in accordance with Sections 280G(b)(2)(A)(ii) and 280G(d)(4) of the Code) of a Payment net of all taxes imposed on the Eligible Employee with respect thereto under Sections 1 and 4999 of the Code and under applicable state and local laws, determined by applying the highest marginal rate under Section 1 of the Code and under state and local laws which applied to the Eligible Employee’s taxable income for the immediately preceding taxable year, or such other rate(s) as the Eligible Employee certifies, in the Eligible Employee’s sole discretion, as likely to apply to her/him in the relevant tax year(s).</w:t>
      </w:r>
    </w:p>
    <w:p>
      <w:pPr>
        <w:spacing w:after="0" w:line="16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WITHHOLDING</w:t>
      </w:r>
    </w:p>
    <w:p>
      <w:pPr>
        <w:spacing w:after="0" w:line="217" w:lineRule="exact"/>
        <w:rPr>
          <w:sz w:val="20"/>
          <w:szCs w:val="20"/>
          <w:color w:val="auto"/>
        </w:rPr>
      </w:pPr>
    </w:p>
    <w:p>
      <w:pPr>
        <w:jc w:val="both"/>
        <w:ind w:firstLine="596"/>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Plan to the contrary, all payments required to be made by the Employer hereunder to an Eligible Employee or her/his estate or beneficiaries shall be subject to the withholding of such amounts relating to taxes as the Employer reasonably may determine it should withhold pursuant to any applicable law or regulation. In lieu of withholding such amounts, in whole or in part, the Employer may, in its sole discretion, accept other provisions for the payment of taxes and any withholdings as required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Employer is satisfied that all requirements of law affecting its responsibilities to withhold compensation have been satisfied.</w:t>
      </w:r>
    </w:p>
    <w:p>
      <w:pPr>
        <w:spacing w:after="0" w:line="16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7.</w:t>
      </w:r>
      <w:r>
        <w:rPr>
          <w:sz w:val="20"/>
          <w:szCs w:val="20"/>
          <w:color w:val="auto"/>
        </w:rPr>
        <w:tab/>
      </w:r>
      <w:r>
        <w:rPr>
          <w:rFonts w:ascii="Times New Roman" w:cs="Times New Roman" w:eastAsia="Times New Roman" w:hAnsi="Times New Roman"/>
          <w:sz w:val="19"/>
          <w:szCs w:val="19"/>
          <w:u w:val="single" w:color="auto"/>
          <w:color w:val="auto"/>
        </w:rPr>
        <w:t>NO DUTY TO MITIGATE</w:t>
      </w:r>
    </w:p>
    <w:p>
      <w:pPr>
        <w:spacing w:after="0" w:line="21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An Eligible Employee’s payments received hereunder shall be considered severance pay in consideration of past service, and entitlement thereto shall not be governed by any duty to mitigate damages by seeking further employment. In addition, no payments received hereunder shall be offset by any payments or benefits an Eligible Employee may receive from any future employer.</w:t>
      </w:r>
    </w:p>
    <w:p>
      <w:pPr>
        <w:spacing w:after="0" w:line="200" w:lineRule="exact"/>
        <w:rPr>
          <w:sz w:val="20"/>
          <w:szCs w:val="20"/>
          <w:color w:val="auto"/>
        </w:rPr>
      </w:pPr>
    </w:p>
    <w:p>
      <w:pPr>
        <w:spacing w:after="0" w:line="39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8.</w:t>
      </w:r>
      <w:r>
        <w:rPr>
          <w:sz w:val="20"/>
          <w:szCs w:val="20"/>
          <w:color w:val="auto"/>
        </w:rPr>
        <w:tab/>
      </w:r>
      <w:r>
        <w:rPr>
          <w:rFonts w:ascii="Times New Roman" w:cs="Times New Roman" w:eastAsia="Times New Roman" w:hAnsi="Times New Roman"/>
          <w:sz w:val="19"/>
          <w:szCs w:val="19"/>
          <w:u w:val="single" w:color="auto"/>
          <w:color w:val="auto"/>
        </w:rPr>
        <w:t>AMENDMENT, SUSPENSION OR TERMINATION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350" w:right="239" w:bottom="1440" w:gutter="0" w:footer="0" w:header="0"/>
        </w:sectPr>
      </w:pPr>
    </w:p>
    <w:bookmarkStart w:id="110" w:name="page111"/>
    <w:bookmarkEnd w:id="110"/>
    <w:p>
      <w:pPr>
        <w:jc w:val="both"/>
        <w:ind w:firstLine="596"/>
        <w:spacing w:after="0" w:line="250" w:lineRule="auto"/>
        <w:rPr>
          <w:sz w:val="20"/>
          <w:szCs w:val="20"/>
          <w:color w:val="auto"/>
        </w:rPr>
      </w:pPr>
      <w:r>
        <w:rPr>
          <w:rFonts w:ascii="Times New Roman" w:cs="Times New Roman" w:eastAsia="Times New Roman" w:hAnsi="Times New Roman"/>
          <w:sz w:val="20"/>
          <w:szCs w:val="20"/>
          <w:color w:val="auto"/>
        </w:rPr>
        <w:t xml:space="preserve">Prior to a Change in Control, this Plan may be amended, suspended or terminated at any time by the Compensation Committee;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amendment, suspension or termination that reduces benefits, changes the definition of Eligible Employees or otherwise adversely impairs an Eligible Employee’s ability to receive any of the severance payments or benefits that could be provided under this Plan will not be effective until 12 months after notice of any such change is provided to the Eligible Employees. No such amendment, suspension or termination will be effective if a Change in Control occurs during the 12-month notice period and no such amendment, suspension or termination may occur after a Change in Control. This Plan may otherwise be amended, suspended or terminated by the Compensation Committee following the expiration of the Change in Control Period and the satisfaction of all obligations the Company may have to any Eligible Employee under the Plan.</w:t>
      </w:r>
    </w:p>
    <w:p>
      <w:pPr>
        <w:spacing w:after="0" w:line="17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010000"/>
        </w:rPr>
        <w:t>SECTION 9.</w:t>
      </w:r>
      <w:r>
        <w:rPr>
          <w:sz w:val="20"/>
          <w:szCs w:val="20"/>
          <w:color w:val="auto"/>
        </w:rPr>
        <w:tab/>
      </w:r>
      <w:r>
        <w:rPr>
          <w:rFonts w:ascii="Times New Roman" w:cs="Times New Roman" w:eastAsia="Times New Roman" w:hAnsi="Times New Roman"/>
          <w:sz w:val="19"/>
          <w:szCs w:val="19"/>
          <w:u w:val="single" w:color="auto"/>
          <w:color w:val="auto"/>
        </w:rPr>
        <w:t>ADMINISTRATION</w:t>
      </w:r>
    </w:p>
    <w:p>
      <w:pPr>
        <w:spacing w:after="0" w:line="217" w:lineRule="exact"/>
        <w:rPr>
          <w:sz w:val="20"/>
          <w:szCs w:val="20"/>
          <w:color w:val="auto"/>
        </w:rPr>
      </w:pPr>
    </w:p>
    <w:p>
      <w:pPr>
        <w:jc w:val="both"/>
        <w:ind w:firstLine="596"/>
        <w:spacing w:after="0" w:line="250" w:lineRule="auto"/>
        <w:rPr>
          <w:sz w:val="20"/>
          <w:szCs w:val="20"/>
          <w:color w:val="auto"/>
        </w:rPr>
      </w:pPr>
      <w:r>
        <w:rPr>
          <w:rFonts w:ascii="Times New Roman" w:cs="Times New Roman" w:eastAsia="Times New Roman" w:hAnsi="Times New Roman"/>
          <w:sz w:val="20"/>
          <w:szCs w:val="20"/>
          <w:color w:val="auto"/>
        </w:rPr>
        <w:t>The Plan shall be administered by either the Compensation Committee or the person(s) appointed by the Compensation Committee from time to time to administer the Plan (in either case, 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xml:space="preserve">”). The Administrator shall have the power and authority to interpret the terms and provisions of the Plan, to make all determinations it deems advisable for the administration of the Plan, to decide all disputes arising in connection with the Plan and to otherwise supervise the administration of the Plan, with all decisions and interpretations of the Administrator to be binding on all persons. Notwithstanding the foregoing, however, on and after a Change in Control, all disputes arising in connection with the Plan (including without limitation regarding any determinations, decisions and interpretations of the Plan) shall be subject to dispute resolution as set forth in Section 10, and no decisions or interpretations of the Plan by the Administrator shall be binding on all persons, with any decisions and interpretations to be reviewed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in the event of any such dispute.</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10.</w:t>
      </w:r>
      <w:r>
        <w:rPr>
          <w:sz w:val="20"/>
          <w:szCs w:val="20"/>
          <w:color w:val="auto"/>
        </w:rPr>
        <w:tab/>
      </w:r>
      <w:r>
        <w:rPr>
          <w:rFonts w:ascii="Times New Roman" w:cs="Times New Roman" w:eastAsia="Times New Roman" w:hAnsi="Times New Roman"/>
          <w:sz w:val="19"/>
          <w:szCs w:val="19"/>
          <w:u w:val="single" w:color="auto"/>
          <w:color w:val="auto"/>
        </w:rPr>
        <w:t>GOVERNING LAW; DISPUTE RESOLUTION</w:t>
      </w:r>
    </w:p>
    <w:p>
      <w:pPr>
        <w:spacing w:after="0" w:line="217" w:lineRule="exact"/>
        <w:rPr>
          <w:sz w:val="20"/>
          <w:szCs w:val="20"/>
          <w:color w:val="auto"/>
        </w:rPr>
      </w:pPr>
    </w:p>
    <w:p>
      <w:pPr>
        <w:ind w:firstLine="1192"/>
        <w:spacing w:after="0" w:line="289" w:lineRule="auto"/>
        <w:tabs>
          <w:tab w:leader="none" w:pos="1591"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Plan shall be governed by the laws of the United States to the extent applicable and otherwise by the laws of the State of California, excluding the choice of law rules thereof.</w:t>
      </w:r>
    </w:p>
    <w:p>
      <w:pPr>
        <w:spacing w:after="0" w:line="129" w:lineRule="exact"/>
        <w:rPr>
          <w:rFonts w:ascii="Times New Roman" w:cs="Times New Roman" w:eastAsia="Times New Roman" w:hAnsi="Times New Roman"/>
          <w:sz w:val="20"/>
          <w:szCs w:val="20"/>
          <w:color w:val="010000"/>
        </w:rPr>
      </w:pPr>
    </w:p>
    <w:p>
      <w:pPr>
        <w:jc w:val="both"/>
        <w:ind w:firstLine="1192"/>
        <w:spacing w:after="0" w:line="251" w:lineRule="auto"/>
        <w:tabs>
          <w:tab w:leader="none" w:pos="1776"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On and after a Change in Control, any controversy or claim arising out of or relating to this Plan, its enforcement, arbitrability or interpretation, or because of an alleged breach, default or misrepresentation in connection with any of its provisions, or arising out of or relating in any way to the Eligible Employee’s employment or termination of the same or conduct thereafter, including, without limiting the generality of the foregoing, any alleged violation of statute, common law or public policy, shall be submitted to final and binding arbitration, to be held in Los Angeles County, California, before a single arbitrator, in accordance with California Civil Procedure Code §§ 1280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arbitrator shall be selected by mutual agreement of the parties or, if the parties cannot agree, then by striking from a list of arbitrators supplied by the American Arbitration Association or JAMS/Endispute. The arbitrator shall issue a written opinion revealing, however briefly, the essential findings and conclusions upon which the arbitrator’s award is based. The Company will pay the arbitrator’s fees and arbitration expenses and any other costs associated with the arbitration hearing. The Company agrees to pay as incurred (within 10 days following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350" w:right="239" w:bottom="1440" w:gutter="0" w:footer="0" w:header="0"/>
        </w:sectPr>
      </w:pPr>
    </w:p>
    <w:bookmarkStart w:id="111" w:name="page112"/>
    <w:bookmarkEnd w:id="111"/>
    <w:p>
      <w:pPr>
        <w:jc w:val="both"/>
        <w:spacing w:after="0" w:line="248" w:lineRule="auto"/>
        <w:rPr>
          <w:sz w:val="20"/>
          <w:szCs w:val="20"/>
          <w:color w:val="auto"/>
        </w:rPr>
      </w:pPr>
      <w:r>
        <w:rPr>
          <w:rFonts w:ascii="Times New Roman" w:cs="Times New Roman" w:eastAsia="Times New Roman" w:hAnsi="Times New Roman"/>
          <w:sz w:val="20"/>
          <w:szCs w:val="20"/>
          <w:color w:val="auto"/>
        </w:rPr>
        <w:t>Company’s receipt of an invoice from the Eligible Employee), to the full extent permitted by law, all legal fees and expenses that the Eligible Employee may reasonably incur as a result of any contest (regardless of the outcome thereof) by the Company, the Eligible Employee or others of the validity or enforceability of, or liability under, any provision of this Plan or any guarantee of performance thereof (including as a result of any contest by the Eligible Employee about the amount of any payment pursuant to this Plan), plus, in each case, interest on any delayed payment at the applicable federal rate provided for in Section 7872(f)(2)(A) of the Code. In order to avoid the imposition of taxes and penalties on the Eligible Employee under Section 409A of the Code, (i) in no event shall the payments by the Company under this Section 10(b) be made later than the end of the calendar year next following the calendar year in which such fees and expenses were incurred, and the Eligible Employee shall be required to have submitted an invoice for such fees and expenses at least 10 days before the end of the calendar year next following the calendar year in which such fees and expenses were incurred, (ii) the amount of such legal fees and expenses that the Company is obligated to pay in any given calendar year shall not affect the legal fees and expenses that the Company is obligated to pay in any other calendar year, (iii) the Eligible Employee’s right to have the Company pay such legal fees and expenses may not be liquidated or exchanged for any other benefit and (iv) the Company’s obligations to pay such legal fees and expenses shall apply to amounts incurred during the Eligible Employee’s remaining lifetime (or, if longer, through the 20th anniversary of the Effective Date). Nothing in this paragraph shall affect the Eligible Employee’s or the Company’s ability to seek from a court injunctive or equitable relief.</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11.</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21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20"/>
          <w:szCs w:val="20"/>
          <w:color w:val="auto"/>
        </w:rPr>
        <w:t>If any part of any provision of this Plan shall be invalid or unenforceable under applicable law, such part shall be ineffective to the extent of such invalidity or unenforceability only, without in any way affecting the remaining parts of such provision or the remaining provisions of this Plan.</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12.</w:t>
      </w:r>
      <w:r>
        <w:rPr>
          <w:sz w:val="20"/>
          <w:szCs w:val="20"/>
          <w:color w:val="auto"/>
        </w:rPr>
        <w:tab/>
      </w:r>
      <w:r>
        <w:rPr>
          <w:rFonts w:ascii="Times New Roman" w:cs="Times New Roman" w:eastAsia="Times New Roman" w:hAnsi="Times New Roman"/>
          <w:sz w:val="19"/>
          <w:szCs w:val="19"/>
          <w:u w:val="single" w:color="auto"/>
          <w:color w:val="auto"/>
        </w:rPr>
        <w:t>DISCLAIMER OF RIGHTS</w:t>
      </w:r>
    </w:p>
    <w:p>
      <w:pPr>
        <w:spacing w:after="0" w:line="217" w:lineRule="exact"/>
        <w:rPr>
          <w:sz w:val="20"/>
          <w:szCs w:val="20"/>
          <w:color w:val="auto"/>
        </w:rPr>
      </w:pPr>
    </w:p>
    <w:p>
      <w:pPr>
        <w:jc w:val="both"/>
        <w:ind w:firstLine="596"/>
        <w:spacing w:after="0" w:line="266" w:lineRule="auto"/>
        <w:rPr>
          <w:sz w:val="20"/>
          <w:szCs w:val="20"/>
          <w:color w:val="auto"/>
        </w:rPr>
      </w:pPr>
      <w:r>
        <w:rPr>
          <w:rFonts w:ascii="Times New Roman" w:cs="Times New Roman" w:eastAsia="Times New Roman" w:hAnsi="Times New Roman"/>
          <w:sz w:val="19"/>
          <w:szCs w:val="19"/>
          <w:color w:val="auto"/>
        </w:rPr>
        <w:t>No provision in this Plan shall be construed to confer upon any individual the right to remain in the employ or service of the Employer, or to interfere in any way with any contractual or other right or authority of the Employer either to increase or decrease the compensation or other payments to any individual at any time, to terminate any employment or other relationship between any individual and the Employer or to require the Employer to pay severance for any termination of employment prior to a Change in Control. The obligation of the Employer to pay any benefits pursuant to this Plan shall be interpreted as a contractual obligation to pay only those amounts described herein, in the manner and under the conditions prescribed herein. The Plan shall in no way be interpreted to require the Employer to transfer any amounts to a third party trustee or otherwise hold any amounts in trust or escrow for payment to any participant or beneficiary under the terms of the Plan.</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13.</w:t>
      </w:r>
      <w:r>
        <w:rPr>
          <w:sz w:val="20"/>
          <w:szCs w:val="20"/>
          <w:color w:val="auto"/>
        </w:rPr>
        <w:tab/>
      </w:r>
      <w:r>
        <w:rPr>
          <w:rFonts w:ascii="Times New Roman" w:cs="Times New Roman" w:eastAsia="Times New Roman" w:hAnsi="Times New Roman"/>
          <w:sz w:val="20"/>
          <w:szCs w:val="20"/>
          <w:u w:val="single" w:color="auto"/>
          <w:color w:val="auto"/>
        </w:rPr>
        <w:t>CAPTIONS</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use of captions in this Plan is for the convenience of reference only and shall not affect the meaning of any provision of this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350" w:right="239" w:bottom="1440" w:gutter="0" w:footer="0" w:header="0"/>
        </w:sectPr>
      </w:pPr>
    </w:p>
    <w:bookmarkStart w:id="112" w:name="page113"/>
    <w:bookmarkEnd w:id="112"/>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14.</w:t>
      </w:r>
      <w:r>
        <w:rPr>
          <w:sz w:val="20"/>
          <w:szCs w:val="20"/>
          <w:color w:val="auto"/>
        </w:rPr>
        <w:tab/>
      </w:r>
      <w:r>
        <w:rPr>
          <w:rFonts w:ascii="Times New Roman" w:cs="Times New Roman" w:eastAsia="Times New Roman" w:hAnsi="Times New Roman"/>
          <w:sz w:val="19"/>
          <w:szCs w:val="19"/>
          <w:u w:val="single" w:color="auto"/>
          <w:color w:val="auto"/>
        </w:rPr>
        <w:t>NUMBER AND GENDER</w:t>
      </w:r>
    </w:p>
    <w:p>
      <w:pPr>
        <w:spacing w:after="0" w:line="217" w:lineRule="exact"/>
        <w:rPr>
          <w:sz w:val="20"/>
          <w:szCs w:val="20"/>
          <w:color w:val="auto"/>
        </w:rPr>
      </w:pPr>
    </w:p>
    <w:p>
      <w:pPr>
        <w:ind w:firstLine="596"/>
        <w:spacing w:after="0" w:line="276" w:lineRule="auto"/>
        <w:rPr>
          <w:sz w:val="20"/>
          <w:szCs w:val="20"/>
          <w:color w:val="auto"/>
        </w:rPr>
      </w:pPr>
      <w:r>
        <w:rPr>
          <w:rFonts w:ascii="Times New Roman" w:cs="Times New Roman" w:eastAsia="Times New Roman" w:hAnsi="Times New Roman"/>
          <w:sz w:val="20"/>
          <w:szCs w:val="20"/>
          <w:color w:val="auto"/>
        </w:rPr>
        <w:t>With respect to words used in this Plan, the singular form shall include the plural form, the masculine gender shall include the feminine gender, etc., as the context requires.</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010000"/>
        </w:rPr>
        <w:t>SECTION 15.</w:t>
      </w:r>
      <w:r>
        <w:rPr>
          <w:sz w:val="20"/>
          <w:szCs w:val="20"/>
          <w:color w:val="auto"/>
        </w:rPr>
        <w:tab/>
      </w:r>
      <w:r>
        <w:rPr>
          <w:rFonts w:ascii="Times New Roman" w:cs="Times New Roman" w:eastAsia="Times New Roman" w:hAnsi="Times New Roman"/>
          <w:sz w:val="20"/>
          <w:szCs w:val="20"/>
          <w:u w:val="single" w:color="auto"/>
          <w:color w:val="auto"/>
        </w:rPr>
        <w:t>SECTION 409A</w:t>
      </w:r>
    </w:p>
    <w:p>
      <w:pPr>
        <w:spacing w:after="0" w:line="217" w:lineRule="exact"/>
        <w:rPr>
          <w:sz w:val="20"/>
          <w:szCs w:val="20"/>
          <w:color w:val="auto"/>
        </w:rPr>
      </w:pPr>
    </w:p>
    <w:p>
      <w:pPr>
        <w:jc w:val="both"/>
        <w:ind w:firstLine="1192"/>
        <w:spacing w:after="0" w:line="253" w:lineRule="auto"/>
        <w:tabs>
          <w:tab w:leader="none" w:pos="1616"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Anything in this Plan to the contrary notwithstanding, if at the time of the Eligible Employee’s “separation from service” within the meaning of Section 409A of the Code, the Company determines that the Eligible Employee is a “specified employee” within the meaning of Section 409A(a)(2)(B)(i) of the Code, then to the extent any payment or benefit that the Eligible Employee becomes entitled to under this Plan on account of the Eligible Employee’s separation from service would be considered “nonqualified deferred compensation” subject to Section 409A(a) of the Code, such payment shall not be payable and such benefit shall not be provided until the date that is the earlier of (A) six months and one day after the Eligible Employee’s separation from service, or (B) the Eligible Employee’s death. Each payment under this Plan constitutes a separate payment for purposes of Section 409A of the Code.</w:t>
      </w:r>
    </w:p>
    <w:p>
      <w:pPr>
        <w:spacing w:after="0" w:line="166" w:lineRule="exact"/>
        <w:rPr>
          <w:rFonts w:ascii="Times New Roman" w:cs="Times New Roman" w:eastAsia="Times New Roman" w:hAnsi="Times New Roman"/>
          <w:sz w:val="20"/>
          <w:szCs w:val="20"/>
          <w:color w:val="010000"/>
        </w:rPr>
      </w:pPr>
    </w:p>
    <w:p>
      <w:pPr>
        <w:jc w:val="both"/>
        <w:ind w:firstLine="1192"/>
        <w:spacing w:after="0" w:line="257" w:lineRule="auto"/>
        <w:tabs>
          <w:tab w:leader="none" w:pos="1615"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intend that this Plan will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The parties agree that this Plan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0" w:lineRule="exact"/>
        <w:rPr>
          <w:rFonts w:ascii="Times New Roman" w:cs="Times New Roman" w:eastAsia="Times New Roman" w:hAnsi="Times New Roman"/>
          <w:sz w:val="20"/>
          <w:szCs w:val="20"/>
          <w:color w:val="010000"/>
        </w:rPr>
      </w:pPr>
    </w:p>
    <w:p>
      <w:pPr>
        <w:jc w:val="both"/>
        <w:ind w:firstLine="1192"/>
        <w:spacing w:after="0" w:line="254" w:lineRule="auto"/>
        <w:tabs>
          <w:tab w:leader="none" w:pos="1579"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in-kind benefits provided and expenses eligible for reimbursement under this Plan shall be provided by the Employer or incurred by the Eligible Employee during the time periods set forth in this Plan.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67" w:lineRule="exact"/>
        <w:rPr>
          <w:rFonts w:ascii="Times New Roman" w:cs="Times New Roman" w:eastAsia="Times New Roman" w:hAnsi="Times New Roman"/>
          <w:sz w:val="20"/>
          <w:szCs w:val="20"/>
          <w:color w:val="010000"/>
        </w:rPr>
      </w:pPr>
    </w:p>
    <w:p>
      <w:pPr>
        <w:jc w:val="both"/>
        <w:ind w:firstLine="1192"/>
        <w:spacing w:after="0" w:line="257" w:lineRule="auto"/>
        <w:tabs>
          <w:tab w:leader="none" w:pos="164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any payment or benefit described in this Plan constitutes “non-qualified deferred compensation” under Section 409A of the Code, and to the extent that such payment or benefit is payable upon the Eligible Employee’s termination of employment, then such payments or benefits shall be payable only upon the Eligible Employee’s “separation from service.” All references to an Eligible Employee’s termination of employment under this Plan shall only occur if the same also constitutes a “separation from service” as defined under Section 409A of the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1220" w:right="239" w:bottom="1440" w:gutter="0" w:footer="0" w:header="0"/>
        </w:sectPr>
      </w:pPr>
    </w:p>
    <w:bookmarkStart w:id="113" w:name="page114"/>
    <w:bookmarkEnd w:id="113"/>
    <w:p>
      <w:pPr>
        <w:spacing w:after="0" w:line="276" w:lineRule="auto"/>
        <w:rPr>
          <w:sz w:val="20"/>
          <w:szCs w:val="20"/>
          <w:color w:val="auto"/>
        </w:rPr>
      </w:pPr>
      <w:r>
        <w:rPr>
          <w:rFonts w:ascii="Times New Roman" w:cs="Times New Roman" w:eastAsia="Times New Roman" w:hAnsi="Times New Roman"/>
          <w:sz w:val="20"/>
          <w:szCs w:val="20"/>
          <w:color w:val="auto"/>
        </w:rPr>
        <w:t>Code. The determination of whether and when a separation from service has occurred shall be made in accordance with the presumptions set forth in Treasury Regulation Section 1.409A-1(h).</w:t>
      </w:r>
    </w:p>
    <w:p>
      <w:pPr>
        <w:spacing w:after="0" w:line="142" w:lineRule="exact"/>
        <w:rPr>
          <w:sz w:val="20"/>
          <w:szCs w:val="20"/>
          <w:color w:val="auto"/>
        </w:rPr>
      </w:pPr>
    </w:p>
    <w:p>
      <w:pPr>
        <w:jc w:val="both"/>
        <w:ind w:firstLine="1192"/>
        <w:spacing w:after="0" w:line="268" w:lineRule="auto"/>
        <w:tabs>
          <w:tab w:leader="none" w:pos="1579"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makes no representation or warranty and shall have no liability to the Eligible Employee or any other person if any provisions of this Plan are determined to constitute deferred compensation subject to Section 409A of the Code but do not satisfy an exemption from, or the conditions of, such Section.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350"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63"/>
        </w:trPr>
        <w:tc>
          <w:tcPr>
            <w:tcW w:w="2840" w:type="dxa"/>
            <w:vAlign w:val="bottom"/>
          </w:tcPr>
          <w:p>
            <w:pPr>
              <w:spacing w:after="0"/>
              <w:rPr>
                <w:sz w:val="22"/>
                <w:szCs w:val="22"/>
                <w:color w:val="auto"/>
              </w:rPr>
            </w:pPr>
          </w:p>
        </w:tc>
        <w:tc>
          <w:tcPr>
            <w:tcW w:w="3760" w:type="dxa"/>
            <w:vAlign w:val="bottom"/>
          </w:tcPr>
          <w:p>
            <w:pPr>
              <w:jc w:val="center"/>
              <w:ind w:left="1901"/>
              <w:spacing w:after="0"/>
              <w:rPr>
                <w:sz w:val="20"/>
                <w:szCs w:val="20"/>
                <w:color w:val="auto"/>
              </w:rPr>
            </w:pPr>
            <w:r>
              <w:rPr>
                <w:rFonts w:ascii="Times New Roman" w:cs="Times New Roman" w:eastAsia="Times New Roman" w:hAnsi="Times New Roman"/>
                <w:sz w:val="20"/>
                <w:szCs w:val="20"/>
                <w:b w:val="1"/>
                <w:bCs w:val="1"/>
                <w:color w:val="auto"/>
                <w:w w:val="99"/>
              </w:rPr>
              <w:t>Schedule A</w:t>
            </w:r>
          </w:p>
        </w:tc>
        <w:tc>
          <w:tcPr>
            <w:tcW w:w="2460" w:type="dxa"/>
            <w:vAlign w:val="bottom"/>
          </w:tcPr>
          <w:p>
            <w:pPr>
              <w:spacing w:after="0"/>
              <w:rPr>
                <w:sz w:val="22"/>
                <w:szCs w:val="22"/>
                <w:color w:val="auto"/>
              </w:rPr>
            </w:pPr>
          </w:p>
        </w:tc>
      </w:tr>
      <w:tr>
        <w:trPr>
          <w:trHeight w:val="435"/>
        </w:trPr>
        <w:tc>
          <w:tcPr>
            <w:tcW w:w="2840" w:type="dxa"/>
            <w:vAlign w:val="bottom"/>
          </w:tcPr>
          <w:p>
            <w:pPr>
              <w:spacing w:after="0"/>
              <w:rPr>
                <w:sz w:val="24"/>
                <w:szCs w:val="24"/>
                <w:color w:val="auto"/>
              </w:rPr>
            </w:pPr>
          </w:p>
        </w:tc>
        <w:tc>
          <w:tcPr>
            <w:tcW w:w="3760" w:type="dxa"/>
            <w:vAlign w:val="bottom"/>
          </w:tcPr>
          <w:p>
            <w:pPr>
              <w:jc w:val="center"/>
              <w:ind w:left="1881"/>
              <w:spacing w:after="0"/>
              <w:rPr>
                <w:sz w:val="20"/>
                <w:szCs w:val="20"/>
                <w:color w:val="auto"/>
              </w:rPr>
            </w:pPr>
            <w:r>
              <w:rPr>
                <w:rFonts w:ascii="Times New Roman" w:cs="Times New Roman" w:eastAsia="Times New Roman" w:hAnsi="Times New Roman"/>
                <w:sz w:val="20"/>
                <w:szCs w:val="20"/>
                <w:b w:val="1"/>
                <w:bCs w:val="1"/>
                <w:color w:val="auto"/>
                <w:w w:val="99"/>
              </w:rPr>
              <w:t>Severance Payment</w:t>
            </w:r>
          </w:p>
        </w:tc>
        <w:tc>
          <w:tcPr>
            <w:tcW w:w="2460" w:type="dxa"/>
            <w:vAlign w:val="bottom"/>
          </w:tcPr>
          <w:p>
            <w:pPr>
              <w:spacing w:after="0"/>
              <w:rPr>
                <w:sz w:val="24"/>
                <w:szCs w:val="24"/>
                <w:color w:val="auto"/>
              </w:rPr>
            </w:pPr>
          </w:p>
        </w:tc>
      </w:tr>
      <w:tr>
        <w:trPr>
          <w:trHeight w:val="579"/>
        </w:trPr>
        <w:tc>
          <w:tcPr>
            <w:tcW w:w="28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20"/>
                <w:szCs w:val="20"/>
                <w:color w:val="auto"/>
              </w:rPr>
              <w:t>Severance Payment</w:t>
            </w:r>
          </w:p>
        </w:tc>
        <w:tc>
          <w:tcPr>
            <w:tcW w:w="2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Outplacement Services</w:t>
            </w:r>
          </w:p>
        </w:tc>
      </w:tr>
      <w:tr>
        <w:trPr>
          <w:trHeight w:val="248"/>
        </w:trPr>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w:t>
            </w:r>
          </w:p>
        </w:tc>
        <w:tc>
          <w:tcPr>
            <w:tcW w:w="37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 times the sum of</w:t>
            </w:r>
          </w:p>
        </w:tc>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highest level of</w:t>
            </w:r>
          </w:p>
        </w:tc>
      </w:tr>
      <w:tr>
        <w:trPr>
          <w:trHeight w:val="198"/>
        </w:trPr>
        <w:tc>
          <w:tcPr>
            <w:tcW w:w="2840" w:type="dxa"/>
            <w:vAlign w:val="bottom"/>
          </w:tcPr>
          <w:p>
            <w:pPr>
              <w:spacing w:after="0"/>
              <w:rPr>
                <w:sz w:val="17"/>
                <w:szCs w:val="17"/>
                <w:color w:val="auto"/>
              </w:rPr>
            </w:pPr>
          </w:p>
        </w:tc>
        <w:tc>
          <w:tcPr>
            <w:tcW w:w="3760" w:type="dxa"/>
            <w:vAlign w:val="bottom"/>
          </w:tcPr>
          <w:p>
            <w:pPr>
              <w:ind w:left="640"/>
              <w:spacing w:after="0" w:line="199" w:lineRule="exact"/>
              <w:rPr>
                <w:sz w:val="20"/>
                <w:szCs w:val="20"/>
                <w:color w:val="auto"/>
              </w:rPr>
            </w:pPr>
            <w:r>
              <w:rPr>
                <w:rFonts w:ascii="Times New Roman" w:cs="Times New Roman" w:eastAsia="Times New Roman" w:hAnsi="Times New Roman"/>
                <w:sz w:val="20"/>
                <w:szCs w:val="20"/>
                <w:color w:val="auto"/>
              </w:rPr>
              <w:t>Base Salary and Bonus</w:t>
            </w:r>
          </w:p>
        </w:tc>
        <w:tc>
          <w:tcPr>
            <w:tcW w:w="2460" w:type="dxa"/>
            <w:vAlign w:val="bottom"/>
          </w:tcPr>
          <w:p>
            <w:pPr>
              <w:ind w:left="40"/>
              <w:spacing w:after="0" w:line="199" w:lineRule="exact"/>
              <w:rPr>
                <w:sz w:val="20"/>
                <w:szCs w:val="20"/>
                <w:color w:val="auto"/>
              </w:rPr>
            </w:pPr>
            <w:r>
              <w:rPr>
                <w:rFonts w:ascii="Times New Roman" w:cs="Times New Roman" w:eastAsia="Times New Roman" w:hAnsi="Times New Roman"/>
                <w:sz w:val="20"/>
                <w:szCs w:val="20"/>
                <w:color w:val="auto"/>
              </w:rPr>
              <w:t>outplacement benefits</w:t>
            </w:r>
          </w:p>
        </w:tc>
      </w:tr>
      <w:tr>
        <w:trPr>
          <w:trHeight w:val="224"/>
        </w:trPr>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provided for under the</w:t>
            </w:r>
          </w:p>
        </w:tc>
      </w:tr>
      <w:tr>
        <w:trPr>
          <w:trHeight w:val="224"/>
        </w:trPr>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outplacement services</w:t>
            </w:r>
          </w:p>
        </w:tc>
      </w:tr>
      <w:tr>
        <w:trPr>
          <w:trHeight w:val="224"/>
        </w:trPr>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agreement in effect</w:t>
            </w:r>
          </w:p>
        </w:tc>
      </w:tr>
      <w:tr>
        <w:trPr>
          <w:trHeight w:val="224"/>
        </w:trPr>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immediately prior to the</w:t>
            </w:r>
          </w:p>
        </w:tc>
      </w:tr>
      <w:tr>
        <w:trPr>
          <w:trHeight w:val="224"/>
        </w:trPr>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Date of Termination, for 12</w:t>
            </w:r>
          </w:p>
        </w:tc>
      </w:tr>
      <w:tr>
        <w:trPr>
          <w:trHeight w:val="259"/>
        </w:trPr>
        <w:tc>
          <w:tcPr>
            <w:tcW w:w="28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219"/>
          </w:cols>
          <w:pgMar w:left="240" w:top="582"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 Agreement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THIS RELEASE AGREEMENT is entered into as of ____________, 20__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_____________ (the</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in consideration of the severance payments and benefits (collectively, the “</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provided to the Employee by The Macerich Company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The Macerich Company Change in Control Severance Pay Plan for Executive Vice Presidents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All capitalized terms used in this Release Agreement and not otherwise defined shall be as defined in the Plan.</w:t>
      </w:r>
    </w:p>
    <w:p>
      <w:pPr>
        <w:spacing w:after="0" w:line="166" w:lineRule="exact"/>
        <w:rPr>
          <w:sz w:val="20"/>
          <w:szCs w:val="20"/>
          <w:color w:val="auto"/>
        </w:rPr>
      </w:pPr>
    </w:p>
    <w:p>
      <w:pPr>
        <w:jc w:val="both"/>
        <w:ind w:firstLine="1192"/>
        <w:spacing w:after="0" w:line="248" w:lineRule="auto"/>
        <w:tabs>
          <w:tab w:leader="none" w:pos="16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and Release</w:t>
      </w:r>
      <w:r>
        <w:rPr>
          <w:rFonts w:ascii="Times New Roman" w:cs="Times New Roman" w:eastAsia="Times New Roman" w:hAnsi="Times New Roman"/>
          <w:sz w:val="20"/>
          <w:szCs w:val="20"/>
          <w:color w:val="auto"/>
        </w:rPr>
        <w:t>. The Employee, on her/his own behalf and on behalf of her/his heirs, executors, administrators, attorneys and assigns, hereby unconditionally and irrevocably releases, waives and forever discharges Company and each of its affiliates, parents, successors, predecessors, and the subsidiaries, directors, owners, members, shareholders, officers, agents, and employees of the Company and its affiliates, parents, successors, predecessors, and subsidiaries (collectively, all of the foregoing are referred to as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from any and all causes of action, claims and damages, including attorneys’ fees, whether known or unknown, foreseen or unforeseen, presently asserted or otherwise arising through the date of her/his signing of this Release Agreement, concerning her/his employment or separation from employment. This release includes, but is not limited to, any claim or entitlement to salary, bonuses, any other payments, benefits or damages arising under any federal law (including, but not limited to, Title VII of the Civil Rights Act of 1964, the Age Discrimination in Employment Act, the Employee Retirement Income Security Act of 1974, the Americans with Disabilities Act, Executive Order 11246, the Family and Medical Leave Act, and the Worker Adjustment and Retraining Notification Act, each as amended) and any other federal, state, local or foreign law relating to notice of employment termination or to severance pay; any claim arising under any state or local laws, ordinances or regulations (including, but not limited to, any state or local laws, ordinances or regulations requiring that advance notice be given of certain workforce reductions); and any claim arising under any common law principle or public policy, including, but not limited to, all suits in tort or contract, such as wrongful termination, defamation, emotional distress, invasion of privacy or loss of consortium.</w:t>
      </w:r>
    </w:p>
    <w:p>
      <w:pPr>
        <w:spacing w:after="0" w:line="176" w:lineRule="exact"/>
        <w:rPr>
          <w:sz w:val="20"/>
          <w:szCs w:val="20"/>
          <w:color w:val="auto"/>
        </w:rPr>
      </w:pPr>
    </w:p>
    <w:p>
      <w:pPr>
        <w:jc w:val="both"/>
        <w:ind w:firstLine="1193"/>
        <w:spacing w:after="0" w:line="249" w:lineRule="auto"/>
        <w:rPr>
          <w:sz w:val="20"/>
          <w:szCs w:val="20"/>
          <w:color w:val="auto"/>
        </w:rPr>
      </w:pPr>
      <w:r>
        <w:rPr>
          <w:rFonts w:ascii="Times New Roman" w:cs="Times New Roman" w:eastAsia="Times New Roman" w:hAnsi="Times New Roman"/>
          <w:sz w:val="20"/>
          <w:szCs w:val="20"/>
          <w:color w:val="auto"/>
        </w:rPr>
        <w:t>The Employee understands that by signing this Release Agreement she/he is waiving any right to monetary recovery or individual relief should any federal, state or local agency (including the Equal Employment Opportunity Commission) pursue any claim on her/his behalf arising out of or related to her/his employment with and/or separation from employment with the Employer. The Employee understands that this Release Agreement, does not limit or interfere with the Employee’s right, without notice to or authorization of the Employer, to file a charge or complaint with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 (each a “</w:t>
      </w:r>
      <w:r>
        <w:rPr>
          <w:rFonts w:ascii="Times New Roman" w:cs="Times New Roman" w:eastAsia="Times New Roman" w:hAnsi="Times New Roman"/>
          <w:sz w:val="20"/>
          <w:szCs w:val="20"/>
          <w:u w:val="single" w:color="auto"/>
          <w:color w:val="auto"/>
        </w:rPr>
        <w:t>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Agency</w:t>
      </w:r>
      <w:r>
        <w:rPr>
          <w:rFonts w:ascii="Times New Roman" w:cs="Times New Roman" w:eastAsia="Times New Roman" w:hAnsi="Times New Roman"/>
          <w:sz w:val="20"/>
          <w:szCs w:val="20"/>
          <w:color w:val="auto"/>
        </w:rPr>
        <w:t>”), or to testify, assist or participate in any investigation, hearing or proceeding conducted by a Governmental Agency in the event Employee file a charge or complaint with a Governmental Agency, or a Governmental Agency asserts a claim on the Employee’s behalf, the Employee agrees that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420"/>
          </w:cols>
          <w:pgMar w:left="240" w:top="582" w:right="23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20"/>
          <w:szCs w:val="20"/>
          <w:color w:val="auto"/>
        </w:rPr>
        <w:t>Employee’s release of claims in this Release Agreement shall nevertheless bar the Employee’s right (if any) to any monetary or other recovery (including reinstatement) with respect to released claims, except that the Employee does not waive: (i) the Employee’s right to receive an award from the Securities and Exchange Commission pursuant to Section 21 F of the Securities Exchange Act of 1934, and (ii) any other claims or administrative charges which cannot be waived by law.</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Employee expressly waives the benefits of Section 1542 of the California Civil Code which provides that:</w:t>
      </w:r>
    </w:p>
    <w:p>
      <w:pPr>
        <w:spacing w:after="0" w:line="201" w:lineRule="exact"/>
        <w:rPr>
          <w:sz w:val="20"/>
          <w:szCs w:val="20"/>
          <w:color w:val="auto"/>
        </w:rPr>
      </w:pPr>
    </w:p>
    <w:p>
      <w:pPr>
        <w:jc w:val="both"/>
        <w:ind w:left="1200"/>
        <w:spacing w:after="0" w:line="263"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which the creditor does not know or suspect to exist in her/his favor at the time of executing the release, which if known by her/him must have materially affected her/his settlement with the debtor.”</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Employee, being aware of said code section, understands and acknowledges the significance and consequences of such specific waiver of Section 1542 and agrees to expressly waive any rights Employee may have thereunder, as well as under any other statute or common law principles of similar effect. The Employee hereby assumes full responsibility for any injuries, damages or losses that the Employee may incur as a result of such waiver.</w:t>
      </w:r>
    </w:p>
    <w:p>
      <w:pPr>
        <w:spacing w:after="0" w:line="162" w:lineRule="exact"/>
        <w:rPr>
          <w:sz w:val="20"/>
          <w:szCs w:val="20"/>
          <w:color w:val="auto"/>
        </w:rPr>
      </w:pPr>
    </w:p>
    <w:p>
      <w:pPr>
        <w:ind w:left="1200"/>
        <w:spacing w:after="0"/>
        <w:tabs>
          <w:tab w:leader="none" w:pos="14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The Employee is signing this Release Agreement knowingly and voluntarily. She/he acknowledges that:</w:t>
      </w:r>
    </w:p>
    <w:p>
      <w:pPr>
        <w:spacing w:after="0" w:line="217" w:lineRule="exact"/>
        <w:rPr>
          <w:sz w:val="20"/>
          <w:szCs w:val="20"/>
          <w:color w:val="auto"/>
        </w:rPr>
      </w:pPr>
    </w:p>
    <w:p>
      <w:pPr>
        <w:ind w:left="1500" w:hanging="308"/>
        <w:spacing w:after="0" w:line="276" w:lineRule="auto"/>
        <w:tabs>
          <w:tab w:leader="none" w:pos="15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is hereby advised by the Company to discuss all aspects of this Release Agreement with an attorney before signing this Release Agreement;</w:t>
      </w:r>
    </w:p>
    <w:p>
      <w:pPr>
        <w:spacing w:after="0" w:line="141" w:lineRule="exact"/>
        <w:rPr>
          <w:rFonts w:ascii="Times New Roman" w:cs="Times New Roman" w:eastAsia="Times New Roman" w:hAnsi="Times New Roman"/>
          <w:sz w:val="20"/>
          <w:szCs w:val="20"/>
          <w:color w:val="auto"/>
        </w:rPr>
      </w:pPr>
    </w:p>
    <w:p>
      <w:pPr>
        <w:jc w:val="both"/>
        <w:ind w:left="1780" w:hanging="588"/>
        <w:spacing w:after="0" w:line="261" w:lineRule="auto"/>
        <w:tabs>
          <w:tab w:leader="none" w:pos="17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has relied solely on her/his own judgment and/or that of her/his attorney regarding the consideration for and the terms of this Release Agreement and is signing this Release Agreement knowingly and voluntarily of her/his own free will;</w:t>
      </w:r>
    </w:p>
    <w:p>
      <w:pPr>
        <w:spacing w:after="0" w:line="156" w:lineRule="exact"/>
        <w:rPr>
          <w:rFonts w:ascii="Times New Roman" w:cs="Times New Roman" w:eastAsia="Times New Roman" w:hAnsi="Times New Roman"/>
          <w:sz w:val="20"/>
          <w:szCs w:val="20"/>
          <w:color w:val="auto"/>
        </w:rPr>
      </w:pPr>
    </w:p>
    <w:p>
      <w:pPr>
        <w:ind w:left="1780" w:hanging="588"/>
        <w:spacing w:after="0" w:line="276" w:lineRule="auto"/>
        <w:tabs>
          <w:tab w:leader="none" w:pos="17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is not entitled to the Severance Payment unless she/he agrees to and fully complies with the terms of this Release Agreement;</w:t>
      </w:r>
    </w:p>
    <w:p>
      <w:pPr>
        <w:spacing w:after="0" w:line="141" w:lineRule="exact"/>
        <w:rPr>
          <w:rFonts w:ascii="Times New Roman" w:cs="Times New Roman" w:eastAsia="Times New Roman" w:hAnsi="Times New Roman"/>
          <w:sz w:val="20"/>
          <w:szCs w:val="20"/>
          <w:color w:val="auto"/>
        </w:rPr>
      </w:pPr>
    </w:p>
    <w:p>
      <w:pPr>
        <w:jc w:val="both"/>
        <w:ind w:left="1780" w:hanging="588"/>
        <w:spacing w:after="0" w:line="256" w:lineRule="auto"/>
        <w:tabs>
          <w:tab w:leader="none" w:pos="17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has been given at least [twenty-one (21)] [forty-five (45)] calendar days to consider this Release Agreement (the “</w:t>
      </w:r>
      <w:r>
        <w:rPr>
          <w:rFonts w:ascii="Times New Roman" w:cs="Times New Roman" w:eastAsia="Times New Roman" w:hAnsi="Times New Roman"/>
          <w:sz w:val="20"/>
          <w:szCs w:val="20"/>
          <w:u w:val="single" w:color="auto"/>
          <w:color w:val="auto"/>
        </w:rPr>
        <w:t>Consideration Period</w:t>
      </w:r>
      <w:r>
        <w:rPr>
          <w:rFonts w:ascii="Times New Roman" w:cs="Times New Roman" w:eastAsia="Times New Roman" w:hAnsi="Times New Roman"/>
          <w:sz w:val="20"/>
          <w:szCs w:val="20"/>
          <w:color w:val="auto"/>
        </w:rPr>
        <w:t>”). If she/he signs this Release Agreement before the end of the Consideration Period, she/he acknowledges by signing this Release Agreement that such decision was entirely voluntary and that she/he had the opportunity to consider this Release Agreement for the entire Consideration Period.</w:t>
      </w:r>
    </w:p>
    <w:p>
      <w:pPr>
        <w:spacing w:after="0" w:line="161" w:lineRule="exact"/>
        <w:rPr>
          <w:rFonts w:ascii="Times New Roman" w:cs="Times New Roman" w:eastAsia="Times New Roman" w:hAnsi="Times New Roman"/>
          <w:sz w:val="20"/>
          <w:szCs w:val="20"/>
          <w:color w:val="auto"/>
        </w:rPr>
      </w:pPr>
    </w:p>
    <w:p>
      <w:pPr>
        <w:jc w:val="both"/>
        <w:ind w:left="1780" w:hanging="588"/>
        <w:spacing w:after="0" w:line="256" w:lineRule="auto"/>
        <w:tabs>
          <w:tab w:leader="none" w:pos="17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may revoke this Release Agreement within seven (7) calendar days after signing it by submitting a written notice of revocation to the Employer. She/he further understands that this Release Agreement is not fully effective until the next business day after the seven (7) day period of revocation has expired without revocation, and that if she/he revokes this Release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420"/>
          </w:cols>
          <w:pgMar w:left="240" w:top="586" w:right="239" w:bottom="1440" w:gutter="0" w:footer="0" w:header="0"/>
        </w:sectPr>
      </w:pPr>
    </w:p>
    <w:bookmarkStart w:id="117" w:name="page118"/>
    <w:bookmarkEnd w:id="117"/>
    <w:p>
      <w:pPr>
        <w:ind w:left="1780"/>
        <w:spacing w:after="0"/>
        <w:rPr>
          <w:sz w:val="20"/>
          <w:szCs w:val="20"/>
          <w:color w:val="auto"/>
        </w:rPr>
      </w:pPr>
      <w:r>
        <w:rPr>
          <w:rFonts w:ascii="Times New Roman" w:cs="Times New Roman" w:eastAsia="Times New Roman" w:hAnsi="Times New Roman"/>
          <w:sz w:val="20"/>
          <w:szCs w:val="20"/>
          <w:color w:val="auto"/>
        </w:rPr>
        <w:t>within the seven (7) day revocation period, she/he will not receive the Severance Payment;</w:t>
      </w:r>
    </w:p>
    <w:p>
      <w:pPr>
        <w:spacing w:after="0" w:line="205" w:lineRule="exact"/>
        <w:rPr>
          <w:sz w:val="20"/>
          <w:szCs w:val="20"/>
          <w:color w:val="auto"/>
        </w:rPr>
      </w:pPr>
    </w:p>
    <w:p>
      <w:pPr>
        <w:jc w:val="both"/>
        <w:ind w:left="1780" w:hanging="588"/>
        <w:spacing w:after="0" w:line="261" w:lineRule="auto"/>
        <w:tabs>
          <w:tab w:leader="none" w:pos="17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has read and understands this Release Agreement and further understands that it includes a general release of any and all known and unknown, foreseen or unforeseen claims presently asserted or otherwise arising through the date of her/his signing of this Release Agreement that she/he may have against the Employer; and</w:t>
      </w:r>
    </w:p>
    <w:p>
      <w:pPr>
        <w:spacing w:after="0" w:line="156" w:lineRule="exact"/>
        <w:rPr>
          <w:rFonts w:ascii="Times New Roman" w:cs="Times New Roman" w:eastAsia="Times New Roman" w:hAnsi="Times New Roman"/>
          <w:sz w:val="20"/>
          <w:szCs w:val="20"/>
          <w:color w:val="auto"/>
        </w:rPr>
      </w:pPr>
    </w:p>
    <w:p>
      <w:pPr>
        <w:ind w:left="1780" w:hanging="588"/>
        <w:spacing w:after="0" w:line="276" w:lineRule="auto"/>
        <w:tabs>
          <w:tab w:leader="none" w:pos="17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statements made or conduct by the Employer has in any way coerced or unduly influenced her/him to execute this Release Agreement.</w:t>
      </w:r>
    </w:p>
    <w:p>
      <w:pPr>
        <w:spacing w:after="0" w:line="141" w:lineRule="exact"/>
        <w:rPr>
          <w:rFonts w:ascii="Times New Roman" w:cs="Times New Roman" w:eastAsia="Times New Roman" w:hAnsi="Times New Roman"/>
          <w:sz w:val="20"/>
          <w:szCs w:val="20"/>
          <w:color w:val="auto"/>
        </w:rPr>
      </w:pPr>
    </w:p>
    <w:p>
      <w:pPr>
        <w:jc w:val="both"/>
        <w:ind w:left="1780" w:hanging="588"/>
        <w:spacing w:after="0" w:line="256" w:lineRule="auto"/>
        <w:tabs>
          <w:tab w:leader="none" w:pos="17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Severance Payment, she/he has been paid all wages, bonuses, compensation, benefits and other amounts that the Employer ever owed to him or her. Further she/he acknowledges and agrees that she/he is not entitled to any other severance pay, benefits or equity rights including without limitation, pursuant to any other severance plan, or program or arrangement.</w:t>
      </w:r>
    </w:p>
    <w:p>
      <w:pPr>
        <w:spacing w:after="0" w:line="162" w:lineRule="exact"/>
        <w:rPr>
          <w:sz w:val="20"/>
          <w:szCs w:val="20"/>
          <w:color w:val="auto"/>
        </w:rPr>
      </w:pPr>
    </w:p>
    <w:p>
      <w:pPr>
        <w:jc w:val="both"/>
        <w:ind w:firstLine="1192"/>
        <w:spacing w:after="0" w:line="268" w:lineRule="auto"/>
        <w:tabs>
          <w:tab w:leader="none" w:pos="1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This Release Agreement does not constitute an admission of liability or wrongdoing on the part of the Employer, the Employer does not admit there has been any wrongdoing whatsoever against the Employee, and the Employer expressly denies that any wrongdoing has occurred.</w:t>
      </w:r>
    </w:p>
    <w:p>
      <w:pPr>
        <w:spacing w:after="0" w:line="148" w:lineRule="exact"/>
        <w:rPr>
          <w:rFonts w:ascii="Times New Roman" w:cs="Times New Roman" w:eastAsia="Times New Roman" w:hAnsi="Times New Roman"/>
          <w:sz w:val="20"/>
          <w:szCs w:val="20"/>
          <w:color w:val="auto"/>
        </w:rPr>
      </w:pPr>
    </w:p>
    <w:p>
      <w:pPr>
        <w:jc w:val="both"/>
        <w:ind w:firstLine="1192"/>
        <w:spacing w:after="0" w:line="268" w:lineRule="auto"/>
        <w:tabs>
          <w:tab w:leader="none" w:pos="15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There are no other agreements of any nature between the Employer and the Employee with respect to the matters discussed in this Release Agreement, except as expressly stated herein, and in signing this Release Agreement, the Employee is not relying on any agreements or representations, except those expressly contained in this Release Agreement.</w:t>
      </w:r>
    </w:p>
    <w:p>
      <w:pPr>
        <w:spacing w:after="0" w:line="148" w:lineRule="exact"/>
        <w:rPr>
          <w:rFonts w:ascii="Times New Roman" w:cs="Times New Roman" w:eastAsia="Times New Roman" w:hAnsi="Times New Roman"/>
          <w:sz w:val="20"/>
          <w:szCs w:val="20"/>
          <w:color w:val="auto"/>
        </w:rPr>
      </w:pPr>
    </w:p>
    <w:p>
      <w:pPr>
        <w:ind w:firstLine="1192"/>
        <w:spacing w:after="0" w:line="289" w:lineRule="auto"/>
        <w:tabs>
          <w:tab w:leader="none" w:pos="154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It is not necessary that the Employer sign this Release Agreement following the Employee’s full and complete execution of it for it to become fully effective and enforceable.</w:t>
      </w:r>
    </w:p>
    <w:p>
      <w:pPr>
        <w:spacing w:after="0" w:line="129" w:lineRule="exact"/>
        <w:rPr>
          <w:rFonts w:ascii="Times New Roman" w:cs="Times New Roman" w:eastAsia="Times New Roman" w:hAnsi="Times New Roman"/>
          <w:sz w:val="20"/>
          <w:szCs w:val="20"/>
          <w:color w:val="auto"/>
        </w:rPr>
      </w:pPr>
    </w:p>
    <w:p>
      <w:pPr>
        <w:jc w:val="both"/>
        <w:ind w:firstLine="1192"/>
        <w:spacing w:after="0" w:line="268" w:lineRule="auto"/>
        <w:tabs>
          <w:tab w:leader="none" w:pos="1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Release Agreement is found, held or deemed by a court of competent jurisdiction to be void, unlawful or unenforceable under any applicable statute or controlling law, the remainder of this Release Agreement shall continue in full force and effect.</w:t>
      </w:r>
    </w:p>
    <w:p>
      <w:pPr>
        <w:spacing w:after="0" w:line="148" w:lineRule="exact"/>
        <w:rPr>
          <w:rFonts w:ascii="Times New Roman" w:cs="Times New Roman" w:eastAsia="Times New Roman" w:hAnsi="Times New Roman"/>
          <w:sz w:val="20"/>
          <w:szCs w:val="20"/>
          <w:color w:val="auto"/>
        </w:rPr>
      </w:pPr>
    </w:p>
    <w:p>
      <w:pPr>
        <w:ind w:left="1540" w:hanging="348"/>
        <w:spacing w:after="0"/>
        <w:tabs>
          <w:tab w:leader="none" w:pos="15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Release Agreement shall be governed by the laws of the State of California, excluding the choice of</w:t>
      </w:r>
    </w:p>
    <w:p>
      <w:pPr>
        <w:spacing w:after="0" w:line="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 rules thereof.</w:t>
      </w:r>
    </w:p>
    <w:p>
      <w:pPr>
        <w:spacing w:after="0" w:line="194" w:lineRule="exact"/>
        <w:rPr>
          <w:rFonts w:ascii="Times New Roman" w:cs="Times New Roman" w:eastAsia="Times New Roman" w:hAnsi="Times New Roman"/>
          <w:sz w:val="20"/>
          <w:szCs w:val="20"/>
          <w:color w:val="auto"/>
        </w:rPr>
      </w:pPr>
    </w:p>
    <w:p>
      <w:pPr>
        <w:jc w:val="both"/>
        <w:ind w:firstLine="1192"/>
        <w:spacing w:after="0" w:line="268" w:lineRule="auto"/>
        <w:tabs>
          <w:tab w:leader="none" w:pos="165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contained in this Release Agreement are inserted for the convenience of reference only. Section and subsection headings shall not be deemed to be a part of this Release Agreement for any purpose, and they shall not in any way define or affect the meaning, construction or scope of any of the provisions hereof.</w:t>
      </w:r>
    </w:p>
    <w:p>
      <w:pPr>
        <w:spacing w:after="0" w:line="14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420"/>
          </w:cols>
          <w:pgMar w:left="240" w:top="586"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color w:val="auto"/>
        </w:rPr>
        <w:t>IN WITNESS WHEREOF, the undersigned has duly executed this Agreement as of the day and year first herein above written.</w:t>
      </w:r>
    </w:p>
    <w:p>
      <w:pPr>
        <w:spacing w:after="0" w:line="2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6812915</wp:posOffset>
            </wp:positionH>
            <wp:positionV relativeFrom="paragraph">
              <wp:posOffset>454025</wp:posOffset>
            </wp:positionV>
            <wp:extent cx="1212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10100"/>
          </w:cols>
          <w:pgMar w:left="840" w:top="586" w:right="9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Thomas E. O'Hern, certify that:</w:t>
      </w:r>
    </w:p>
    <w:p>
      <w:pPr>
        <w:spacing w:after="0" w:line="252" w:lineRule="exact"/>
        <w:rPr>
          <w:sz w:val="20"/>
          <w:szCs w:val="20"/>
          <w:color w:val="auto"/>
        </w:rPr>
      </w:pPr>
    </w:p>
    <w:p>
      <w:pPr>
        <w:ind w:left="600" w:hanging="302"/>
        <w:spacing w:after="0"/>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for the quarter ended March 31, 2019 of The Macerich Company;</w:t>
      </w:r>
    </w:p>
    <w:p>
      <w:pPr>
        <w:spacing w:after="0" w:line="251" w:lineRule="exact"/>
        <w:rPr>
          <w:rFonts w:ascii="Times New Roman" w:cs="Times New Roman" w:eastAsia="Times New Roman" w:hAnsi="Times New Roman"/>
          <w:sz w:val="17"/>
          <w:szCs w:val="17"/>
          <w:color w:val="auto"/>
        </w:rPr>
      </w:pPr>
    </w:p>
    <w:p>
      <w:pPr>
        <w:ind w:left="600" w:right="20" w:hanging="302"/>
        <w:spacing w:after="0" w:line="268" w:lineRule="auto"/>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Times New Roman" w:cs="Times New Roman" w:eastAsia="Times New Roman" w:hAnsi="Times New Roman"/>
          <w:sz w:val="17"/>
          <w:szCs w:val="17"/>
          <w:color w:val="auto"/>
        </w:rPr>
      </w:pPr>
    </w:p>
    <w:p>
      <w:pPr>
        <w:ind w:left="600" w:right="540" w:hanging="302"/>
        <w:spacing w:after="0" w:line="268" w:lineRule="auto"/>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Times New Roman" w:cs="Times New Roman" w:eastAsia="Times New Roman" w:hAnsi="Times New Roman"/>
          <w:sz w:val="17"/>
          <w:szCs w:val="17"/>
          <w:color w:val="auto"/>
        </w:rPr>
      </w:pPr>
    </w:p>
    <w:p>
      <w:pPr>
        <w:ind w:left="600" w:right="240" w:hanging="302"/>
        <w:spacing w:after="0" w:line="256" w:lineRule="auto"/>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900" w:right="140" w:hanging="304"/>
        <w:spacing w:after="0" w:line="256"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Times New Roman" w:cs="Times New Roman" w:eastAsia="Times New Roman" w:hAnsi="Times New Roman"/>
          <w:sz w:val="17"/>
          <w:szCs w:val="17"/>
          <w:color w:val="auto"/>
        </w:rPr>
      </w:pPr>
    </w:p>
    <w:p>
      <w:pPr>
        <w:ind w:left="900" w:right="280" w:hanging="304"/>
        <w:spacing w:after="0" w:line="256"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Times New Roman" w:cs="Times New Roman" w:eastAsia="Times New Roman" w:hAnsi="Times New Roman"/>
          <w:sz w:val="17"/>
          <w:szCs w:val="17"/>
          <w:color w:val="auto"/>
        </w:rPr>
      </w:pPr>
    </w:p>
    <w:p>
      <w:pPr>
        <w:ind w:left="900" w:right="300" w:hanging="304"/>
        <w:spacing w:after="0" w:line="268"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Times New Roman" w:cs="Times New Roman" w:eastAsia="Times New Roman" w:hAnsi="Times New Roman"/>
          <w:sz w:val="17"/>
          <w:szCs w:val="17"/>
          <w:color w:val="auto"/>
        </w:rPr>
      </w:pPr>
    </w:p>
    <w:p>
      <w:pPr>
        <w:ind w:left="900" w:right="260" w:hanging="304"/>
        <w:spacing w:after="0" w:line="256"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9" w:lineRule="exact"/>
        <w:rPr>
          <w:rFonts w:ascii="Times New Roman" w:cs="Times New Roman" w:eastAsia="Times New Roman" w:hAnsi="Times New Roman"/>
          <w:sz w:val="17"/>
          <w:szCs w:val="17"/>
          <w:color w:val="auto"/>
        </w:rPr>
      </w:pPr>
    </w:p>
    <w:p>
      <w:pPr>
        <w:ind w:left="600" w:right="160" w:hanging="302"/>
        <w:spacing w:after="0" w:line="268" w:lineRule="auto"/>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7"/>
          <w:szCs w:val="17"/>
          <w:color w:val="auto"/>
        </w:rPr>
      </w:pPr>
    </w:p>
    <w:p>
      <w:pPr>
        <w:ind w:left="900" w:right="460" w:hanging="304"/>
        <w:spacing w:after="0" w:line="268"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7"/>
          <w:szCs w:val="17"/>
          <w:color w:val="auto"/>
        </w:rPr>
      </w:pPr>
    </w:p>
    <w:p>
      <w:pPr>
        <w:ind w:left="900" w:right="60" w:hanging="304"/>
        <w:spacing w:after="0" w:line="268" w:lineRule="auto"/>
        <w:tabs>
          <w:tab w:leader="none" w:pos="9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THOMAS E. O'HERN</w:t>
            </w: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w:t>
            </w:r>
          </w:p>
        </w:tc>
        <w:tc>
          <w:tcPr>
            <w:tcW w:w="50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May 7, 2019</w:t>
            </w: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0" w:type="dxa"/>
            <w:vAlign w:val="bottom"/>
          </w:tcPr>
          <w:p>
            <w:pPr>
              <w:spacing w:after="0"/>
              <w:rPr>
                <w:sz w:val="1"/>
                <w:szCs w:val="1"/>
                <w:color w:val="auto"/>
              </w:rPr>
            </w:pPr>
          </w:p>
        </w:tc>
      </w:tr>
      <w:tr>
        <w:trPr>
          <w:trHeight w:val="75"/>
        </w:trPr>
        <w:tc>
          <w:tcPr>
            <w:tcW w:w="600" w:type="dxa"/>
            <w:vAlign w:val="bottom"/>
            <w:vMerge w:val="continue"/>
          </w:tcPr>
          <w:p>
            <w:pPr>
              <w:spacing w:after="0"/>
              <w:rPr>
                <w:sz w:val="6"/>
                <w:szCs w:val="6"/>
                <w:color w:val="auto"/>
              </w:rPr>
            </w:pPr>
          </w:p>
        </w:tc>
        <w:tc>
          <w:tcPr>
            <w:tcW w:w="5000" w:type="dxa"/>
            <w:vAlign w:val="bottom"/>
            <w:vMerge w:val="continue"/>
          </w:tcPr>
          <w:p>
            <w:pPr>
              <w:spacing w:after="0"/>
              <w:rPr>
                <w:sz w:val="6"/>
                <w:szCs w:val="6"/>
                <w:color w:val="auto"/>
              </w:rPr>
            </w:pPr>
          </w:p>
        </w:tc>
        <w:tc>
          <w:tcPr>
            <w:tcW w:w="4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4"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W. Kingsmore, certify that:</w:t>
      </w:r>
    </w:p>
    <w:p>
      <w:pPr>
        <w:spacing w:after="0" w:line="252" w:lineRule="exact"/>
        <w:rPr>
          <w:sz w:val="20"/>
          <w:szCs w:val="20"/>
          <w:color w:val="auto"/>
        </w:rPr>
      </w:pPr>
    </w:p>
    <w:p>
      <w:pPr>
        <w:ind w:left="600" w:hanging="302"/>
        <w:spacing w:after="0"/>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for the quarter ended March 31, 2019 of The Macerich Company;</w:t>
      </w:r>
    </w:p>
    <w:p>
      <w:pPr>
        <w:spacing w:after="0" w:line="251" w:lineRule="exact"/>
        <w:rPr>
          <w:rFonts w:ascii="Times New Roman" w:cs="Times New Roman" w:eastAsia="Times New Roman" w:hAnsi="Times New Roman"/>
          <w:sz w:val="17"/>
          <w:szCs w:val="17"/>
          <w:color w:val="auto"/>
        </w:rPr>
      </w:pPr>
    </w:p>
    <w:p>
      <w:pPr>
        <w:ind w:left="600" w:right="20" w:hanging="302"/>
        <w:spacing w:after="0" w:line="268"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Times New Roman" w:cs="Times New Roman" w:eastAsia="Times New Roman" w:hAnsi="Times New Roman"/>
          <w:sz w:val="17"/>
          <w:szCs w:val="17"/>
          <w:color w:val="auto"/>
        </w:rPr>
      </w:pPr>
    </w:p>
    <w:p>
      <w:pPr>
        <w:ind w:left="600" w:right="540" w:hanging="302"/>
        <w:spacing w:after="0" w:line="268"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Times New Roman" w:cs="Times New Roman" w:eastAsia="Times New Roman" w:hAnsi="Times New Roman"/>
          <w:sz w:val="17"/>
          <w:szCs w:val="17"/>
          <w:color w:val="auto"/>
        </w:rPr>
      </w:pPr>
    </w:p>
    <w:p>
      <w:pPr>
        <w:ind w:left="600" w:right="240" w:hanging="302"/>
        <w:spacing w:after="0" w:line="256"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900" w:right="140" w:hanging="304"/>
        <w:spacing w:after="0" w:line="256"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Times New Roman" w:cs="Times New Roman" w:eastAsia="Times New Roman" w:hAnsi="Times New Roman"/>
          <w:sz w:val="17"/>
          <w:szCs w:val="17"/>
          <w:color w:val="auto"/>
        </w:rPr>
      </w:pPr>
    </w:p>
    <w:p>
      <w:pPr>
        <w:ind w:left="900" w:right="280" w:hanging="304"/>
        <w:spacing w:after="0" w:line="256"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Times New Roman" w:cs="Times New Roman" w:eastAsia="Times New Roman" w:hAnsi="Times New Roman"/>
          <w:sz w:val="17"/>
          <w:szCs w:val="17"/>
          <w:color w:val="auto"/>
        </w:rPr>
      </w:pPr>
    </w:p>
    <w:p>
      <w:pPr>
        <w:ind w:left="900" w:right="300" w:hanging="304"/>
        <w:spacing w:after="0" w:line="268"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Times New Roman" w:cs="Times New Roman" w:eastAsia="Times New Roman" w:hAnsi="Times New Roman"/>
          <w:sz w:val="17"/>
          <w:szCs w:val="17"/>
          <w:color w:val="auto"/>
        </w:rPr>
      </w:pPr>
    </w:p>
    <w:p>
      <w:pPr>
        <w:ind w:left="900" w:right="260" w:hanging="304"/>
        <w:spacing w:after="0" w:line="256"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9" w:lineRule="exact"/>
        <w:rPr>
          <w:rFonts w:ascii="Times New Roman" w:cs="Times New Roman" w:eastAsia="Times New Roman" w:hAnsi="Times New Roman"/>
          <w:sz w:val="17"/>
          <w:szCs w:val="17"/>
          <w:color w:val="auto"/>
        </w:rPr>
      </w:pPr>
    </w:p>
    <w:p>
      <w:pPr>
        <w:ind w:left="600" w:right="160" w:hanging="302"/>
        <w:spacing w:after="0" w:line="268"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7"/>
          <w:szCs w:val="17"/>
          <w:color w:val="auto"/>
        </w:rPr>
      </w:pPr>
    </w:p>
    <w:p>
      <w:pPr>
        <w:ind w:left="900" w:right="460" w:hanging="304"/>
        <w:spacing w:after="0" w:line="268"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7"/>
          <w:szCs w:val="17"/>
          <w:color w:val="auto"/>
        </w:rPr>
      </w:pPr>
    </w:p>
    <w:p>
      <w:pPr>
        <w:ind w:left="900" w:right="60" w:hanging="304"/>
        <w:spacing w:after="0" w:line="268" w:lineRule="auto"/>
        <w:tabs>
          <w:tab w:leader="none" w:pos="9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SCOTT W. KINGSMORE</w:t>
            </w: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w:t>
            </w:r>
          </w:p>
        </w:tc>
        <w:tc>
          <w:tcPr>
            <w:tcW w:w="45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May 7, 2019</w:t>
            </w: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c>
          <w:tcPr>
            <w:tcW w:w="0" w:type="dxa"/>
            <w:vAlign w:val="bottom"/>
          </w:tcPr>
          <w:p>
            <w:pPr>
              <w:spacing w:after="0"/>
              <w:rPr>
                <w:sz w:val="1"/>
                <w:szCs w:val="1"/>
                <w:color w:val="auto"/>
              </w:rPr>
            </w:pPr>
          </w:p>
        </w:tc>
      </w:tr>
      <w:tr>
        <w:trPr>
          <w:trHeight w:val="75"/>
        </w:trPr>
        <w:tc>
          <w:tcPr>
            <w:tcW w:w="600" w:type="dxa"/>
            <w:vAlign w:val="bottom"/>
            <w:vMerge w:val="continue"/>
          </w:tcPr>
          <w:p>
            <w:pPr>
              <w:spacing w:after="0"/>
              <w:rPr>
                <w:sz w:val="6"/>
                <w:szCs w:val="6"/>
                <w:color w:val="auto"/>
              </w:rPr>
            </w:pPr>
          </w:p>
        </w:tc>
        <w:tc>
          <w:tcPr>
            <w:tcW w:w="4520" w:type="dxa"/>
            <w:vAlign w:val="bottom"/>
            <w:vMerge w:val="continue"/>
          </w:tcPr>
          <w:p>
            <w:pPr>
              <w:spacing w:after="0"/>
              <w:rPr>
                <w:sz w:val="6"/>
                <w:szCs w:val="6"/>
                <w:color w:val="auto"/>
              </w:rPr>
            </w:pPr>
          </w:p>
        </w:tc>
        <w:tc>
          <w:tcPr>
            <w:tcW w:w="5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4"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STATEMENT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56" w:lineRule="exact"/>
        <w:rPr>
          <w:sz w:val="20"/>
          <w:szCs w:val="20"/>
          <w:color w:val="auto"/>
        </w:rPr>
      </w:pPr>
    </w:p>
    <w:p>
      <w:pPr>
        <w:ind w:right="220" w:firstLine="298"/>
        <w:spacing w:after="0" w:line="268" w:lineRule="auto"/>
        <w:rPr>
          <w:sz w:val="20"/>
          <w:szCs w:val="20"/>
          <w:color w:val="auto"/>
        </w:rPr>
      </w:pPr>
      <w:r>
        <w:rPr>
          <w:rFonts w:ascii="Times New Roman" w:cs="Times New Roman" w:eastAsia="Times New Roman" w:hAnsi="Times New Roman"/>
          <w:sz w:val="17"/>
          <w:szCs w:val="17"/>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110" w:lineRule="exact"/>
        <w:rPr>
          <w:sz w:val="20"/>
          <w:szCs w:val="20"/>
          <w:color w:val="auto"/>
        </w:rPr>
      </w:pPr>
    </w:p>
    <w:p>
      <w:pPr>
        <w:ind w:left="900" w:right="360" w:hanging="304"/>
        <w:spacing w:after="0" w:line="268"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 ended March 31, 2019 of the Company (the "Report") fully complies with the requirements of Section 13(a) and 15(d) of the Securities Exchange Act of 1934, as amended; and</w:t>
      </w:r>
    </w:p>
    <w:p>
      <w:pPr>
        <w:spacing w:after="0" w:line="110" w:lineRule="exact"/>
        <w:rPr>
          <w:rFonts w:ascii="Times New Roman" w:cs="Times New Roman" w:eastAsia="Times New Roman" w:hAnsi="Times New Roman"/>
          <w:sz w:val="17"/>
          <w:szCs w:val="17"/>
          <w:color w:val="auto"/>
        </w:rPr>
      </w:pPr>
    </w:p>
    <w:p>
      <w:pPr>
        <w:ind w:left="900" w:hanging="304"/>
        <w:spacing w:after="0"/>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2019</w:t>
      </w:r>
    </w:p>
    <w:p>
      <w:pPr>
        <w:spacing w:after="0" w:line="3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75565</wp:posOffset>
            </wp:positionV>
            <wp:extent cx="36290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3629025" cy="7620"/>
                    </a:xfrm>
                    <a:prstGeom prst="rect">
                      <a:avLst/>
                    </a:prstGeom>
                    <a:noFill/>
                  </pic:spPr>
                </pic:pic>
              </a:graphicData>
            </a:graphic>
          </wp:anchor>
        </w:drawing>
      </w:r>
    </w:p>
    <w:p>
      <w:pPr>
        <w:spacing w:after="0" w:line="1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0" w:lineRule="exact"/>
        <w:rPr>
          <w:sz w:val="20"/>
          <w:szCs w:val="20"/>
          <w:color w:val="auto"/>
        </w:rPr>
      </w:pPr>
    </w:p>
    <w:p>
      <w:pPr>
        <w:spacing w:after="0" w:line="3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75565</wp:posOffset>
            </wp:positionV>
            <wp:extent cx="36290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3629025" cy="7620"/>
                    </a:xfrm>
                    <a:prstGeom prst="rect">
                      <a:avLst/>
                    </a:prstGeom>
                    <a:noFill/>
                  </pic:spPr>
                </pic:pic>
              </a:graphicData>
            </a:graphic>
          </wp:anchor>
        </w:drawing>
      </w:r>
    </w:p>
    <w:p>
      <w:pPr>
        <w:spacing w:after="0" w:line="1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sectPr>
      <w:pgSz w:w="11900" w:h="16838" w:orient="portrait"/>
      <w:cols w:equalWidth="0" w:num="1">
        <w:col w:w="11420"/>
      </w:cols>
      <w:pgMar w:left="240" w:top="1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decimal"/>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lvl>
    <w:lvl w:ilvl="1">
      <w:lvlJc w:val="left"/>
      <w:lvlText w:val="$"/>
      <w:numFmt w:val="bullet"/>
      <w:start w:val="1"/>
    </w:lvl>
  </w:abstractNum>
  <w:abstractNum w:abstractNumId="6">
    <w:nsid w:val="354FE9F9"/>
    <w:multiLevelType w:val="hybridMultilevel"/>
    <w:lvl w:ilvl="0">
      <w:lvlJc w:val="left"/>
      <w:lvlText w:val="(%1)"/>
      <w:numFmt w:val="decimal"/>
      <w:start w:val="9"/>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lowerLetter"/>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upperLetter"/>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2"/>
    </w:lvl>
  </w:abstractNum>
  <w:abstractNum w:abstractNumId="17">
    <w:nsid w:val="5FF87E05"/>
    <w:multiLevelType w:val="hybridMultilevel"/>
    <w:lvl w:ilvl="0">
      <w:lvlJc w:val="left"/>
      <w:lvlText w:val="(%1)"/>
      <w:numFmt w:val="lowerLetter"/>
      <w:start w:val="1"/>
    </w:lvl>
  </w:abstractNum>
  <w:abstractNum w:abstractNumId="18">
    <w:nsid w:val="2F305DEF"/>
    <w:multiLevelType w:val="hybridMultilevel"/>
    <w:lvl w:ilvl="0">
      <w:lvlJc w:val="left"/>
      <w:lvlText w:val="(%1)"/>
      <w:numFmt w:val="lowerLetter"/>
      <w:start w:val="2"/>
    </w:lvl>
  </w:abstractNum>
  <w:abstractNum w:abstractNumId="19">
    <w:nsid w:val="25A70BF7"/>
    <w:multiLevelType w:val="hybridMultilevel"/>
    <w:lvl w:ilvl="0">
      <w:lvlJc w:val="left"/>
      <w:lvlText w:val="(%1)"/>
      <w:numFmt w:val="lowerLetter"/>
      <w:start w:val="1"/>
    </w:lvl>
  </w:abstractNum>
  <w:abstractNum w:abstractNumId="20">
    <w:nsid w:val="1DBABF00"/>
    <w:multiLevelType w:val="hybridMultilevel"/>
    <w:lvl w:ilvl="0">
      <w:lvlJc w:val="left"/>
      <w:lvlText w:val="(%1)"/>
      <w:numFmt w:val="lowerLetter"/>
      <w:start w:val="4"/>
    </w:lvl>
  </w:abstractNum>
  <w:abstractNum w:abstractNumId="21">
    <w:nsid w:val="4AD084E9"/>
    <w:multiLevelType w:val="hybridMultilevel"/>
    <w:lvl w:ilvl="0">
      <w:lvlJc w:val="left"/>
      <w:lvlText w:val="(%1)"/>
      <w:numFmt w:val="lowerLetter"/>
      <w:start w:val="1"/>
    </w:lvl>
  </w:abstractNum>
  <w:abstractNum w:abstractNumId="22">
    <w:nsid w:val="1F48EAA1"/>
    <w:multiLevelType w:val="hybridMultilevel"/>
    <w:lvl w:ilvl="0">
      <w:lvlJc w:val="left"/>
      <w:lvlText w:val="(%1)"/>
      <w:numFmt w:val="lowerLetter"/>
      <w:start w:val="4"/>
    </w:lvl>
  </w:abstractNum>
  <w:abstractNum w:abstractNumId="23">
    <w:nsid w:val="1381823A"/>
    <w:multiLevelType w:val="hybridMultilevel"/>
    <w:lvl w:ilvl="0">
      <w:lvlJc w:val="left"/>
      <w:lvlText w:val="(%1)"/>
      <w:numFmt w:val="upperLetter"/>
      <w:start w:val="1"/>
    </w:lvl>
  </w:abstractNum>
  <w:abstractNum w:abstractNumId="24">
    <w:nsid w:val="5DB70AE5"/>
    <w:multiLevelType w:val="hybridMultilevel"/>
    <w:lvl w:ilvl="0">
      <w:lvlJc w:val="left"/>
      <w:lvlText w:val="%1."/>
      <w:numFmt w:val="decimal"/>
      <w:start w:val="3"/>
    </w:lvl>
    <w:lvl w:ilvl="1">
      <w:lvlJc w:val="left"/>
      <w:lvlText w:val="(%2)"/>
      <w:numFmt w:val="lowerLetter"/>
      <w:start w:val="1"/>
    </w:lvl>
  </w:abstractNum>
  <w:abstractNum w:abstractNumId="25">
    <w:nsid w:val="100F8FCA"/>
    <w:multiLevelType w:val="hybridMultilevel"/>
    <w:lvl w:ilvl="0">
      <w:lvlJc w:val="left"/>
      <w:lvlText w:val="(%1)"/>
      <w:numFmt w:val="upperLetter"/>
      <w:start w:val="2"/>
    </w:lvl>
    <w:lvl w:ilvl="1">
      <w:lvlJc w:val="left"/>
      <w:lvlText w:val="%2."/>
      <w:numFmt w:val="decimal"/>
      <w:start w:val="4"/>
    </w:lvl>
    <w:lvl w:ilvl="2">
      <w:lvlJc w:val="left"/>
      <w:lvlText w:val="(%3)"/>
      <w:numFmt w:val="lowerLetter"/>
      <w:start w:val="1"/>
    </w:lvl>
  </w:abstractNum>
  <w:abstractNum w:abstractNumId="26">
    <w:nsid w:val="6590700B"/>
    <w:multiLevelType w:val="hybridMultilevel"/>
    <w:lvl w:ilvl="0">
      <w:lvlJc w:val="left"/>
      <w:lvlText w:val="%1"/>
      <w:numFmt w:val="decimal"/>
      <w:start w:val="1"/>
    </w:lvl>
    <w:lvl w:ilvl="1">
      <w:lvlJc w:val="left"/>
      <w:lvlText w:val="(%2)"/>
      <w:numFmt w:val="lowerLetter"/>
      <w:start w:val="2"/>
    </w:lvl>
  </w:abstractNum>
  <w:abstractNum w:abstractNumId="27">
    <w:nsid w:val="15014ACB"/>
    <w:multiLevelType w:val="hybridMultilevel"/>
    <w:lvl w:ilvl="0">
      <w:lvlJc w:val="left"/>
      <w:lvlText w:val="%1."/>
      <w:numFmt w:val="decimal"/>
      <w:start w:val="5"/>
    </w:lvl>
    <w:lvl w:ilvl="1">
      <w:lvlJc w:val="left"/>
      <w:lvlText w:val="(%2)"/>
      <w:numFmt w:val="lowerLetter"/>
      <w:start w:val="1"/>
    </w:lvl>
  </w:abstractNum>
  <w:abstractNum w:abstractNumId="28">
    <w:nsid w:val="5F5E7FD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
    <w:nsid w:val="98A3148"/>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30">
    <w:nsid w:val="799D024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1">
    <w:nsid w:val="6B94764"/>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2">
    <w:nsid w:val="42C296BD"/>
    <w:multiLevelType w:val="hybridMultilevel"/>
    <w:lvl w:ilvl="0">
      <w:lvlJc w:val="left"/>
      <w:lvlText w:val="%1"/>
      <w:numFmt w:val="lowerLetter"/>
      <w:start w:val="1"/>
    </w:lvl>
    <w:lvl w:ilvl="1">
      <w:lvlJc w:val="left"/>
      <w:lvlText w:val="(%2)"/>
      <w:numFmt w:val="lowerRoman"/>
      <w:start w:val="1"/>
    </w:lvl>
  </w:abstractNum>
  <w:abstractNum w:abstractNumId="33">
    <w:nsid w:val="168E121F"/>
    <w:multiLevelType w:val="hybridMultilevel"/>
    <w:lvl w:ilvl="0">
      <w:lvlJc w:val="left"/>
      <w:lvlText w:val="(%1)"/>
      <w:numFmt w:val="lowerLetter"/>
      <w:start w:val="4"/>
    </w:lvl>
    <w:lvl w:ilvl="1">
      <w:lvlJc w:val="left"/>
      <w:lvlText w:val="%2"/>
      <w:numFmt w:val="lowerRoman"/>
      <w:start w:val="1"/>
    </w:lvl>
  </w:abstractNum>
  <w:abstractNum w:abstractNumId="34">
    <w:nsid w:val="1EBA5D23"/>
    <w:multiLevelType w:val="hybridMultilevel"/>
    <w:lvl w:ilvl="0">
      <w:lvlJc w:val="left"/>
      <w:lvlText w:val="(%1)"/>
      <w:numFmt w:val="lowerLetter"/>
      <w:start w:val="6"/>
    </w:lvl>
  </w:abstractNum>
  <w:abstractNum w:abstractNumId="35">
    <w:nsid w:val="661E3F1E"/>
    <w:multiLevelType w:val="hybridMultilevel"/>
    <w:lvl w:ilvl="0">
      <w:lvlJc w:val="left"/>
      <w:lvlText w:val="%1."/>
      <w:numFmt w:val="decimal"/>
      <w:start w:val="6"/>
    </w:lvl>
    <w:lvl w:ilvl="1">
      <w:lvlJc w:val="left"/>
      <w:lvlText w:val="(%2)"/>
      <w:numFmt w:val="lowerLetter"/>
      <w:start w:val="1"/>
    </w:lvl>
  </w:abstractNum>
  <w:abstractNum w:abstractNumId="36">
    <w:nsid w:val="5DC79EA8"/>
    <w:multiLevelType w:val="hybridMultilevel"/>
    <w:lvl w:ilvl="0">
      <w:lvlJc w:val="left"/>
      <w:lvlText w:val="%1"/>
      <w:numFmt w:val="decimal"/>
      <w:start w:val="1"/>
    </w:lvl>
    <w:lvl w:ilvl="1">
      <w:lvlJc w:val="left"/>
      <w:lvlText w:val="(%2)"/>
      <w:numFmt w:val="lowerLetter"/>
      <w:start w:val="4"/>
    </w:lvl>
  </w:abstractNum>
  <w:abstractNum w:abstractNumId="37">
    <w:nsid w:val="540A471C"/>
    <w:multiLevelType w:val="hybridMultilevel"/>
    <w:lvl w:ilvl="0">
      <w:lvlJc w:val="left"/>
      <w:lvlText w:val="%1."/>
      <w:numFmt w:val="decimal"/>
      <w:start w:val="8"/>
    </w:lvl>
    <w:lvl w:ilvl="1">
      <w:lvlJc w:val="left"/>
      <w:lvlText w:val="%2"/>
      <w:numFmt w:val="lowerLetter"/>
      <w:start w:val="1"/>
    </w:lvl>
  </w:abstractNum>
  <w:abstractNum w:abstractNumId="38">
    <w:nsid w:val="7BD3EE7B"/>
    <w:multiLevelType w:val="hybridMultilevel"/>
    <w:lvl w:ilvl="0">
      <w:lvlJc w:val="left"/>
      <w:lvlText w:val="%1."/>
      <w:numFmt w:val="decimal"/>
      <w:start w:val="9"/>
    </w:lvl>
    <w:lvl w:ilvl="1">
      <w:lvlJc w:val="left"/>
      <w:lvlText w:val="(%2)"/>
      <w:numFmt w:val="lowerLetter"/>
      <w:start w:val="1"/>
    </w:lvl>
  </w:abstractNum>
  <w:abstractNum w:abstractNumId="39">
    <w:nsid w:val="51D9C564"/>
    <w:multiLevelType w:val="hybridMultilevel"/>
    <w:lvl w:ilvl="0">
      <w:lvlJc w:val="left"/>
      <w:lvlText w:val="(%1)"/>
      <w:numFmt w:val="lowerLetter"/>
      <w:start w:val="3"/>
    </w:lvl>
  </w:abstractNum>
  <w:abstractNum w:abstractNumId="40">
    <w:nsid w:val="613EFDC5"/>
    <w:multiLevelType w:val="hybridMultilevel"/>
    <w:lvl w:ilvl="0">
      <w:lvlJc w:val="left"/>
      <w:lvlText w:val="(%1)"/>
      <w:numFmt w:val="lowerLetter"/>
      <w:start w:val="8"/>
    </w:lvl>
  </w:abstractNum>
  <w:abstractNum w:abstractNumId="41">
    <w:nsid w:val="BF72B14"/>
    <w:multiLevelType w:val="hybridMultilevel"/>
    <w:lvl w:ilvl="0">
      <w:lvlJc w:val="left"/>
      <w:lvlText w:val="(%1)"/>
      <w:numFmt w:val="lowerLetter"/>
      <w:start w:val="14"/>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4"/>
    </w:lvl>
  </w:abstractNum>
  <w:abstractNum w:abstractNumId="44">
    <w:nsid w:val="A0382C5"/>
    <w:multiLevelType w:val="hybridMultilevel"/>
    <w:lvl w:ilvl="0">
      <w:lvlJc w:val="left"/>
      <w:lvlText w:val="(%1)"/>
      <w:numFmt w:val="lowerLetter"/>
      <w:start w:val="1"/>
    </w:lvl>
    <w:lvl w:ilvl="1">
      <w:lvlJc w:val="left"/>
      <w:lvlText w:val="(%2)"/>
      <w:numFmt w:val="lowerRoman"/>
      <w:start w:val="1"/>
    </w:lvl>
  </w:abstractNum>
  <w:abstractNum w:abstractNumId="45">
    <w:nsid w:val="8F2B15E"/>
    <w:multiLevelType w:val="hybridMultilevel"/>
    <w:lvl w:ilvl="0">
      <w:lvlJc w:val="left"/>
      <w:lvlText w:val="(%1)"/>
      <w:numFmt w:val="lowerLetter"/>
      <w:start w:val="2"/>
    </w:lvl>
    <w:lvl w:ilvl="1">
      <w:lvlJc w:val="left"/>
      <w:lvlText w:val="(%2)"/>
      <w:numFmt w:val="lowerLetter"/>
      <w:start w:val="9"/>
    </w:lvl>
  </w:abstractNum>
  <w:abstractNum w:abstractNumId="46">
    <w:nsid w:val="1A32234B"/>
    <w:multiLevelType w:val="hybridMultilevel"/>
    <w:lvl w:ilvl="0">
      <w:lvlJc w:val="left"/>
      <w:lvlText w:val="(%1)"/>
      <w:numFmt w:val="lowerRoman"/>
      <w:start w:val="2"/>
    </w:lvl>
  </w:abstractNum>
  <w:abstractNum w:abstractNumId="47">
    <w:nsid w:val="3B0FD379"/>
    <w:multiLevelType w:val="hybridMultilevel"/>
    <w:lvl w:ilvl="0">
      <w:lvlJc w:val="left"/>
      <w:lvlText w:val="(%1)"/>
      <w:numFmt w:val="lowerRoman"/>
      <w:start w:val="5"/>
    </w:lvl>
  </w:abstractNum>
  <w:abstractNum w:abstractNumId="48">
    <w:nsid w:val="68EB2F63"/>
    <w:multiLevelType w:val="hybridMultilevel"/>
    <w:lvl w:ilvl="0">
      <w:lvlJc w:val="left"/>
      <w:lvlText w:val="(%1)"/>
      <w:numFmt w:val="lowerLetter"/>
      <w:start w:val="3"/>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1."/>
      <w:numFmt w:val="decimal"/>
      <w:start w:val="4"/>
    </w:lvl>
    <w:lvl w:ilvl="1">
      <w:lvlJc w:val="left"/>
      <w:lvlText w:val="(%2)"/>
      <w:numFmt w:val="lowerLetter"/>
      <w:start w:val="1"/>
    </w:lvl>
  </w:abstractNum>
  <w:abstractNum w:abstractNumId="52">
    <w:nsid w:val="14330624"/>
    <w:multiLevelType w:val="hybridMultilevel"/>
    <w:lvl w:ilvl="0">
      <w:lvlJc w:val="left"/>
      <w:lvlText w:val="%1."/>
      <w:numFmt w:val="decimal"/>
      <w:start w:val="6"/>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1."/>
      <w:numFmt w:val="upperLetter"/>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2"/>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4"/>
    </w:lvl>
  </w:abstractNum>
  <w:abstractNum w:abstractNumId="60">
    <w:nsid w:val="94211F2"/>
    <w:multiLevelType w:val="hybridMultilevel"/>
    <w:lvl w:ilvl="0">
      <w:lvlJc w:val="left"/>
      <w:lvlText w:val="(%1)"/>
      <w:numFmt w:val="lowerLetter"/>
      <w:start w:val="1"/>
    </w:lvl>
  </w:abstractNum>
  <w:abstractNum w:abstractNumId="61">
    <w:nsid w:val="885E1B"/>
    <w:multiLevelType w:val="hybridMultilevel"/>
    <w:lvl w:ilvl="0">
      <w:lvlJc w:val="left"/>
      <w:lvlText w:val="(%1)"/>
      <w:numFmt w:val="upperLetter"/>
      <w:start w:val="1"/>
    </w:lvl>
  </w:abstractNum>
  <w:abstractNum w:abstractNumId="62">
    <w:nsid w:val="76272110"/>
    <w:multiLevelType w:val="hybridMultilevel"/>
    <w:lvl w:ilvl="0">
      <w:lvlJc w:val="left"/>
      <w:lvlText w:val="(%1)"/>
      <w:numFmt w:val="decimal"/>
      <w:start w:val="10"/>
    </w:lvl>
  </w:abstractNum>
  <w:abstractNum w:abstractNumId="63">
    <w:nsid w:val="4C04A8AF"/>
    <w:multiLevelType w:val="hybridMultilevel"/>
    <w:lvl w:ilvl="0">
      <w:lvlJc w:val="left"/>
      <w:lvlText w:val="%1."/>
      <w:numFmt w:val="decimal"/>
      <w:start w:val="3"/>
    </w:lvl>
    <w:lvl w:ilvl="1">
      <w:lvlJc w:val="left"/>
      <w:lvlText w:val="(%2)"/>
      <w:numFmt w:val="lowerLetter"/>
      <w:start w:val="1"/>
    </w:lvl>
  </w:abstractNum>
  <w:abstractNum w:abstractNumId="64">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5">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3222E7C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7">
    <w:nsid w:val="74DE0EE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68">
    <w:nsid w:val="68EBC550"/>
    <w:multiLevelType w:val="hybridMultilevel"/>
    <w:lvl w:ilvl="0">
      <w:lvlJc w:val="left"/>
      <w:lvlText w:val="%1"/>
      <w:numFmt w:val="lowerRoman"/>
      <w:start w:val="1"/>
    </w:lvl>
    <w:lvl w:ilvl="1">
      <w:lvlJc w:val="left"/>
      <w:lvlText w:val="(%2)"/>
      <w:numFmt w:val="lowerRoman"/>
      <w:start w:val="2"/>
    </w:lvl>
  </w:abstractNum>
  <w:abstractNum w:abstractNumId="69">
    <w:nsid w:val="2DF6D648"/>
    <w:multiLevelType w:val="hybridMultilevel"/>
    <w:lvl w:ilvl="0">
      <w:lvlJc w:val="left"/>
      <w:lvlText w:val="(%1)"/>
      <w:numFmt w:val="lowerRoman"/>
      <w:start w:val="2"/>
    </w:lvl>
    <w:lvl w:ilvl="1">
      <w:lvlJc w:val="left"/>
      <w:lvlText w:val="%2"/>
      <w:numFmt w:val="lowerRoman"/>
      <w:start w:val="1"/>
    </w:lvl>
  </w:abstractNum>
  <w:abstractNum w:abstractNumId="70">
    <w:nsid w:val="46B7D447"/>
    <w:multiLevelType w:val="hybridMultilevel"/>
    <w:lvl w:ilvl="0">
      <w:lvlJc w:val="left"/>
      <w:lvlText w:val="(%1)"/>
      <w:numFmt w:val="lowerLetter"/>
      <w:start w:val="4"/>
    </w:lvl>
  </w:abstractNum>
  <w:abstractNum w:abstractNumId="71">
    <w:nsid w:val="4A2AC315"/>
    <w:multiLevelType w:val="hybridMultilevel"/>
    <w:lvl w:ilvl="0">
      <w:lvlJc w:val="left"/>
      <w:lvlText w:val="%1"/>
      <w:numFmt w:val="decimal"/>
      <w:start w:val="1"/>
    </w:lvl>
    <w:lvl w:ilvl="1">
      <w:lvlJc w:val="left"/>
      <w:lvlText w:val="(%2)"/>
      <w:numFmt w:val="lowerLetter"/>
      <w:start w:val="7"/>
    </w:lvl>
  </w:abstractNum>
  <w:abstractNum w:abstractNumId="72">
    <w:nsid w:val="39EE015C"/>
    <w:multiLevelType w:val="hybridMultilevel"/>
    <w:lvl w:ilvl="0">
      <w:lvlJc w:val="left"/>
      <w:lvlText w:val="%1."/>
      <w:numFmt w:val="decimal"/>
      <w:start w:val="6"/>
    </w:lvl>
    <w:lvl w:ilvl="1">
      <w:lvlJc w:val="left"/>
      <w:lvlText w:val="(%2)"/>
      <w:numFmt w:val="lowerLetter"/>
      <w:start w:val="1"/>
    </w:lvl>
  </w:abstractNum>
  <w:abstractNum w:abstractNumId="73">
    <w:nsid w:val="57FC4FBB"/>
    <w:multiLevelType w:val="hybridMultilevel"/>
    <w:lvl w:ilvl="0">
      <w:lvlJc w:val="left"/>
      <w:lvlText w:val="%1."/>
      <w:numFmt w:val="decimal"/>
      <w:start w:val="9"/>
    </w:lvl>
    <w:lvl w:ilvl="1">
      <w:lvlJc w:val="left"/>
      <w:lvlText w:val="(%2)"/>
      <w:numFmt w:val="lowerLetter"/>
      <w:start w:val="1"/>
    </w:lvl>
  </w:abstractNum>
  <w:abstractNum w:abstractNumId="74">
    <w:nsid w:val="CC1016F"/>
    <w:multiLevelType w:val="hybridMultilevel"/>
    <w:lvl w:ilvl="0">
      <w:lvlJc w:val="left"/>
      <w:lvlText w:val="(%1)"/>
      <w:numFmt w:val="lowerLetter"/>
      <w:start w:val="2"/>
    </w:lvl>
  </w:abstractNum>
  <w:abstractNum w:abstractNumId="75">
    <w:nsid w:val="43F18422"/>
    <w:multiLevelType w:val="hybridMultilevel"/>
    <w:lvl w:ilvl="0">
      <w:lvlJc w:val="left"/>
      <w:lvlText w:val="(%1)"/>
      <w:numFmt w:val="lowerLetter"/>
      <w:start w:val="8"/>
    </w:lvl>
  </w:abstractNum>
  <w:abstractNum w:abstractNumId="76">
    <w:nsid w:val="60EF0119"/>
    <w:multiLevelType w:val="hybridMultilevel"/>
    <w:lvl w:ilvl="0">
      <w:lvlJc w:val="left"/>
      <w:lvlText w:val="(%1)"/>
      <w:numFmt w:val="lowerLetter"/>
      <w:start w:val="14"/>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decimal"/>
      <w:start w:val="4"/>
    </w:lvl>
  </w:abstractNum>
  <w:abstractNum w:abstractNumId="79">
    <w:nsid w:val="49DA307D"/>
    <w:multiLevelType w:val="hybridMultilevel"/>
    <w:lvl w:ilvl="0">
      <w:lvlJc w:val="left"/>
      <w:lvlText w:val="(%1)"/>
      <w:numFmt w:val="lowerLetter"/>
      <w:start w:val="1"/>
    </w:lvl>
    <w:lvl w:ilvl="1">
      <w:lvlJc w:val="left"/>
      <w:lvlText w:val="(%2)"/>
      <w:numFmt w:val="lowerRoman"/>
      <w:start w:val="1"/>
    </w:lvl>
  </w:abstractNum>
  <w:abstractNum w:abstractNumId="80">
    <w:nsid w:val="7055A5F5"/>
    <w:multiLevelType w:val="hybridMultilevel"/>
    <w:lvl w:ilvl="0">
      <w:lvlJc w:val="left"/>
      <w:lvlText w:val="(%1)"/>
      <w:numFmt w:val="lowerLetter"/>
      <w:start w:val="2"/>
    </w:lvl>
    <w:lvl w:ilvl="1">
      <w:lvlJc w:val="left"/>
      <w:lvlText w:val="(%2)"/>
      <w:numFmt w:val="lowerLetter"/>
      <w:start w:val="9"/>
    </w:lvl>
  </w:abstractNum>
  <w:abstractNum w:abstractNumId="81">
    <w:nsid w:val="5FB8370B"/>
    <w:multiLevelType w:val="hybridMultilevel"/>
    <w:lvl w:ilvl="0">
      <w:lvlJc w:val="left"/>
      <w:lvlText w:val="(%1)"/>
      <w:numFmt w:val="lowerRoman"/>
      <w:start w:val="2"/>
    </w:lvl>
  </w:abstractNum>
  <w:abstractNum w:abstractNumId="82">
    <w:nsid w:val="50801EE1"/>
    <w:multiLevelType w:val="hybridMultilevel"/>
    <w:lvl w:ilvl="0">
      <w:lvlJc w:val="left"/>
      <w:lvlText w:val="(%1)"/>
      <w:numFmt w:val="lowerRoman"/>
      <w:start w:val="5"/>
    </w:lvl>
  </w:abstractNum>
  <w:abstractNum w:abstractNumId="83">
    <w:nsid w:val="488AC1A"/>
    <w:multiLevelType w:val="hybridMultilevel"/>
    <w:lvl w:ilvl="0">
      <w:lvlJc w:val="left"/>
      <w:lvlText w:val="(%1)"/>
      <w:numFmt w:val="lowerLetter"/>
      <w:start w:val="3"/>
    </w:lvl>
  </w:abstractNum>
  <w:abstractNum w:abstractNumId="84">
    <w:nsid w:val="5FB8011C"/>
    <w:multiLevelType w:val="hybridMultilevel"/>
    <w:lvl w:ilvl="0">
      <w:lvlJc w:val="left"/>
      <w:lvlText w:val="%1."/>
      <w:numFmt w:val="decimal"/>
      <w:start w:val="1"/>
    </w:lvl>
  </w:abstractNum>
  <w:abstractNum w:abstractNumId="85">
    <w:nsid w:val="6AA78F7F"/>
    <w:multiLevelType w:val="hybridMultilevel"/>
    <w:lvl w:ilvl="0">
      <w:lvlJc w:val="left"/>
      <w:lvlText w:val="%1."/>
      <w:numFmt w:val="decimal"/>
      <w:start w:val="2"/>
    </w:lvl>
    <w:lvl w:ilvl="1">
      <w:lvlJc w:val="left"/>
      <w:lvlText w:val="(%2)"/>
      <w:numFmt w:val="lowerLetter"/>
      <w:start w:val="1"/>
    </w:lvl>
  </w:abstractNum>
  <w:abstractNum w:abstractNumId="86">
    <w:nsid w:val="7672BD23"/>
    <w:multiLevelType w:val="hybridMultilevel"/>
    <w:lvl w:ilvl="0">
      <w:lvlJc w:val="left"/>
      <w:lvlText w:val="%1."/>
      <w:numFmt w:val="decimal"/>
      <w:start w:val="7"/>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lowerLetter"/>
      <w:start w:val="3"/>
    </w:lvl>
    <w:lvl w:ilvl="1">
      <w:lvlJc w:val="left"/>
      <w:lvlText w:val="(%2)"/>
      <w:numFmt w:val="lowerRoman"/>
      <w:start w:val="1"/>
    </w:lvl>
  </w:abstractNum>
  <w:abstractNum w:abstractNumId="89">
    <w:nsid w:val="7D5E18F8"/>
    <w:multiLevelType w:val="hybridMultilevel"/>
    <w:lvl w:ilvl="0">
      <w:lvlJc w:val="left"/>
      <w:lvlText w:val="(%1)"/>
      <w:numFmt w:val="lowerLetter"/>
      <w:start w:val="6"/>
    </w:lvl>
    <w:lvl w:ilvl="1">
      <w:lvlJc w:val="left"/>
      <w:lvlText w:val="(%2)"/>
      <w:numFmt w:val="lowerLetter"/>
      <w:start w:val="9"/>
    </w:lvl>
  </w:abstractNum>
  <w:abstractNum w:abstractNumId="90">
    <w:nsid w:val="5F3534A4"/>
    <w:multiLevelType w:val="hybridMultilevel"/>
    <w:lvl w:ilvl="0">
      <w:lvlJc w:val="left"/>
      <w:lvlText w:val="(%1)"/>
      <w:numFmt w:val="lowerRoman"/>
      <w:start w:val="2"/>
    </w:lvl>
  </w:abstractNum>
  <w:abstractNum w:abstractNumId="91">
    <w:nsid w:val="73A1821B"/>
    <w:multiLevelType w:val="hybridMultilevel"/>
    <w:lvl w:ilvl="0">
      <w:lvlJc w:val="left"/>
      <w:lvlText w:val="%1"/>
      <w:numFmt w:val="lowerLetter"/>
      <w:start w:val="1"/>
    </w:lvl>
    <w:lvl w:ilvl="1">
      <w:lvlJc w:val="left"/>
      <w:lvlText w:val="(%2)"/>
      <w:numFmt w:val="lowerRoman"/>
      <w:start w:val="4"/>
    </w:lvl>
  </w:abstractNum>
  <w:abstractNum w:abstractNumId="92">
    <w:nsid w:val="7DE67713"/>
    <w:multiLevelType w:val="hybridMultilevel"/>
    <w:lvl w:ilvl="0">
      <w:lvlJc w:val="left"/>
      <w:lvlText w:val="(%1)"/>
      <w:numFmt w:val="lowerLetter"/>
      <w:start w:val="7"/>
    </w:lvl>
    <w:lvl w:ilvl="1">
      <w:lvlJc w:val="left"/>
      <w:lvlText w:val="(%2)"/>
      <w:numFmt w:val="lowerRoman"/>
      <w:start w:val="1"/>
    </w:lvl>
  </w:abstractNum>
  <w:abstractNum w:abstractNumId="93">
    <w:nsid w:val="555C55B5"/>
    <w:multiLevelType w:val="hybridMultilevel"/>
    <w:lvl w:ilvl="0">
      <w:lvlJc w:val="left"/>
      <w:lvlText w:val="(%1)"/>
      <w:numFmt w:val="lowerRoman"/>
      <w:start w:val="4"/>
    </w:lvl>
  </w:abstractNum>
  <w:abstractNum w:abstractNumId="94">
    <w:nsid w:val="3FA62ACA"/>
    <w:multiLevelType w:val="hybridMultilevel"/>
    <w:lvl w:ilvl="0">
      <w:lvlJc w:val="left"/>
      <w:lvlText w:val="(%1)"/>
      <w:numFmt w:val="lowerLetter"/>
      <w:start w:val="15"/>
    </w:lvl>
  </w:abstractNum>
  <w:abstractNum w:abstractNumId="95">
    <w:nsid w:val="14FCE74E"/>
    <w:multiLevelType w:val="hybridMultilevel"/>
    <w:lvl w:ilvl="0">
      <w:lvlJc w:val="left"/>
      <w:lvlText w:val="(%1)"/>
      <w:numFmt w:val="lowerLetter"/>
      <w:start w:val="18"/>
    </w:lvl>
  </w:abstractNum>
  <w:abstractNum w:abstractNumId="96">
    <w:nsid w:val="6A3DD3E8"/>
    <w:multiLevelType w:val="hybridMultilevel"/>
    <w:lvl w:ilvl="0">
      <w:lvlJc w:val="left"/>
      <w:lvlText w:val="(%1)"/>
      <w:numFmt w:val="lowerLetter"/>
      <w:start w:val="20"/>
    </w:lvl>
  </w:abstractNum>
  <w:abstractNum w:abstractNumId="97">
    <w:nsid w:val="71C91298"/>
    <w:multiLevelType w:val="hybridMultilevel"/>
    <w:lvl w:ilvl="0">
      <w:lvlJc w:val="left"/>
      <w:lvlText w:val="(%1)"/>
      <w:numFmt w:val="lowerLetter"/>
      <w:start w:val="1"/>
    </w:lvl>
    <w:lvl w:ilvl="1">
      <w:lvlJc w:val="left"/>
      <w:lvlText w:val="(%2)"/>
      <w:numFmt w:val="lowerRoman"/>
      <w:start w:val="1"/>
    </w:lvl>
  </w:abstractNum>
  <w:abstractNum w:abstractNumId="98">
    <w:nsid w:val="9DAF632"/>
    <w:multiLevelType w:val="hybridMultilevel"/>
    <w:lvl w:ilvl="0">
      <w:lvlJc w:val="left"/>
      <w:lvlText w:val="(%1)"/>
      <w:numFmt w:val="lowerLetter"/>
      <w:start w:val="2"/>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lowerLetter"/>
      <w:start w:val="5"/>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6"/>
    </w:lvl>
  </w:abstractNum>
  <w:abstractNum w:abstractNumId="107">
    <w:nsid w:val="97E1B4E"/>
    <w:multiLevelType w:val="hybridMultilevel"/>
    <w:lvl w:ilvl="0">
      <w:lvlJc w:val="left"/>
      <w:lvlText w:val="%1."/>
      <w:numFmt w:val="decimal"/>
      <w:start w:val="3"/>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20" Type="http://schemas.openxmlformats.org/officeDocument/2006/relationships/hyperlink" Target="http://www.sec.gov/Archives/edgar/data/912242/000110465914081468/a14-24669_1ex2d1.htm" TargetMode="External"/><Relationship Id="rId21" Type="http://schemas.openxmlformats.org/officeDocument/2006/relationships/hyperlink" Target="http://www.sec.gov/Archives/edgar/data/912242/0001047469-99-012492.txt" TargetMode="External"/><Relationship Id="rId22" Type="http://schemas.openxmlformats.org/officeDocument/2006/relationships/hyperlink" Target="http://www.sec.gov/Archives/edgar/data/912242/000091205702030706/a2086079zex-3_1.htm" TargetMode="External"/><Relationship Id="rId23" Type="http://schemas.openxmlformats.org/officeDocument/2006/relationships/hyperlink" Target="http://www.sec.gov/Archives/edgar/data/912242/000091205702021417/a2080342zex-4_6.htm" TargetMode="External"/><Relationship Id="rId24" Type="http://schemas.openxmlformats.org/officeDocument/2006/relationships/hyperlink" Target="http://www.sec.gov/Archives/edgar/data/912242/000104746909001981/a2189901zex-3_15.htm" TargetMode="External"/><Relationship Id="rId25" Type="http://schemas.openxmlformats.org/officeDocument/2006/relationships/hyperlink" Target="http://www.sec.gov/Archives/edgar/data/912242/000110465909008348/a09-5253_1ex3d1.htm" TargetMode="External"/><Relationship Id="rId26" Type="http://schemas.openxmlformats.org/officeDocument/2006/relationships/hyperlink" Target="http://www.sec.gov/Archives/edgar/data/912242/000104746909007391/a2193924zex-3_17.htm" TargetMode="External"/><Relationship Id="rId27" Type="http://schemas.openxmlformats.org/officeDocument/2006/relationships/hyperlink" Target="http://www.sec.gov/Archives/edgar/data/912242/000110465914043330/a14-14485_1ex3d1.htm" TargetMode="External"/><Relationship Id="rId28" Type="http://schemas.openxmlformats.org/officeDocument/2006/relationships/hyperlink" Target="http://www.sec.gov/Archives/edgar/data/912242/000110465915020412/a15-6870_1ex3d1.htm" TargetMode="External"/><Relationship Id="rId29" Type="http://schemas.openxmlformats.org/officeDocument/2006/relationships/hyperlink" Target="http://www.sec.gov/Archives/edgar/data/912242/000110465915020810/a15-6873_1ex3d1.htm" TargetMode="External"/><Relationship Id="rId30" Type="http://schemas.openxmlformats.org/officeDocument/2006/relationships/hyperlink" Target="http://www.sec.gov/Archives/edgar/data/912242/000110465915037228/a15-11185_1ex3d1.htm" TargetMode="External"/><Relationship Id="rId31" Type="http://schemas.openxmlformats.org/officeDocument/2006/relationships/hyperlink" Target="http://www.sec.gov/Archives/edgar/data/912242/000110465915042631/a15-13305_1ex3d1.htm" TargetMode="External"/><Relationship Id="rId32" Type="http://schemas.openxmlformats.org/officeDocument/2006/relationships/hyperlink" Target="http://www.sec.gov/Archives/edgar/data/912242/000119312519129272/d731295dex31.htm" TargetMode="External"/><Relationship Id="rId33"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2019-12-28T12:57:41Z</dcterms:created>
  <dcterms:modified xsi:type="dcterms:W3CDTF">2019-12-28T12:57:41Z</dcterms:modified>
</cp:coreProperties>
</file>