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1032d424b5.htm"/>
        <w:bookmarkStart w:id="1" w:name="ksd15103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333-273707 </w:t>
      </w:r>
    </w:p>
    <w:p>
      <w:pPr>
        <w:pStyle w:val="TextBody"/>
        <w:bidi w:val="0"/>
        <w:spacing w:before="12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August 4, 2023) </w:t>
      </w:r>
    </w:p>
    <w:p>
      <w:pPr>
        <w:pStyle w:val="TextBody"/>
        <w:bidi w:val="0"/>
        <w:spacing w:before="120" w:after="0"/>
        <w:jc w:val="center"/>
        <w:rPr>
          <w:rFonts w:ascii="Times New Roman" w:hAnsi="Times New Roman"/>
          <w:b/>
          <w:sz w:val="28"/>
        </w:rPr>
      </w:pPr>
      <w:r>
        <w:rPr>
          <w:rFonts w:ascii="Times New Roman" w:hAnsi="Times New Roman"/>
          <w:b/>
          <w:sz w:val="28"/>
        </w:rPr>
        <w:t xml:space="preserve">14,000,000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49345" cy="7607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9345" cy="76073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are offering 14,000,000 shares of our common stock, par value $0.01 per share. We expect to enter into a forward sale agreement with each of Goldman Sachs &amp; Co. LLC, Deutsche Bank AG, London Branch, JPMorgan Chase Bank, National Association and Morgan Stanley &amp; Co. LLC, or their affiliates, which we refer to in this capacity as the forward purchasers. In connection with the forward sale agreements, the forward purchasers or their affiliates are borrowing from third parties and selling to the underwriters an aggregate of 14,000,000 shares of our common stock that will be delivered in this offering. </w:t>
      </w:r>
    </w:p>
    <w:p>
      <w:pPr>
        <w:pStyle w:val="TextBody"/>
        <w:bidi w:val="0"/>
        <w:spacing w:before="120" w:after="0"/>
        <w:jc w:val="left"/>
        <w:rPr>
          <w:rFonts w:ascii="Times New Roman" w:hAnsi="Times New Roman"/>
          <w:sz w:val="16"/>
        </w:rPr>
      </w:pPr>
      <w:r>
        <w:rPr>
          <w:rFonts w:ascii="Times New Roman" w:hAnsi="Times New Roman"/>
          <w:sz w:val="16"/>
        </w:rPr>
        <w:t xml:space="preserve">We will not initially receive any proceeds from the sale of shares of our common stock by the forward purchasers or their affiliates in this offering. We expect to physically settle the forward sale agreements, which would involve the issuance and delivery by us of shares of our common stock against payment by the forward purchasers for those shares on one or more forward settlement dates, which we expect to occur no later than approximately 12 months from the date of this prospectus supplement. We may also elect to cash settle or net share settle all or a portion of our obligations under a forward sale agreement if we conclude it is in our best interest to do so. If we elect to cash settle a forward sale agreement, we may not receive any proceeds, and we may owe cash to the relevant forward purchaser in certain circumstances. If we elect to net share settle a forward sale agreement, we will not receive any proceeds, and we may owe shares of our common stock to the relevant forward purchaser in certain circumstances. See “Underwriting - Forward Sale Agreements” for a description of the forward sale agreements. </w:t>
      </w:r>
    </w:p>
    <w:p>
      <w:pPr>
        <w:pStyle w:val="TextBody"/>
        <w:bidi w:val="0"/>
        <w:spacing w:before="120" w:after="0"/>
        <w:jc w:val="left"/>
        <w:rPr>
          <w:rFonts w:ascii="Times New Roman" w:hAnsi="Times New Roman"/>
          <w:sz w:val="16"/>
        </w:rPr>
      </w:pPr>
      <w:r>
        <w:rPr>
          <w:rFonts w:ascii="Times New Roman" w:hAnsi="Times New Roman"/>
          <w:sz w:val="16"/>
        </w:rPr>
        <w:t xml:space="preserve">If any forward purchaser or its affiliate does not sell on the anticipated closing date of this offering all of the shares of our common stock to be sold by it to the underwriters, we will issue and sell to the underwriters a number of shares of our common stock equal to the number of shares of our common stock that the forward purchaser or its affiliate did not sell and the number of shares underlying the relevant forward sale agreement will be decreased in respect of the number of shares that we issue and sell. </w:t>
      </w:r>
    </w:p>
    <w:p>
      <w:pPr>
        <w:pStyle w:val="TextBody"/>
        <w:bidi w:val="0"/>
        <w:spacing w:before="120" w:after="0"/>
        <w:jc w:val="left"/>
        <w:rPr>
          <w:rFonts w:ascii="Times New Roman" w:hAnsi="Times New Roman"/>
          <w:sz w:val="16"/>
        </w:rPr>
      </w:pPr>
      <w:r>
        <w:rPr>
          <w:rFonts w:ascii="Times New Roman" w:hAnsi="Times New Roman"/>
          <w:sz w:val="16"/>
        </w:rPr>
        <w:t xml:space="preserve">We are organized and conduct our operations to qualify as a real estate investment trust (“REIT”) for federal income tax purposes. In part, to assist us in complying with certain federal income tax requirements applicable to REITs, our charter contains certain restrictions relating to the ownership and transfer of our stock, including an ownership limit of 5.0% on our common stock. We have granted a limited waiver of the ownership limitation to the forward purchasers and the forward sellers in connection with this offering. See “Description of Our Capital Stock—Restrictions on Transfer and Ownership” in the accompanying prospectus. </w:t>
      </w:r>
    </w:p>
    <w:p>
      <w:pPr>
        <w:pStyle w:val="TextBody"/>
        <w:bidi w:val="0"/>
        <w:spacing w:before="120" w:after="0"/>
        <w:jc w:val="left"/>
        <w:rPr>
          <w:rFonts w:ascii="Times New Roman" w:hAnsi="Times New Roman"/>
          <w:sz w:val="16"/>
        </w:rPr>
      </w:pPr>
      <w:r>
        <w:rPr>
          <w:rFonts w:ascii="Times New Roman" w:hAnsi="Times New Roman"/>
          <w:sz w:val="16"/>
        </w:rPr>
        <w:t xml:space="preserve">Our common stock trades on the New York Stock Exchange (the “NYSE”) under the symbol “MAC.” On June 12, 2026, the last reported sale price of our common stock on the NYSE was $25.45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0"/>
        </w:rPr>
        <w:t>Investing in our common stock involves risks. See “</w:t>
      </w:r>
      <w:hyperlink w:anchor="supprom151032_2">
        <w:r>
          <w:rPr>
            <w:rStyle w:val="InternetLink"/>
            <w:rFonts w:ascii="Times New Roman" w:hAnsi="Times New Roman"/>
            <w:b/>
            <w:sz w:val="20"/>
          </w:rPr>
          <w:t>Risk Factors</w:t>
        </w:r>
      </w:hyperlink>
      <w:r>
        <w:rPr>
          <w:rFonts w:ascii="Times New Roman" w:hAnsi="Times New Roman"/>
          <w:b/>
          <w:sz w:val="20"/>
        </w:rPr>
        <w:t xml:space="preserve">” beginning on page S-5.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256"/>
        <w:gridCol w:w="286"/>
        <w:gridCol w:w="140"/>
        <w:gridCol w:w="925"/>
        <w:gridCol w:w="60"/>
        <w:gridCol w:w="286"/>
        <w:gridCol w:w="140"/>
        <w:gridCol w:w="1231"/>
        <w:gridCol w:w="64"/>
      </w:tblGrid>
      <w:tr>
        <w:trPr/>
        <w:tc>
          <w:tcPr>
            <w:tcW w:w="6256"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5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(1)</w:t>
            </w:r>
          </w:p>
        </w:tc>
        <w:tc>
          <w:tcPr>
            <w:tcW w:w="64" w:type="dxa"/>
            <w:tcBorders/>
            <w:vAlign w:val="bottom"/>
          </w:tcPr>
          <w:p>
            <w:pPr>
              <w:pStyle w:val="TableContents"/>
              <w:bidi w:val="0"/>
              <w:spacing w:before="0" w:after="283"/>
              <w:jc w:val="left"/>
              <w:rPr/>
            </w:pPr>
            <w:r>
              <w:rPr/>
              <w:t> </w:t>
            </w:r>
          </w:p>
        </w:tc>
      </w:tr>
      <w:tr>
        <w:trPr/>
        <w:tc>
          <w:tcPr>
            <w:tcW w:w="625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23.90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334,600,000</w:t>
            </w:r>
          </w:p>
        </w:tc>
        <w:tc>
          <w:tcPr>
            <w:tcW w:w="64" w:type="dxa"/>
            <w:tcBorders/>
            <w:shd w:fill="CCEEFF" w:val="clear"/>
            <w:vAlign w:val="bottom"/>
          </w:tcPr>
          <w:p>
            <w:pPr>
              <w:pStyle w:val="TableContents"/>
              <w:bidi w:val="0"/>
              <w:spacing w:before="0" w:after="283"/>
              <w:jc w:val="left"/>
              <w:rPr/>
            </w:pPr>
            <w:r>
              <w:rPr/>
              <w:t> </w:t>
            </w:r>
          </w:p>
        </w:tc>
      </w:tr>
      <w:tr>
        <w:trPr/>
        <w:tc>
          <w:tcPr>
            <w:tcW w:w="6256"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discounts and commissions (2)</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0.77675</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10,874,500</w:t>
            </w:r>
          </w:p>
        </w:tc>
        <w:tc>
          <w:tcPr>
            <w:tcW w:w="64" w:type="dxa"/>
            <w:tcBorders/>
            <w:vAlign w:val="bottom"/>
          </w:tcPr>
          <w:p>
            <w:pPr>
              <w:pStyle w:val="TableContents"/>
              <w:bidi w:val="0"/>
              <w:spacing w:before="0" w:after="283"/>
              <w:jc w:val="left"/>
              <w:rPr/>
            </w:pPr>
            <w:r>
              <w:rPr/>
              <w:t> </w:t>
            </w:r>
          </w:p>
        </w:tc>
      </w:tr>
      <w:tr>
        <w:trPr/>
        <w:tc>
          <w:tcPr>
            <w:tcW w:w="625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before expenses, to us (3)</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23.12325</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323,725,500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94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492"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Assumes no exercise of the underwriters’ option to purchase additional shares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94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492"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See “Underwriting” for a description of all compensation payable to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We have assumed that the forward sale agreements will be fully physically settled based on a forward sale price equal to the initial forward sale price of $23.12325 per share, which is the public offering price less the underwriting discounts and commissions shown above. The forward sale price is subject to adjustment pursuant to the terms of each of the forward sale agreements, and the actual proceeds, if any, to us will be calculated as described in this prospectus supplement. Although we expect to settle the forward sale agreements entirely by the full physical delivery of shares of our common stock in exchange for cash proceeds, we may elect cash settlement or net share settlement for all or a portion of our obligations under any forward sale agreement. See “Underwriting - Forward Sale Agreements” for a description of the forward sale agreements. </w:t>
            </w:r>
          </w:p>
        </w:tc>
      </w:tr>
    </w:tbl>
    <w:p>
      <w:pPr>
        <w:pStyle w:val="TextBody"/>
        <w:bidi w:val="0"/>
        <w:spacing w:before="120" w:after="0"/>
        <w:jc w:val="left"/>
        <w:rPr>
          <w:rFonts w:ascii="Times New Roman" w:hAnsi="Times New Roman"/>
          <w:sz w:val="16"/>
        </w:rPr>
      </w:pPr>
      <w:r>
        <w:rPr>
          <w:rFonts w:ascii="Times New Roman" w:hAnsi="Times New Roman"/>
          <w:sz w:val="16"/>
        </w:rPr>
        <w:t xml:space="preserve">We have granted the underwriters an option to purchase up to an additional 2,100,000 shares from us, at the public offering price, less the underwriting discount, for 30 days after the date of this prospectus supplement. Upon any exercise of such option, we expect to enter into additional forward sale agreements with the forward purchasers in respect of the number of shares sold by the forward purchasers (or their respective affiliates) in connection with the exercise of such option. Unless the context requires otherwise, the term “forward sale agreements,” as used in this prospectus supplement, includes any additional forward sale agreements that we enter into in connection with the exercise by the underwriters of their option to purchase additional shares. In such event, if the forward purchasers (or their respective affiliates) do not deliver and sell all of the shares of our common stock to be sold by them to the underwriters in connection with the exercise of such option, we will issue and sell to the underwriters a number of shares of our common stock equal to the number of shares of our common stock that the forward purchasers (or their respective affiliates) do not deliver and sell, and the number of shares underlying the additional forward sale agreements will be decreased by the number of shares that we issue and sell.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(the “SEC”) nor any state securities commission has approved or disapproved of these securities or passed on the adequacy or accuracy of this prospectus supplement or the accompanying prospectus. Any representation to the contrary is a criminal offense. </w:t>
      </w:r>
    </w:p>
    <w:p>
      <w:pPr>
        <w:pStyle w:val="TextBody"/>
        <w:bidi w:val="0"/>
        <w:spacing w:before="120" w:after="0"/>
        <w:jc w:val="left"/>
        <w:rPr>
          <w:rFonts w:ascii="Times New Roman" w:hAnsi="Times New Roman"/>
          <w:sz w:val="16"/>
        </w:rPr>
      </w:pPr>
      <w:r>
        <w:rPr>
          <w:rFonts w:ascii="Times New Roman" w:hAnsi="Times New Roman"/>
          <w:sz w:val="16"/>
        </w:rPr>
        <w:t xml:space="preserve">The shares of common stock sold in this offering will be ready for delivery on or about June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i/>
          <w:sz w:val="16"/>
        </w:rPr>
      </w:pPr>
      <w:r>
        <w:rPr>
          <w:rFonts w:ascii="Times New Roman" w:hAnsi="Times New Roman"/>
          <w:i/>
          <w:sz w:val="16"/>
        </w:rPr>
        <w:t xml:space="preserve">Joint Bookrunners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66"/>
        <w:gridCol w:w="101"/>
        <w:gridCol w:w="3165"/>
        <w:gridCol w:w="101"/>
        <w:gridCol w:w="1735"/>
        <w:gridCol w:w="101"/>
        <w:gridCol w:w="1736"/>
      </w:tblGrid>
      <w:tr>
        <w:trPr/>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3266"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b/>
              </w:rPr>
            </w:pPr>
            <w:r>
              <w:rPr>
                <w:b/>
              </w:rPr>
              <w:t>Deutsche Bank Securities</w:t>
            </w:r>
          </w:p>
        </w:tc>
        <w:tc>
          <w:tcPr>
            <w:tcW w:w="101"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center"/>
              <w:rPr>
                <w:b/>
              </w:rPr>
            </w:pPr>
            <w:r>
              <w:rPr>
                <w:b/>
              </w:rPr>
              <w:t>Morgan Stanley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BMO Capital Markets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TD Securities</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Scotiabank</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supplement is June 15,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51032_1">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51032_2">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51032_3">
              <w:r>
                <w:rPr>
                  <w:rStyle w:val="InternetLink"/>
                  <w:rFonts w:ascii="Times New Roman" w:hAnsi="Times New Roman"/>
                  <w:sz w:val="20"/>
                </w:rPr>
                <w:t>IMPORTANT INFORMATION RELATED TO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51032_4">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51032_6">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51032_7">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51032_8">
              <w:r>
                <w:rPr>
                  <w:rStyle w:val="InternetLink"/>
                  <w:rFonts w:ascii="Times New Roman" w:hAnsi="Times New Roman"/>
                  <w:sz w:val="20"/>
                </w:rPr>
                <w:t>WHERE YOU CAN FIND MORE INFORMATION AND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3">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4">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6">
              <w:r>
                <w:rPr>
                  <w:rStyle w:val="InternetLink"/>
                  <w:rFonts w:ascii="Times New Roman" w:hAnsi="Times New Roman"/>
                  <w:sz w:val="20"/>
                </w:rPr>
                <w:t>THE MACERICH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8">
              <w:r>
                <w:rPr>
                  <w:rStyle w:val="InternetLink"/>
                  <w:rFonts w:ascii="Times New Roman" w:hAnsi="Times New Roman"/>
                  <w:sz w:val="20"/>
                </w:rPr>
                <w:t>DESCRIPTION OF OUR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1">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4">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5">
              <w:r>
                <w:rPr>
                  <w:rStyle w:val="InternetLink"/>
                  <w:rFonts w:ascii="Times New Roman" w:hAnsi="Times New Roman"/>
                  <w:sz w:val="20"/>
                </w:rPr>
                <w:t>DESCRIPTION OF STOCK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6">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7">
              <w:r>
                <w:rPr>
                  <w:rStyle w:val="InternetLink"/>
                  <w:rFonts w:ascii="Times New Roman" w:hAnsi="Times New Roman"/>
                  <w:sz w:val="20"/>
                </w:rPr>
                <w:t>MATERIAL UNITED STATES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8">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2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2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relates to the potential offer and sale, from time to time, of shares of our common stock and also supplements and updates information contained in the accompanying prospectus and the documents incorporated by reference into the prospectus. The second part is the accompanying prospectus, which gives more general information, some of which may not apply to any potential sale of shares of our common stock. To the extent there is a conflict between the information contained in this prospectus supplement, on the one hand, and the information contained in the accompanying prospectus or any document incorporated by reference herein that was filed with the SEC before the date of this prospectus supplement, on the other hand, you should rely on the information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the accompanying prospectus and any free writing prospectus that we have authorized. We have not and the underwriters and the forward purchasers (and their affiliates) have not authorized anyone to provide you with information that is different from that contained or incorporated by reference in this prospectus supplement, the accompanying prospectus or any such free writing prospectus. The offering of the shares of our common stock may be restricted by law in certain non-U.S. jurisdictions. This prospectus supplement is not an offer to sell nor does it seek an offer to buy any shares of our common stock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rom151032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only highlights the more detailed information appearing elsewhere in this prospectus supplement or incorporated by reference in this prospectus supplement. It may not contain all of the information that is important to you. You should carefully read this entire prospectus supplement, the accompanying prospectus and the documents incorporated by reference in this prospectus supplement before deciding whether to invest in shares of our common stock.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or the context otherwise requires, references in this prospectus supplement to the “Company,” “Macerich,”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March 31, 2026, the Operating Partnership owned or had an ownership interest in 37 regional retail centers (including office, hotel and residential space adjacent to these shopping centers) and one community/power shopping center. These 38 regional retail centers and community/power shopping center consist of approximately 39 million square feet of gross leasable area.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self-administered and self-managed REIT and conduct all of our operations through the Operating Partnership and our management companies. We are the sole general partner of the Operating Partnership and owned 96% of the limited partnership units (“common units”) of the Operating Partnership as of March 31, 2026. The remaining 4% of the common units are held by third parties.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as a Maryland corporation in September 1993. Our principal executive offices are located at 401 Wilshire Boulevard, Suite 700, Santa Monica, California 90401. Our telephone number is (310) 394-6000.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our “at the market” offering program (the “ATM Program”), we previously entered into an equity distribution agreement, dated November 12, 2024, with J.P. Morgan Securities LLC, Deutsche Bank Securities Inc., Goldman Sachs &amp; Co. LLC, BMO Capital Markets Corp. and TD Securities (USA) LLC, as sales agents, pursuant to which we may offer and sell shares of our common stock having an aggregate offering price of up to $500 million from time to time. From the period from March 31, 2026 to June 12, 2026, we issued approximately 0.9 million shares of our common stock under the ATM Program at a weighted average price of $19.99 per share, generating gross proceeds of approximately $18.8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30, 2026, we acquired Annapolis Mall, a regional retail center totaling approximately 1.5 million square feet in Annapolis, Maryland, for a total purchase price of $260.0 million and the adjacent 13.1 acre vacant Sears parcel for $12.0 million. The acquisition was funded with cash on hand and $150.0 million of borrowings on our revolving credit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13, 2026, we completed the issuance and sale of 22,080,000 shares of our common stock at a public offering price of $21.00 per share, pursuant to an underwriting agreement, dated as of May 11, 2026, by and among the Company and Goldman Sachs &amp; Co. LLC, as representative of the several underwriters. The offering generated $448.1 million in net proceeds after deducting underwriting discounts and commissions and offering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The Macerich Company, a Maryland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to be offered by the forward purchasers or their respective affiliates </w:t>
            </w:r>
          </w:p>
        </w:tc>
        <w:tc>
          <w:tcPr>
            <w:tcW w:w="6327" w:type="dxa"/>
            <w:tcBorders/>
          </w:tcPr>
          <w:p>
            <w:pPr>
              <w:pStyle w:val="TableContents"/>
              <w:bidi w:val="0"/>
              <w:spacing w:before="0" w:after="283"/>
              <w:jc w:val="left"/>
              <w:rPr/>
            </w:pPr>
            <w:r>
              <w:rPr/>
              <w:t xml:space="preserve">14,000,000 shares (or 16,100,000 shares if the underwriters’ option to purchase additional shares is exercised in full).(1)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to be outstanding after this offering (excluding the settlement of the forward sale agreements) </w:t>
            </w:r>
          </w:p>
        </w:tc>
        <w:tc>
          <w:tcPr>
            <w:tcW w:w="6329" w:type="dxa"/>
            <w:tcBorders/>
          </w:tcPr>
          <w:p>
            <w:pPr>
              <w:pStyle w:val="TableContents"/>
              <w:bidi w:val="0"/>
              <w:spacing w:before="0" w:after="283"/>
              <w:jc w:val="left"/>
              <w:rPr/>
            </w:pPr>
            <w:r>
              <w:rPr/>
              <w:t xml:space="preserve">283,559,375 shares.(2)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and common units to be outstanding after this offering (excluding the settlement of the forward sale agreements) </w:t>
            </w:r>
          </w:p>
        </w:tc>
        <w:tc>
          <w:tcPr>
            <w:tcW w:w="6329" w:type="dxa"/>
            <w:tcBorders/>
          </w:tcPr>
          <w:p>
            <w:pPr>
              <w:pStyle w:val="TableContents"/>
              <w:bidi w:val="0"/>
              <w:spacing w:before="0" w:after="283"/>
              <w:jc w:val="left"/>
              <w:rPr/>
            </w:pPr>
            <w:r>
              <w:rPr/>
              <w:t xml:space="preserve">297,339,034 shares of common stock and common units.(2)(3)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to be outstanding after the settlement of the forward sale agreements assuming full physical settlement </w:t>
            </w:r>
          </w:p>
        </w:tc>
        <w:tc>
          <w:tcPr>
            <w:tcW w:w="6328" w:type="dxa"/>
            <w:tcBorders/>
          </w:tcPr>
          <w:p>
            <w:pPr>
              <w:pStyle w:val="TableContents"/>
              <w:bidi w:val="0"/>
              <w:spacing w:before="0" w:after="283"/>
              <w:jc w:val="left"/>
              <w:rPr/>
            </w:pPr>
            <w:r>
              <w:rPr/>
              <w:t xml:space="preserve">297,559,375 shares of common stock (or 299,659,375 shares of common stock if the underwriters’ option to purchase additional shares is exercised in full).(2)(3)(4)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and common units to be outstanding after the settlement of the forward sale agreements assuming full physical settlement </w:t>
            </w:r>
          </w:p>
        </w:tc>
        <w:tc>
          <w:tcPr>
            <w:tcW w:w="6328" w:type="dxa"/>
            <w:tcBorders/>
          </w:tcPr>
          <w:p>
            <w:pPr>
              <w:pStyle w:val="TableContents"/>
              <w:bidi w:val="0"/>
              <w:spacing w:before="0" w:after="283"/>
              <w:jc w:val="left"/>
              <w:rPr/>
            </w:pPr>
            <w:r>
              <w:rPr/>
              <w:t xml:space="preserve">311,339,034 shares of common stock and common units (or 313,439,034 shares of common stock and common units if the underwriters’ option to purchase additional shares is exercised in full).(2)(3)(4)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NYSE symbol for our common stock </w:t>
            </w:r>
          </w:p>
        </w:tc>
        <w:tc>
          <w:tcPr>
            <w:tcW w:w="6327" w:type="dxa"/>
            <w:tcBorders/>
          </w:tcPr>
          <w:p>
            <w:pPr>
              <w:pStyle w:val="TableContents"/>
              <w:bidi w:val="0"/>
              <w:spacing w:before="0" w:after="283"/>
              <w:jc w:val="left"/>
              <w:rPr/>
            </w:pPr>
            <w:r>
              <w:rPr/>
              <w:t>“</w:t>
            </w:r>
            <w:r>
              <w:rPr/>
              <w:t xml:space="preserve">MAC”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proceeds(5) </w:t>
            </w:r>
          </w:p>
        </w:tc>
        <w:tc>
          <w:tcPr>
            <w:tcW w:w="6327" w:type="dxa"/>
            <w:tcBorders/>
          </w:tcPr>
          <w:p>
            <w:pPr>
              <w:pStyle w:val="TableContents"/>
              <w:bidi w:val="0"/>
              <w:spacing w:before="0" w:after="283"/>
              <w:jc w:val="left"/>
              <w:rPr/>
            </w:pPr>
            <w:r>
              <w:rPr/>
              <w:t xml:space="preserve">We will not initially receive any proceeds from the sale of shares of our common stock by the forward purchasers or their affiliates. All of the proceeds of this offering (excluding proceeds paid to us with respect to any shares of our common stock that we may sell to the underwriters in lieu of the forward purchasers or their affiliates selling our common stock to the underwriters) will be paid to the forward purchasers or their affiliates.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full physical settlement of the forward sale agreements at an initial forward sale price of $23.12325 per share, we estimate that the net proceeds from this offering will be approximately $323,725,500 million ($372,284,325 million if the underwriters exercise their option to purchase additional shares in full), after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deducting underwriting discounts and commissions, and our estimated expenses related to this offering and the forward sale agreements. The initial forward sale price will be subject to certain adjustments pursuant to the forward sale agreements. We expect to settle the forward sale agreements no later than approximately 12 months from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will contribute the net proceeds, if any, received upon the settlement of forward sale agreements (and from the sale of any shares of our common stock that we may sell to the underwriters in lieu of the forward purchasers selling our common stock to the underwriters) to the Operating Partnership in exchange for securities of the Operating Partnership that have economic interests substantially similar to those of our common stock. The Operating Partnership intends to use the net proceeds from this offering to fund future acquisition opportunities and for general corporate purposes. Pending such use, the Operating Partnership may invest the net proceeds in short-term, interest-bearing deposit accounts.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Conflicts of Interest</w:t>
            </w:r>
          </w:p>
        </w:tc>
        <w:tc>
          <w:tcPr>
            <w:tcW w:w="6329" w:type="dxa"/>
            <w:tcBorders/>
          </w:tcPr>
          <w:p>
            <w:pPr>
              <w:pStyle w:val="TableContents"/>
              <w:bidi w:val="0"/>
              <w:spacing w:before="0" w:after="283"/>
              <w:jc w:val="left"/>
              <w:rPr/>
            </w:pPr>
            <w:r>
              <w:rPr/>
              <w:t xml:space="preserve">All of the proceeds of this offering (excluding proceeds paid to us with respect to any shares of our common stock that we may sell to the underwriters in lieu of the forward purchasers or their affiliates selling our common stock to the underwriters) will be paid to the forward purchasers or their affiliates. As a result, the Underwriters or their affiliates will receive such net proceeds from this offering, not including the underwriting discount or commission.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Accounting treatment of the transaction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any issuance of shares of our common stock, if any, upon physical or net share settlement of any forward sale agreements, we expect that the shares issuable upon settlement of such forward sale agreements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such forward sale agreement over the number of shares of our common stock that could be purchased by us in the market (based on the average market price during the period) using the proceeds receivable upon full physical settlement (based on the adjusted forward sale price at the end of the reporting period). Consequently, prior to physical settlement or net share settlement of the forward sale agreements and subject to the occurrence of certain events, we anticipate there will be no dilutive effect on our earnings per share and return on equity except during periods when the average market price of our common stock is above the per share forward sale price, which is initially $23.12325 (which is the price at which the underwriters have agreed to buy the shares of our common stock offered hereby), subject to adjustment based on a floating interest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factor equal to a specified daily rate less a spread, and subject to decrease on each of certain dates by an amount per share specified in the forward sale agreements related to expected dividends on shares of our common stock during the term of the forward sale agreements. However, if we decide to physically settle or net share settle any forward sale agreement, delivery of our shares on any physical settlement or net share settlement of such forward sale agreement could result in dilution to our earnings per share and return on equity.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8" w:type="dxa"/>
            <w:tcBorders/>
          </w:tcPr>
          <w:p>
            <w:pPr>
              <w:pStyle w:val="TableContents"/>
              <w:bidi w:val="0"/>
              <w:spacing w:before="0" w:after="283"/>
              <w:jc w:val="left"/>
              <w:rPr/>
            </w:pPr>
            <w:r>
              <w:rPr/>
              <w:t xml:space="preserve">Before investing in the shares of our common stock, you should carefully read and consider the information set forth in “Risk Factors” beginning on page S-3 of this prospectus supplement and all other information appearing elsewhere and in the documents incorporated herein by reference.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forward purchasers have advised us that they or their affiliates intend to acquire shares of our common stock to be sold under this prospectus supplement through borrowings from third-party stock lenders. Subject to the occurrence of certain events, we will not be obligated to deliver shares of our common stock, if any, under the forward sale agreements until final physical or net share settlement of the forward sale agreements, which we expect to occur no later than approximately 12 months from the date of this prospectus supplement. Except in certain circumstances, and subject to certain conditions, we have the right to elect cash settlement or net share settlement under the forward sale agreements. See “Underwriting -  Forward Sale Agreements” for a description of the forward sale agreements.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outstanding after this offering (including, as applicable, after physical settlement of the forward sale agreements) is based upon 283,559,375 shares of common stock outstanding as of June 12, 2026. The number of shares of common stock to be outstanding after this offering does not include, as of June 12, 2026, 5,042,188 shares reserved for issuance in connection with equity-based compensation awards under The Macerich Company 2003 Equity Incentive Plan, as amended and restated.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common units outstanding as of June 12, 2026. Includes 4,475,864 common units held by limited partners other than the Company and 9,303,795 long-term incentive plan units. Subject to limits in the partnership agreement for the Operating Partnership, common units may be exchanged for cash or, at our option, shares of our common stock on a one-for-one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outstanding assume that we have elected to enter into additional forward sale agreements with respect to any exercise by the underwriters of their option to purchase additional shares. In addition, these numbers assume that no event will occur that would require us to sell shares of our common stock to the underwriters in this offering in lieu of the forward purchasers (or their respective affiliates) selling shares of our common stock to the underwriters. If such an event occurs or we elect not to enter into additional forward sale agreements, (i) the number of shares of our common stock to be outstanding upon completion of this offering would be increased by such number of shares and (ii) the number of shares of our common stock issuable pursuant to physical settlement of the forward sale agreements would be reduced by such number of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forward sale price is subject to adjustment pursuant to the terms of the forward sale agreements, and any net proceeds to us are subject to settlement of the forward sale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151032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other information contained in this prospectus supplement and the accompanying prospectus, you should carefully consider the risks described below and in the documents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shares of our common stock could decline due to the materialization of any of these risks, and you may lose all or part of your investment. This prospectus supplement, the accompanying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for the year ended December 31, 2025 and (ii) documents we file with the SEC after the date of this prospectus supplement and which are deemed incorporated by reference in this prospectus supplement. See “Where You Can Find More Information and Incorporation by Reference.”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price of our common stock has and may continue to fluctuate significantly, which may make it difficult for you to sell the common stock when you want or at prices you find attractive. </w:t>
      </w:r>
    </w:p>
    <w:p>
      <w:pPr>
        <w:pStyle w:val="TextBody"/>
        <w:bidi w:val="0"/>
        <w:spacing w:before="240" w:after="0"/>
        <w:jc w:val="left"/>
        <w:rPr>
          <w:rFonts w:ascii="Times New Roman" w:hAnsi="Times New Roman"/>
          <w:sz w:val="20"/>
        </w:rPr>
      </w:pPr>
      <w:r>
        <w:rPr>
          <w:rFonts w:ascii="Times New Roman" w:hAnsi="Times New Roman"/>
          <w:sz w:val="20"/>
        </w:rPr>
        <w:t xml:space="preserve">The price of our common stock on the NYSE constantly changes and has been subject to significant price fluctuations. Our stock price can fluctuate as a result of a variety of factors, many of which are beyond our control. These factors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operating results 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the goals established under the Path Forward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government shutdowns, ongoing military conflicts and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funds from operations or earnings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ability of our centers to generate sufficient revenues to meet operating and other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anchor or tenant bankruptcies, closures, mergers or consolidations;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local economic and real estate conditions in geographic locations where we have a high concentration of centers;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by public or private mall companies or others, including competition for both acquisition of centers and for tenants to occupy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and elevated interest rates; the potential impact of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our failure to qualify or maintain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our joint venture agreements and other risks associated with our joint venture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uninsured losses, including losses from casualty events or natural disasters, and possible environmental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impacts from any future pandemic, epidemic or outbreak of any highly infectious disease on the U.S., regional and global economies and on our financial condition and results of operations and the financial condition and results of operations of our tenants;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decision by any of our significant stockholders to sell substantial amounts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issuances of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realization of any of the other risk factors included in, or incorporated by reference to,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these and other factors, investors who purchase our common stock in this offering may experience a decrease, which could be substantial and rapid, in the market price of our common stock, including decreases unrelated to our operating performance or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issuances and sales of common stock or securities convertible into or exchangeable for common stock may adversely affect the market price for our common stock and may cause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issuances and sales of common stock or securities convertible into or exchangeable for common stock, or the perception that such issuances and sales could occur, may cause prevailing market prices for our common stock to decline and may adversely affect our ability to raise additional capital in the financial markets at a time and price favorable to us. Any additional future issuance of our common stock will reduce the percentage of our common stock owned by investors purchasing shares in this offering that do not participate in future issuances. In most circumstances, stockholders will not be entitled to vote on whether or not we issue additional shares of common stock. In addition, depending on the terms and pricing of an additional offering of our common stock and the value of our properties, our stockholders may experience dilution in both the book value and the market value of their shares. </w:t>
      </w:r>
    </w:p>
    <w:p>
      <w:pPr>
        <w:pStyle w:val="TextBody"/>
        <w:bidi w:val="0"/>
        <w:spacing w:before="360" w:after="0"/>
        <w:jc w:val="left"/>
        <w:rPr>
          <w:rFonts w:ascii="Times New Roman" w:hAnsi="Times New Roman"/>
          <w:b/>
          <w:sz w:val="20"/>
        </w:rPr>
      </w:pPr>
      <w:r>
        <w:rPr>
          <w:rFonts w:ascii="Times New Roman" w:hAnsi="Times New Roman"/>
          <w:b/>
          <w:sz w:val="20"/>
        </w:rPr>
        <w:t>Risks Related to the Forward Sale Agreements</w:t>
      </w:r>
    </w:p>
    <w:p>
      <w:pPr>
        <w:pStyle w:val="TextBody"/>
        <w:bidi w:val="0"/>
        <w:spacing w:before="120" w:after="0"/>
        <w:jc w:val="left"/>
        <w:rPr>
          <w:rFonts w:ascii="Times New Roman" w:hAnsi="Times New Roman"/>
          <w:b/>
          <w:i/>
          <w:sz w:val="20"/>
        </w:rPr>
      </w:pPr>
      <w:r>
        <w:rPr>
          <w:rFonts w:ascii="Times New Roman" w:hAnsi="Times New Roman"/>
          <w:b/>
          <w:i/>
          <w:sz w:val="20"/>
        </w:rPr>
        <w:t>Provisions contained in the forward sale agreements could result in substantial dilution to our earnings per share and return on equity or result in substantial cash payment obligations.</w:t>
      </w:r>
    </w:p>
    <w:p>
      <w:pPr>
        <w:pStyle w:val="TextBody"/>
        <w:bidi w:val="0"/>
        <w:spacing w:before="240" w:after="0"/>
        <w:jc w:val="left"/>
        <w:rPr>
          <w:rFonts w:ascii="Times New Roman" w:hAnsi="Times New Roman"/>
          <w:sz w:val="20"/>
        </w:rPr>
      </w:pPr>
      <w:r>
        <w:rPr>
          <w:rFonts w:ascii="Times New Roman" w:hAnsi="Times New Roman"/>
          <w:sz w:val="20"/>
        </w:rPr>
        <w:t xml:space="preserve">In the forward sale agreements, if any forward purchaser or its affiliate does not sell all the shares of our common stock to be sold by it pursuant to the terms of the underwriting agreement (including because insufficient shares of our common stock were made available by securities lenders for borrowing at a stock loan cost below a specified threshold), we will issue and sell directly to the underwriters the number of shares of our common stock not sold by the relevant forward purchaser or its affiliate and, under such circumstances, the number of shares of our common stock underlying the relevant forward sale agreement will be decreased by the number of shares of our common stock that we issue and sell. The stock loan market is volatile, and it is uncertain whether sufficient shares of our common stock will be made available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Each forward purchaser will have the right to accelerate its forward sale agreement (with respect to all or, in certain cases, any portion of the transaction under such forward sale agreement that the forward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determines is affected by an event described below) and require us to settle on a date specified by such forward purchaser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such forward purchaser’s commercially reasonable judgment, it or its affiliate (x) is unable to hedge in a commercially reasonable manner its exposure under such forward sale agreement because insufficient shares of our common stock have been made available for borrowing by securities lenders or (y) would incur a stock borrow cost in excess of a specified threshold to hedge in a commercially reasonable manner its exposure under such forward sale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declare any dividend or distribution on shares of our common stock (a) payable in cash in excess of specified amounts, (b) that constitutes an extraordinary dividend under the forward sale agreement, (c) payable in securities of another company as a result of a spin-off or similar transaction, or (d) of any other type of securities (other than our common stock), rights, warrants or other assets for payment at less than the prevailing market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ownership thresholds applicable to such forward purchaser and its affiliates are exceeded;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is announced that if consummated would result in a specified extraordinary event (including certain mergers or tender offers, as well as certain events involving our nationalization, or insolvency, or a delisting of our common stock) or the occurrence of a change in law or hedging disruption;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events of default or termination events occur, including, among others, any material misrepresentation made in connection with such forward sale agreement or our insolvency (each as more fully described in each forward sale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forward purchaser’s decision to exercise its right to accelerate the settlement of any forward sale agreement will be made irrespective of our interests, including our need for capital. In such cases, we could be required to issue and deliver shares of our common stock under the physical settlement provisions of the applicable forward sale agreement irrespective of our capital needs, which could result in dilution to our earnings per share and return on equity.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conditions, we have the right to elect physical, cash or net share settlement under each forward sale agreement. A forward sale agreement will be physically settled by delivery of shares of our common stock, unless we elect to cash settle or net share settle such forward sale agreement. Delivery of shares of our common stock upon physical settlement (or, if we elect net share settlement, upon such settlement to the extent we are obligated to deliver shares of our common stock) could result in dilution to our earnings per share and return on equity. If we elect cash settlement or net share settlement with respect to all or a portion of the shares of our common stock underlying a forward sale agreement, we expect the applicable forward purchaser (or an affiliate thereof) to purchase a number of shares of our common stock in secondary market transactions over an unwind period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 shares of our common stock to securities lenders to unwind such forward purchaser’s hedge (after taking into consideration any shares of our common stock to be delivered by us to such forward purchaser, in the case of net share settlement);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 the case of net share settlement, deliver shares of our common stock to us to the extent required in settlement of such forward sale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purchase of shares of our common stock in connection with a forward purchaser or its affiliate unwinding the forward purchaser’s hedge positions could cause the price of shares of our common stock to increase over such time (or prevent a decrease over such time), thereby increasing the amount of cash we would owe to such forward purchaser (or decreasing the amount of cash that the forward purchaser would owe us) upon a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forward sale price that we expect to receive upon physical settlement of a forward sale agreement will be subject to adjustment on a daily basis based on a floating interest rate factor equal to a specified daily rate less a spread and will be decreased based on certain specified amounts during the term of the applicable forward sale agreement. If the specified daily rate is less than the spread on any day, the interest rate factor will result in a daily reduction of the forward sale price. If the weighted average price at which a forward purchaser (or its affiliate) is able to purchase shares during the applicable unwind period under a forward sale agreement is above the relevant forward sale price, in the case of cash settlement, we would pay the applicable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weighted average price at which a forward purchaser (or its affiliate) is able to purchase shares during the applicable unwind period under a forward sale agreement is below the relevant forward sale price, in the case of cash settlement, we would be paid the difference in cash by the relevant forward purchaser under such forward sale agreement or, in the case of net share settlement, we would receive from such forward purchaser a number of shares of our common stock having a value equal to the difference. See “Underwriting - Forward Sale Agreements” for information on the forward sale agreements.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 case of our bankruptcy or insolvency, any forward sale will automatically terminate, and we would not receive the expected proceeds from any forward sales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and we consent to such a petition, any forward sale agreements that are then in effect will automatically terminate. If any such forward sale agreement so terminates under these circumstances, we would not be obligated to deliver to the relevant forward purchaser any of our common stock not previously delivered, and the relevant forward purchaser would be discharged from its obligation to pay the applicable forward sale price per share in respect of any of our common stock not previously settled under the applicable forward sale agreement. Therefore, to the extent that there are any shares of our common stock with respect to which any forward sale agreement has not been settled at the time of the commencement of any such bankruptcy or insolvency proceedings, we would not receive the relevant forward sale price per share in respect of those shares of our common stock. </w:t>
      </w:r>
    </w:p>
    <w:p>
      <w:pPr>
        <w:pStyle w:val="TextBody"/>
        <w:bidi w:val="0"/>
        <w:spacing w:before="240" w:after="0"/>
        <w:jc w:val="left"/>
        <w:rPr>
          <w:rFonts w:ascii="Times New Roman" w:hAnsi="Times New Roman"/>
          <w:sz w:val="20"/>
        </w:rPr>
      </w:pPr>
      <w:r>
        <w:rPr>
          <w:rFonts w:ascii="Times New Roman" w:hAnsi="Times New Roman"/>
          <w:b/>
          <w:i/>
          <w:sz w:val="20"/>
        </w:rPr>
        <w:t>The uncertainty of the U.S. federal income tax treatment of the cash that we might receive from cash settlement of a forward sale agreement and its impact on our ability to meet the REIT qualification requirements may preclude us from electing to cash settle a forward sale agreement</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elect to settle any forward sale agreement for cash and the settlement price is below the relevant forward sale price, we would be entitled to receive a cash payment from the applicable forward purchaser. Under Section 1032 of the Internal Revenue Code of 1986, as amended, or the Code, generally, no gains and losses are recognized by a corporation in dealing in its own shares, including pursuant to a “securities futures contract,” as defined in the Code by reference to the Exchange Act. It is not entirely clear whether a forward sale agreement qualifies as a “securities futures contract” or whether a cash settlement thereof would otherwise be subject to Section 1032 of the Code, and as a result, the federal income tax treatment of any cash settlement payment we receive is uncertain. In the event that we recognize a significant gain from the cash settlement of any forward sale agreement, we might not be able to satisfy the gross income requirements applicable to REITs under the Code. Therefore, we may only elect to cash settle a forward sale agreement if we determine that we can satisfy the gross income requirements for REITs while treating such cash settlement payment as nonqualifying income. In the event we are not able to make such a determination, we may be precluded from electing to cash settle a forward agreement even if the cash settlement may be the optimal business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151032_3"/>
      <w:bookmarkEnd w:id="5"/>
      <w:r>
        <w:rPr>
          <w:rFonts w:ascii="Times New Roman" w:hAnsi="Times New Roman"/>
          <w:b/>
          <w:sz w:val="20"/>
        </w:rPr>
        <w:t xml:space="preserve">IMPORTANT INFORMATION RELATED TO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that we incorporate by reference, contain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prospectus supplement and the accompanying prospectus, including the documents that we incorporate by reference, and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 including as a result of any increased borrowing costs on the Company’s outstanding floating 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“Risk Factors” in this prospectus supplement and in our Annual Report on Form 10-K for the year ended December 31, 2025, as well as our other reports filed with the SEC, which disclosures are incorporated herein by reference. You are cautioned not to place undue reliance on these forward-looking statements, which speak only as of the date of this prospectus supplement. We do not intend, and we undertake no obligation, to update any forward-looking information to reflect events or circumstances after the date of this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51032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initially receive any proceeds from the sale of shares of our common stock by the forward purchasers or their affiliates. All of the proceeds of this offering (excluding proceeds paid to us with respect to any shares of our common stock that we may sell to the underwriters in lieu of the forward purchasers or their affiliates selling our common stock to the underwriters) will be paid to the forward purchasers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Assuming full physical settlement of the forward sale agreements at an initial forward sale price of $23.12325 per share, we estimate that the net proceeds from this offering will be approximately $323,725,500 million ($372,284,325 million if the underwriters exercise their option to purchase additional shares in full), after deducting underwriting discounts and commissions and our estimated expenses related to this offering and the forward sale agreements. The initial forward sale price will be subject to adjustment on a daily basis based on a floating interest rate factor equal to a specified daily rate less a spread and will be decreased based on amounts related to expected dividends on shares of our common stock during the term of the applicable forward sale agreement. If the specified daily rate is less than the spread on any day a forward agreement is outstanding, the interest rate factor will result in a daily reduction of the forward sale price. We expect to settle the forward sale agreements no later than approximately 12 months from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cash settle the forward sale agreements, we would expect to receive an amount of net proceeds that is significantly lower than the estimate included under this caption, and we may not receive any net proceeds (or may owe cash to the forward purchasers). If we elect to net share settle the forward sale agreements in full, we would not receive any proceeds and we may owe shares of our common stock to the relevant forward purchasers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contribute the net proceeds, if any, received upon the settlement of the forward sale agreements (and from the sale of any shares of our common stock that we may sell to the underwriters in lieu of the forward purchasers selling our common stock to the underwriters) to the Operating Partnership in exchange for securities of the Operating Partnership that have economic interests substantially similar to those of our common stock. The Operating Partnership intends to use such net proceeds from this offering to fund future acquisition opportunities and for general corporate purposes. Pending such use, the Operating Partnership may invest the net proceeds in short-term, interest-bearing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As of June 12, 2026, we had no borrowings outstanding under our revolving credit facility. Our revolving credit facility bears interest at the Secured Overnight Financing Rate, or SOFR, plus an applicable margin. As of June 12, 2026, our revolving credit facility bore interest at SOFR plus a spread of 1.90%. Our revolving credit facility matures on March 1, 2029, with an option for us to extend maturity until March 1, 2030. </w:t>
      </w:r>
    </w:p>
    <w:p>
      <w:pPr>
        <w:pStyle w:val="TextBody"/>
        <w:bidi w:val="0"/>
        <w:spacing w:before="240" w:after="0"/>
        <w:jc w:val="left"/>
        <w:rPr>
          <w:rFonts w:ascii="Times New Roman" w:hAnsi="Times New Roman"/>
          <w:sz w:val="20"/>
        </w:rPr>
      </w:pPr>
      <w:r>
        <w:rPr>
          <w:rFonts w:ascii="Times New Roman" w:hAnsi="Times New Roman"/>
          <w:sz w:val="20"/>
        </w:rPr>
        <w:t xml:space="preserve">Affiliates of certain of the underwriters and/or forward purchasers are lenders and, in certain cases, agents under our revolving credit facility. To the extent that we use the net proceeds from this offering to repay amounts we have borrowed, may borrow or re-borrow in the future under our revolving credit facility, such affiliates of the underwriters and/or forward purchasers will receive their pro rata portion of any of the net proceeds from this offering to us or from the physical settlement of the forward sale agreements that we use to repay any such amounts. See “Underwriting.” </w:t>
      </w:r>
    </w:p>
    <w:p>
      <w:pPr>
        <w:pStyle w:val="TextBody"/>
        <w:bidi w:val="0"/>
        <w:spacing w:before="240" w:after="0"/>
        <w:jc w:val="left"/>
        <w:rPr>
          <w:rFonts w:ascii="Times New Roman" w:hAnsi="Times New Roman"/>
          <w:sz w:val="20"/>
        </w:rPr>
      </w:pPr>
      <w:r>
        <w:rPr>
          <w:rFonts w:ascii="Times New Roman" w:hAnsi="Times New Roman"/>
          <w:sz w:val="20"/>
        </w:rPr>
        <w:t xml:space="preserve">Before any issuance of shares of our common stock, if any, upon physical settlement or net share settlement of any forward sale agreements, we expect that the shares issuable upon settlement of such forward sale agreements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such forward sale agreement over the number of shares of our common stock that could be purchased by us in the market (based on the average market price during the period) using the proceeds receivable upon full physical settlement (based on the adjusted forward sale price at the end of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51032_6"/>
      <w:bookmarkEnd w:id="7"/>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named below have entered into an underwriting agreement by and among the Company, the forward purchasers, their affiliates and the underwriters, with respect to the shares being offered. Subject to certain conditions, each underwriter has severally agreed to purchase the number of shares indicated in the following table. Goldman Sachs &amp; Co. LLC is the representative of the 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4"/>
        <w:gridCol w:w="492"/>
        <w:gridCol w:w="97"/>
        <w:gridCol w:w="1800"/>
        <w:gridCol w:w="62"/>
      </w:tblGrid>
      <w:tr>
        <w:trPr/>
        <w:tc>
          <w:tcPr>
            <w:tcW w:w="7754"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7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492" w:type="dxa"/>
            <w:tcBorders/>
            <w:vAlign w:val="bottom"/>
          </w:tcPr>
          <w:p>
            <w:pPr>
              <w:pStyle w:val="TableContents"/>
              <w:bidi w:val="0"/>
              <w:spacing w:before="0" w:after="283"/>
              <w:jc w:val="left"/>
              <w:rPr/>
            </w:pPr>
            <w:r>
              <w:rPr/>
              <w:t>  </w:t>
            </w:r>
          </w:p>
        </w:tc>
        <w:tc>
          <w:tcPr>
            <w:tcW w:w="1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9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3,004,615</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49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2,252,067</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P. Morgan Securities LLC</w:t>
            </w:r>
          </w:p>
        </w:tc>
        <w:tc>
          <w:tcPr>
            <w:tcW w:w="49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2,252,067</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9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2,252,067</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49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1,854,643</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9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1,457,220</w:t>
            </w:r>
          </w:p>
        </w:tc>
        <w:tc>
          <w:tcPr>
            <w:tcW w:w="62"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49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927,321</w:t>
            </w:r>
          </w:p>
        </w:tc>
        <w:tc>
          <w:tcPr>
            <w:tcW w:w="62" w:type="dxa"/>
            <w:tcBorders/>
            <w:shd w:fill="CCEEFF" w:val="clear"/>
            <w:vAlign w:val="bottom"/>
          </w:tcPr>
          <w:p>
            <w:pPr>
              <w:pStyle w:val="TableContents"/>
              <w:bidi w:val="0"/>
              <w:spacing w:before="0" w:after="283"/>
              <w:jc w:val="left"/>
              <w:rPr/>
            </w:pPr>
            <w:r>
              <w:rPr/>
              <w:t> </w:t>
            </w:r>
          </w:p>
        </w:tc>
      </w:tr>
      <w:tr>
        <w:trPr/>
        <w:tc>
          <w:tcPr>
            <w:tcW w:w="7754"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9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14,000,000</w:t>
            </w:r>
          </w:p>
        </w:tc>
        <w:tc>
          <w:tcPr>
            <w:tcW w:w="62" w:type="dxa"/>
            <w:tcBorders/>
            <w:vAlign w:val="bottom"/>
          </w:tcPr>
          <w:p>
            <w:pPr>
              <w:pStyle w:val="TableContents"/>
              <w:bidi w:val="0"/>
              <w:spacing w:before="0" w:after="283"/>
              <w:jc w:val="left"/>
              <w:rPr/>
            </w:pPr>
            <w:r>
              <w:rPr/>
              <w:t> </w:t>
            </w:r>
          </w:p>
        </w:tc>
      </w:tr>
      <w:tr>
        <w:trPr/>
        <w:tc>
          <w:tcPr>
            <w:tcW w:w="7754"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80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an additional 2,100,000 shares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Upon any exercise of such option, we expect to enter into additional forward sale agreements with the forward purchasers in respect of the number of shares sold by the forward purchasers (or their respective affiliates) in connection with the exercise of such option. In such event, if the forward purchasers (or their respective affiliates) do not deliver and sell all of the shares of our common stock to be sold by them to the underwriters in connection with the exercise of such option, we will issue and sell to the underwriters a number of shares of our common stock equal to the number of shares of our common stock that the forward purchasers (or their respective affiliates) do not deliver and sell, and the number of shares underlying the additional forward sale agreements will be decreased by the number of shares that we issue and sell.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the Company. Such amounts are shown assuming both no exercise and full exercise of the underwriters’ option to purchase 2,100,000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9"/>
        <w:gridCol w:w="219"/>
        <w:gridCol w:w="145"/>
        <w:gridCol w:w="1159"/>
        <w:gridCol w:w="60"/>
        <w:gridCol w:w="219"/>
        <w:gridCol w:w="151"/>
        <w:gridCol w:w="1199"/>
        <w:gridCol w:w="64"/>
      </w:tblGrid>
      <w:tr>
        <w:trPr/>
        <w:tc>
          <w:tcPr>
            <w:tcW w:w="6989"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Paid by the Company</w:t>
            </w:r>
          </w:p>
        </w:tc>
        <w:tc>
          <w:tcPr>
            <w:tcW w:w="219"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6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2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0.77675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0.77675</w:t>
            </w:r>
          </w:p>
        </w:tc>
        <w:tc>
          <w:tcPr>
            <w:tcW w:w="64" w:type="dxa"/>
            <w:tcBorders/>
            <w:shd w:fill="CCEEFF" w:val="clear"/>
            <w:vAlign w:val="bottom"/>
          </w:tcPr>
          <w:p>
            <w:pPr>
              <w:pStyle w:val="TableContents"/>
              <w:bidi w:val="0"/>
              <w:spacing w:before="0" w:after="283"/>
              <w:jc w:val="left"/>
              <w:rPr/>
            </w:pPr>
            <w:r>
              <w:rPr/>
              <w:t> </w:t>
            </w:r>
          </w:p>
        </w:tc>
      </w:tr>
      <w:tr>
        <w:trPr/>
        <w:tc>
          <w:tcPr>
            <w:tcW w:w="698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10,874,500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12,505,675</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the forward purchasers and certain of their affiliates that the underwriters propose initially to offer the shares of our common stock to the public at the public offering price set forth on the cover page of this prospectus supplement and to certain dealers at that price less a concession not in excess of $0.466050 per share. After the initial offering of the shares, the public offering price, concession or any other term of this offering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with the underwriters, the forward purchasers and their affiliates, subject to certain exceptions, not to dispose of or hedge any of its common stock or securities convertible into or exchangeable for shares of common stock during the period from the date of this prospectus supplement continuing through the date 30 days after the date of this prospectus supplement, except with the prior written consent of the representative. This agreement does not apply to any existing employee benefit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Company’s executive officers and the Company’s directors have entered into lock-up agreements with the representative. Under these agreements, subject to certain exceptions (including transfers for charitable and estate planning purposes, selling shares to cover taxes upon the vesting, settlement or exercise of restricted stock units or performance share awards, written plans meeting the requirements of Rule 10b5-1 under the Securities Exchange Act of 1934, as amended (the “Exchange Act”); provided that no shares subject to such plan are transferred during the lock-up period, and transfers pursuant to a transaction involving a change of control of the Company), none of the executive officers or the directors may, without the prior written consent of the representative, directly or indirectly, offer for sale, sell, pledge, enter into any swap or other derivatives transaction that transfers to another any of the economic benefits or risks of ownership of the Company’s common stock, or otherwise dispose of any shares of the Company’s common stock or any securities that may be converted into or exchanged for any shares of the Company’s common stock during the period from the date of this prospectus supplement continuing through the date 30 days after the date of this prospectus supplement. At any time and without public notice, the representative may, in its sole discretion, release some or all of the securities from these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NYSE,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the total expenses of the offering, excluding underwriting discounts and commissions, will be approximately $0.5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indemnify the several underwriters against certain liabilities, including liabilities under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Affiliates of certain of the underwriters participating in this offering are lenders under our revolving credit facility. To the extent that net proceeds from this offering are used to repay borrowings outstanding under our revolving credit facility, those underwriters and/or affiliates, as applicable, will receive proceeds from this offering through the repayment of that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Forward Sale Agreements</w:t>
      </w:r>
    </w:p>
    <w:p>
      <w:pPr>
        <w:pStyle w:val="TextBody"/>
        <w:bidi w:val="0"/>
        <w:spacing w:before="120" w:after="0"/>
        <w:jc w:val="left"/>
        <w:rPr>
          <w:rFonts w:ascii="Times New Roman" w:hAnsi="Times New Roman"/>
          <w:sz w:val="20"/>
        </w:rPr>
      </w:pPr>
      <w:r>
        <w:rPr>
          <w:rFonts w:ascii="Times New Roman" w:hAnsi="Times New Roman"/>
          <w:sz w:val="20"/>
        </w:rPr>
        <w:t xml:space="preserve">We expect to enter into a forward sale agreement with each of the forward purchasers. In connection with the forward sale agreements, the forward purchasers or their affiliates are borrowing from third parties and selling to the underwriters an aggregate of 14,000,000 shares of our common stock that will be delivered in this offering. If any forward purchaser or its affiliate does not sell on the anticipated closing date of this offering all of the shares of our common stock to be sold by it to the underwriters, we will issue and sell to the underwriters a number of shares of our common stock equal to the number of shares of our common stock that the forward purchaser or its affiliate did not sell, and the number of shares underlying the relevant forward sale agreement will be decreased in respect of the number of shares that we issue and sell. </w:t>
      </w:r>
    </w:p>
    <w:p>
      <w:pPr>
        <w:pStyle w:val="TextBody"/>
        <w:bidi w:val="0"/>
        <w:spacing w:before="240" w:after="0"/>
        <w:jc w:val="left"/>
        <w:rPr>
          <w:rFonts w:ascii="Times New Roman" w:hAnsi="Times New Roman"/>
          <w:sz w:val="20"/>
        </w:rPr>
      </w:pPr>
      <w:r>
        <w:rPr>
          <w:rFonts w:ascii="Times New Roman" w:hAnsi="Times New Roman"/>
          <w:sz w:val="20"/>
        </w:rPr>
        <w:t xml:space="preserve">We will not initially receive any proceeds from the sale of shares of our common stock by the forward purchasers or their affiliates in this offering. We expect to physically settle the forward sale agreements, which would involve the issuance and delivery by us of shares of our common stock against payment by the forward purchasers for those shares on one or more forward settlement dates, which we expect to occur no later than approximately 12 months from the date of this prospectus supplement. We may also elect to cash settle or net share settle all or a portion of our obligations under a forward sale agreement if we conclude it is in our best interest to do so. If we elect to cash settle a forward sale agreement, we may not receive any proceeds, and we may owe cash to the relevant forward purchaser in certain circumstances. If we elect to net share settle a forward sale agreement, we will not receive any proceeds, and we may owe shares of our common stock to the relevant forward purchaser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On a settlement date, if we decide to physically settle the forward sale agreement, we will issue shares of our common stock to the forward purchaser under the forward sale agreement at the applicable forward sale price. The forward sale price will be subject to adjustment on a daily basis based on a floating interest rate factor equal to a specified daily rate less a spread and will be decreased based on certain specified amounts during the term of the applicable forward sale agreement. If the specified daily rate is less than the spread on any day a forward agreement is outstanding, the interest rate factor will result in a daily reduction of the forward sale price. If the weighted average price at which a forward purchaser (or its affiliate) is able to purchase shares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unwind period under a forward sale agreement is above the relevant forward sale price, in the case of cash settlement, we would pay the applicable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weighted average price at which a forward purchaser (or its affiliate) is able to purchase shares during the applicable unwind period under a forward sale agreement is below the relevant forward sale price, in the case of cash settlement, we would be paid the difference in cash by the relevant forward purchaser under such forward sale agreement or, in the case of net share settlement, we would receive from such forward purchaser a number of shares of our common stock having a value equal to the difference. </w:t>
      </w:r>
    </w:p>
    <w:p>
      <w:pPr>
        <w:pStyle w:val="TextBody"/>
        <w:bidi w:val="0"/>
        <w:spacing w:before="240" w:after="0"/>
        <w:jc w:val="left"/>
        <w:rPr>
          <w:rFonts w:ascii="Times New Roman" w:hAnsi="Times New Roman"/>
          <w:sz w:val="20"/>
        </w:rPr>
      </w:pPr>
      <w:r>
        <w:rPr>
          <w:rFonts w:ascii="Times New Roman" w:hAnsi="Times New Roman"/>
          <w:sz w:val="20"/>
        </w:rPr>
        <w:t xml:space="preserve">Before any issuance of shares of our common stock, if any, upon physical settlement or net share settlement of any forward sale agreements, we expect that the shares issuable upon settlement of such forward sale agreements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such forward sale agreement over the number of shares of our common stock that could be purchased by us in the market (based on the average market price during the period) using the proceeds receivable upon full physical settlement (based on the adjusted forward sale price at the end of the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Consequently, prior to physical settlement or net share settlement of the forward sale agreements and subject to the occurrence of certain events, we anticipate there will be no dilutive effect on our earnings per share and return on equity except during periods when the average market price of our common stock is above the per share forward sale price, which is initially $23.12325 (which is the price at which the underwriters agreed to buy the shares of our common stock offered hereby), subject to adjustment based on a floating interest rate factor equal to a specified daily rate less a spread, and subject to decrease on each of certain dates by an amount per share specified in the forward sale agreements related to expected dividends on shares of our common stock during the term of the forward sale agreements. However, if we decide to physically settle or net share settle any forward sale agreement, delivery of our shares on any physical settlement or net share settlement of such forward sale agreement could result in dilution to our earnings per share and return on equity.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conditions, we have the right to elect physical, cash or net share settlement under each forward sale agreement. A forward sale agreement will be physically settled by delivery of shares of our common stock, unless we elect to cash settle or net share settle such forward sale agreement. Delivery of shares of our common stock upon physical settlement (or, if we elect net share settlement, upon such settlement to the extent we are obligated to deliver shares of our common stock) could result in dilution to our earnings per share and return on equity. If we elect cash settlement or net share settlement with respect to all or a portion of the shares of our common stock underlying a forward sale agreement, we expect the applicable forward purchaser (or an affiliate thereof) to purchase a number of shares of our common stock in secondary market transactions over an unwind period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 shares of our common stock to securities lenders to unwind such forward purchaser’s hedge (after taking into consideration any shares of our common stock to be delivered by us to such forward purchaser, in the case of net share settlement);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 the case of net share settlement, deliver shares of our common stock to us to the extent required in settlement of such forward sale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purchase of shares of our common stock in connection with a forward purchaser or its affiliate unwinding the forward purchaser’s hedge positions could cause the price of shares of our common stock to increase over such time (or prevent a decrease over such time), thereby increasing the amount of cash we would owe to such forward purchaser (or decreasing the amount of cash that the forward purchaser would owe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upon a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forward purchaser will have the right to accelerate its forward sale agreement (with respect to all or, in certain cases, any portion of the transaction under such forward sale agreement that the forward purchaser determines is affected by an event described below) and require us to settle on a date specified by such forward purchaser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such forward purchaser’s commercially reasonable judgment, it or its affiliate (x) is unable to hedge in a commercially reasonable manner its exposure under such forward sale agreement because insufficient shares of our common stock have been made available for borrowing by securities lenders or (y) would incur a stock borrow cost in excess of a specified threshold to hedge in a commercially reasonable manner its exposure under such forward sale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declare any dividend or distribution on shares of our common stock (a) payable in cash in excess of specified amounts, (b) that constitutes an extraordinary dividend under the forward sale agreement, (c) payable in securities of another company as a result of a spin-off or similar transaction, or (d) of any other type of securities (other than our common stock), rights, warrants or other assets for payment at less than the prevailing market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ownership thresholds applicable to such forward purchaser and its affiliates are exceeded;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is announced that if consummated would result in a specified extraordinary event (including certain mergers or tender offers, as well as certain events involving our nationalization, or insolvency, or a delisting of our common stock) or the occurrence of a change in law or hedging disruption;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events of default or termination events occur, including, among others, any material misrepresentation made in connection with such forward sale agreement or our insolvency (each as more fully described in each forward sale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forward purchaser’s decision to exercise its right to accelerate the settlement of the applicable forward sale agreement will be made irrespective of our interests, including our need for capital. In such cases, we could be required to issue and deliver shares of our common stock under the physical settlement provisions of the applicable forward sale agreement or, if we so elect and a forward purchaser so permits our election, net share settlement provisions of the applicable forward sale agreement irrespective of our capital needs, which could result in dilution to our earnings per share and return on equity. In addition, upon certain events of bankruptcy, insolvency or reorganization relating to us, the forward sale agreement will terminate without further liability of either party. Following any such termination, we would not issue any shares of our common stock or receive any proceeds pursuant to the forward sale agreement. See “Risk Factors - Risks Related to the Forward Sale Agreements”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an offer to the public of any securities may not be made in that Relevant Member State prior to the publication of a prospectus supplement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securities shall result in a requirement for the Company or any of the underwriters to publish a prospectus supplement pursuant to Article 3 of the Prospectus Regulation or a supplemental prospectus supplement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the offering of the securities falls within one of the exceptions specified in Part 1 of Schedule 1 of the Public Offers and Admissions to Trading Regulations 2024 (the “POATRs”) and, accordingly, there will not be a prospectus supplement prepared or published for the purposes of the POATRs. This prospectus supplement does not constitute a prospectus supplement for the purposes of the POATRs. </w:t>
      </w:r>
    </w:p>
    <w:p>
      <w:pPr>
        <w:pStyle w:val="TextBody"/>
        <w:bidi w:val="0"/>
        <w:spacing w:before="240" w:after="0"/>
        <w:jc w:val="left"/>
        <w:rPr>
          <w:rFonts w:ascii="Times New Roman" w:hAnsi="Times New Roman"/>
          <w:sz w:val="20"/>
        </w:rPr>
      </w:pPr>
      <w:r>
        <w:rPr>
          <w:rFonts w:ascii="Times New Roman" w:hAnsi="Times New Roman"/>
          <w:sz w:val="20"/>
        </w:rPr>
        <w:t xml:space="preserve">An offer to the public of any shares may not be made in the United Kingdom, except that an offer to the public in the United Kingdom of any shares may be made at any time under the following exemptions: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persons (other than qualified investors as defined in paragraph 15 of Schedule 1 to the POATRs) in the United Kingdom subject to obtaining the prior consent of the relevant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supplement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securities to which this prospectus supplement relates may be illiquid and/or subject to restrictions on their resale. Prospective purchasers of the securities should conduct their own due diligence on the securities. If you do not understand the contents of this prospectus supplement, you should consult an authorized financial advisor.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us or the securities has been or will be filed with or approved by any Swiss regulatory authority. In particular, this prospectus supplement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to Prospective Investors in 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51032_7"/>
      <w:bookmarkEnd w:id="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this offering will be passed upon for us by Goodwin Procter LLP, Boston, Massachusetts, and by Venable LLP, Baltimore, Maryland, with respect to matters of Maryland law. Certain legal matters in connection with this offering will be passed upon for our underwriters and the forward purchasers by Skadden, Arps, Slate, Meagher &amp; Flom LLP, New York, New York. </w:t>
      </w:r>
    </w:p>
    <w:p>
      <w:pPr>
        <w:pStyle w:val="TextBody"/>
        <w:bidi w:val="0"/>
        <w:spacing w:before="480" w:after="0"/>
        <w:jc w:val="center"/>
        <w:rPr>
          <w:rFonts w:ascii="Times New Roman" w:hAnsi="Times New Roman"/>
          <w:b/>
          <w:sz w:val="20"/>
        </w:rPr>
      </w:pPr>
      <w:bookmarkStart w:id="9" w:name="supprom151032_8"/>
      <w:bookmarkEnd w:id="9"/>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requirements of the Exchange Act, and in accordance with the Exchange Act, we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incorporated by reference herein is an important part of this prospectus supplement. Any statement contained in a document which is incorporated by reference in this prospectus supplement is automatically updated and superseded if information contained in this prospectus supplement, or information that we later file with the SEC prior to the termination of this offering, modifies or replaces this information. Our Exchange Act file number is 001-12504. We are incorporating by reference the documents listed below (excluding any portions of such documents that have been “furnished” but not “filed” for purposes of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4">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6">
              <w:r>
                <w:rPr>
                  <w:rStyle w:val="InternetLink"/>
                  <w:rFonts w:ascii="Times New Roman" w:hAnsi="Times New Roman"/>
                  <w:sz w:val="20"/>
                </w:rPr>
                <w:t>Current Report on Form 8-K</w:t>
              </w:r>
            </w:hyperlink>
            <w:r>
              <w:rPr>
                <w:rFonts w:ascii="Times New Roman" w:hAnsi="Times New Roman"/>
                <w:sz w:val="20"/>
              </w:rPr>
              <w:t xml:space="preserve"> filed on February  26, 2026, our </w:t>
            </w:r>
            <w:hyperlink r:id="rId7">
              <w:r>
                <w:rPr>
                  <w:rStyle w:val="InternetLink"/>
                  <w:rFonts w:ascii="Times New Roman" w:hAnsi="Times New Roman"/>
                  <w:sz w:val="20"/>
                </w:rPr>
                <w:t>Current Report on Form 8-K</w:t>
              </w:r>
            </w:hyperlink>
            <w:r>
              <w:rPr>
                <w:rFonts w:ascii="Times New Roman" w:hAnsi="Times New Roman"/>
                <w:sz w:val="20"/>
              </w:rPr>
              <w:t xml:space="preserve"> filed on May  13, 2026 and our </w:t>
            </w:r>
            <w:hyperlink r:id="rId8">
              <w:r>
                <w:rPr>
                  <w:rStyle w:val="InternetLink"/>
                  <w:rFonts w:ascii="Times New Roman" w:hAnsi="Times New Roman"/>
                  <w:sz w:val="20"/>
                </w:rPr>
                <w:t>Current Report on Form 8-K</w:t>
              </w:r>
            </w:hyperlink>
            <w:r>
              <w:rPr>
                <w:rFonts w:ascii="Times New Roman" w:hAnsi="Times New Roman"/>
                <w:sz w:val="20"/>
              </w:rPr>
              <w:t xml:space="preserve"> filed on June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w:t>
            </w:r>
            <w:hyperlink r:id="rId9">
              <w:r>
                <w:rPr>
                  <w:rStyle w:val="InternetLink"/>
                  <w:rFonts w:ascii="Times New Roman" w:hAnsi="Times New Roman"/>
                  <w:sz w:val="20"/>
                </w:rPr>
                <w:t>Registration Statement on Form 8-A</w:t>
              </w:r>
            </w:hyperlink>
            <w:r>
              <w:rPr>
                <w:rFonts w:ascii="Times New Roman" w:hAnsi="Times New Roman"/>
                <w:sz w:val="20"/>
              </w:rPr>
              <w:t xml:space="preserve">, filed on November 13, 1998, as updated by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supplement and prior to the termination of this offering,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supplement is delivered, a copy of any or all of the documents incorporated by reference in this prospectus supplement. You may request a copy of these filings, and any exhibits we have specifically incorporated by reference as an exhibit in this prospectus supplement,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an interest in a fractional share or multiple shares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and/or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purchase contracts relating to a specified number of shares of common stock, preferred stock or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of these classes or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“MAC.” On August 3, 2023, the last reported sale price of our common stock on the NYSE was $12.59 per share. As of the date of this prospectus, none of the other securities that we may offer by this prospectus is listed on any national securities exchange or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rom151032_5">
        <w:r>
          <w:rPr>
            <w:rStyle w:val="InternetLink"/>
            <w:rFonts w:ascii="Times New Roman" w:hAnsi="Times New Roman"/>
            <w:b/>
            <w:sz w:val="24"/>
          </w:rPr>
          <w:t>Risk Factors</w:t>
        </w:r>
      </w:hyperlink>
      <w:r>
        <w:rPr>
          <w:rFonts w:ascii="Times New Roman" w:hAnsi="Times New Roman"/>
          <w:b/>
          <w:sz w:val="24"/>
        </w:rPr>
        <w:t xml:space="preserve">” beginning on page 4 of this prospectus, as well as the Risk Factors contained in the applicable prospectus supplement and in the documents we incorporate by reference in this prospectus to read about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3">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4">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6">
              <w:r>
                <w:rPr>
                  <w:rStyle w:val="InternetLink"/>
                  <w:rFonts w:ascii="Times New Roman" w:hAnsi="Times New Roman"/>
                  <w:sz w:val="20"/>
                </w:rPr>
                <w:t>THE MACERICH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8">
              <w:r>
                <w:rPr>
                  <w:rStyle w:val="InternetLink"/>
                  <w:rFonts w:ascii="Times New Roman" w:hAnsi="Times New Roman"/>
                  <w:sz w:val="20"/>
                </w:rPr>
                <w:t>DESCRIPTION OF OUR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1">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4">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5">
              <w:r>
                <w:rPr>
                  <w:rStyle w:val="InternetLink"/>
                  <w:rFonts w:ascii="Times New Roman" w:hAnsi="Times New Roman"/>
                  <w:sz w:val="20"/>
                </w:rPr>
                <w:t>DESCRIPTION OF STOCK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6">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7">
              <w:r>
                <w:rPr>
                  <w:rStyle w:val="InternetLink"/>
                  <w:rFonts w:ascii="Times New Roman" w:hAnsi="Times New Roman"/>
                  <w:sz w:val="20"/>
                </w:rPr>
                <w:t>MATERIAL UNITED STATES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8">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1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2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151032_2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151032_1"/>
      <w:bookmarkEnd w:id="1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the context otherwise requires, references in this prospectus to the “Company,”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rPr>
      </w:pPr>
      <w:bookmarkStart w:id="11" w:name="rom151032_2"/>
      <w:bookmarkEnd w:id="1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151032_3"/>
      <w:bookmarkEnd w:id="12"/>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2">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on February 24,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13">
              <w:r>
                <w:rPr>
                  <w:rStyle w:val="InternetLink"/>
                  <w:rFonts w:ascii="Times New Roman" w:hAnsi="Times New Roman"/>
                  <w:sz w:val="20"/>
                </w:rPr>
                <w:t>Proxy Statement on Schedule 14A</w:t>
              </w:r>
            </w:hyperlink>
            <w:r>
              <w:rPr>
                <w:rFonts w:ascii="Times New Roman" w:hAnsi="Times New Roman"/>
                <w:sz w:val="20"/>
              </w:rPr>
              <w:t xml:space="preserve"> for our 2023 Annual Meeting of Stockholders, filed on April 21, 2023, that are incorporated by reference in our Annual Report on Form 10-K for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Quarterly Report on Form 10-Q</w:t>
              </w:r>
            </w:hyperlink>
            <w:r>
              <w:rPr>
                <w:rFonts w:ascii="Times New Roman" w:hAnsi="Times New Roman"/>
                <w:sz w:val="20"/>
              </w:rPr>
              <w:t xml:space="preserve"> for the period ended March 31, 2023, filed on May 8,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5">
              <w:r>
                <w:rPr>
                  <w:rStyle w:val="InternetLink"/>
                  <w:rFonts w:ascii="Times New Roman" w:hAnsi="Times New Roman"/>
                  <w:sz w:val="20"/>
                </w:rPr>
                <w:t>February  1, 2023</w:t>
              </w:r>
            </w:hyperlink>
            <w:r>
              <w:rPr>
                <w:rFonts w:ascii="Times New Roman" w:hAnsi="Times New Roman"/>
                <w:sz w:val="20"/>
              </w:rPr>
              <w:t xml:space="preserve"> and </w:t>
            </w:r>
            <w:hyperlink r:id="rId16">
              <w:r>
                <w:rPr>
                  <w:rStyle w:val="InternetLink"/>
                  <w:rFonts w:ascii="Times New Roman" w:hAnsi="Times New Roman"/>
                  <w:sz w:val="20"/>
                </w:rPr>
                <w:t>June 5,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w:t>
            </w:r>
            <w:hyperlink r:id="rId17">
              <w:r>
                <w:rPr>
                  <w:rStyle w:val="InternetLink"/>
                  <w:rFonts w:ascii="Times New Roman" w:hAnsi="Times New Roman"/>
                  <w:sz w:val="20"/>
                </w:rPr>
                <w:t>Registration Statement on Form 8-A</w:t>
              </w:r>
            </w:hyperlink>
            <w:r>
              <w:rPr>
                <w:rFonts w:ascii="Times New Roman" w:hAnsi="Times New Roman"/>
                <w:sz w:val="20"/>
              </w:rPr>
              <w:t xml:space="preserve">, filed on November 13, 1998, as updated by </w:t>
            </w:r>
            <w:hyperlink r:id="rId18">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2022, filed on February 24, 2023,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151032_4"/>
      <w:bookmarkEnd w:id="1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rising interest rates and inflation and its impact on the financial condition and results of operation of us and our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COVID-19 or any future pandemic, epidemic or outbreak of any other highly infectious disease on the U.S., regional and global economies and the financial condition and on our results of operations and the results of operations of our tenants; the liquidity of real estate investments,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2022,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151032_5"/>
      <w:bookmarkEnd w:id="1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 </w:t>
      </w:r>
    </w:p>
    <w:p>
      <w:pPr>
        <w:pStyle w:val="TextBody"/>
        <w:bidi w:val="0"/>
        <w:spacing w:before="480" w:after="0"/>
        <w:jc w:val="center"/>
        <w:rPr>
          <w:rFonts w:ascii="Times New Roman" w:hAnsi="Times New Roman"/>
          <w:b/>
          <w:sz w:val="20"/>
        </w:rPr>
      </w:pPr>
      <w:bookmarkStart w:id="15" w:name="rom151032_6"/>
      <w:bookmarkEnd w:id="15"/>
      <w:r>
        <w:rPr>
          <w:rFonts w:ascii="Times New Roman" w:hAnsi="Times New Roman"/>
          <w:b/>
          <w:sz w:val="20"/>
        </w:rPr>
        <w:t xml:space="preserve">THE MACERICH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2023, the Operating Partnership owned or had an ownership interest in 44 regional town centers (including office, hotel and residential space adjacent to these shopping centers), four community/power shopping centers, one office property and one redevelopment property. These 50 regional town centers, community/power shopping centers, office and redevelopment properties consist of approximately 47 million square feet of gross leasable area (“GLA”) and are referred to herein as the “Centers”. </w:t>
      </w:r>
    </w:p>
    <w:p>
      <w:pPr>
        <w:pStyle w:val="TextBody"/>
        <w:bidi w:val="0"/>
        <w:spacing w:before="240" w:after="0"/>
        <w:jc w:val="left"/>
        <w:rPr>
          <w:rFonts w:ascii="Times New Roman" w:hAnsi="Times New Roman"/>
          <w:sz w:val="20"/>
        </w:rPr>
      </w:pPr>
      <w:r>
        <w:rPr>
          <w:rFonts w:ascii="Times New Roman" w:hAnsi="Times New Roman"/>
          <w:sz w:val="20"/>
        </w:rPr>
        <w:t xml:space="preserve">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 </w:t>
      </w:r>
    </w:p>
    <w:p>
      <w:pPr>
        <w:pStyle w:val="TextBody"/>
        <w:bidi w:val="0"/>
        <w:spacing w:before="240" w:after="0"/>
        <w:jc w:val="left"/>
        <w:rPr>
          <w:rFonts w:ascii="Times New Roman" w:hAnsi="Times New Roman"/>
          <w:sz w:val="20"/>
        </w:rPr>
      </w:pPr>
      <w:r>
        <w:rPr>
          <w:rFonts w:ascii="Times New Roman" w:hAnsi="Times New Roman"/>
          <w:sz w:val="20"/>
        </w:rPr>
        <w:t xml:space="preserve">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 </w:t>
      </w:r>
    </w:p>
    <w:p>
      <w:pPr>
        <w:pStyle w:val="TextBody"/>
        <w:bidi w:val="0"/>
        <w:spacing w:before="480" w:after="0"/>
        <w:jc w:val="center"/>
        <w:rPr>
          <w:rFonts w:ascii="Times New Roman" w:hAnsi="Times New Roman"/>
          <w:b/>
          <w:sz w:val="20"/>
        </w:rPr>
      </w:pPr>
      <w:bookmarkStart w:id="16" w:name="rom151032_7"/>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 </w:t>
      </w:r>
    </w:p>
    <w:p>
      <w:pPr>
        <w:pStyle w:val="TextBody"/>
        <w:bidi w:val="0"/>
        <w:spacing w:before="480" w:after="0"/>
        <w:jc w:val="center"/>
        <w:rPr>
          <w:rFonts w:ascii="Times New Roman" w:hAnsi="Times New Roman"/>
          <w:b/>
          <w:sz w:val="20"/>
        </w:rPr>
      </w:pPr>
      <w:bookmarkStart w:id="17" w:name="rom151032_8"/>
      <w:bookmarkEnd w:id="17"/>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2023, we had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215,545,896 shares of common stock (including 289,971 shares of unvested restricted common stock) issued and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1,961,345 shares of Series D Cumulative Convertible Preferred Stock, par value $0.01 per share (the “Series D Preferred Stock”), authorized, none of which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2023, 26,371 shares of our common stock were reserved for issuance upon exercise of outstanding employee stock options and employee stock appreciation rights, 294,858 shares of our common stock were reserved for issuance upon the payment of stock units issued under our Eligible Directors’ Deferred Compensation/Phantom Stock Plan and 2003 Equity Incentive Plan, each as amended and restated, 12,756,129 shares of our common stock were reserved for issuance upon redemption of outstanding limited partnership units and long-term incentive plan units (including 3,771,847 of unvested long-term incentive plan units) of the Operating Partnership, and 100,777 shares of our common stock were reserved for issuance upon redemption of outstanding limited partnership units of MACWH, LP. </w:t>
      </w:r>
    </w:p>
    <w:p>
      <w:pPr>
        <w:pStyle w:val="TextBody"/>
        <w:bidi w:val="0"/>
        <w:spacing w:before="240" w:after="0"/>
        <w:jc w:val="left"/>
        <w:rPr>
          <w:rFonts w:ascii="Times New Roman" w:hAnsi="Times New Roman"/>
          <w:sz w:val="20"/>
        </w:rPr>
      </w:pPr>
      <w:r>
        <w:rPr>
          <w:rFonts w:ascii="Times New Roman" w:hAnsi="Times New Roman"/>
          <w:sz w:val="20"/>
        </w:rPr>
        <w:t xml:space="preserve">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and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Internal Revenue Code of 1986, as amended (the “Code”), both of the following conditions relating to ownership of shares must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capital stock must be beneficially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“Material United States Federal Income Tax Considerations—Classification and Taxation of The Macerich Company as a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Restricts the Ownership and Transfer of Shares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exceptions specified in our Charter, no stockholder may own, or be deemed to own by virtue of the attribution provisions of the Code, in excess of the lesser of 5% in value or in number of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Excess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preferred stock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“closely held” under Section 856(h) of the Code (determined without regard to Code Section 856(h)(2) and by deleting the words “the last half of” in the first sentence of Code Section 542(a)(2) in applying Code Section 856(h));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disqualification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representing shares of our common stock and our preferred stock bear, or will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Provisions of Maryland Law and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ownership limit, certain provisions of our Charter, Bylaws and the MGCL may delay, defer or prevent a change of control or other transaction in which holders of some, or a majority, of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Director Nominations and New Business; Procedures for Special Meetings Requested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of directors and the proposal of other business to be considered by stockholders at an annual meeting of stockholders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notice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Exemptions for Our Original Founders from the Maryland Business Combination Act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outstanding voting stock;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immediately prior to the date in question, was the beneficial owner, directly or indirectly, of 10% or more of the voting power of the then outstanding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Non-Stockholder Constituencies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Our Charter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three independent directors to elect, without any stockholder vote or other action and notwithstanding any contrary provision in its charter or bylaws, to be subject to any or all of the following five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3-803 – requiring classification of the board of directors into three classes;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3-804(a)—requiring that stockholders may remove any director by the affirmative vote of at least two-thirds of all the votes entitled to be cast by the stockholders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3-804(b)—requiring that the number of directors be fixed only by vote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3-805—requiring that a special meeting of stockholders may be called only upon the written request of stockholders entitled to cast at least a majority of all the votes entitled to be cast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hAnsi="Times New Roman"/>
          <w:i/>
          <w:sz w:val="20"/>
        </w:rPr>
        <w:t>(i.e.</w:t>
      </w:r>
      <w:r>
        <w:rPr>
          <w:rFonts w:ascii="Times New Roman" w:hAnsi="Times New Roman"/>
          <w:sz w:val="20"/>
        </w:rPr>
        <w:t xml:space="preserv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Election; Removal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ten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directors are required to be elected by the affirmative vote of a majority of all the votes cast on the matter at a meeting at which a quorum is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Dissolution </w:t>
      </w:r>
    </w:p>
    <w:p>
      <w:pPr>
        <w:pStyle w:val="TextBody"/>
        <w:bidi w:val="0"/>
        <w:spacing w:before="120" w:after="0"/>
        <w:jc w:val="left"/>
        <w:rPr>
          <w:rFonts w:ascii="Times New Roman" w:hAnsi="Times New Roman"/>
          <w:sz w:val="20"/>
        </w:rPr>
      </w:pPr>
      <w:r>
        <w:rPr>
          <w:rFonts w:ascii="Times New Roman" w:hAnsi="Times New Roman"/>
          <w:sz w:val="20"/>
        </w:rPr>
        <w:t xml:space="preserve">Our dissolution must be approved by our board of directors and by the affirmative vote of not less than a majority of all of the votes entitled to be cast on the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Vote for Extraordinary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151032_9"/>
      <w:bookmarkEnd w:id="18"/>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Stock—Selected Provisions of Maryland Law and of Our Charter and Bylaws.” Our common stock is not subject to assessment.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151032_10"/>
      <w:bookmarkEnd w:id="19"/>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class or series of preferred stock offered by that supplement will describe the specific terms of those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that preferred stock offered, the liquidation preference per share and the offering price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on that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those limitations described elsewhere in this prospectus and any prospectus supplement, any other limitations on actual and constructive ownership and restrictions on transfer, in each case as may be appropriate to preserve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that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common stock and to all equity securities issued by us the terms of which expressly provide that those equity securities rank junior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so provide or which do not expressly provide that those equity securities rank junior or senior to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expressly provide that those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payment made on shares of a series or class of preferred stock will first be credited against the earliest accrued but unpaid dividend due with respect to shares of that series or class that remains payable.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 distribution by dividend, redemption or other acquisition of stock or otherwise is permitted under the MGCL, amounts that would be needed, if we were to be dissolved at the time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to satisfy the preferential rights upon dissolution of stockholders whose preferential rights on dissolution are superior to those receiving the distribution will not be added to our total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so states, the shares of preferred stock will be subject to mandatory redemption or redemption at our option, in whole or in part, in each case on the terms, at the times and at the redemption prices set forth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Each notice of redemption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the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the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as to the shares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fewer than all the shares of preferred stock of any series are to be redeemed, the notice mailed to each holder will also specify the number of shares of preferred stock to be redeemed from each holder. If notice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not have any voting rights, except as set forth below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provided otherwise for any series or class of preferred stock, so long as any shares of preferred stock of a series or class remain outstanding,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 (i) 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shares of any series or class of preferred stock are convertible into shares of common stock will be set forth in the applicable prospectus supplement. The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into which the preferred stock is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manner of calculation of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our option or the option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51032_11"/>
      <w:bookmarkEnd w:id="20"/>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depository receipts entitled to receive the distribution. Such distributions by the depositary are subject to certain obligations of holders to file proofs, certificates, and other information and to pay certain charges and expenses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or exchanged. No fractional shares will be issued upon conversion or exchange. If conversion or exchange will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 </w:t>
      </w:r>
    </w:p>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preferred stock shall have been converted into capital stock that is not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any reports and communications from us which it receives with respect to the related shares of preferred stock. Neither we nor the depositary will be liable if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151032_12"/>
      <w:bookmarkEnd w:id="2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We use the term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a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whole or in part, in global form and, if so, the terms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which may be fixed or variable, or the method for determining the rate,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of a series, including the terms of subordination, if any, of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a series will be repurchased by us at the option of the holders thereof and the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in which the series of debt securities will be denominated;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30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payable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established with respect to a series of debt securities pursuant to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the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Indentures;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omission,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of 1939 or the applicable rules or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issuance, authorization and delivery of debt securities of any unissued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an indenture, provided that such action shall not adversely affect the interests of holders or any related coupons in any material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respect; provided further, that any change to an indenture to conform it to this prospectus or the applicable prospectus supplement shall be deemed not to adversely affect the interests of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stated fixed maturity of, or any payment date of any installment of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interest on, or reducing any premium payable upon the redemption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supplemental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of 1939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51032_13"/>
      <w:bookmarkEnd w:id="2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of the warrants,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warrants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warrants and the underlying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may accelerate the date by which the warrants must be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U.S. dollars only and will be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warrants, holders of the warrants to purchase shares of common stock or preferred stock will not have any rights of holders of shares of common stock or preferred stock, including the right to receive payments of dividends, if any, or to exercise any applicable right to vote.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underlying securities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expiration;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referred to above are in turn influenced by various political, economic and other factors that can affect the trading price of the underlying securities and should be carefully considered prior to making any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that number or amount of underlying securities, at the exercise price, as will in each case be described in the prospectus supplement relating to the offered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close of business on the Expiration Date (which may be extended by us),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the warrant agreement without the consent of the holders of the warrants issued under the agreement to effect changes that are not inconsistent with the provisions of the warrants and that do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51032_14"/>
      <w:bookmarkEnd w:id="23"/>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rights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persons entitled to participate in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rights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commences and the date on which the right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rights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the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Rights will be exercisable for U.S. dollars only and will be in registered form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51032_15"/>
      <w:bookmarkEnd w:id="24"/>
      <w:r>
        <w:rPr>
          <w:rFonts w:ascii="Times New Roman" w:hAnsi="Times New Roman"/>
          <w:b/>
          <w:sz w:val="20"/>
        </w:rPr>
        <w:t xml:space="preserve">DESCRIPTION OF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provide for settlement by delivery by us or on our behalf of shares of the underlying security, or they may provide for settlement by reference or linkage to the value, performance or trading price of the underlying security.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depository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51032_16"/>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units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have the units traded on a securities exchange or securities quotation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for U.S. federal income tax purposes, the purchase price paid for the units is to be allocated among the component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151032_17"/>
      <w:bookmarkEnd w:id="26"/>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The Macerich Company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 </w:t>
      </w:r>
    </w:p>
    <w:p>
      <w:pPr>
        <w:pStyle w:val="TextBody"/>
        <w:bidi w:val="0"/>
        <w:spacing w:before="24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 </w:t>
      </w:r>
    </w:p>
    <w:p>
      <w:pPr>
        <w:pStyle w:val="TextBody"/>
        <w:bidi w:val="0"/>
        <w:spacing w:before="24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20%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 </w:t>
      </w:r>
    </w:p>
    <w:p>
      <w:pPr>
        <w:pStyle w:val="TextBody"/>
        <w:bidi w:val="0"/>
        <w:spacing w:before="240" w:after="0"/>
        <w:jc w:val="left"/>
        <w:rPr>
          <w:rFonts w:ascii="Times New Roman" w:hAnsi="Times New Roman"/>
          <w:sz w:val="20"/>
        </w:rPr>
      </w:pPr>
      <w:r>
        <w:rPr>
          <w:rFonts w:ascii="Times New Roman" w:hAnsi="Times New Roman"/>
          <w:sz w:val="20"/>
        </w:rPr>
        <w:t xml:space="preserve">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(i) made in the normal course of our business primarily to manage risk of interest rate or price changes or currency fluctuations with respect to borrowings made or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Allocations with Respect to Contributed Properties.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of The Macerich Company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nonresident alien individuals or non-U.S.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before January 1, 2026, and subject to certain limitations, non-corporate taxpayers may deduct up to 20% of certain qualified business income, including “qualified REIT dividends.” Qualified REIT dividends eligible for this 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24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taxes do not apply, or do not apply as favorably, to dividends from REITs. However, if a distribution is treated as 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exchange, repurchase, or other disposition of our stock as long as at all times during the five-year period 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and may be subject to the 30% branch profits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is a “qualified collective investment vehicle” (within the meaning of Section 897(k) (3)(B)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 </w:t>
      </w:r>
    </w:p>
    <w:p>
      <w:pPr>
        <w:pStyle w:val="TextBody"/>
        <w:bidi w:val="0"/>
        <w:spacing w:before="240" w:after="0"/>
        <w:jc w:val="left"/>
        <w:rPr>
          <w:rFonts w:ascii="Times New Roman" w:hAnsi="Times New Roman"/>
          <w:sz w:val="20"/>
        </w:rPr>
      </w:pPr>
      <w:r>
        <w:rPr>
          <w:rFonts w:ascii="Times New Roman" w:hAnsi="Times New Roman"/>
          <w:sz w:val="20"/>
        </w:rPr>
        <w:t xml:space="preserve">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stock and distributions treated as gain from the sale or exchange of our stock under the rules described above under “—Dividends,”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240" w:after="0"/>
        <w:jc w:val="left"/>
        <w:rPr>
          <w:rFonts w:ascii="Times New Roman" w:hAnsi="Times New Roman"/>
          <w:sz w:val="20"/>
        </w:rPr>
      </w:pPr>
      <w:r>
        <w:rPr>
          <w:rFonts w:ascii="Times New Roman" w:hAnsi="Times New Roman"/>
          <w:sz w:val="20"/>
        </w:rPr>
        <w:t xml:space="preserve">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that is a nonresident alien individual or a non-U.S.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Holder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 the Non-U.S. Holder is not present in the United States for 183 days or more in the taxable year, and (iii)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 on “withholdable payments” made to FFIs and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51032_18"/>
      <w:bookmarkEnd w:id="2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that are incorporated into this prospectus by reference. </w:t>
      </w:r>
    </w:p>
    <w:p>
      <w:pPr>
        <w:pStyle w:val="TextBody"/>
        <w:bidi w:val="0"/>
        <w:spacing w:before="480" w:after="0"/>
        <w:jc w:val="center"/>
        <w:rPr>
          <w:rFonts w:ascii="Times New Roman" w:hAnsi="Times New Roman"/>
          <w:b/>
          <w:sz w:val="20"/>
        </w:rPr>
      </w:pPr>
      <w:bookmarkStart w:id="28" w:name="rom151032_19"/>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under this prospectus in one or more transactions from time to time,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may sell some or all of the securities offered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or call options, forward or other derivative transactions relating to the shares of common stock or other securities being registered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privately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As applicable, we, and our respective underwriters, dealers or agents, reserve the right to accept or reject all or part of any proposed purchase of the securities. We will set forth in a prospectus supplement the terms and offering of securities by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concessions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options, if any, under which underwriters may purchase additional securities from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the proceeds we will receive from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on which such securities may be listed,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or preferred stock may be issued upon conversion of our debt securities or in exchange for our debt securities. Our common stock may also be issued upon conversion of our preferred stock. Additionally, securities may be issued upon exercise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i/>
          <w:sz w:val="20"/>
        </w:rPr>
        <w:t>Underwriters, Agents and Dealers.</w:t>
      </w:r>
      <w:r>
        <w:rPr>
          <w:rFonts w:ascii="Times New Roman" w:hAnsi="Times New Roman"/>
          <w:sz w:val="20"/>
        </w:rPr>
        <w:t xml:space="preserve"> Any underwritten offering may be on a best efforts or a firm commitment basis. The securities may be offered to the 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may grant underwriters who participate in the distribution of our securities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who may become involved in the sale of our securities may engage in transactions with and perform other services for us for which they receive compensation. </w:t>
      </w:r>
    </w:p>
    <w:p>
      <w:pPr>
        <w:pStyle w:val="TextBody"/>
        <w:bidi w:val="0"/>
        <w:spacing w:before="240" w:after="0"/>
        <w:jc w:val="left"/>
        <w:rPr>
          <w:rFonts w:ascii="Times New Roman" w:hAnsi="Times New Roman"/>
          <w:sz w:val="20"/>
        </w:rPr>
      </w:pPr>
      <w:r>
        <w:rPr>
          <w:rFonts w:ascii="Times New Roman" w:hAnsi="Times New Roman"/>
          <w:i/>
          <w:sz w:val="20"/>
        </w:rPr>
        <w:t>Stabilization Activities.</w:t>
      </w:r>
      <w:r>
        <w:rPr>
          <w:rFonts w:ascii="Times New Roman" w:hAnsi="Times New Roman"/>
          <w:sz w:val="20"/>
        </w:rPr>
        <w:t xml:space="preserve"> 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0"/>
        <w:jc w:val="left"/>
        <w:rPr>
          <w:rFonts w:ascii="Times New Roman" w:hAnsi="Times New Roman"/>
          <w:sz w:val="20"/>
        </w:rPr>
      </w:pPr>
      <w:r>
        <w:rPr>
          <w:rFonts w:ascii="Times New Roman" w:hAnsi="Times New Roman"/>
          <w:i/>
          <w:sz w:val="20"/>
        </w:rPr>
        <w:t>Direct Sales.</w:t>
      </w:r>
      <w:r>
        <w:rPr>
          <w:rFonts w:ascii="Times New Roman" w:hAnsi="Times New Roman"/>
          <w:sz w:val="20"/>
        </w:rPr>
        <w:t xml:space="preserve"> We may also sell securities directly to one or more purchasers without using underwriters or agents. In this case, no agents, underwriters or 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 </w:t>
      </w:r>
    </w:p>
    <w:p>
      <w:pPr>
        <w:pStyle w:val="TextBody"/>
        <w:bidi w:val="0"/>
        <w:spacing w:before="240" w:after="0"/>
        <w:jc w:val="left"/>
        <w:rPr>
          <w:rFonts w:ascii="Times New Roman" w:hAnsi="Times New Roman"/>
          <w:sz w:val="20"/>
        </w:rPr>
      </w:pPr>
      <w:r>
        <w:rPr>
          <w:rFonts w:ascii="Times New Roman" w:hAnsi="Times New Roman"/>
          <w:i/>
          <w:sz w:val="20"/>
        </w:rPr>
        <w:t>Trading Market and Listing of Securities.</w:t>
      </w:r>
      <w:r>
        <w:rPr>
          <w:rFonts w:ascii="Times New Roman" w:hAnsi="Times New Roman"/>
          <w:sz w:val="20"/>
        </w:rPr>
        <w:t xml:space="preserve"> Any common stock sold pursuant to a prospectus supplement will be listed on the NYSE, subject to official notice of issuance. The securities other than common stock may or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by Selling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not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securityholders will sell all or any portion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will supply the selling securityholders and any stock exchange upon which the securities are listed with reasonable quantities of copies of this prospectus. To the extent required by Rule 424 under the Securities Act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resale or redistribution by a selling securityholder,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151032_20"/>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will be passed upon for us by Goodwin Procter LLP, Boston, Massachusetts and by Venable LLP, Baltimore, Maryland, with respect to matters of Maryland law. </w:t>
      </w:r>
    </w:p>
    <w:p>
      <w:pPr>
        <w:pStyle w:val="TextBody"/>
        <w:bidi w:val="0"/>
        <w:spacing w:before="480" w:after="0"/>
        <w:jc w:val="center"/>
        <w:rPr>
          <w:rFonts w:ascii="Times New Roman" w:hAnsi="Times New Roman"/>
          <w:b/>
          <w:sz w:val="20"/>
        </w:rPr>
      </w:pPr>
      <w:bookmarkStart w:id="30" w:name="rom151032_21"/>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and the related financial statement schedule III—Real Estate and Accumulated Depreciation as of December 31, 2022 and 2021 and for each of the years in the three year period ended December 31, 2022, and management’s assessment of the effectiveness of the Company’s internal control over financial reporting as of December 31, 2022,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440" w:after="0"/>
        <w:jc w:val="center"/>
        <w:rPr>
          <w:rFonts w:ascii="Times New Roman" w:hAnsi="Times New Roman"/>
          <w:b/>
          <w:sz w:val="28"/>
        </w:rPr>
      </w:pPr>
      <w:r>
        <w:rPr>
          <w:rFonts w:ascii="Times New Roman" w:hAnsi="Times New Roman"/>
          <w:b/>
          <w:sz w:val="28"/>
        </w:rPr>
        <w:t xml:space="preserve">14,000,000 Shares </w:t>
      </w:r>
    </w:p>
    <w:p>
      <w:pPr>
        <w:pStyle w:val="TextBody"/>
        <w:bidi w:val="0"/>
        <w:spacing w:before="720" w:after="0"/>
        <w:jc w:val="center"/>
        <w:rPr>
          <w:rFonts w:ascii="Times New Roman" w:hAnsi="Times New Roman"/>
          <w:b/>
          <w:sz w:val="40"/>
        </w:rPr>
      </w:pPr>
      <w:r>
        <w:rPr>
          <w:rFonts w:ascii="Times New Roman" w:hAnsi="Times New Roman"/>
          <w:b/>
          <w:sz w:val="40"/>
        </w:rPr>
        <w:t xml:space="preserve">The Macerich Company </w:t>
      </w:r>
    </w:p>
    <w:p>
      <w:pPr>
        <w:pStyle w:val="TextBody"/>
        <w:bidi w:val="0"/>
        <w:spacing w:before="7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3649345" cy="7607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3649345" cy="760730"/>
                    </a:xfrm>
                    <a:prstGeom prst="rect">
                      <a:avLst/>
                    </a:prstGeom>
                  </pic:spPr>
                </pic:pic>
              </a:graphicData>
            </a:graphic>
          </wp:inline>
        </w:drawing>
      </w:r>
      <w:r>
        <w:rPr/>
        <w:t xml:space="preserve"> </w:t>
      </w:r>
    </w:p>
    <w:p>
      <w:pPr>
        <w:pStyle w:val="TextBody"/>
        <w:bidi w:val="0"/>
        <w:spacing w:before="240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120" w:after="0"/>
        <w:jc w:val="center"/>
        <w:rPr>
          <w:rFonts w:ascii="Times New Roman" w:hAnsi="Times New Roman"/>
          <w:b/>
          <w:sz w:val="28"/>
        </w:rPr>
      </w:pPr>
      <w:r>
        <w:rPr>
          <w:rFonts w:ascii="Times New Roman" w:hAnsi="Times New Roman"/>
          <w:b/>
          <w:sz w:val="28"/>
        </w:rPr>
        <w:t xml:space="preserve">Deutsche Bank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J.P. Morgan </w:t>
      </w:r>
    </w:p>
    <w:p>
      <w:pPr>
        <w:pStyle w:val="TextBody"/>
        <w:bidi w:val="0"/>
        <w:spacing w:before="120" w:after="0"/>
        <w:jc w:val="center"/>
        <w:rPr>
          <w:rFonts w:ascii="Times New Roman" w:hAnsi="Times New Roman"/>
          <w:b/>
          <w:sz w:val="28"/>
        </w:rPr>
      </w:pPr>
      <w:r>
        <w:rPr>
          <w:rFonts w:ascii="Times New Roman" w:hAnsi="Times New Roman"/>
          <w:b/>
          <w:sz w:val="28"/>
        </w:rPr>
        <w:t xml:space="preserve">Morgan Stanley </w:t>
      </w:r>
    </w:p>
    <w:p>
      <w:pPr>
        <w:pStyle w:val="TextBody"/>
        <w:bidi w:val="0"/>
        <w:spacing w:before="120" w:after="0"/>
        <w:jc w:val="center"/>
        <w:rPr>
          <w:rFonts w:ascii="Times New Roman" w:hAnsi="Times New Roman"/>
          <w:b/>
          <w:sz w:val="28"/>
        </w:rPr>
      </w:pPr>
      <w:r>
        <w:rPr>
          <w:rFonts w:ascii="Times New Roman" w:hAnsi="Times New Roman"/>
          <w:b/>
          <w:sz w:val="28"/>
        </w:rPr>
        <w:t xml:space="preserve">BMO Capital Markets </w:t>
      </w:r>
    </w:p>
    <w:p>
      <w:pPr>
        <w:pStyle w:val="TextBody"/>
        <w:bidi w:val="0"/>
        <w:spacing w:before="120" w:after="0"/>
        <w:jc w:val="center"/>
        <w:rPr>
          <w:rFonts w:ascii="Times New Roman" w:hAnsi="Times New Roman"/>
          <w:b/>
          <w:sz w:val="28"/>
        </w:rPr>
      </w:pPr>
      <w:r>
        <w:rPr>
          <w:rFonts w:ascii="Times New Roman" w:hAnsi="Times New Roman"/>
          <w:b/>
          <w:sz w:val="28"/>
        </w:rPr>
        <w:t xml:space="preserve">TD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Scotiabank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Normal"/>
        <w:bidi w:val="0"/>
        <w:spacing w:before="0" w:after="0"/>
        <w:jc w:val="left"/>
        <w:rPr>
          <w:sz w:val="4"/>
          <w:szCs w:val="4"/>
        </w:rPr>
      </w:pPr>
      <w:r>
        <w:rPr>
          <w:sz w:val="4"/>
          <w:szCs w:val="4"/>
        </w:rPr>
      </w:r>
      <w:bookmarkStart w:id="31" w:name="d151032dexfilingfees.htm"/>
      <w:bookmarkStart w:id="32" w:name="ksd151032dexfilingfees"/>
      <w:bookmarkStart w:id="33" w:name="d151032dexfilingfees.htm"/>
      <w:bookmarkStart w:id="34" w:name="ksd151032dexfilingfees"/>
      <w:bookmarkEnd w:id="33"/>
      <w:bookmarkEnd w:id="34"/>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MACERICH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16,100,000 </w:t>
            </w:r>
          </w:p>
        </w:tc>
        <w:tc>
          <w:tcPr>
            <w:tcW w:w="1156" w:type="dxa"/>
            <w:tcBorders/>
            <w:shd w:fill="E7E7E2" w:val="clear"/>
            <w:vAlign w:val="center"/>
          </w:tcPr>
          <w:p>
            <w:pPr>
              <w:pStyle w:val="TableContents"/>
              <w:bidi w:val="0"/>
              <w:spacing w:before="0" w:after="283"/>
              <w:jc w:val="right"/>
              <w:rPr/>
            </w:pPr>
            <w:r>
              <w:rPr/>
              <w:t xml:space="preserve">$ 23.90 </w:t>
            </w:r>
          </w:p>
        </w:tc>
        <w:tc>
          <w:tcPr>
            <w:tcW w:w="1786" w:type="dxa"/>
            <w:tcBorders/>
            <w:shd w:fill="E7E7E2" w:val="clear"/>
            <w:vAlign w:val="center"/>
          </w:tcPr>
          <w:p>
            <w:pPr>
              <w:pStyle w:val="TableContents"/>
              <w:bidi w:val="0"/>
              <w:spacing w:before="0" w:after="283"/>
              <w:jc w:val="right"/>
              <w:rPr/>
            </w:pPr>
            <w:r>
              <w:rPr/>
              <w:t xml:space="preserve">$ 384,790,000.00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$ 53,139.50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$ 384,790,000.00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$ 53,139.50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$ 53,139.50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6"/>
        <w:gridCol w:w="8705"/>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(A) The amount registered assumes the exercise in full of the underwriters' option to purchase up to 2,100,000 additional shares of common stock. (B) The filing fee, calculated in accordance with Rule 457(r) under the Securities Act of 1933, as amended, has been transmitted to the Securities and Exchange Commission in connection with the securities offered by means of this prospectus supplement. This "Calculation of Filing Fee" table shall be deemed to update the "Calculation of Registration Fee" table in the Registrant's Registration Statement on Form S-3 filed with the Securities and Exchange Commission on August 4, 2023 (File No. 333-273707).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$384,790,000.00.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12242/000091224226000016/mac-20251231.htm" TargetMode="External"/><Relationship Id="rId4" Type="http://schemas.openxmlformats.org/officeDocument/2006/relationships/hyperlink" Target="http://www.sec.gov/Archives/edgar/data/../../../ix?doc=/Archives/edgar/data/912242/000119312526170447/d61679ddef14a.htm" TargetMode="External"/><Relationship Id="rId5" Type="http://schemas.openxmlformats.org/officeDocument/2006/relationships/hyperlink" Target="http://www.sec.gov/Archives/edgar/data/../../../ix?doc=/Archives/edgar/data/912242/000091224226000024/mac-20260331.htm" TargetMode="External"/><Relationship Id="rId6" Type="http://schemas.openxmlformats.org/officeDocument/2006/relationships/hyperlink" Target="http://www.sec.gov/Archives/edgar/data/../../../ix?doc=/Archives/edgar/data/0000912242/000119312526077466/d112967d8k.htm" TargetMode="External"/><Relationship Id="rId7" Type="http://schemas.openxmlformats.org/officeDocument/2006/relationships/hyperlink" Target="http://www.sec.gov/Archives/edgar/data/../../../ix?doc=/Archives/edgar/data/0000912242/000119312526221714/d32273d8k.htm" TargetMode="External"/><Relationship Id="rId8" Type="http://schemas.openxmlformats.org/officeDocument/2006/relationships/hyperlink" Target="http://www.sec.gov/Archives/edgar/data/../../../ix?doc=/Archives/edgar/data/0000912242/000119312526255466/d56685d8k.htm" TargetMode="External"/><Relationship Id="rId9" Type="http://schemas.openxmlformats.org/officeDocument/2006/relationships/hyperlink" Target="http://www.sec.gov/Archives/edgar/data/912242/0000898822-98-001028.txt" TargetMode="External"/><Relationship Id="rId10" Type="http://schemas.openxmlformats.org/officeDocument/2006/relationships/hyperlink" Target="http://www.sec.gov/Archives/edgar/data/0000912242/000091224224000026/mac-20231231x10kex41.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912242/000091224223000007/mac-20221231.htm" TargetMode="External"/><Relationship Id="rId13" Type="http://schemas.openxmlformats.org/officeDocument/2006/relationships/hyperlink" Target="http://www.sec.gov/Archives/edgar/data/../../../ix?doc=/Archives/edgar/data/912242/000119312523110538/d469408ddef14a.htm" TargetMode="External"/><Relationship Id="rId14" Type="http://schemas.openxmlformats.org/officeDocument/2006/relationships/hyperlink" Target="http://www.sec.gov/Archives/edgar/data/../../../ix?doc=/Archives/edgar/data/912242/000091224223000013/mac-20230331.htm" TargetMode="External"/><Relationship Id="rId15" Type="http://schemas.openxmlformats.org/officeDocument/2006/relationships/hyperlink" Target="http://www.sec.gov/Archives/edgar/data/../../../ix?doc=/Archives/edgar/data/912242/000119312523021287/d443019d8k.htm" TargetMode="External"/><Relationship Id="rId16" Type="http://schemas.openxmlformats.org/officeDocument/2006/relationships/hyperlink" Target="http://www.sec.gov/Archives/edgar/data/../../../ix?doc=/Archives/edgar/data/0000912242/000119312523160708/d472381d8k.htm" TargetMode="External"/><Relationship Id="rId17" Type="http://schemas.openxmlformats.org/officeDocument/2006/relationships/hyperlink" Target="http://www.sec.gov/Archives/edgar/data/912242/0000898822-98-001028.txt" TargetMode="External"/><Relationship Id="rId18" Type="http://schemas.openxmlformats.org/officeDocument/2006/relationships/hyperlink" Target="http://www.sec.gov/Archives/edgar/data/912242/000091224223000007/mac-20221231x10kex41.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54301</Words>
  <Characters>280839</Characters>
  <CharactersWithSpaces>335869</CharactersWithSpaces>
  <Paragraphs>2832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