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1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1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160" w:after="160"/>
        <w:ind w:left="0" w:right="0" w:hanging="630"/>
        <w:jc w:val="left"/>
        <w:rPr/>
      </w:pPr>
      <w:r>
        <w:rPr>
          <w:color w:val="000000"/>
        </w:rPr>
        <w:t xml:space="preserve">☒ </w:t>
      </w:r>
      <w:r>
        <w:rPr>
          <w:rFonts w:ascii="Times New Roman;sans-serif" w:hAnsi="Times New Roman;sans-serif"/>
          <w:b w:val="false"/>
          <w:color w:val="000000"/>
          <w:sz w:val="20"/>
        </w:rPr>
        <w:t xml:space="preserve">QUARTERLY REPORT PURSUANT TO SECTION 13 OR 15(d) OF THE SECURITIES EXCHANGE ACT OF 1934 </w:t>
      </w:r>
    </w:p>
    <w:p>
      <w:pPr>
        <w:pStyle w:val="TextBody"/>
        <w:bidi w:val="0"/>
        <w:spacing w:lineRule="auto" w:line="288" w:before="160" w:after="16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160" w:after="160"/>
        <w:ind w:left="0" w:right="0" w:hanging="630"/>
        <w:jc w:val="left"/>
        <w:rPr/>
      </w:pPr>
      <w:r>
        <w:rPr>
          <w:color w:val="000000"/>
        </w:rPr>
        <w:t xml:space="preserve">☐ </w:t>
      </w:r>
      <w:r>
        <w:rPr>
          <w:rFonts w:ascii="Times New Roman;sans-serif" w:hAnsi="Times New Roman;sans-serif"/>
          <w:b w:val="false"/>
          <w:color w:val="000000"/>
          <w:sz w:val="20"/>
        </w:rPr>
        <w:t xml:space="preserve">TRANSITION REPORT PURSUANT TO SECTION 13 OR 15(d) OF THE SECURITIES EXCHANGE ACT OF 1934 </w:t>
      </w:r>
    </w:p>
    <w:p>
      <w:pPr>
        <w:pStyle w:val="TextBody"/>
        <w:bidi w:val="0"/>
        <w:spacing w:lineRule="auto" w:line="288" w:before="160" w:after="160"/>
        <w:ind w:left="0" w:right="0" w:firstLine="90"/>
        <w:jc w:val="left"/>
        <w:rPr/>
      </w:pPr>
      <w:r>
        <w:rPr>
          <w:rFonts w:ascii="Times New Roman;sans-serif" w:hAnsi="Times New Roman;sans-serif"/>
          <w:b w:val="false"/>
          <w:color w:val="000000"/>
          <w:sz w:val="20"/>
        </w:rPr>
        <w:t xml:space="preserve">For the transition period from ___________ to </w:t>
      </w:r>
      <w:r>
        <w:rPr>
          <w:rFonts w:ascii="Times New Roman;sans-serif" w:hAnsi="Times New Roman;sans-serif"/>
          <w:b/>
          <w:color w:val="000000"/>
          <w:sz w:val="20"/>
        </w:rPr>
        <w:t>___________</w:t>
      </w:r>
    </w:p>
    <w:p>
      <w:pPr>
        <w:pStyle w:val="TextBody"/>
        <w:bidi w:val="0"/>
        <w:spacing w:lineRule="auto" w:line="288" w:before="160" w:after="160"/>
        <w:ind w:left="0" w:right="0" w:hanging="63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1-12504 </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MACERICH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5" w:type="dxa"/>
        <w:jc w:val="center"/>
        <w:tblInd w:w="0" w:type="dxa"/>
        <w:tblLayout w:type="fixed"/>
        <w:tblCellMar>
          <w:top w:w="28" w:type="dxa"/>
          <w:left w:w="28" w:type="dxa"/>
          <w:bottom w:w="28" w:type="dxa"/>
          <w:right w:w="28" w:type="dxa"/>
        </w:tblCellMar>
      </w:tblPr>
      <w:tblGrid>
        <w:gridCol w:w="673"/>
        <w:gridCol w:w="591"/>
        <w:gridCol w:w="595"/>
        <w:gridCol w:w="274"/>
        <w:gridCol w:w="274"/>
        <w:gridCol w:w="276"/>
        <w:gridCol w:w="374"/>
        <w:gridCol w:w="374"/>
        <w:gridCol w:w="376"/>
        <w:gridCol w:w="270"/>
        <w:gridCol w:w="270"/>
        <w:gridCol w:w="271"/>
        <w:gridCol w:w="109"/>
        <w:gridCol w:w="109"/>
        <w:gridCol w:w="109"/>
        <w:gridCol w:w="883"/>
        <w:gridCol w:w="883"/>
        <w:gridCol w:w="126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95-4448705</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401 Wilshire Boulevard,</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Suite 700,</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Santa Monica,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90401</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394-6000</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(Registrant's telephone number, including area code)</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(Former name, former address and former fiscal year, if changed since last report)</w:t>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Act:</w:t>
      </w:r>
    </w:p>
    <w:tbl>
      <w:tblPr>
        <w:tblW w:w="7858" w:type="dxa"/>
        <w:jc w:val="left"/>
        <w:tblInd w:w="0" w:type="dxa"/>
        <w:tblLayout w:type="fixed"/>
        <w:tblCellMar>
          <w:top w:w="28" w:type="dxa"/>
          <w:left w:w="28" w:type="dxa"/>
          <w:bottom w:w="28" w:type="dxa"/>
          <w:right w:w="28" w:type="dxa"/>
        </w:tblCellMar>
      </w:tblPr>
      <w:tblGrid>
        <w:gridCol w:w="999"/>
        <w:gridCol w:w="875"/>
        <w:gridCol w:w="885"/>
        <w:gridCol w:w="464"/>
        <w:gridCol w:w="464"/>
        <w:gridCol w:w="46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60" w:after="1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   No ☐</w:t>
      </w:r>
    </w:p>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60" w:after="1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265"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435"/>
        <w:gridCol w:w="435"/>
        <w:gridCol w:w="436"/>
        <w:gridCol w:w="109"/>
        <w:gridCol w:w="109"/>
        <w:gridCol w:w="109"/>
        <w:gridCol w:w="109"/>
        <w:gridCol w:w="109"/>
        <w:gridCol w:w="109"/>
        <w:gridCol w:w="560"/>
        <w:gridCol w:w="560"/>
        <w:gridCol w:w="561"/>
        <w:gridCol w:w="109"/>
        <w:gridCol w:w="109"/>
        <w:gridCol w:w="109"/>
        <w:gridCol w:w="109"/>
        <w:gridCol w:w="109"/>
        <w:gridCol w:w="109"/>
        <w:gridCol w:w="724"/>
        <w:gridCol w:w="724"/>
        <w:gridCol w:w="726"/>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60" w:after="40"/>
        <w:ind w:left="0" w:right="0" w:firstLine="495"/>
        <w:jc w:val="left"/>
        <w:rPr/>
      </w:pPr>
      <w:r>
        <w:rPr>
          <w:rFonts w:ascii="Times New Roman;sans-serif" w:hAnsi="Times New Roman;sans-serif"/>
          <w:b w:val="false"/>
          <w:color w:val="000000"/>
          <w:sz w:val="18"/>
        </w:rPr>
        <w:t>Number of shares outstanding as of November 6, 2023 of the registrant's common stock, par value $0.01 per share: 215,448,177 shares</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2"/>
        <w:gridCol w:w="257"/>
        <w:gridCol w:w="262"/>
        <w:gridCol w:w="109"/>
        <w:gridCol w:w="109"/>
        <w:gridCol w:w="109"/>
        <w:gridCol w:w="2809"/>
        <w:gridCol w:w="2775"/>
        <w:gridCol w:w="2783"/>
        <w:gridCol w:w="109"/>
        <w:gridCol w:w="109"/>
        <w:gridCol w:w="109"/>
        <w:gridCol w:w="109"/>
        <w:gridCol w:w="109"/>
        <w:gridCol w:w="15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0">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0">
              <w:r>
                <w:rPr>
                  <w:rStyle w:val="InternetLink"/>
                  <w:rFonts w:ascii="Times New Roman;sans-serif" w:hAnsi="Times New Roman;sans-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0">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
              <w:r>
                <w:rPr>
                  <w:rStyle w:val="InternetLink"/>
                  <w:rFonts w:ascii="Times New Roman;sans-serif" w:hAnsi="Times New Roman;sans-serif"/>
                  <w:b w:val="false"/>
                  <w:color w:val="0000FF"/>
                  <w:sz w:val="20"/>
                  <w:u w:val="single"/>
                </w:rPr>
                <w:t>Consolidated Balance Sheets as of September 30, 2023 and December 31,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6">
              <w:r>
                <w:rPr>
                  <w:rStyle w:val="InternetLink"/>
                  <w:rFonts w:ascii="Times New Roman;sans-serif" w:hAnsi="Times New Roman;sans-serif"/>
                  <w:b w:val="false"/>
                  <w:color w:val="0000FF"/>
                  <w:sz w:val="20"/>
                  <w:u w:val="single"/>
                </w:rPr>
                <w:t>Consolidated Statements of Operations for the three and nine months ended September 30,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9">
              <w:r>
                <w:rPr>
                  <w:rStyle w:val="InternetLink"/>
                  <w:rFonts w:ascii="Times New Roman;sans-serif" w:hAnsi="Times New Roman;sans-serif"/>
                  <w:b w:val="false"/>
                  <w:color w:val="0000FF"/>
                  <w:sz w:val="20"/>
                  <w:u w:val="single"/>
                </w:rPr>
                <w:t>Consolidated Statements of Comprehensive Loss for the three and nine months ended September 30,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25">
              <w:r>
                <w:rPr>
                  <w:rStyle w:val="InternetLink"/>
                  <w:rFonts w:ascii="Times New Roman;sans-serif" w:hAnsi="Times New Roman;sans-serif"/>
                  <w:b w:val="false"/>
                  <w:color w:val="0000FF"/>
                  <w:sz w:val="20"/>
                  <w:u w:val="single"/>
                </w:rPr>
                <w:t>Consolidated Statements of Equity for the three and nine months ended September 30,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28">
              <w:r>
                <w:rPr>
                  <w:rStyle w:val="InternetLink"/>
                  <w:rFonts w:ascii="Times New Roman;sans-serif" w:hAnsi="Times New Roman;sans-serif"/>
                  <w:b w:val="false"/>
                  <w:color w:val="0000FF"/>
                  <w:sz w:val="20"/>
                  <w:u w:val="single"/>
                </w:rPr>
                <w:t>Consolidated Statements of Cash Flows for the nine months ended September 30,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28">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31">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31">
              <w:r>
                <w:rPr>
                  <w:rStyle w:val="InternetLink"/>
                  <w:rFonts w:ascii="Times New Roman;sans-serif" w:hAnsi="Times New Roman;sans-serif"/>
                  <w:b w:val="false"/>
                  <w:color w:val="0000FF"/>
                  <w:sz w:val="20"/>
                  <w:u w:val="singl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03">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03">
              <w:r>
                <w:rPr>
                  <w:rStyle w:val="InternetLink"/>
                  <w:rFonts w:ascii="Times New Roman;sans-serif" w:hAnsi="Times New Roman;sans-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27">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27">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27">
              <w:r>
                <w:rPr>
                  <w:rStyle w:val="InternetLink"/>
                  <w:rFonts w:ascii="Times New Roman;sans-serif" w:hAnsi="Times New Roman;sans-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0">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0">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30">
              <w:r>
                <w:rPr>
                  <w:rStyle w:val="InternetLink"/>
                  <w:rFonts w:ascii="Times New Roman;sans-serif" w:hAnsi="Times New Roman;sans-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6">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36">
              <w:r>
                <w:rPr>
                  <w:rStyle w:val="InternetLink"/>
                  <w:rFonts w:ascii="Times New Roman;sans-serif" w:hAnsi="Times New Roman;sans-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9">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39">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39">
              <w:r>
                <w:rPr>
                  <w:rStyle w:val="InternetLink"/>
                  <w:rFonts w:ascii="Times New Roman;sans-serif" w:hAnsi="Times New Roman;sans-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2">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2">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42">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5">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5">
              <w:r>
                <w:rPr>
                  <w:rStyle w:val="InternetLink"/>
                  <w:rFonts w:ascii="Times New Roman;sans-serif" w:hAnsi="Times New Roman;sans-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45">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8">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48">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48">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51">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51">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51">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54">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54">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54">
              <w:r>
                <w:rPr>
                  <w:rStyle w:val="InternetLink"/>
                  <w:rFonts w:ascii="Times New Roman;sans-serif" w:hAnsi="Times New Roman;sans-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ac3cf7647e24a3c8cefe6585f710fd2_157">
              <w:r>
                <w:rPr>
                  <w:rStyle w:val="InternetLink"/>
                  <w:rFonts w:ascii="Times New Roman;sans-serif" w:hAnsi="Times New Roman;sans-serif"/>
                  <w:b/>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c3cf7647e24a3c8cefe6585f710fd2_157">
              <w:r>
                <w:rPr>
                  <w:rStyle w:val="InternetLink"/>
                  <w:rFonts w:ascii="Times New Roman;sans-serif" w:hAnsi="Times New Roman;sans-serif"/>
                  <w:b w:val="false"/>
                  <w:color w:val="0000FF"/>
                  <w:sz w:val="20"/>
                  <w:u w:val="single"/>
                </w:rPr>
                <w:t>48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par value)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9"/>
        <w:gridCol w:w="2258"/>
        <w:gridCol w:w="2203"/>
        <w:gridCol w:w="211"/>
        <w:gridCol w:w="976"/>
        <w:gridCol w:w="109"/>
        <w:gridCol w:w="109"/>
        <w:gridCol w:w="109"/>
        <w:gridCol w:w="109"/>
        <w:gridCol w:w="211"/>
        <w:gridCol w:w="976"/>
        <w:gridCol w:w="155"/>
      </w:tblGrid>
      <w:tr>
        <w:trPr/>
        <w:tc>
          <w:tcPr>
            <w:tcW w:w="277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other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8,094,139 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other notes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arrangement obligation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5,144,790 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at September 30, 2023 and December 31, 2022, and 215,655,497 and 215,241,129 shares issued and outstanding at September 30,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2,865,773 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8,094,139 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1398"/>
        <w:gridCol w:w="1161"/>
        <w:gridCol w:w="1151"/>
        <w:gridCol w:w="258"/>
        <w:gridCol w:w="989"/>
        <w:gridCol w:w="133"/>
        <w:gridCol w:w="133"/>
        <w:gridCol w:w="133"/>
        <w:gridCol w:w="133"/>
        <w:gridCol w:w="258"/>
        <w:gridCol w:w="919"/>
        <w:gridCol w:w="133"/>
        <w:gridCol w:w="109"/>
        <w:gridCol w:w="109"/>
        <w:gridCol w:w="109"/>
        <w:gridCol w:w="250"/>
        <w:gridCol w:w="968"/>
        <w:gridCol w:w="130"/>
        <w:gridCol w:w="130"/>
        <w:gridCol w:w="130"/>
        <w:gridCol w:w="130"/>
        <w:gridCol w:w="250"/>
        <w:gridCol w:w="899"/>
        <w:gridCol w:w="192"/>
      </w:tblGrid>
      <w:tr>
        <w:trPr/>
        <w:tc>
          <w:tcPr>
            <w:tcW w:w="139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Leasing revenue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589,003 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587,596 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Companies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218,152 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210,704 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630,939 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Shopping center and operating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Companies' operating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REIT general and administrative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178,313 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179,469 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530,813 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531,182 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(income):</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157,680 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688,862 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(loss) income of unconsolidated joint ventures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sale or write down of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(271,965)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(344,565)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income attributable to noncontrolling interests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the Company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(336,244)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Loss per common share—attributable to common stockholders:</w:t>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w:t>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215,632,000 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215,134,000 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215,461,000 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214,982,000 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2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215,632,000 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215,134,000 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215,461,000 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214,982,000 </w:t>
            </w:r>
          </w:p>
        </w:tc>
        <w:tc>
          <w:tcPr>
            <w:tcW w:w="1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1355"/>
        <w:gridCol w:w="1180"/>
        <w:gridCol w:w="1205"/>
        <w:gridCol w:w="246"/>
        <w:gridCol w:w="1009"/>
        <w:gridCol w:w="136"/>
        <w:gridCol w:w="136"/>
        <w:gridCol w:w="136"/>
        <w:gridCol w:w="136"/>
        <w:gridCol w:w="246"/>
        <w:gridCol w:w="895"/>
        <w:gridCol w:w="136"/>
        <w:gridCol w:w="109"/>
        <w:gridCol w:w="109"/>
        <w:gridCol w:w="109"/>
        <w:gridCol w:w="239"/>
        <w:gridCol w:w="981"/>
        <w:gridCol w:w="132"/>
        <w:gridCol w:w="132"/>
        <w:gridCol w:w="132"/>
        <w:gridCol w:w="132"/>
        <w:gridCol w:w="239"/>
        <w:gridCol w:w="871"/>
        <w:gridCol w:w="204"/>
      </w:tblGrid>
      <w:tr>
        <w:trPr/>
        <w:tc>
          <w:tcPr>
            <w:tcW w:w="135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(271,965)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(344,565)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income:</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 agreements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(272,511)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(344,641)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(68,504)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income attributable to noncontrolling interests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attributable to the Company</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(263,093)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(15,196)</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(336,320)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(67,720)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data)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 and 2022</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44"/>
        <w:gridCol w:w="629"/>
        <w:gridCol w:w="148"/>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July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215,617,797 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(2,790,097)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2,809,037 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($0.17 per share)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noncontrolling interests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215,655,497 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(3,089,298)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2,498,372 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20"/>
        <w:gridCol w:w="506"/>
        <w:gridCol w:w="195"/>
        <w:gridCol w:w="109"/>
        <w:gridCol w:w="109"/>
        <w:gridCol w:w="109"/>
        <w:gridCol w:w="181"/>
        <w:gridCol w:w="721"/>
        <w:gridCol w:w="109"/>
        <w:gridCol w:w="109"/>
        <w:gridCol w:w="109"/>
        <w:gridCol w:w="109"/>
        <w:gridCol w:w="203"/>
        <w:gridCol w:w="694"/>
        <w:gridCol w:w="124"/>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July 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215,113,342 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(2,560,793)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114,919 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3,056,393 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2022</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215,146,141 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5,505,307 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(2,608,239)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2,899,231 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78,914 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2,978,145 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center"/>
        <w:rPr/>
      </w:pPr>
      <w:r>
        <w:rPr/>
      </w:r>
    </w:p>
    <w:p>
      <w:pPr>
        <w:pStyle w:val="TextBody"/>
        <w:bidi w:val="0"/>
        <w:spacing w:lineRule="auto" w:line="288" w:before="1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data)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September 30, 2023 and 2022 </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83"/>
        <w:gridCol w:w="566"/>
        <w:gridCol w:w="172"/>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215,241,129 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(2,643,094)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2,865,773 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2,949,349 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270,508 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125,754 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($0.51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215,655,497 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65,930 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2,498,372 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312"/>
        <w:gridCol w:w="520"/>
        <w:gridCol w:w="189"/>
        <w:gridCol w:w="109"/>
        <w:gridCol w:w="109"/>
        <w:gridCol w:w="109"/>
        <w:gridCol w:w="181"/>
        <w:gridCol w:w="721"/>
        <w:gridCol w:w="109"/>
        <w:gridCol w:w="109"/>
        <w:gridCol w:w="109"/>
        <w:gridCol w:w="109"/>
        <w:gridCol w:w="203"/>
        <w:gridCol w:w="694"/>
        <w:gridCol w:w="124"/>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214,797,057 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(2,443,696)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3,046,867 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($0.45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noncontrolling interests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2022</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215,146,141 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5,505,307 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(2,608,239)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2,899,231 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78,914 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2,978,145 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24"/>
        <w:gridCol w:w="2092"/>
        <w:gridCol w:w="2098"/>
        <w:gridCol w:w="280"/>
        <w:gridCol w:w="1192"/>
        <w:gridCol w:w="144"/>
        <w:gridCol w:w="144"/>
        <w:gridCol w:w="144"/>
        <w:gridCol w:w="144"/>
        <w:gridCol w:w="280"/>
        <w:gridCol w:w="1052"/>
        <w:gridCol w:w="211"/>
      </w:tblGrid>
      <w:tr>
        <w:trPr/>
        <w:tc>
          <w:tcPr>
            <w:tcW w:w="242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or write down of assets, net</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share and unit-based plans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and amortization of above and below market leases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doubtful accounts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joint ventures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income from unconsolidated joint ventures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financing arrangement obligation</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dispositions:</w:t>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other receivables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 and renovation of properties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improvements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costs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joint ventures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unconsolidated joint ventures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collection of receivable in connection with sale of joint venture property</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61"/>
        <w:gridCol w:w="1866"/>
        <w:gridCol w:w="330"/>
        <w:gridCol w:w="1296"/>
        <w:gridCol w:w="170"/>
        <w:gridCol w:w="170"/>
        <w:gridCol w:w="170"/>
        <w:gridCol w:w="170"/>
        <w:gridCol w:w="330"/>
        <w:gridCol w:w="1296"/>
        <w:gridCol w:w="249"/>
      </w:tblGrid>
      <w:tr>
        <w:trPr/>
        <w:tc>
          <w:tcPr>
            <w:tcW w:w="2297"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ableContents"/>
              <w:bidi w:val="0"/>
              <w:spacing w:lineRule="auto" w:line="240" w:before="1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6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mortgages, bank and other notes payable</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mortgages, bank and other notes payable</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(415,065)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(312,630)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from stock offerings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 and unit-based plans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noncontrolling interests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(333,634)</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164,975 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w:t>
            </w:r>
          </w:p>
        </w:tc>
        <w:tc>
          <w:tcPr>
            <w:tcW w:w="17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 net of amounts capitalized</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7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 included in accounts payable and accrued expenses and other accrued liabilities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Operating Partnership Units to common stock</w:t>
            </w:r>
          </w:p>
        </w:tc>
        <w:tc>
          <w:tcPr>
            <w:tcW w:w="3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from unconsolidated joint venture</w:t>
            </w:r>
          </w:p>
        </w:tc>
        <w:tc>
          <w:tcPr>
            <w:tcW w:w="3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23,554 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6024"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Macerich Company (the "Company") is involved in the acquisition, ownership, development, redevelopment, management and leasing of regional town centers and community/power shopping centers (the "Centers") located throughout the United States.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commenced operations effective with the completion of its initial public offering on March 16, 1994. As of September 30, 2023,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to the Company in this Quarterly Report on Form 10-Q include the Company, those entities owned or controlled by the Company and predecessors of the Company,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Partnership's consolidated VIEs included the following assets and liabilities:</w:t>
      </w:r>
    </w:p>
    <w:tbl>
      <w:tblPr>
        <w:tblW w:w="4749" w:type="dxa"/>
        <w:jc w:val="left"/>
        <w:tblInd w:w="0" w:type="dxa"/>
        <w:tblLayout w:type="fixed"/>
        <w:tblCellMar>
          <w:top w:w="28" w:type="dxa"/>
          <w:left w:w="28" w:type="dxa"/>
          <w:bottom w:w="28" w:type="dxa"/>
          <w:right w:w="28" w:type="dxa"/>
        </w:tblCellMar>
      </w:tblPr>
      <w:tblGrid>
        <w:gridCol w:w="753"/>
        <w:gridCol w:w="662"/>
        <w:gridCol w:w="670"/>
        <w:gridCol w:w="211"/>
        <w:gridCol w:w="826"/>
        <w:gridCol w:w="109"/>
        <w:gridCol w:w="109"/>
        <w:gridCol w:w="109"/>
        <w:gridCol w:w="109"/>
        <w:gridCol w:w="211"/>
        <w:gridCol w:w="82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intercompany accounts and transactions have been eliminated in the consolidated financial statements.</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should be read in conjunction with the Company's audited consolidated financial statements and notes thereto included in the Company's Annual Report on Form 10-K for the year ended December 31, 2022.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2022 has been derived from the audited financial statements but does not include all disclosures required by GAAP.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beginning of period and end of period cash, cash equivalents and restricted cash reported on the Company's consolidated balance sheets to the totals shown on its consolidated statements of cash flows:</w:t>
      </w:r>
    </w:p>
    <w:p>
      <w:pPr>
        <w:pStyle w:val="TextBody"/>
        <w:bidi w:val="0"/>
        <w:spacing w:before="0" w:after="0"/>
        <w:ind w:left="0" w:right="0" w:firstLine="495"/>
        <w:jc w:val="left"/>
        <w:rPr/>
      </w:pPr>
      <w:r>
        <w:rPr/>
      </w:r>
    </w:p>
    <w:tbl>
      <w:tblPr>
        <w:tblW w:w="6730" w:type="dxa"/>
        <w:jc w:val="left"/>
        <w:tblInd w:w="0" w:type="dxa"/>
        <w:tblLayout w:type="fixed"/>
        <w:tblCellMar>
          <w:top w:w="28" w:type="dxa"/>
          <w:left w:w="28" w:type="dxa"/>
          <w:bottom w:w="28" w:type="dxa"/>
          <w:right w:w="28" w:type="dxa"/>
        </w:tblCellMar>
      </w:tblPr>
      <w:tblGrid>
        <w:gridCol w:w="1271"/>
        <w:gridCol w:w="1116"/>
        <w:gridCol w:w="1123"/>
        <w:gridCol w:w="255"/>
        <w:gridCol w:w="1000"/>
        <w:gridCol w:w="131"/>
        <w:gridCol w:w="131"/>
        <w:gridCol w:w="131"/>
        <w:gridCol w:w="131"/>
        <w:gridCol w:w="255"/>
        <w:gridCol w:w="1000"/>
        <w:gridCol w:w="18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of period</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3. Earnings Per Share ("EPS"):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numerator and denominator used in the computation of EPS for the three and nine months ended September 30, 2023 and 2022 (shares in thousands):</w:t>
      </w:r>
    </w:p>
    <w:tbl>
      <w:tblPr>
        <w:tblW w:w="10205" w:type="dxa"/>
        <w:jc w:val="left"/>
        <w:tblInd w:w="0" w:type="dxa"/>
        <w:tblLayout w:type="fixed"/>
        <w:tblCellMar>
          <w:top w:w="28" w:type="dxa"/>
          <w:left w:w="28" w:type="dxa"/>
          <w:bottom w:w="28" w:type="dxa"/>
          <w:right w:w="28" w:type="dxa"/>
        </w:tblCellMar>
      </w:tblPr>
      <w:tblGrid>
        <w:gridCol w:w="1517"/>
        <w:gridCol w:w="1330"/>
        <w:gridCol w:w="1343"/>
        <w:gridCol w:w="230"/>
        <w:gridCol w:w="949"/>
        <w:gridCol w:w="118"/>
        <w:gridCol w:w="118"/>
        <w:gridCol w:w="118"/>
        <w:gridCol w:w="118"/>
        <w:gridCol w:w="230"/>
        <w:gridCol w:w="834"/>
        <w:gridCol w:w="118"/>
        <w:gridCol w:w="109"/>
        <w:gridCol w:w="109"/>
        <w:gridCol w:w="109"/>
        <w:gridCol w:w="227"/>
        <w:gridCol w:w="935"/>
        <w:gridCol w:w="117"/>
        <w:gridCol w:w="117"/>
        <w:gridCol w:w="117"/>
        <w:gridCol w:w="117"/>
        <w:gridCol w:w="227"/>
        <w:gridCol w:w="822"/>
        <w:gridCol w:w="176"/>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the Company</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(262,547)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(336,244)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earnings to participating securities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EPS—net loss attributable to common stockholders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(336,899)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41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41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EPS—weighted average number of common shares outstanding(1)</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EPS—net loss attributable to common stockholders</w:t>
            </w:r>
          </w:p>
        </w:tc>
        <w:tc>
          <w:tcPr>
            <w:tcW w:w="12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3. Earnings Per Share ("EPS"): (Continued)</w:t>
      </w:r>
    </w:p>
    <w:p>
      <w:pPr>
        <w:pStyle w:val="TextBody"/>
        <w:bidi w:val="0"/>
        <w:spacing w:lineRule="auto" w:line="288" w:before="60" w:after="60"/>
        <w:ind w:left="0" w:right="0" w:hanging="360"/>
        <w:jc w:val="left"/>
        <w:rPr/>
      </w:pPr>
      <w:r>
        <w:rPr>
          <w:rFonts w:ascii="Times New Roman;sans-serif" w:hAnsi="Times New Roman;sans-serif"/>
          <w:b w:val="false"/>
          <w:color w:val="000000"/>
          <w:sz w:val="16"/>
        </w:rPr>
        <w:t>(1)     Diluted EPS excludes 99,565 convertible preferred partnership units for each of the three months ended</w:t>
      </w:r>
      <w:r>
        <w:rPr>
          <w:color w:val="000000"/>
        </w:rPr>
        <w:t xml:space="preserve"> </w:t>
      </w:r>
      <w:r>
        <w:rPr>
          <w:rFonts w:ascii="Times New Roman;sans-serif" w:hAnsi="Times New Roman;sans-serif"/>
          <w:b w:val="false"/>
          <w:color w:val="000000"/>
          <w:sz w:val="16"/>
        </w:rPr>
        <w:t>September 30, 2023 and 2022 and 99,565 convertible preferred partnership units for each of the nine months ended September 30, 2023 and 2022, as their impact was antidilutive. Diluted EPS also excludes 8,979,065 and 8,620,767 Operating Partnership units ("OP Units") for the three months ended</w:t>
      </w:r>
      <w:r>
        <w:rPr>
          <w:color w:val="000000"/>
        </w:rPr>
        <w:t xml:space="preserve"> </w:t>
      </w:r>
      <w:r>
        <w:rPr>
          <w:rFonts w:ascii="Times New Roman;sans-serif" w:hAnsi="Times New Roman;sans-serif"/>
          <w:b w:val="false"/>
          <w:color w:val="000000"/>
          <w:sz w:val="16"/>
        </w:rPr>
        <w:t>September 30, 2023 and 2022, respectively, and 8,981,061 and 8,653,348 OP Units for the nine months ended September 30, 2023 and 2022, respectively, as their impact was antidilutive.</w:t>
      </w:r>
    </w:p>
    <w:p>
      <w:pPr>
        <w:pStyle w:val="TextBody"/>
        <w:bidi w:val="0"/>
        <w:spacing w:before="60" w:after="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the following recent financings or other events within its unconsolidated joint ventures: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On August 2, 2022, the Company acquired the remaining 50% ownership interest in two former Sears parcels (Deptford Mall and Vintage Faire Mall) in MS Portfolio LLC, the Company's joint venture with Seritage Growth Properties ("Seritage"), for a total purchase price of approximately $24,544. As a result of this transaction and the shortening of holding periods on certain other assets in the joint venture, an impairment loss was recorded for the twelve months ending December 31, 2022. The Company's share of the impairment loss was $27,054. Effective as of August 2, 2022, the Company now owns and has consolidated its 100% interest in these two former Sears parcels in its consolidated financial statements (See Note 15</w:t>
      </w:r>
      <w:r>
        <w:rPr>
          <w:color w:val="000000"/>
        </w:rPr>
        <w:t>—</w:t>
      </w:r>
      <w:r>
        <w:rPr>
          <w:rFonts w:ascii="Times New Roman;sans-serif" w:hAnsi="Times New Roman;sans-serif"/>
          <w:b w:val="false"/>
          <w:color w:val="000000"/>
          <w:sz w:val="20"/>
        </w:rPr>
        <w:t>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2022, the Company's joint venture in Washington Square closed on a four-year maturity date extension for the existing loan to November 1, 2026, including extension options. The Company's joint venture repaid $15,000 ($9,000 at the Company's pro rata share) of the outstanding loan balance. The loan bears interest at SOFR plus 4.0% and is covered by an interest rate cap agreement that effectively prevents SOFR from exceeding 4.0% through November 1,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9, 2023, the Company’s joint venture in Country Club Plaza defaulted on the $295,210 ($147,605 at the Company’s pro rata share) non-recourse loan on the property. The Company’s joint venture is in negotiations with the lender on the terms of this non-recourse loan. During the three months ending September 30, 2023, the joint venture shortened the holding period of the property due to the uncertainty as to the outcome of discussions with the lender. As a result of shortening the holding period, the joint venture estimated the fair value of the asset and recorded an impairment loss. The Company's share of the impairment loss was $107,673 for the three and nine months ended September 30,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The Company previously recorded an impairment loss of $50,197, at the Company’s share, during the three months ending March 31, 2023 as a result of the joint venture shortening the holding periods on these parcels. Upon the closing of this transaction, the Company recorded an additional loss of $1,166, at the Company’s share, during the three months ending June 30, 2023. Effective as of May 18, 2023, the Company now owns and has consolidated its 100% interest in these five former Sears parcels in its consolidated financial statements (See Note 15—Acquisitions).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Combined and condensed balance sheets and statements of operations are presented below for all unconsolidated joint ventures.</w:t>
      </w:r>
    </w:p>
    <w:p>
      <w:pPr>
        <w:pStyle w:val="TextBody"/>
        <w:bidi w:val="0"/>
        <w:spacing w:lineRule="auto" w:line="288" w:before="160" w:after="16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Balance Sheets of Unconsolidated Joint Ventures:</w:t>
      </w:r>
    </w:p>
    <w:tbl>
      <w:tblPr>
        <w:tblW w:w="9879" w:type="dxa"/>
        <w:jc w:val="left"/>
        <w:tblInd w:w="0" w:type="dxa"/>
        <w:tblLayout w:type="fixed"/>
        <w:tblCellMar>
          <w:top w:w="28" w:type="dxa"/>
          <w:left w:w="28" w:type="dxa"/>
          <w:bottom w:w="28" w:type="dxa"/>
          <w:right w:w="28" w:type="dxa"/>
        </w:tblCellMar>
      </w:tblPr>
      <w:tblGrid>
        <w:gridCol w:w="2503"/>
        <w:gridCol w:w="2202"/>
        <w:gridCol w:w="2210"/>
        <w:gridCol w:w="211"/>
        <w:gridCol w:w="976"/>
        <w:gridCol w:w="109"/>
        <w:gridCol w:w="109"/>
        <w:gridCol w:w="109"/>
        <w:gridCol w:w="109"/>
        <w:gridCol w:w="211"/>
        <w:gridCol w:w="976"/>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Assets(1):</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partners' capital(1):</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partners'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adjustment(2)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Assets—Investments in unconsolidated joint ventures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Liabilities—Distributions in excess of 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     These amounts include assets of $2,642,242 and $2,690,651 of Pacific Premier Retail LLC (the "PPR Portfolio") as of September 30, 2023 and December 31, 2022, respectively, and liabilities of $1,599,413 and $1,611,661 of the PPR Portfolio as of September 30, 2023 and December 31, 2022, respectively.</w:t>
      </w:r>
    </w:p>
    <w:p>
      <w:pPr>
        <w:pStyle w:val="TextBody"/>
        <w:bidi w:val="0"/>
        <w:spacing w:lineRule="auto" w:line="288" w:before="160" w:after="160"/>
        <w:ind w:left="0" w:right="0" w:hanging="450"/>
        <w:jc w:val="left"/>
        <w:rPr/>
      </w:pPr>
      <w:r>
        <w:rPr>
          <w:rFonts w:ascii="Times New Roman;sans-serif" w:hAnsi="Times New Roman;sans-serif"/>
          <w:b w:val="false"/>
          <w:color w:val="000000"/>
          <w:sz w:val="16"/>
        </w:rPr>
        <w:t>(2)     The Company amortizes the difference between the cost of its investments in unconsolidated joint ventures and the book value of the underlying equity into (loss) income on a straight-line basis consistent with the lives of the underlying assets. The amortization of this difference was $(2,494) and $2,164 for the three months ended</w:t>
      </w:r>
      <w:r>
        <w:rPr>
          <w:color w:val="000000"/>
        </w:rPr>
        <w:t xml:space="preserve"> </w:t>
      </w:r>
      <w:r>
        <w:rPr>
          <w:rFonts w:ascii="Times New Roman;sans-serif" w:hAnsi="Times New Roman;sans-serif"/>
          <w:b w:val="false"/>
          <w:color w:val="000000"/>
          <w:sz w:val="16"/>
        </w:rPr>
        <w:t>September 30, 2023 and 2022, respectively, and $(13,942) and $7,034 for the nine months ended September 30, 2023 and 2022, respectively.</w:t>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TextBody"/>
        <w:bidi w:val="0"/>
        <w:spacing w:before="160" w:after="160"/>
        <w:ind w:left="0" w:right="0" w:hanging="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7760" w:type="dxa"/>
        <w:jc w:val="center"/>
        <w:tblInd w:w="0" w:type="dxa"/>
        <w:tblLayout w:type="fixed"/>
        <w:tblCellMar>
          <w:top w:w="28" w:type="dxa"/>
          <w:left w:w="28" w:type="dxa"/>
          <w:bottom w:w="28" w:type="dxa"/>
          <w:right w:w="28" w:type="dxa"/>
        </w:tblCellMar>
      </w:tblPr>
      <w:tblGrid>
        <w:gridCol w:w="1259"/>
        <w:gridCol w:w="1109"/>
        <w:gridCol w:w="1112"/>
        <w:gridCol w:w="215"/>
        <w:gridCol w:w="813"/>
        <w:gridCol w:w="111"/>
        <w:gridCol w:w="109"/>
        <w:gridCol w:w="109"/>
        <w:gridCol w:w="109"/>
        <w:gridCol w:w="211"/>
        <w:gridCol w:w="901"/>
        <w:gridCol w:w="109"/>
        <w:gridCol w:w="109"/>
        <w:gridCol w:w="109"/>
        <w:gridCol w:w="109"/>
        <w:gridCol w:w="211"/>
        <w:gridCol w:w="90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Joint</w:t>
              <w:br/>
              <w:t>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2023</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(107,465)</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2022</w:t>
            </w:r>
          </w:p>
        </w:tc>
        <w:tc>
          <w:tcPr>
            <w:tcW w:w="11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or write down of assets, net</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income</w:t>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45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accounting policies used by the unconsolidated joint ventures are similar to those used by the Company.</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160"/>
        <w:ind w:left="0" w:right="0" w:firstLine="495"/>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7691"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901"/>
        <w:gridCol w:w="109"/>
        <w:gridCol w:w="109"/>
        <w:gridCol w:w="109"/>
        <w:gridCol w:w="109"/>
        <w:gridCol w:w="211"/>
        <w:gridCol w:w="901"/>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Joint</w:t>
              <w:br/>
              <w:t>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(176,235)</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2022</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5. Derivative Instruments and Hedging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cap agreements to manage the interest rate risk on certain floating rate debt. The Company recorded other comprehensive (loss) income related to the marking-to-market of derivative instruments of $(546) and $(3) for the three months ended September 30, 2023 and 2022, respectively, and $(76) and $37 for the nine months ended September 30, 2023 and 2022, respectively. The entire $(76) in other comprehensive (loss) income at September 30, 2023 is the Company's pro rata share of hedged derivative instruments from certain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derivatives were outstanding at September 30, 2023:    </w:t>
      </w:r>
    </w:p>
    <w:tbl>
      <w:tblPr>
        <w:tblW w:w="10205" w:type="dxa"/>
        <w:jc w:val="left"/>
        <w:tblInd w:w="0" w:type="dxa"/>
        <w:tblLayout w:type="fixed"/>
        <w:tblCellMar>
          <w:top w:w="28" w:type="dxa"/>
          <w:left w:w="28" w:type="dxa"/>
          <w:bottom w:w="28" w:type="dxa"/>
          <w:right w:w="28" w:type="dxa"/>
        </w:tblCellMar>
      </w:tblPr>
      <w:tblGrid>
        <w:gridCol w:w="575"/>
        <w:gridCol w:w="378"/>
        <w:gridCol w:w="381"/>
        <w:gridCol w:w="109"/>
        <w:gridCol w:w="109"/>
        <w:gridCol w:w="109"/>
        <w:gridCol w:w="344"/>
        <w:gridCol w:w="344"/>
        <w:gridCol w:w="348"/>
        <w:gridCol w:w="109"/>
        <w:gridCol w:w="109"/>
        <w:gridCol w:w="109"/>
        <w:gridCol w:w="207"/>
        <w:gridCol w:w="814"/>
        <w:gridCol w:w="115"/>
        <w:gridCol w:w="109"/>
        <w:gridCol w:w="109"/>
        <w:gridCol w:w="109"/>
        <w:gridCol w:w="236"/>
        <w:gridCol w:w="236"/>
        <w:gridCol w:w="237"/>
        <w:gridCol w:w="109"/>
        <w:gridCol w:w="109"/>
        <w:gridCol w:w="109"/>
        <w:gridCol w:w="328"/>
        <w:gridCol w:w="198"/>
        <w:gridCol w:w="467"/>
        <w:gridCol w:w="109"/>
        <w:gridCol w:w="109"/>
        <w:gridCol w:w="109"/>
        <w:gridCol w:w="260"/>
        <w:gridCol w:w="260"/>
        <w:gridCol w:w="261"/>
        <w:gridCol w:w="109"/>
        <w:gridCol w:w="109"/>
        <w:gridCol w:w="109"/>
        <w:gridCol w:w="248"/>
        <w:gridCol w:w="553"/>
        <w:gridCol w:w="139"/>
        <w:gridCol w:w="109"/>
        <w:gridCol w:w="109"/>
        <w:gridCol w:w="109"/>
        <w:gridCol w:w="204"/>
        <w:gridCol w:w="613"/>
        <w:gridCol w:w="170"/>
      </w:tblGrid>
      <w:tr>
        <w:trPr/>
        <w:tc>
          <w:tcPr>
            <w:tcW w:w="5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SOFR/LIBOR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Monica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Non-Hedged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Macerich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Non-Hedged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Sold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Property,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consists of the following:    </w:t>
      </w:r>
    </w:p>
    <w:tbl>
      <w:tblPr>
        <w:tblW w:w="5813" w:type="dxa"/>
        <w:jc w:val="left"/>
        <w:tblInd w:w="0" w:type="dxa"/>
        <w:tblLayout w:type="fixed"/>
        <w:tblCellMar>
          <w:top w:w="28" w:type="dxa"/>
          <w:left w:w="28" w:type="dxa"/>
          <w:bottom w:w="28" w:type="dxa"/>
          <w:right w:w="28" w:type="dxa"/>
        </w:tblCellMar>
      </w:tblPr>
      <w:tblGrid>
        <w:gridCol w:w="1032"/>
        <w:gridCol w:w="904"/>
        <w:gridCol w:w="913"/>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furnishings(1)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6,127,790 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Equipment and furnishings and accumulated depreciation include the cost and accumulated amortization of ROU assets in connection with finance leases at September 30, 2023 and December 31, 2022 (See Note 8—Leases).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$66,390 and $67,631 for the three months ended September 30, 2023 and 2022, respectively, and $199,615 and $202,804 for the nine months ended September 30, 2023 and 2022, respectively.</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Property, net: (Continued)</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or write-down of assets, net for the three and nine months ended September 30, 2023 and 2022 consist of the following:</w:t>
      </w:r>
    </w:p>
    <w:tbl>
      <w:tblPr>
        <w:tblW w:w="9799" w:type="dxa"/>
        <w:jc w:val="left"/>
        <w:tblInd w:w="0" w:type="dxa"/>
        <w:tblLayout w:type="fixed"/>
        <w:tblCellMar>
          <w:top w:w="28" w:type="dxa"/>
          <w:left w:w="28" w:type="dxa"/>
          <w:bottom w:w="28" w:type="dxa"/>
          <w:right w:w="28" w:type="dxa"/>
        </w:tblCellMar>
      </w:tblPr>
      <w:tblGrid>
        <w:gridCol w:w="962"/>
        <w:gridCol w:w="845"/>
        <w:gridCol w:w="848"/>
        <w:gridCol w:w="109"/>
        <w:gridCol w:w="109"/>
        <w:gridCol w:w="109"/>
        <w:gridCol w:w="277"/>
        <w:gridCol w:w="1186"/>
        <w:gridCol w:w="143"/>
        <w:gridCol w:w="143"/>
        <w:gridCol w:w="143"/>
        <w:gridCol w:w="143"/>
        <w:gridCol w:w="277"/>
        <w:gridCol w:w="811"/>
        <w:gridCol w:w="143"/>
        <w:gridCol w:w="109"/>
        <w:gridCol w:w="109"/>
        <w:gridCol w:w="109"/>
        <w:gridCol w:w="269"/>
        <w:gridCol w:w="1149"/>
        <w:gridCol w:w="139"/>
        <w:gridCol w:w="139"/>
        <w:gridCol w:w="139"/>
        <w:gridCol w:w="139"/>
        <w:gridCol w:w="269"/>
        <w:gridCol w:w="785"/>
        <w:gridCol w:w="196"/>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sales,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write-down of assets(2)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land sales,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(149,287)</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      See Note 16—Dispositions.</w:t>
      </w:r>
    </w:p>
    <w:p>
      <w:pPr>
        <w:pStyle w:val="TextBody"/>
        <w:bidi w:val="0"/>
        <w:spacing w:lineRule="auto" w:line="288" w:before="160" w:after="16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(2)    Includes impairment losses of $144,656 on Fashion Outlets of Niagara Falls and $7,880 on Towne Mall for the three and nine months ended September 30, 2023. Includes $5,140 on Towne Mall during the three and nine months ended September 30, 2022. The impairment losses were due to the reduction of the estimated holding periods of the properties (See Note 10—Mortgage Notes Payable). The remaining amounts for the three and nine months ended September 30, 2023 and 2022 mainly pertain to the write off of development costs.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of the Company's assets that were measured on a nonrecurring basis as a result of the impairment losses recorded for the nine months ended September 30, 2023 and 2022, as described above:</w:t>
      </w:r>
    </w:p>
    <w:tbl>
      <w:tblPr>
        <w:tblW w:w="10205" w:type="dxa"/>
        <w:jc w:val="left"/>
        <w:tblInd w:w="0" w:type="dxa"/>
        <w:tblLayout w:type="fixed"/>
        <w:tblCellMar>
          <w:top w:w="28" w:type="dxa"/>
          <w:left w:w="28" w:type="dxa"/>
          <w:bottom w:w="28" w:type="dxa"/>
          <w:right w:w="28" w:type="dxa"/>
        </w:tblCellMar>
      </w:tblPr>
      <w:tblGrid>
        <w:gridCol w:w="446"/>
        <w:gridCol w:w="393"/>
        <w:gridCol w:w="394"/>
        <w:gridCol w:w="109"/>
        <w:gridCol w:w="109"/>
        <w:gridCol w:w="109"/>
        <w:gridCol w:w="355"/>
        <w:gridCol w:w="1217"/>
        <w:gridCol w:w="185"/>
        <w:gridCol w:w="109"/>
        <w:gridCol w:w="109"/>
        <w:gridCol w:w="109"/>
        <w:gridCol w:w="604"/>
        <w:gridCol w:w="1165"/>
        <w:gridCol w:w="316"/>
        <w:gridCol w:w="109"/>
        <w:gridCol w:w="109"/>
        <w:gridCol w:w="109"/>
        <w:gridCol w:w="444"/>
        <w:gridCol w:w="1300"/>
        <w:gridCol w:w="232"/>
        <w:gridCol w:w="109"/>
        <w:gridCol w:w="109"/>
        <w:gridCol w:w="109"/>
        <w:gridCol w:w="356"/>
        <w:gridCol w:w="1221"/>
        <w:gridCol w:w="269"/>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23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 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 for 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w:t>
            </w:r>
          </w:p>
        </w:tc>
      </w:tr>
      <w:tr>
        <w:trPr/>
        <w:tc>
          <w:tcPr>
            <w:tcW w:w="12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(Level 2 measurement) relating to a portion of the 2023 impairment was based on a sales contract and is classified within Level 2 of the fair value hierarchy. The fair value (Level 3 measurement) related to the 2022 and remaining 2023 impairments were based upon an income approach, using an estimated terminal capitalization rate of 9.5% and 13.0%, respectively, a discount rate of 10.5% and 14.5%, respectively, and market rents per square foot of $12 to $250. The fair value is sensitive to these significant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7. Tenant and Other Receivables,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tenant and other receivables, net is an allowance for doubtful accounts of $6,322 and $10,741 at September 30, 2023 and December 31, 2022, respectively. Also included in tenant and other receivables, net are accrued percentage rents of $4,456 and $18,010 at September 30, 2023 and December 31, 2022, respectively, and a deferred rent receivable due to straight-line rent adjustments of $106,780 and $110,155 at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Leases: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 (Continued)</w: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leasing revenue for the three and nine months ended September 30, 2023 and 2022:</w:t>
      </w:r>
    </w:p>
    <w:tbl>
      <w:tblPr>
        <w:tblW w:w="9950" w:type="dxa"/>
        <w:jc w:val="left"/>
        <w:tblInd w:w="0" w:type="dxa"/>
        <w:tblLayout w:type="fixed"/>
        <w:tblCellMar>
          <w:top w:w="28" w:type="dxa"/>
          <w:left w:w="28" w:type="dxa"/>
          <w:bottom w:w="28" w:type="dxa"/>
          <w:right w:w="28" w:type="dxa"/>
        </w:tblCellMar>
      </w:tblPr>
      <w:tblGrid>
        <w:gridCol w:w="1135"/>
        <w:gridCol w:w="998"/>
        <w:gridCol w:w="1002"/>
        <w:gridCol w:w="263"/>
        <w:gridCol w:w="1031"/>
        <w:gridCol w:w="136"/>
        <w:gridCol w:w="136"/>
        <w:gridCol w:w="136"/>
        <w:gridCol w:w="136"/>
        <w:gridCol w:w="263"/>
        <w:gridCol w:w="1031"/>
        <w:gridCol w:w="136"/>
        <w:gridCol w:w="109"/>
        <w:gridCol w:w="109"/>
        <w:gridCol w:w="109"/>
        <w:gridCol w:w="255"/>
        <w:gridCol w:w="1000"/>
        <w:gridCol w:w="131"/>
        <w:gridCol w:w="131"/>
        <w:gridCol w:w="131"/>
        <w:gridCol w:w="131"/>
        <w:gridCol w:w="255"/>
        <w:gridCol w:w="1000"/>
        <w:gridCol w:w="186"/>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revenue—fixed payments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revenue—variable payments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doubtful accounts, net</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197,305 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589,003 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587,596 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future rental payments to the Company:</w:t>
      </w:r>
    </w:p>
    <w:tbl>
      <w:tblPr>
        <w:tblW w:w="4922" w:type="dxa"/>
        <w:jc w:val="left"/>
        <w:tblInd w:w="0" w:type="dxa"/>
        <w:tblLayout w:type="fixed"/>
        <w:tblCellMar>
          <w:top w:w="28" w:type="dxa"/>
          <w:left w:w="28" w:type="dxa"/>
          <w:bottom w:w="28" w:type="dxa"/>
          <w:right w:w="28" w:type="dxa"/>
        </w:tblCellMar>
      </w:tblPr>
      <w:tblGrid>
        <w:gridCol w:w="1179"/>
        <w:gridCol w:w="1036"/>
        <w:gridCol w:w="1039"/>
        <w:gridCol w:w="109"/>
        <w:gridCol w:w="109"/>
        <w:gridCol w:w="109"/>
        <w:gridCol w:w="211"/>
        <w:gridCol w:w="97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Twelve months ending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Leases: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properties that are subject to non-cancelable operating leases. The leases expire at various times through 2075, subject in some cases to options to extend the terms of the lease. Certain leases provide for contingent rent payments based on a percentage of base rental income, as defined in the lease. In addition, the Company has five finance leases that expire at various times through 2025.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 costs for the three and nine months ended September 30, 2023 and 2022:</w:t>
      </w:r>
    </w:p>
    <w:tbl>
      <w:tblPr>
        <w:tblW w:w="9366" w:type="dxa"/>
        <w:jc w:val="left"/>
        <w:tblInd w:w="0" w:type="dxa"/>
        <w:tblLayout w:type="fixed"/>
        <w:tblCellMar>
          <w:top w:w="28" w:type="dxa"/>
          <w:left w:w="28" w:type="dxa"/>
          <w:bottom w:w="28" w:type="dxa"/>
          <w:right w:w="28" w:type="dxa"/>
        </w:tblCellMar>
      </w:tblPr>
      <w:tblGrid>
        <w:gridCol w:w="922"/>
        <w:gridCol w:w="811"/>
        <w:gridCol w:w="816"/>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ROU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on lease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 (Continued)</w:t>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future rental payments required under the leases:        </w:t>
      </w:r>
    </w:p>
    <w:tbl>
      <w:tblPr>
        <w:tblW w:w="10151" w:type="dxa"/>
        <w:jc w:val="left"/>
        <w:tblInd w:w="0" w:type="dxa"/>
        <w:tblLayout w:type="fixed"/>
        <w:tblCellMar>
          <w:top w:w="28" w:type="dxa"/>
          <w:left w:w="28" w:type="dxa"/>
          <w:bottom w:w="28" w:type="dxa"/>
          <w:right w:w="28" w:type="dxa"/>
        </w:tblCellMar>
      </w:tblPr>
      <w:tblGrid>
        <w:gridCol w:w="1382"/>
        <w:gridCol w:w="1220"/>
        <w:gridCol w:w="1223"/>
        <w:gridCol w:w="109"/>
        <w:gridCol w:w="109"/>
        <w:gridCol w:w="109"/>
        <w:gridCol w:w="211"/>
        <w:gridCol w:w="721"/>
        <w:gridCol w:w="271"/>
        <w:gridCol w:w="109"/>
        <w:gridCol w:w="109"/>
        <w:gridCol w:w="109"/>
        <w:gridCol w:w="211"/>
        <w:gridCol w:w="721"/>
        <w:gridCol w:w="271"/>
        <w:gridCol w:w="109"/>
        <w:gridCol w:w="109"/>
        <w:gridCol w:w="109"/>
        <w:gridCol w:w="239"/>
        <w:gridCol w:w="818"/>
        <w:gridCol w:w="307"/>
        <w:gridCol w:w="109"/>
        <w:gridCol w:w="109"/>
        <w:gridCol w:w="109"/>
        <w:gridCol w:w="211"/>
        <w:gridCol w:w="721"/>
        <w:gridCol w:w="316"/>
      </w:tblGrid>
      <w:tr>
        <w:trPr/>
        <w:tc>
          <w:tcPr>
            <w:tcW w:w="138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rental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168,621 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(86,315)</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82,306 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years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9. Deferred Charges and Other Assets, net:</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net consist of the following:</w:t>
      </w:r>
    </w:p>
    <w:tbl>
      <w:tblPr>
        <w:tblW w:w="5768" w:type="dxa"/>
        <w:jc w:val="left"/>
        <w:tblInd w:w="0" w:type="dxa"/>
        <w:tblLayout w:type="fixed"/>
        <w:tblCellMar>
          <w:top w:w="28" w:type="dxa"/>
          <w:left w:w="28" w:type="dxa"/>
          <w:bottom w:w="28" w:type="dxa"/>
          <w:right w:w="28" w:type="dxa"/>
        </w:tblCellMar>
      </w:tblPr>
      <w:tblGrid>
        <w:gridCol w:w="1121"/>
        <w:gridCol w:w="988"/>
        <w:gridCol w:w="995"/>
        <w:gridCol w:w="211"/>
        <w:gridCol w:w="826"/>
        <w:gridCol w:w="109"/>
        <w:gridCol w:w="109"/>
        <w:gridCol w:w="109"/>
        <w:gridCol w:w="109"/>
        <w:gridCol w:w="211"/>
        <w:gridCol w:w="82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 values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commissions and legal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Above-market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Accumulated amortization includes $42,903 and $44,362 relating to in-place lease values, leasing commissions and legal costs at September 30, 2023 and December 31, 2022, respectively. Amortization expense of in-place lease values, leasing commissions and legal costs was $1,880 and $1,688 for the three months ended September 30, 2023 and 2022, respectively, and $5,665 and $5,019 for the nine months ended September 30, 2023 and 2022, respectively.</w:t>
      </w:r>
    </w:p>
    <w:p>
      <w:pPr>
        <w:pStyle w:val="TextBody"/>
        <w:bidi w:val="0"/>
        <w:spacing w:before="60" w:after="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9. Deferred Charges and Other Assets, net: (Continued)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 allocated values of above-market leases and below-market leases consist of the following:</w:t>
      </w:r>
    </w:p>
    <w:tbl>
      <w:tblPr>
        <w:tblW w:w="5246" w:type="dxa"/>
        <w:jc w:val="left"/>
        <w:tblInd w:w="0" w:type="dxa"/>
        <w:tblLayout w:type="fixed"/>
        <w:tblCellMar>
          <w:top w:w="28" w:type="dxa"/>
          <w:left w:w="28" w:type="dxa"/>
          <w:bottom w:w="28" w:type="dxa"/>
          <w:right w:w="28" w:type="dxa"/>
        </w:tblCellMar>
      </w:tblPr>
      <w:tblGrid>
        <w:gridCol w:w="955"/>
        <w:gridCol w:w="840"/>
        <w:gridCol w:w="845"/>
        <w:gridCol w:w="231"/>
        <w:gridCol w:w="790"/>
        <w:gridCol w:w="119"/>
        <w:gridCol w:w="109"/>
        <w:gridCol w:w="109"/>
        <w:gridCol w:w="109"/>
        <w:gridCol w:w="221"/>
        <w:gridCol w:w="757"/>
        <w:gridCol w:w="161"/>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Above-Market Leases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allocated value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Below-Market Leases(1)</w:t>
            </w:r>
          </w:p>
        </w:tc>
        <w:tc>
          <w:tcPr>
            <w:tcW w:w="11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allocated value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Below-market leases are included in other accrued liabilities.</w:t>
      </w:r>
    </w:p>
    <w:p>
      <w:pPr>
        <w:pStyle w:val="TextBody"/>
        <w:bidi w:val="0"/>
        <w:spacing w:before="160" w:after="1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Mortgage Notes Payable: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at September 30, 2023 and December 31, 2022 consist of the following:</w:t>
      </w:r>
    </w:p>
    <w:tbl>
      <w:tblPr>
        <w:tblW w:w="10205" w:type="dxa"/>
        <w:jc w:val="left"/>
        <w:tblInd w:w="0" w:type="dxa"/>
        <w:tblLayout w:type="fixed"/>
        <w:tblCellMar>
          <w:top w:w="28" w:type="dxa"/>
          <w:left w:w="28" w:type="dxa"/>
          <w:bottom w:w="28" w:type="dxa"/>
          <w:right w:w="28" w:type="dxa"/>
        </w:tblCellMar>
      </w:tblPr>
      <w:tblGrid>
        <w:gridCol w:w="1066"/>
        <w:gridCol w:w="849"/>
        <w:gridCol w:w="855"/>
        <w:gridCol w:w="109"/>
        <w:gridCol w:w="109"/>
        <w:gridCol w:w="109"/>
        <w:gridCol w:w="240"/>
        <w:gridCol w:w="1112"/>
        <w:gridCol w:w="123"/>
        <w:gridCol w:w="111"/>
        <w:gridCol w:w="111"/>
        <w:gridCol w:w="111"/>
        <w:gridCol w:w="234"/>
        <w:gridCol w:w="1087"/>
        <w:gridCol w:w="121"/>
        <w:gridCol w:w="109"/>
        <w:gridCol w:w="109"/>
        <w:gridCol w:w="109"/>
        <w:gridCol w:w="300"/>
        <w:gridCol w:w="275"/>
        <w:gridCol w:w="658"/>
        <w:gridCol w:w="109"/>
        <w:gridCol w:w="109"/>
        <w:gridCol w:w="109"/>
        <w:gridCol w:w="221"/>
        <w:gridCol w:w="489"/>
        <w:gridCol w:w="114"/>
        <w:gridCol w:w="109"/>
        <w:gridCol w:w="109"/>
        <w:gridCol w:w="109"/>
        <w:gridCol w:w="237"/>
        <w:gridCol w:w="237"/>
        <w:gridCol w:w="346"/>
      </w:tblGrid>
      <w:tr>
        <w:trPr/>
        <w:tc>
          <w:tcPr>
            <w:tcW w:w="10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Mortgage Notes(1)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Pledged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w:t>
              <w:br/>
              <w:t>Rate(2)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Monthly</w:t>
              <w:br/>
              <w:t>Debt</w:t>
              <w:br/>
              <w:t>Service(3)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Date(4)</w:t>
            </w:r>
          </w:p>
        </w:tc>
      </w:tr>
      <w:tr>
        <w:trPr/>
        <w:tc>
          <w:tcPr>
            <w:tcW w:w="2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Fashion Center(5)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255,736 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Danbury Fair Mall(6)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District Philadelphia(7)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Outlets of Chicago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Outlets of Niagara Falls USA(8)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Freehold Raceway Mall(5)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Fresno Fashion Fair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Acres Commons(9)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Acres Mall(10)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Kings Plaza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Oaks, The(11)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 View(12)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Queens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Monica Place(13)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SanTan Village Regional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Towne Mall(14)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 Valley, Mall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Vintage Faire Mall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4,166,335 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4,240,596 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ind w:left="0" w:right="0" w:firstLine="495"/>
        <w:jc w:val="center"/>
        <w:rPr/>
      </w:pPr>
      <w:r>
        <w:rPr/>
      </w:r>
    </w:p>
    <w:p>
      <w:pPr>
        <w:pStyle w:val="TextBody"/>
        <w:bidi w:val="0"/>
        <w:spacing w:lineRule="auto" w:line="288" w:before="0" w:after="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(1)The mortgage notes payable also include unamortized deferred finance costs that are amortized into interest expense over the remaining term of the related debt in a manner that approximates the effective interest method. Unamortized deferred finance costs were $23,023 and $13,830 at September 30, 2023 and December 31, 2022, respectively.</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(2)The interest rate disclosed represents the effective interest rate, including the impact of debt premium and deferred finance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Mortgage Notes Payable: (Continued)</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(3)The monthly debt service represents the payment of principal and interest.</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(4)The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(5)A 49.9% interest in the loan has been assumed by a third party in connection with the Company's joint venture in Chandler Freehold (See Note 12—Financing Arrangement).</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(6)On July 1, 2022, the Company extended the loan maturity to July 1, 2023. The interest rate remained unchanged at 5.5%, and the Company repaid $10,000 of the outstanding loan balance at closing. On June 27, 2023, the Company further extended the loan maturity to July 1, 2024. The Company repaid $10,000 of the outstanding loan balance at closing and the amended interest rate was 7.5% as of July 1, 2023 incrementally increasing to 8.0% as of October 1, 2023, 8.5% as of January 1, 2024 and 9.0% as of April 1, 2024.</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(7)On August 26, 2022 and November 28, 2022, the Company repaid $83,058 and $7,117, respectively, of the outstanding loan balance to satisfy certain loan conditions. On January 20, 2023, the Company repaid $26,107 of the outstanding loan balance and exercised its one-year extension option of the loan to January 22, 2024. The interest rate is SOFR plus 3.60%.</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(8)Effective October 6, 2023, the loan is in default. The Company is in negotiations with the lender on the terms of this non-recourse loan.</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(9)On March 25, 2021, the Company closed on a two-year extension of the loan to March 29, 2023. The interest rate was LIBOR plus 2.75% and the Company repaid $4,680 of the outstanding loan balance at closing. On January 3, 2023, the Company closed on a five-year $370,000 combined refinance of Green Acres Mall and Green Acres Commons. The new interest only loan bears interest at a fixed rate of 5.90% and matures on January 6, 2028. </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(10)On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 On January 3, 2023, the Company closed on a five-year $370,000 combined refinance of Green Acres Mall and Green Acres Commons. The new interest only loan bears interest at a fixed rate of 5.90% and matures on January 6, 2028.</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(11)On May 6, 2022, the Company closed on a two-year extension of the loan to June 5, 2024 at a new fixed interest rate of 5.25%. The Company repaid $5,000 of the outstanding loan balance at closing. On June 5, 2023, the Company repaid $10,000 of the outstanding loan balance. </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(12)On April 29, 2022, the Company closed on a new $72,000 loan with a fixed rate of 5.29% that matures on May 6, 2032.</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(13)On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prevented LIBOR from exceeding 4.0% during the period ending December 9, 2023. The interest rate cap agreement was converted to 1-month Term SOFR effective July 9, 2023.</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(14)The Company has completed transition of the property to a receiver, but is the owner of record as of September 30, 2023 and December 31, 2022.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mortgage loan agreements contain a prepayment penalty provision for the early extinguishment of the debt.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mortgage notes payable are secured by the properties on which they are placed and are non-recourse to the Company.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all loan maturities during the next twelve months will be refinanced, restructured, extended and/or paid off from the Company's line of credit or with cash on hand, with the exception of Towne Mall and Fashion Outlets of Niagara Falls as noted above.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capitalized was $5,670 and $2,859 for the three months ended September 30, 2023 and 2022, respectively, and $15,364 and $7,151 for the nine months ended September 30, 2023 and 2022,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(Level 2 measurement) of mortgage notes payable at September 30, 2023 and December 31, 2022 was $3,780,053 and $3,894,588,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60" w:after="283"/>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11. Bank and Other Notes Payable: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Bank and other notes payable consist of the following:</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the Company had a $525,000 revolving loan facility, which was scheduled to mature on April 14, 2024. On September 11, 2023, the Company and the Operating Partnership entered into an amended and restated credit agreement, which amends and restates their prior credit agreement, and provides for an aggregate $650,000 revolving loan facility that matures on February 1, 2027, with a one-year extension option. The revolving loan facility can be expanded up to $950,000,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September 30, 2023, the borrowing rate was SOFR plus a spread of 2.35%. As of September 30, 2023, borrowings under the credit facility were $135,000 less unamortized deferred finance costs of $16,365 for the revolving loan facility at a total effective interest rate of 8.48%. Concurrently with the entry into the amended and restated credit agreement, the Company drew $152,000 of the amount available under the revolving loan facility and used the proceeds to repay in full amounts outstanding under its prior credit facility. As of September 30, 2023, the Company’s availability under the revolving loan facility for additional borrowings was $514,787. The estimated fair value (Level 2 measurement) of borrowings under the credit facility at September 30, 2023 was $138,661 for the revolving loan facility based on a present value model using a credit interest rate spread offered to the Company for comparable debt.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was in compliance with all applicable financial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12. Financing Arrangement: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2009, the Company formed a joint venture whereby a third party acquired a 49.9% interest in Chandler Fashion Center, a 1,320,000 square foot regional shopping center in Chandler, Arizona, and Freehold Raceway Mall, a 1,549,000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September 30, 2023 and December 31, 2022 was based upon a terminal capitalization rate of approximately 6.50% and 6.25%, respectively, a discount rate at September 30, 2023 and December 31, 2022 of 8.25% and 7.75%, respectively, and market rents per square foot of $35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(income) in the Company's consolidated statements of operations.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and 2022, the Company recognized related party interest expense (income) in the Company's consolidated statements of operations in connection with the financing arrangement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12. Financing Arrangement: (Continued)</w:t>
      </w:r>
    </w:p>
    <w:tbl>
      <w:tblPr>
        <w:tblW w:w="10205" w:type="dxa"/>
        <w:jc w:val="left"/>
        <w:tblInd w:w="0" w:type="dxa"/>
        <w:tblLayout w:type="fixed"/>
        <w:tblCellMar>
          <w:top w:w="28" w:type="dxa"/>
          <w:left w:w="28" w:type="dxa"/>
          <w:bottom w:w="28" w:type="dxa"/>
          <w:right w:w="28" w:type="dxa"/>
        </w:tblCellMar>
      </w:tblPr>
      <w:tblGrid>
        <w:gridCol w:w="1442"/>
        <w:gridCol w:w="1264"/>
        <w:gridCol w:w="1271"/>
        <w:gridCol w:w="284"/>
        <w:gridCol w:w="831"/>
        <w:gridCol w:w="147"/>
        <w:gridCol w:w="147"/>
        <w:gridCol w:w="147"/>
        <w:gridCol w:w="147"/>
        <w:gridCol w:w="284"/>
        <w:gridCol w:w="831"/>
        <w:gridCol w:w="147"/>
        <w:gridCol w:w="109"/>
        <w:gridCol w:w="109"/>
        <w:gridCol w:w="109"/>
        <w:gridCol w:w="281"/>
        <w:gridCol w:w="622"/>
        <w:gridCol w:w="144"/>
        <w:gridCol w:w="144"/>
        <w:gridCol w:w="144"/>
        <w:gridCol w:w="144"/>
        <w:gridCol w:w="281"/>
        <w:gridCol w:w="962"/>
        <w:gridCol w:w="214"/>
      </w:tblGrid>
      <w:tr>
        <w:trPr/>
        <w:tc>
          <w:tcPr>
            <w:tcW w:w="144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equal to the partner's share of net income (loss)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the partner's share of net income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fair value of financing arrangement obligation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23,368 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Noncontrolling Interests: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allocates net (loss) income of the Operating Partnership based on the weighted average ownership interest during the period. The net (loss)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September 30, 2023 and December 31, 2022. The remaining 4% limited partnership interest as of September 30, 2023 and December 31, 2022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2023 and December 31, 2022, the aggregate redemption value of the then-outstanding OP Units not owned by the Company was $102,092 and $103,023,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permanent equity are outside ownership interests in various consolidated joint ventures. The joint ventures do not have rights that require the Company to redeem the ownership interests in either cash or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Offerings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did not issue any shares of common stock under the March 2021 ATM Program. As of September 30, 2023,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 </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Buyback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12, 2017, the Company's Board of Directors authorized the repurchase of up to $500,000 of its outstanding common shares as market conditions and the Company’s liquidity warrant. Repurchases may be made through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14. Stockholders' Equity: (Continued)</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repurchases under the Stock Buyback Program during the nine months ended September 30, 2023 or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allocation of the fair value of the former Sears parcels at Deptford Mall and Vintage Faire Mall:</w:t>
      </w:r>
    </w:p>
    <w:tbl>
      <w:tblPr>
        <w:tblW w:w="5510" w:type="dxa"/>
        <w:jc w:val="left"/>
        <w:tblInd w:w="0" w:type="dxa"/>
        <w:tblLayout w:type="fixed"/>
        <w:tblCellMar>
          <w:top w:w="28" w:type="dxa"/>
          <w:left w:w="28" w:type="dxa"/>
          <w:bottom w:w="28" w:type="dxa"/>
          <w:right w:w="28" w:type="dxa"/>
        </w:tblCellMar>
      </w:tblPr>
      <w:tblGrid>
        <w:gridCol w:w="1602"/>
        <w:gridCol w:w="1404"/>
        <w:gridCol w:w="1418"/>
        <w:gridCol w:w="211"/>
        <w:gridCol w:w="721"/>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(above-market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(below-market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net assets (at 100% ownership)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allocation of the fair value of the former Sears parcels at Chandler Fashion Center, Danbury Fair Mall, Freehold Raceway Mall, Los Cerritos Center and Washington Square:</w:t>
      </w:r>
    </w:p>
    <w:tbl>
      <w:tblPr>
        <w:tblW w:w="5620" w:type="dxa"/>
        <w:jc w:val="left"/>
        <w:tblInd w:w="0" w:type="dxa"/>
        <w:tblLayout w:type="fixed"/>
        <w:tblCellMar>
          <w:top w:w="28" w:type="dxa"/>
          <w:left w:w="28" w:type="dxa"/>
          <w:bottom w:w="28" w:type="dxa"/>
          <w:right w:w="28" w:type="dxa"/>
        </w:tblCellMar>
      </w:tblPr>
      <w:tblGrid>
        <w:gridCol w:w="1602"/>
        <w:gridCol w:w="1405"/>
        <w:gridCol w:w="1418"/>
        <w:gridCol w:w="211"/>
        <w:gridCol w:w="721"/>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(below-market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net assets (at 100% ownership)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Dispositions: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 sold The Marketplace at Flagstaff, a 268,000 square foot power center in Flagstaff, Arizona, for $23,500, which resulted in a gain on sale of assets of $10,349. The Company used the net proceeds to pay down debt.</w:t>
      </w:r>
    </w:p>
    <w:p>
      <w:pPr>
        <w:pStyle w:val="TextBody"/>
        <w:bidi w:val="0"/>
        <w:spacing w:lineRule="auto" w:line="26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2023, the Company sold Superstition Springs Power Center, a 204,000 square foot power center in Mesa, Arizona, for $5,634, which resulted in a gain on sale of assets of $1,903. The Company used the net proceeds to pay down debt.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sold various land parcels in separate transactions, resulting in gains on sale of land of $480 and $4,854, respectively. For the three and nine months ended September 30, 2022, the Company sold various land parcels in separate transactions, resulting in gains on sale of land of $6,240 and $21,387, respectively. The Company used its share of the proceeds from these sales to pay down debt and for other general corporate purposes.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was contingently liable for $41,031 in letters of credit guaranteeing performance by the Company of certain obligations relating to the Centers. As of September 30, 2023, $40,818 of these letters of credit were secured by restricted cash.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 number of construction agreements related to its redevelopment and development activities. Obligations under these agreements are contingent upon the completion of the services within the guidelines specified in the relevant agreement. At September 30, 2023, the Company had $7,128 in outstanding obligations, which it believes will be settled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fees charged to unconsolidated joint ventures:</w:t>
      </w:r>
    </w:p>
    <w:tbl>
      <w:tblPr>
        <w:tblW w:w="9366" w:type="dxa"/>
        <w:jc w:val="left"/>
        <w:tblInd w:w="0" w:type="dxa"/>
        <w:tblLayout w:type="fixed"/>
        <w:tblCellMar>
          <w:top w:w="28" w:type="dxa"/>
          <w:left w:w="28" w:type="dxa"/>
          <w:bottom w:w="28" w:type="dxa"/>
          <w:right w:w="28" w:type="dxa"/>
        </w:tblCellMar>
      </w:tblPr>
      <w:tblGrid>
        <w:gridCol w:w="924"/>
        <w:gridCol w:w="810"/>
        <w:gridCol w:w="815"/>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leasing fees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(income) from related party transactions includes $3,418 and $6,473 for the three months ended September 30, 2023 and 2022, respectively, and $(9) and $23,368 for the nine months ended September 30, 2023 and 2022, respectively, in connection with the financing arrangement (See Note 12—Financing Arrangement).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 includes $6,624 and $3,299 of unreimbursed costs and fees from unconsolidated joint ventures due to the Management Companies at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Share and Unit-Based Plans: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Share and Unit-Based Plans: (Continued)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the following LTI Units:</w:t>
      </w:r>
    </w:p>
    <w:tbl>
      <w:tblPr>
        <w:tblW w:w="8158"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488"/>
        <w:gridCol w:w="488"/>
        <w:gridCol w:w="176"/>
        <w:gridCol w:w="109"/>
        <w:gridCol w:w="109"/>
        <w:gridCol w:w="109"/>
        <w:gridCol w:w="543"/>
        <w:gridCol w:w="543"/>
        <w:gridCol w:w="550"/>
        <w:gridCol w:w="109"/>
        <w:gridCol w:w="109"/>
        <w:gridCol w:w="109"/>
        <w:gridCol w:w="443"/>
        <w:gridCol w:w="1293"/>
        <w:gridCol w:w="228"/>
        <w:gridCol w:w="109"/>
        <w:gridCol w:w="109"/>
        <w:gridCol w:w="109"/>
        <w:gridCol w:w="323"/>
        <w:gridCol w:w="323"/>
        <w:gridCol w:w="463"/>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per LTI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 Date</w:t>
            </w:r>
          </w:p>
        </w:tc>
      </w:tr>
      <w:tr>
        <w:trPr/>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12/31/2025</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1,607,332 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service-based LTI Units was determined by the market price of the Company's common stock on the date of grant. The fair value (Level 3 measurement) of the performance-based LTI Units granted on January 1, 2023 was estimated on the date of grant using a Monte Carlo Simulation model that assumed a three-year risk-free interest rate of 4.21% and an expected volatility of 74.23%.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non-vested LTI Units, phantom stock units and stock units:</w:t>
      </w:r>
    </w:p>
    <w:tbl>
      <w:tblPr>
        <w:tblW w:w="10205" w:type="dxa"/>
        <w:jc w:val="left"/>
        <w:tblInd w:w="0" w:type="dxa"/>
        <w:tblLayout w:type="fixed"/>
        <w:tblCellMar>
          <w:top w:w="28" w:type="dxa"/>
          <w:left w:w="28" w:type="dxa"/>
          <w:bottom w:w="28" w:type="dxa"/>
          <w:right w:w="28" w:type="dxa"/>
        </w:tblCellMar>
      </w:tblPr>
      <w:tblGrid>
        <w:gridCol w:w="708"/>
        <w:gridCol w:w="532"/>
        <w:gridCol w:w="536"/>
        <w:gridCol w:w="488"/>
        <w:gridCol w:w="488"/>
        <w:gridCol w:w="176"/>
        <w:gridCol w:w="109"/>
        <w:gridCol w:w="109"/>
        <w:gridCol w:w="109"/>
        <w:gridCol w:w="211"/>
        <w:gridCol w:w="616"/>
        <w:gridCol w:w="109"/>
        <w:gridCol w:w="109"/>
        <w:gridCol w:w="109"/>
        <w:gridCol w:w="109"/>
        <w:gridCol w:w="109"/>
        <w:gridCol w:w="109"/>
        <w:gridCol w:w="252"/>
        <w:gridCol w:w="252"/>
        <w:gridCol w:w="411"/>
        <w:gridCol w:w="353"/>
        <w:gridCol w:w="254"/>
        <w:gridCol w:w="109"/>
        <w:gridCol w:w="109"/>
        <w:gridCol w:w="109"/>
        <w:gridCol w:w="211"/>
        <w:gridCol w:w="616"/>
        <w:gridCol w:w="109"/>
        <w:gridCol w:w="109"/>
        <w:gridCol w:w="109"/>
        <w:gridCol w:w="109"/>
        <w:gridCol w:w="433"/>
        <w:gridCol w:w="435"/>
        <w:gridCol w:w="176"/>
        <w:gridCol w:w="109"/>
        <w:gridCol w:w="109"/>
        <w:gridCol w:w="109"/>
        <w:gridCol w:w="211"/>
        <w:gridCol w:w="616"/>
        <w:gridCol w:w="159"/>
      </w:tblGrid>
      <w:tr>
        <w:trPr/>
        <w:tc>
          <w:tcPr>
            <w:tcW w:w="70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Phantom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Units</w:t>
            </w:r>
          </w:p>
        </w:tc>
        <w:tc>
          <w:tcPr>
            <w:tcW w:w="1313" w:type="dxa"/>
            <w:gridSpan w:val="6"/>
            <w:tcBorders/>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2,215,167 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3,771,849 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28"/>
            <w:tcBorders/>
            <w:tcMar>
              <w:top w:w="0" w:type="dxa"/>
              <w:left w:w="0" w:type="dxa"/>
              <w:bottom w:w="0" w:type="dxa"/>
              <w:right w:w="0" w:type="dxa"/>
            </w:tcMar>
            <w:vAlign w:val="center"/>
          </w:tcPr>
          <w:p>
            <w:pPr>
              <w:pStyle w:val="TableContents"/>
              <w:bidi w:val="0"/>
              <w:spacing w:lineRule="auto" w:line="240"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 Value represents the weighted average grant date fair value.</w:t>
            </w:r>
          </w:p>
        </w:tc>
        <w:tc>
          <w:tcPr>
            <w:tcW w:w="2684"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stock options outstanding:</w:t>
      </w:r>
    </w:p>
    <w:tbl>
      <w:tblPr>
        <w:tblW w:w="6268" w:type="dxa"/>
        <w:jc w:val="left"/>
        <w:tblInd w:w="0" w:type="dxa"/>
        <w:tblLayout w:type="fixed"/>
        <w:tblCellMar>
          <w:top w:w="28" w:type="dxa"/>
          <w:left w:w="28" w:type="dxa"/>
          <w:bottom w:w="28" w:type="dxa"/>
          <w:right w:w="28" w:type="dxa"/>
        </w:tblCellMar>
      </w:tblPr>
      <w:tblGrid>
        <w:gridCol w:w="1098"/>
        <w:gridCol w:w="961"/>
        <w:gridCol w:w="970"/>
        <w:gridCol w:w="125"/>
        <w:gridCol w:w="125"/>
        <w:gridCol w:w="196"/>
        <w:gridCol w:w="196"/>
        <w:gridCol w:w="196"/>
        <w:gridCol w:w="196"/>
        <w:gridCol w:w="360"/>
        <w:gridCol w:w="361"/>
        <w:gridCol w:w="176"/>
        <w:gridCol w:w="109"/>
        <w:gridCol w:w="109"/>
        <w:gridCol w:w="109"/>
        <w:gridCol w:w="211"/>
        <w:gridCol w:w="61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Value represents the weighted average exercise price.</w:t>
            </w:r>
          </w:p>
        </w:tc>
        <w:tc>
          <w:tcPr>
            <w:tcW w:w="2205"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compensation cost under the share and unit-based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Share and Unit-Based Plans: (Continued)</w:t>
      </w:r>
    </w:p>
    <w:tbl>
      <w:tblPr>
        <w:tblW w:w="8586" w:type="dxa"/>
        <w:jc w:val="left"/>
        <w:tblInd w:w="0" w:type="dxa"/>
        <w:tblLayout w:type="fixed"/>
        <w:tblCellMar>
          <w:top w:w="28" w:type="dxa"/>
          <w:left w:w="28" w:type="dxa"/>
          <w:bottom w:w="28" w:type="dxa"/>
          <w:right w:w="28" w:type="dxa"/>
        </w:tblCellMar>
      </w:tblPr>
      <w:tblGrid>
        <w:gridCol w:w="640"/>
        <w:gridCol w:w="563"/>
        <w:gridCol w:w="566"/>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 Units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units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Phantom stock units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share and unit-based compensation costs of $190 and $1,101 for the three months ended September 30, 2023 and 2022, respectively, and $2,344 and $3,395 for the nine months ended September 30, 2023 and 2022, respectively. Unrecognized compensation costs of share and unit-based plans at September 30, 2023 consisted of $7,624 from LTI Units, $1,991 from stock units and $303 from phantom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20. Income Taxes: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of the TRSs are as follows:</w:t>
      </w:r>
    </w:p>
    <w:tbl>
      <w:tblPr>
        <w:tblW w:w="8986" w:type="dxa"/>
        <w:jc w:val="left"/>
        <w:tblInd w:w="0" w:type="dxa"/>
        <w:tblLayout w:type="fixed"/>
        <w:tblCellMar>
          <w:top w:w="28" w:type="dxa"/>
          <w:left w:w="28" w:type="dxa"/>
          <w:bottom w:w="28" w:type="dxa"/>
          <w:right w:w="28" w:type="dxa"/>
        </w:tblCellMar>
      </w:tblPr>
      <w:tblGrid>
        <w:gridCol w:w="784"/>
        <w:gridCol w:w="688"/>
        <w:gridCol w:w="702"/>
        <w:gridCol w:w="324"/>
        <w:gridCol w:w="1064"/>
        <w:gridCol w:w="167"/>
        <w:gridCol w:w="167"/>
        <w:gridCol w:w="167"/>
        <w:gridCol w:w="167"/>
        <w:gridCol w:w="324"/>
        <w:gridCol w:w="717"/>
        <w:gridCol w:w="167"/>
        <w:gridCol w:w="109"/>
        <w:gridCol w:w="109"/>
        <w:gridCol w:w="109"/>
        <w:gridCol w:w="325"/>
        <w:gridCol w:w="833"/>
        <w:gridCol w:w="167"/>
        <w:gridCol w:w="167"/>
        <w:gridCol w:w="167"/>
        <w:gridCol w:w="167"/>
        <w:gridCol w:w="325"/>
        <w:gridCol w:w="833"/>
        <w:gridCol w:w="237"/>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(expense) benefit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$22,952 and $23,114 were included in deferred charges and other assets, net at September 30, 2023 and December 31, 2022,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September 30, 2023, the Company had no valuation allowance recorded.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tax years 2019 through 2021 remain open to examination by the taxing jurisdictions to which the Company is subject. The Company does not expect that the total amount of unrecognized tax benefit will materially change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21. Subsequent Events: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27, 2023, the Company announced a dividend/distribution of $0.17 per share for common stockholders and OP Unitholders of record on November 9, 2023. All dividends/distributions will be paid 100% in cash on December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IMPORTANT INFORMATION RELATED TO FORWARD-LOOKING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expectations regarding the Company's growth;</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beliefs regarding its acquisition, redevelopment, development, leasing and operational activities and opportunities, including the performance and financial stability of its retailers;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acquisition, disposition and other strategies;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regulatory matters pertaining to compliance with governmental regulations;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capital expenditure plans and expectations for obtaining capital for expenditures;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regarding income tax benefits;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regarding its financial condition or results of operations;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for refinancing its indebtedness, entering into and servicing debt obligations and entering into joint venture arrangements.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the Company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2022,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2023, the Operating Partnership owned or had an ownership interest in 44 regional town centers (including office, hotel and residential space adjacent to these shopping centers), three community/power shopping centers, one office property and one redevelopment property. These 49 regional town centers, community/power shopping centers, office and redevelopment properties consist of approximately 47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referred to herein as the "Management Companies"). The Company is a self-administered and self-managed real estate investment trust ("REIT") and conducts all of its operations through the Operating Partnership and the Management Companies.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based primarily on the consolidated financial statements of the Company for the three and nine months ended September 30, 2023 and 2022. It compares the results of operations for the three months ended September 30, 2023 to the results of operations for the three months ended September 30, 2022. It also compares the results of operations and cash flows for the nine months ended September 30, 2023 to the results of operations and cash flows for the nine months ended September 30, 2022.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should be read in conjunction with the accompanying consolidated financial statements and notes thereto.</w:t>
      </w:r>
    </w:p>
    <w:p>
      <w:pPr>
        <w:pStyle w:val="TextBody"/>
        <w:bidi w:val="0"/>
        <w:spacing w:lineRule="auto" w:line="288" w:before="160" w:after="160"/>
        <w:ind w:left="0" w:right="0" w:firstLine="495"/>
        <w:jc w:val="left"/>
        <w:rPr/>
      </w:pPr>
      <w:r>
        <w:rPr>
          <w:rFonts w:ascii="Times New Roman;sans-serif" w:hAnsi="Times New Roman;sans-serif"/>
          <w:b w:val="false"/>
          <w:i/>
          <w:color w:val="000000"/>
          <w:sz w:val="20"/>
        </w:rPr>
        <w:t>Acquisitions</w:t>
      </w:r>
      <w:r>
        <w:rPr>
          <w:rFonts w:ascii="Times New Roman;sans-serif" w:hAnsi="Times New Roman;sans-serif"/>
          <w:b w:val="false"/>
          <w:color w:val="000000"/>
          <w:sz w:val="20"/>
        </w:rPr>
        <w: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2022, the Company acquired the remaining 50% ownership interest in two former Sears parcels (Deptford Mall and Vintage Faire Mall) in MS Portfolio LLC, the Company's joint venture with Seritage Growth Properties ("Seritage"), for a total purchase price of $24.5 million. Effective as of August 2, 2022, the Company now owns and has consolidated its 100% interest in these two former Sears parcels in its consolidated financial statements (See Note 15—Acquisitions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2023, the Company acquired Seritage’s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the Company and certain joint venture partners sold various land parcels in separate transactions, resulting in the Company’s share of the gain on sale of land of $9.7 million. The Company’s proceeds from these sales in the nine months ended September 30, 2023 were $14.6 million. The Company used its share of the proceeds from these sales to pay down debt and for other general corporate purposes.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2023, the Company sold Superstition Springs Power Center, a 204,000 square foot power center in Mesa, Arizona, for $5.6 million, which resulted in a gain on sale of assets of $1.9 million. The Company used the net proceeds to pay down debt. (See "Liquidity and Capital Resources").</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Financing Activities:</w:t>
      </w:r>
      <w:r>
        <w:rPr>
          <w:color w:val="000000"/>
        </w:rPr>
        <w:t xml:space="preserve">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replaced the existing $110.6 million loan on Pacific View with a new $72.0 million loan that bears interest at a fixed rate of 5.29% and matures on May 6, 2032.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2022, the Company closed on a two-year extension for The Oaks loan to June 5, 2024, at a new fixed interest rate of 5.25%. The Company repaid $5.0 million of the outstanding loan balance at closing.</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1, 2022, the Company further extended the loan maturity on Danbury Fair Mall to July 1, 2023. The interest rate remained unchanged at 5.5%, and the Company repaid $10.0 million of the outstanding loan balance at closing.</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repay the loan on Towne Mall on its maturity date of November 1, 2022, and has completed the process of transitioning the property to a loan receiver.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2024. The joint venture repaid $15.0 million ($9.0 million at the Company's pro rata share) of the loan at closing.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9, 2022, the Company extended the maturity date on the $300.0 million loan on Santa Monica Place to December 9, 2025, including extension options. The loan previously bore interest at a floating interest rate of LIBOR plus 1.48% and converted to 1-month Term SOFR plus 1.52% effective July 9,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2023, the Company exercised its one-year extension option of the loan on Fashion District Philadelphia to January 22, 2024. The interest rate is SOFR plus 3.60% and the Company repaid $26.1 million of the outstanding loan balance at closing.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executed the one-year extension option on its credit facility to April 14, 2024. Effective March 13, 2023, the credit facility converted from LIBOR to 1-month Term SOFR.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9, 2023, the Company’s joint venture in Country Club Plaza defaulted on the $295.2 million ($147.6 million at the Company's pro rata share) non-recourse loan on the property. The Company’s joint venture is in negotiations with the lender on the terms of this non-recourse loan.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2023, the Company closed on a one-year extension on the $133.5 million loan on Danbury Fair Mall to July 1, 2024. The Company repaid $10.0 million of the outstanding loan balance at closing and the amended interest rate will be 7.5% as of July 1, 2023 incrementally increasing to 8.0% as of October 1, 2023, 8.5% as of January 1, 2024 and 9.0% as of April 1,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11, 2023, the Company and Operating Partnership entered into an amended and restated credit agreement, which amended and restated their prior credit agreement, and provides for an aggregate $650 million revolving loan facility that matures on February 1, 2027, with a one-year extension option. Concurrently with the entry into the amended and restated corporate credit agreement, the Company drew $152 million of the amount available under the revolving loan facility and used the proceeds to repay in full amounts outstanding under the Company’s prior credit facility. (See “Liquidity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6, 2023, the Company's $86.5 million loan on Fashion Outlets of Niagara Falls is in default. The Company is in negotiations with the lender on the terms of this non-recourse loan.</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Redevelopment and Development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50/50 joint venture with Simon Property Group, which was initially formed to develop Los Angeles Premium Outlets, a premium outlet center in Carson, California. The Company has funded $39.5 million of the total $78.9 million incurred by the joint venture as of September 30, 2023.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redeveloping an approximately 150,000 square foot, three-level space (formerly occupied by Bloomingdale’s and Arclight Theatre) at Santa Monica Place, a 534,000 square foot regional town center in Santa Monica, California, with an entertainment destination use, high-end fitness, and other retail uses. The total cost of the project is estimated to be between $35.0 million and $40.0 million. The Company has incurred approximately $2.2 million as of September 30, 2023. The anticipated opening will happen in phases beginning in 2024 through 2025.</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joint venture in Scottsdale Fashion Square, a 1,881,000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Company’s pro rata share. The Company has incurred $15.9 million of the total $31.8 million incurred by the joint venture as of September 30, 2023. The anticipated opening is in 2024.</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Transactions and Events: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declared a cash dividend of $0.15 per share of its common stock for each of the first three quarters of 2022 and a cash dividend of $0.17 per share of its common stock for the fourth quarter of 2022 and the first three quarters of 2023. On October 27, 2023, the Company announced a third quarter cash dividend of $0.17 per share of its common stock, which will be paid on December 1, 2023 to stockholders of record on November 9, 2023. The dividend amount will be reviewed by the Board on a quarterly basis.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September 30, 2023, the Company had approximately $151.7 million of gross sales of its common stock available under the March 2021 ATM Program. The February 2021 ATM Program was fully utilized as of June 30, 2021 and is no longer active.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“—Liquidity and Capital Resources” for a further discussion of the Company’s anticipated liquidity needs, and the measures taken by the Company to meet those needs.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2023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 </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Properties (as defined below).</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comparison of the three and nine months ended September 30, 2023 to the three and nine months ended September 30, 2022, the JV Transition Centers are the two former Sears parcels at Deptford Mall and Vintage Faire Mall and the five former Sears parcels at Chandler Fashion Center, Danbury Fair Mall, Freehold Raceway Mall, Los Cerritos Center and Washington Square (See “Acquisitions” in Management’s Overview and Summary). The Disposition Properties are The Marketplace at Flagstaff and Superstition Springs Power Center (See "Dispositions" in Management’s Overview and Summary). For the comparison of the three and nine months ended September 30, 2023 to the three and nine months ended September 30, 2022, there are no Redevelopment Properties.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ventures are reflected using the equity method of accounting. The Company’s pro rata share of the results from these Centers is reflected in the Consolidated Statements of Operations as equity in loss of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comparable tenant sales for spaces less than 10,000 square feet across the portfolio decreased by 2.0% relative to the third quarter of 2022. The leased occupancy rate of 93.4% at September 30, 2023 represented a 1.3% increase from 92.1% at September 30, 2022. Releasing spreads increased as the Company executed leases at an average rent of $59.27 for new and renewal leases executed compared to $53.58 on leases expiring, resulting in a releasing spread increase of $5.69 per square foot, or 10.6%, for the trailing twelve months ended September 30,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renew or replace leases that are scheduled to expire in 2023, however, due to a variety of factors, the Company cannot be certain of its ability to sign, renew or replace leases expiring in 2023 or beyond. The remaining 2023 lease expirations continue to be an important focal point for the Company. As of September 30, 2023, the Company has executed renewal leases or commitments on 84% of its 2023 expiring square footage of space that is not otherwise expected to close, with another 13% in the letter of intent stage.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the Company signed 71 new leases and 135 renewal leases comprising approximately 0.8 million square feet of GLA. The average tenant allowance was $20.29 per square foot.</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long-term four-pronged business strategy that focuses on the acquisition, leasing and management, redevelopment and development of regional town centers. Although the majority of the key performance indicators at the Centers continued to improve during 2022 and through the first three quarters of 2023, operating results in the remainder of 2023 could be negatively impacted by certain macro-economic factors, including any continued increase in inflation and interest rates or an economic slowdown or recession.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Traffic at the Company’s Centers for the first three quarters of 2023 was approximately 94% of 2022 levels. Portfolio tenant sales from spaces less than 10,000 square feet were $847 compared to $869 for the trailing twelve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 Comparable tenant sales from spaces less than 10,000 square feet across the portfolio for the trailing twelve months ended September 30, 2023 decreased by 1.8% compared to the same timeframe in 2022.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signed 206 leases for approximately 0.8 million square feet, compared to 218 leases and 1.1 million square feet leased during the third quarter of 2022, representing a 29% decrease in the amount of square footage leased and a 5.5% decrease in the number of leases signed on a comparable center basis. For the nine months ending September 30, 2023, the Company has signed leases for 3.14 million square feet, which is 10% more square footage than during the same timeframe in 2022, on a comparable center basis.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September 30, 2023, the Company signed deals for new stores with new-to-Macerich portfolio uses for 60,000 square feet, with another 322,000 square feet of such new-to-Macerich portfolio leases currently in negotiation as of the date of this Quarterly Report on Form 10-Q. During the twelve months ended December 31, 2022, the Company signed 101 leases for new stores with new-to-Macerich portfolio uses totaling approximately 441,000 square feet.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leased occupancy rate was 93.4%, a 1.3% increase compared to the leased occupancy rate at September 30, 2022 of 92.1% and a sequential 0.8% increase compared to the 92.6% occupancy rate at June 30,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pace of bankruptcy filings involving the Company’s tenants decreased substantially as compared to 2021, with only two bankruptcy filings involving three of the Company’s tenants representing approximately 111,000 square feet of leased space and $2.2 million of annual leasing revenue at the Company’s share. The Company expects that the pace of bankruptcy filings in 2023 will be among the lowest levels in the last decade. Year-to-date in 2023, there have been nine bankruptcy filings involving the Company’s tenants totaling fourteen leases and representing approximately 99,000 square feet of leased space and $3.2 million of annual leasing revenue at the Company's share.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fund the Company's development and redevelopment pipeline and to the extent available, de-lever the Company's balance sheet.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make progress addressing its near-term, non-recourse loan maturities, with six completed transactions since the start of the fourth quarter of 2022 totaling over $2.2 billion, or approximately $1.5 billion at the Company’s pro rata share. The Company's joint ventures are currently in the process of refinancing the loans on Tysons Corner Center and Boulevard Shops, and both loans are expected to close during the fourth quarter of 2023. For additional information on the Company’s financing transactions in the year ended 2022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11, 2023, the Company and Operating Partnership entered into an amended and restated corporate credit agreement, which amended and restated their prior credit agreement and provides for an aggregate $650 million revolving loan facility that matures on February 1, 2027, with a one-year extension option. Concurrently with the entry into the amended and restated credit agreement, the Company drew $152 million of the amount available under the revolving loan facility and used the proceeds to repay in full amounts outstanding under the Company’s prior credit facility. (See “Liquidity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Three Months Ended September 30, 2023 and 2022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 increased by $1.7 million, or 0.9%, from 2022 to 2023. The increase in leasing revenue is attributed to increases of $0.6 million from the Same Centers and $1.9 million from the JV Transition Centers offset in part by a decrease of $0.8 million from the Disposition Properties. Leasing revenue includes the amortization of above and below-market leases, the amortization of straight-line rents, lease termination income, percentage rent and the recovery of bad debts. The amortization of above and below-market leases was $0.5 million for both 2022 and 2023. The amortization of straight-line rents decreased from $0.4 million in 2022 to $(0.6) million in 2023. Lease termination income decreased from $0.5 million in 2022 to $0.1 million in 2023. Percentage rent decreased from $10.5 million in 2022 to $8.2 million in 2023. Recovery of bad debts decreased from $0.7 million in 2022 to $0.2 million in 2023.</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increased from $7.5 million in 2022 to $13.4 million in 2023. This increase is primarily due to parking, interest and other income related to the Same Centers.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 increased $1.7 million, or 2.2%, from 2022 to 2023. The increase in shopping center and operating expenses is attributed to increases of $1.3 million from the Disposition Properties and $0.5 million from the JV Transition Centers offset in part by a decrease of $0.1 million from the Same Centers.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REIT General and Administrative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REIT general and administrative expenses decreased $0.9 million from 2022 to 2023 primarily due to a decrease in compensation expense.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$2.0 million from 2022 to 2023. The decrease in depreciation and amortization is attributed to a decrease of $2.4 million from the Same Centers and $0.5 million from the Disposition Properties offset in part by an increase of $0.9 million from the JV Transition Centers.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 xml:space="preserve">Interest expense increased $0.8 million from 2022 to 2023. The increase in interest expense is attributed to increases of $3.4 million from the Same Centers and $1.4 million from higher outstanding balances and interest rates on the Company's revolving line of credit offset in part by decreases of $0.9 million from the JV Transition Centers and $3.1 million from the financing arrangement </w:t>
      </w:r>
      <w:r>
        <w:rPr>
          <w:rFonts w:ascii="Times New Roman;sans-serif" w:hAnsi="Times New Roman;sans-serif"/>
          <w:b w:val="false"/>
          <w:color w:val="000000"/>
          <w:sz w:val="20"/>
          <w:shd w:fill="FFFFFF" w:val="clear"/>
        </w:rPr>
        <w:t>(See Note 12—</w:t>
      </w:r>
      <w:r>
        <w:rPr>
          <w:rFonts w:ascii="Times New Roman;sans-serif" w:hAnsi="Times New Roman;sans-serif"/>
          <w:b w:val="false"/>
          <w:color w:val="000000"/>
          <w:sz w:val="20"/>
        </w:rPr>
        <w:t>Financing Arrangement</w:t>
      </w:r>
      <w:r>
        <w:rPr>
          <w:color w:val="000000"/>
          <w:shd w:fill="FFFFFF" w:val="clear"/>
        </w:rPr>
        <w:t xml:space="preserve"> </w:t>
      </w:r>
      <w:r>
        <w:rPr>
          <w:rFonts w:ascii="Times New Roman;sans-serif" w:hAnsi="Times New Roman;sans-serif"/>
          <w:b w:val="false"/>
          <w:color w:val="000000"/>
          <w:sz w:val="20"/>
          <w:shd w:fill="FFFFFF" w:val="clear"/>
        </w:rPr>
        <w:t>in the Company's Notes to the Consolidated Financial Statements)</w:t>
      </w:r>
      <w:r>
        <w:rPr>
          <w:rFonts w:ascii="Times New Roman;sans-serif" w:hAnsi="Times New Roman;sans-serif"/>
          <w:b w:val="false"/>
          <w:color w:val="000000"/>
          <w:sz w:val="20"/>
        </w:rPr>
        <w:t>. The decrease in interest expense from the financing arrangement is primarily due to the change in fair value of the underlying properties and the mortgage notes payable on the underlying properties.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 (Loss) Income of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income of unconsolidated joint ventures increased $113.8 million from 2022 to 2023. The increase in equity in (loss) income of unconsolidated joint ventures is primarily due to an impairment loss of $107.7 million at Country Club Plaza, as a result of the reduction in the estimated holding period of the property.</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(gain) on Sale or Write Down of Assets,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(gain) on sale or write down of assets, net increased $150.7 million from 2022 to 2023 primarily due to an impairment loss of $144.7 million as a result of the reduction in the estimated holding period of Fashion Outlets of Niagara Falls.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increased $258.5 million from 2022 to 2023. The increase in net loss is primarily due to the impairment losses at Fashion Outlets of Niagara Falls and Country Club Plaza along with the other variances noted above.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 xml:space="preserve">Primarily as a result of the factors mentioned above, </w:t>
      </w:r>
      <w:r>
        <w:rPr>
          <w:rFonts w:ascii="Times New Roman;sans-serif" w:hAnsi="Times New Roman;sans-serif"/>
          <w:b w:val="false"/>
          <w:color w:val="000000"/>
          <w:sz w:val="20"/>
          <w:shd w:fill="FFFFFF" w:val="clear"/>
        </w:rPr>
        <w:t xml:space="preserve">FFO attributable to common stockholders and unit holders—diluted, excluding financing expense in connection with Chandler Freehold and accrued default interest expense </w:t>
      </w:r>
      <w:r>
        <w:rPr>
          <w:rFonts w:ascii="Times New Roman;sans-serif" w:hAnsi="Times New Roman;sans-serif"/>
          <w:b w:val="false"/>
          <w:color w:val="000000"/>
          <w:sz w:val="20"/>
        </w:rPr>
        <w:t xml:space="preserve">decreased 3.6% from </w:t>
      </w:r>
      <w:r>
        <w:rPr>
          <w:rFonts w:ascii="Times New Roman;sans-serif" w:hAnsi="Times New Roman;sans-serif"/>
          <w:b w:val="false"/>
          <w:color w:val="000000"/>
          <w:sz w:val="20"/>
          <w:shd w:fill="FFFFFF" w:val="clear"/>
        </w:rPr>
        <w:t>$102.8 million</w:t>
      </w:r>
      <w:r>
        <w:rPr>
          <w:color w:val="000000"/>
        </w:rPr>
        <w:t xml:space="preserve"> </w:t>
      </w:r>
      <w:r>
        <w:rPr>
          <w:rFonts w:ascii="Times New Roman;sans-serif" w:hAnsi="Times New Roman;sans-serif"/>
          <w:b w:val="false"/>
          <w:color w:val="000000"/>
          <w:sz w:val="20"/>
        </w:rPr>
        <w:t xml:space="preserve">in 2022 to </w:t>
      </w:r>
      <w:r>
        <w:rPr>
          <w:rFonts w:ascii="Times New Roman;sans-serif" w:hAnsi="Times New Roman;sans-serif"/>
          <w:b w:val="false"/>
          <w:color w:val="000000"/>
          <w:sz w:val="20"/>
          <w:shd w:fill="FFFFFF" w:val="clear"/>
        </w:rPr>
        <w:t>$99.1 million</w:t>
      </w:r>
      <w:r>
        <w:rPr>
          <w:color w:val="000000"/>
        </w:rPr>
        <w:t xml:space="preserve"> </w:t>
      </w:r>
      <w:r>
        <w:rPr>
          <w:rFonts w:ascii="Times New Roman;sans-serif" w:hAnsi="Times New Roman;sans-serif"/>
          <w:b w:val="false"/>
          <w:color w:val="000000"/>
          <w:sz w:val="20"/>
        </w:rPr>
        <w:t>in 2023. For a reconciliation of net loss attributable to the Company, the most directly comparable GAAP financial measure, to FFO attributable to common stockholders and unit holders</w:t>
      </w:r>
      <w:r>
        <w:rPr>
          <w:color w:val="000000"/>
          <w:shd w:fill="FFFFFF" w:val="clear"/>
        </w:rPr>
        <w:t>—</w:t>
      </w:r>
      <w:r>
        <w:rPr>
          <w:rFonts w:ascii="Times New Roman;sans-serif" w:hAnsi="Times New Roman;sans-serif"/>
          <w:b w:val="false"/>
          <w:color w:val="000000"/>
          <w:sz w:val="20"/>
          <w:shd w:fill="FFFFFF" w:val="clear"/>
        </w:rPr>
        <w:t>diluted</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 xml:space="preserve">FFO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pPr>
      <w:r>
        <w:rPr>
          <w:rFonts w:ascii="Times New Roman;sans-serif" w:hAnsi="Times New Roman;sans-serif"/>
          <w:b w:val="false"/>
          <w:color w:val="000000"/>
          <w:sz w:val="20"/>
          <w:shd w:fill="FFFFFF" w:val="clear"/>
        </w:rPr>
        <w:t>attributable to common stockholders and unit holders, excluding financing expense in connection with Chandler Freehold and accrued default interest expense—diluted</w:t>
      </w:r>
      <w:r>
        <w:rPr>
          <w:rFonts w:ascii="Times New Roman;sans-serif" w:hAnsi="Times New Roman;sans-serif"/>
          <w:b w:val="false"/>
          <w:color w:val="000000"/>
          <w:sz w:val="20"/>
        </w:rPr>
        <w:t>, see "Funds From Operations ("FFO")"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Nine Months Ended September 30, 2023 and 2022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Leasing revenue increased by $1.4 million, or 0.2%, from 2022 to 2023. The increase in leasing revenue is attributed to an increase of $5.1 million from the JV Transition Centers offset in part by decreases of $2.2 million from the Same Centers and $1.5 million from the Disposition Properties. Leasing revenue includes the amortization of above and below-market leases, the amortization of straight-line rents, lease termination income, percentage rent and the recovery of bad debts. The amortization of above and below-market leases increased from $1.7 million in 2022 to $2.1 million in 2023. Straight-line rents decreased from $(2.2) million in 2022 to $(3.2) million in 2023. Lease termination income decreased from $12.8 million in 2022 to $1.8 million in 2023. Percentage rent decreased from $26.0 million in 2022 to $18.2 million in 2023. Recovery of bad debts increased from $1.6 million in 2022 to $1.9 million in 2023. The decrease in lease revenue at the Same Centers is primarily due to the decrease in lease termination and percentage rent income offset by increases in tenant recoveries income and recovery of bad debts.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increased from $21.9 million in 2022 to $34.1 million in 2023. This increase is primarily due to parking, interest and other income related to the Same Centers.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Companies' revenue increased from $21.4 million in 2022 to $22.2 million in 2023 due to an increase in leasing and development fees.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 decreased $0.5 million, or 0.3%, from 2022 to 2023. The decrease in shopping center and operating expenses is attributed to a decrease of $3.0 million from the Same Centers, which is primarily from a decrease in property taxes and is offset in part by increases of $1.4 million from the JV Transition Centers and $1.1 million from the Disposition Properties.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Leasing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Leasing expenses increased from $24.5 million in 2022 to $26.9 million in 2023 due to an increase in compensation expense. </w:t>
      </w:r>
    </w:p>
    <w:p>
      <w:pPr>
        <w:pStyle w:val="TextBody"/>
        <w:bidi w:val="0"/>
        <w:spacing w:lineRule="auto" w:line="288" w:before="160" w:after="160"/>
        <w:ind w:left="0" w:right="0" w:firstLine="405"/>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Companies'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Companies' operating expenses increased $1.6 million from 2022 to 2023 due to an increase in compensation expense. </w:t>
      </w:r>
    </w:p>
    <w:p>
      <w:pPr>
        <w:pStyle w:val="TextBody"/>
        <w:bidi w:val="0"/>
        <w:spacing w:lineRule="auto" w:line="288" w:before="160" w:after="160"/>
        <w:ind w:left="0" w:right="0" w:firstLine="405"/>
        <w:jc w:val="left"/>
        <w:rPr>
          <w:rFonts w:ascii="Times New Roman;sans-serif" w:hAnsi="Times New Roman;sans-serif"/>
          <w:b w:val="false"/>
          <w:i/>
          <w:color w:val="000000"/>
          <w:sz w:val="20"/>
        </w:rPr>
      </w:pPr>
      <w:r>
        <w:rPr>
          <w:rFonts w:ascii="Times New Roman;sans-serif" w:hAnsi="Times New Roman;sans-serif"/>
          <w:b w:val="false"/>
          <w:i/>
          <w:color w:val="000000"/>
          <w:sz w:val="20"/>
        </w:rPr>
        <w:t>REIT General and Administrative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REIT general and administrative expenses increased $1.6 million from 2022 to 2023 due to an increase in compensation and consulting expense.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$5.5 million from 2022 to 2023. The decrease in depreciation and amortization is attributed to decreases of $6.7 million from the Same Centers and $1.2 million from the Disposition Properties offset in part by an increase of $2.4 million from the JV Transition Centers.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$10.2 million from 2022 to 2023. The decrease in interest expense is attributed to decreases of $23.4 million from the financing arrangement discussed in Note 12 in the Company's Notes to the Consolidated Financial Statements and $1.1 million from the JV Transition Centers offset in part by increases of $9.2 million from the Same Centers and $5.1 million from higher interest rates and outstanding balances on the Company's revolving line of credit. The decrease in interest expense from the financing arrangement is primarily due to the change in fair value of the underlying properties and the mortgage notes payable on the underlying properties.</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 Loss of Unconsolidated Joint Ventures: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Equity in loss of unconsolidated joint ventures increased $159.8 million from 2022 to 2023</w:t>
      </w:r>
      <w:r>
        <w:rPr>
          <w:rFonts w:ascii="Times New Roman;sans-serif" w:hAnsi="Times New Roman;sans-serif"/>
          <w:b w:val="false"/>
          <w:color w:val="000000"/>
          <w:sz w:val="20"/>
        </w:rPr>
        <w:t>. The increase in equity in loss of unconsolidated joint ventures is primarily due to the impairment losses in 2023 at Country Club Plaza of $107.7 million and the JV Transition Centers of $51.4 million, as a result of the reduction in the estimated holding periods.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Gain on Sale or Write Down of Assets,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or write down of assets, net increased $142.0 million from 2022 to 2023. The increase is primarily due to the impairment loss of $144.7 million at Fashion Outlets of Niagara Falls, as a result of the reduction in the estimated holding period of the property.</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Net loss in</w:t>
      </w:r>
      <w:r>
        <w:rPr>
          <w:rFonts w:ascii="Times New Roman;sans-serif" w:hAnsi="Times New Roman;sans-serif"/>
          <w:b w:val="false"/>
          <w:color w:val="000000"/>
          <w:sz w:val="20"/>
        </w:rPr>
        <w:t>creased $276.0 million from 2022 to 2023. The increase in net loss is primarily due to the impairment losses at Fashion Outlets of Niagara Falls, Country Club Plaza and the JV Transition Centers, along with the other variances noted above.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Primarily as a result of the factors mentioned above, FFO attributable to common stockholders and unit holders—diluted, excluding financing expense in connection with Chandler Freehold and accrued default interest expense</w:t>
      </w:r>
      <w:r>
        <w:rPr>
          <w:color w:val="000000"/>
        </w:rPr>
        <w:t xml:space="preserve"> </w:t>
      </w:r>
      <w:r>
        <w:rPr>
          <w:rFonts w:ascii="Times New Roman;sans-serif" w:hAnsi="Times New Roman;sans-serif"/>
          <w:b w:val="false"/>
          <w:color w:val="000000"/>
          <w:sz w:val="20"/>
        </w:rPr>
        <w:t xml:space="preserve">decreased 13.1% from </w:t>
      </w:r>
      <w:r>
        <w:rPr>
          <w:rFonts w:ascii="Times New Roman;sans-serif" w:hAnsi="Times New Roman;sans-serif"/>
          <w:b w:val="false"/>
          <w:color w:val="000000"/>
          <w:sz w:val="20"/>
          <w:shd w:fill="FFFFFF" w:val="clear"/>
        </w:rPr>
        <w:t xml:space="preserve">$318.0 million </w:t>
      </w:r>
      <w:r>
        <w:rPr>
          <w:rFonts w:ascii="Times New Roman;sans-serif" w:hAnsi="Times New Roman;sans-serif"/>
          <w:b w:val="false"/>
          <w:color w:val="000000"/>
          <w:sz w:val="20"/>
        </w:rPr>
        <w:t xml:space="preserve">in 2022 to </w:t>
      </w:r>
      <w:r>
        <w:rPr>
          <w:rFonts w:ascii="Times New Roman;sans-serif" w:hAnsi="Times New Roman;sans-serif"/>
          <w:b w:val="false"/>
          <w:color w:val="000000"/>
          <w:sz w:val="20"/>
          <w:shd w:fill="FFFFFF" w:val="clear"/>
        </w:rPr>
        <w:t>$276.5 million</w:t>
      </w:r>
      <w:r>
        <w:rPr>
          <w:color w:val="000000"/>
        </w:rPr>
        <w:t xml:space="preserve"> </w:t>
      </w:r>
      <w:r>
        <w:rPr>
          <w:rFonts w:ascii="Times New Roman;sans-serif" w:hAnsi="Times New Roman;sans-serif"/>
          <w:b w:val="false"/>
          <w:color w:val="000000"/>
          <w:sz w:val="20"/>
        </w:rPr>
        <w:t>in 2023. For a reconciliation of net loss attributable to the Company, the most directly comparable GAAP financial measure, to FFO attributable to common stockholders and unit holders</w:t>
      </w:r>
      <w:r>
        <w:rPr>
          <w:color w:val="000000"/>
          <w:shd w:fill="FFFFFF" w:val="clear"/>
        </w:rPr>
        <w:t>—</w:t>
      </w:r>
      <w:r>
        <w:rPr>
          <w:rFonts w:ascii="Times New Roman;sans-serif" w:hAnsi="Times New Roman;sans-serif"/>
          <w:b w:val="false"/>
          <w:color w:val="000000"/>
          <w:sz w:val="20"/>
          <w:shd w:fill="FFFFFF" w:val="clear"/>
        </w:rPr>
        <w:t>diluted</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FFO attributable to common stockholders and unit holders, excluding financing expense in connection with Chandler Freehold and accrued default interest expense—diluted</w:t>
      </w:r>
      <w:r>
        <w:rPr>
          <w:rFonts w:ascii="Times New Roman;sans-serif" w:hAnsi="Times New Roman;sans-serif"/>
          <w:b w:val="false"/>
          <w:color w:val="000000"/>
          <w:sz w:val="20"/>
        </w:rPr>
        <w:t>, see "Funds From Operations ("FFO")" below.</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decreased $38.9 million from 2022 to 2023. The decrease is primarily due to the changes in assets and liabilities and the results, as discussed above.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decreased $14.3 million from 2022 to 2023. The decrease in cash provided by investing activities is primarily attributed to increases in acquisitions of property of $22.1 million, development, redevelopment and renovation of $23.5 million, property improvements of $16.1 million, deferred leasing costs of $9.8 million, decreases in contributions to unconsolidated joint ventures of $12.6 million, decreases of proceeds from the sale of assets of $14.1 million and proceeds from collection of receivable in connection with sale of joint venture property of $21.0 million offset in part by an increase in distributions from unconsolidated joint ventures of $104.9 million. The increase in distributions from unconsolidated joint ventures is primarily due to the distribution of net loan proceeds from the Scottsdale Fashion Square refinance (See “—Financing Activities” in Management’s Overview and Summary).</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decreased $82.2 million from 2022 to 2023. The decrease in cash used in financing activities is primarily due to the increase in proceeds from mortgages, bank and other notes payable of $184.0 million offset in part by an increase in payments on mortgages, bank and other notes payable of $102.4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Uses of Capital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capital expenditures incurred at the Centers (at the Company's pro rata share): </w:t>
      </w:r>
    </w:p>
    <w:tbl>
      <w:tblPr>
        <w:tblW w:w="8966" w:type="dxa"/>
        <w:jc w:val="left"/>
        <w:tblInd w:w="0" w:type="dxa"/>
        <w:tblLayout w:type="fixed"/>
        <w:tblCellMar>
          <w:top w:w="28" w:type="dxa"/>
          <w:left w:w="28" w:type="dxa"/>
          <w:bottom w:w="28" w:type="dxa"/>
          <w:right w:w="28" w:type="dxa"/>
        </w:tblCellMar>
      </w:tblPr>
      <w:tblGrid>
        <w:gridCol w:w="2077"/>
        <w:gridCol w:w="1831"/>
        <w:gridCol w:w="1837"/>
        <w:gridCol w:w="265"/>
        <w:gridCol w:w="1041"/>
        <w:gridCol w:w="137"/>
        <w:gridCol w:w="137"/>
        <w:gridCol w:w="137"/>
        <w:gridCol w:w="137"/>
        <w:gridCol w:w="265"/>
        <w:gridCol w:w="908"/>
        <w:gridCol w:w="19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 Centers:</w:t>
            </w:r>
          </w:p>
        </w:tc>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building improvement and equipment(1)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expansions and renovations of Centers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charges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153,196 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Unconsolidated Joint Venture Centers:</w:t>
            </w:r>
          </w:p>
        </w:tc>
        <w:tc>
          <w:tcPr>
            <w:tcW w:w="14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building improvement and equipment</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expansions and renovations of Centers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charges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$46.7 million for the nine months ended September 30, 2023, relating to the acquisition of five former Sears parcels in the MS Portfolio LLC joint venture (See "Acquisitions" in Management's Overview and Summary).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amounts to be incurred during the next twelve months for tenant allowances and deferred leasing charges to be comparable to 2022. The Company expects to incur approximately $45.0 million to $60.0 million during the remainder of 2023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Sources of Capital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generated liquidity in the past, and may continue to do so in the future, through equity offerings and issuances, property refinancings, joint venture transactions and the sale of non-core assets. For example, the Company sold The Marketplace at Flagstaff in Flagstaff, Arizona on May 2, 2023 and Superstition Springs Power Center in Mesa, Arizona on July 17, 2023. The Company used the proceeds from these sales to pay down its line of credit and other debt obligations. During the year ended December 31, 2022 and nine months ended September 30, 2023, the Company and certain joint venture partners sold various land parcels in separate transactions for aggregate proceeds of $74.9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The February 2021 ATM Program was fully utilized as of June 30, 2021 and is no longer active. During the three and nine months ended September 30, 2023, no shares were issued under the March 2021 ATM Program. As of September 30, 2023, the Company had approximately $151.7 million of gross sales of its common stock available under the March 2021 ATM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duration of any such impact is unknown.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total outstanding loan indebtedness, which includes mortgages and other notes payable, at September 30, 2023 was $6.83 billion (consisting of $4.28 billion of consolidated debt, less $0.40 billion of noncontrolling interests, plus $2.94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Towne Mall and Fashion Outlets of Niagara Falls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of September 30, 2023, the Company was contingently liable for $41.0 million in letters of credit guaranteeing performance by the Company of certain obligations relating to the Centers. As of September 30, 2023, $40.8 million of these letters of credit were secured by restricted cash.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make progress addressing its near-term, non-recourse loan maturities, with six completed transactions since the start of the fourth quarter of 2022 totaling over $2.2 billion, or approximately $1.5 billion at the Company’s pro rata share. The Company's joint ventures are currently in the process of refinancing the loans on Tysons Corner Center and Boulevard Shops, and both loans are expected to close during the fourth quarter of 2023. For additional information on the Company’s financing transactions in the year ended 2022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the Company had a $525 million revolving loan facility, which was scheduled to mature on April 14, 2024. On September 11, 2023, the Company and the Operating Partnership entered into an amended and restated credit agreement, which amends and restates their prior credit agreement, and provides for an aggregate $650 million revolving loan facility that matures on February 1, 2027, with a one-year extension option. The revolving loan facility can be expanded up to $950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Concurrently with the entry into the amended and restated credit agreement, the Company drew $152 million of the amount available under the revolving loan facility and used the proceeds to repay in full amounts outstanding under its prior credit facility. As of September 30, 2023, the borrowing rate was SOFR plus a spread of 2.35%. As of September 30, 2023, borrowings under the credit facility were $135.0 million less unamortized deferred finance costs of $16.4 million for the revolving loan facility at a total effective interest rate of 8.48%. As of September 30, 2023, the Company’s availability under the revolving loan facility for additional borrowings was $514.8 million.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and distributions for the nine months ended September 30, 2023 were $120.1 million (including distributions from consolidated joint ventures of $4.4 million), which were funded by operations.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was in compliance with all applicable loan covenants under its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cash and cash equivalents of $111.8 million.</w:t>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Cash Commitments: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material cash commitments as of September 30, 2023 for the Consolidated Centers over the periods in which they are expected to be paid (in thousands):</w:t>
      </w:r>
    </w:p>
    <w:tbl>
      <w:tblPr>
        <w:tblW w:w="10205" w:type="dxa"/>
        <w:jc w:val="left"/>
        <w:tblInd w:w="0" w:type="dxa"/>
        <w:tblLayout w:type="fixed"/>
        <w:tblCellMar>
          <w:top w:w="28" w:type="dxa"/>
          <w:left w:w="28" w:type="dxa"/>
          <w:bottom w:w="28" w:type="dxa"/>
          <w:right w:w="28" w:type="dxa"/>
        </w:tblCellMar>
      </w:tblPr>
      <w:tblGrid>
        <w:gridCol w:w="859"/>
        <w:gridCol w:w="754"/>
        <w:gridCol w:w="75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Due by Period</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Commitments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five years</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 (includes expected interest payments)(1)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1,619,648 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(1)Interest payments on floating rate debt were based on rates in effect at September 30, 2023.</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(2)See Note 8—Leases in the Company's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 xml:space="preserve">The Company uses FFO in addition to net income to report its operating and financial results and considers FFO and FFO </w:t>
      </w:r>
      <w:r>
        <w:rPr>
          <w:color w:val="000000"/>
        </w:rPr>
        <w:t>—</w:t>
      </w:r>
      <w:r>
        <w:rPr>
          <w:rFonts w:ascii="Times New Roman;sans-serif" w:hAnsi="Times New Roman;sans-serif"/>
          <w:b w:val="false"/>
          <w:color w:val="000000"/>
          <w:sz w:val="20"/>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presents FFO excluding financing expense in connection with Chandler Freehold and accrued default interest expense.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accrued default interest expense provides useful supplemental information regarding the Company’s performance as it shows a more meaningful and consistent comparison of the Company’s operating performance and allows investors to more easily compare the Company’s results. The default interest expense reflects the interest accruing on the nonrecourse loans associated with Towne Mall and Country Club Plaza. GAAP requires that the Company accrue these amounts, which are not expected to be paid and are expected to be reversed once a loan is modified or once title to the mortgage loan collateral is transferred.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Management compensates for the limitations of FFO by providing investors with financial statements prepared according to GAAP, along with this detailed discussion of FFO and a reconciliation of net (loss) income to FFO and FFO</w:t>
      </w:r>
      <w:r>
        <w:rPr>
          <w:color w:val="000000"/>
        </w:rPr>
        <w:t>—</w:t>
      </w:r>
      <w:r>
        <w:rPr>
          <w:rFonts w:ascii="Times New Roman;sans-serif" w:hAnsi="Times New Roman;sans-serif"/>
          <w:b w:val="false"/>
          <w:color w:val="000000"/>
          <w:sz w:val="20"/>
        </w:rPr>
        <w:t>diluted. Management believes that to further understand the Company's performance, FFO should be compared with the Company's reported net income (loss) and considered in addition to cash flows in accordance with GAAP, as presented in the Company's consolidated financial statements.</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The following reconciles net loss attributable to the Company to FFO and FFO</w:t>
      </w:r>
      <w:r>
        <w:rPr>
          <w:color w:val="000000"/>
        </w:rPr>
        <w:t>—</w:t>
      </w:r>
      <w:r>
        <w:rPr>
          <w:rFonts w:ascii="Times New Roman;sans-serif" w:hAnsi="Times New Roman;sans-serif"/>
          <w:b w:val="false"/>
          <w:color w:val="000000"/>
          <w:sz w:val="20"/>
        </w:rPr>
        <w:t>diluted attributable to common stockholders and unit holders-basic and diluted, excluding financing expense in connection with Chandler Freehold and accrued default interest expense for the three and nine months ended September 30, 2023 and 2022 (dollars and shares in thousands):</w:t>
      </w:r>
    </w:p>
    <w:tbl>
      <w:tblPr>
        <w:tblW w:w="10205" w:type="dxa"/>
        <w:jc w:val="left"/>
        <w:tblInd w:w="0" w:type="dxa"/>
        <w:tblLayout w:type="fixed"/>
        <w:tblCellMar>
          <w:top w:w="28" w:type="dxa"/>
          <w:left w:w="28" w:type="dxa"/>
          <w:bottom w:w="28" w:type="dxa"/>
          <w:right w:w="28" w:type="dxa"/>
        </w:tblCellMar>
      </w:tblPr>
      <w:tblGrid>
        <w:gridCol w:w="1678"/>
        <w:gridCol w:w="1281"/>
        <w:gridCol w:w="1285"/>
        <w:gridCol w:w="109"/>
        <w:gridCol w:w="109"/>
        <w:gridCol w:w="109"/>
        <w:gridCol w:w="211"/>
        <w:gridCol w:w="832"/>
        <w:gridCol w:w="117"/>
        <w:gridCol w:w="117"/>
        <w:gridCol w:w="117"/>
        <w:gridCol w:w="117"/>
        <w:gridCol w:w="211"/>
        <w:gridCol w:w="796"/>
        <w:gridCol w:w="117"/>
        <w:gridCol w:w="109"/>
        <w:gridCol w:w="109"/>
        <w:gridCol w:w="109"/>
        <w:gridCol w:w="209"/>
        <w:gridCol w:w="823"/>
        <w:gridCol w:w="116"/>
        <w:gridCol w:w="116"/>
        <w:gridCol w:w="116"/>
        <w:gridCol w:w="116"/>
        <w:gridCol w:w="209"/>
        <w:gridCol w:w="788"/>
        <w:gridCol w:w="179"/>
      </w:tblGrid>
      <w:tr>
        <w:trPr/>
        <w:tc>
          <w:tcPr>
            <w:tcW w:w="167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(262,547)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(336,244)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(67,757)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attributable to the Company to FFO attributable to common stockholders and unit 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or write down of assets, net—consolidated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noncontrolling interests share of gain on sale or write down of assets—consolidated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gain on sale of undepreciated assets—consolidated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noncontrolling interests share of gain of undepreciated assets—consolidated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write-down of non-real estate assets—consolidated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or write down of assets—unconsolidated joint ventures,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gain on sale of undepreciated assets—unconsolidated joint ventures(1)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noncontrolling interests in depreciation and amortization—consolidated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amortization—unconsolidated joint ventures(1)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depreciation on personal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 in connection with Chandler Freehold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 excluding financing expense in connection with Chandler Freehold—basic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default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 excluding financing expense in connection with Chandler Freehold and accrued default interest expense—basic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FFO shares outstanding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holders—basic(2)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 impact of dilutive securities in computing FFO—diluted: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Share and unit 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FFO shares outstanding for FFO attributable to common stockholders and unit holders—basic and diluted(2)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224,611 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223,754 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223,636 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     Unconsolidated joint ventures are presented at the Company's pro rata share.</w:t>
      </w:r>
    </w:p>
    <w:p>
      <w:pPr>
        <w:pStyle w:val="TextBody"/>
        <w:bidi w:val="0"/>
        <w:spacing w:lineRule="auto" w:line="288" w:before="160" w:after="160"/>
        <w:ind w:left="0" w:right="0" w:hanging="450"/>
        <w:jc w:val="left"/>
        <w:rPr/>
      </w:pPr>
      <w:r>
        <w:rPr>
          <w:rFonts w:ascii="Times New Roman;sans-serif" w:hAnsi="Times New Roman;sans-serif"/>
          <w:b w:val="false"/>
          <w:color w:val="000000"/>
          <w:sz w:val="18"/>
        </w:rPr>
        <w:t>(2)     Calculated based upon basic net income as adjusted to reach basic FFO. Includes 9.0 million and 8.6 million of OP Units outstanding for the three months ended</w:t>
      </w:r>
      <w:r>
        <w:rPr>
          <w:color w:val="000000"/>
        </w:rPr>
        <w:t xml:space="preserve"> </w:t>
      </w:r>
      <w:r>
        <w:rPr>
          <w:rFonts w:ascii="Times New Roman;sans-serif" w:hAnsi="Times New Roman;sans-serif"/>
          <w:b w:val="false"/>
          <w:color w:val="000000"/>
          <w:sz w:val="18"/>
        </w:rPr>
        <w:t xml:space="preserve">September 30, 2023 and 2022, respectively, and 9.0 million and 8.7 million of OP Units outstanding for the nine months ended September 30, 2023 and 2022, respectively. </w:t>
      </w:r>
    </w:p>
    <w:p>
      <w:pPr>
        <w:pStyle w:val="TextBody"/>
        <w:bidi w:val="0"/>
        <w:spacing w:lineRule="auto" w:line="288" w:before="160" w:after="160"/>
        <w:jc w:val="left"/>
        <w:rPr>
          <w:rFonts w:ascii="Times New Roman;sans-serif" w:hAnsi="Times New Roman;sans-serif"/>
          <w:b w:val="false"/>
          <w:color w:val="000000"/>
          <w:sz w:val="18"/>
        </w:rPr>
      </w:pPr>
      <w:r>
        <w:rPr>
          <w:rFonts w:ascii="Times New Roman;sans-serif" w:hAnsi="Times New Roman;sans-serif"/>
          <w:b w:val="false"/>
          <w:color w:val="000000"/>
          <w:sz w:val="18"/>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September 30, 2023 concerning the Company's long-term debt obligations, including principal cash flows by scheduled maturity, weighted average interest rates and estimated fair value (dollars in thousands):</w:t>
      </w:r>
    </w:p>
    <w:tbl>
      <w:tblPr>
        <w:tblW w:w="13687" w:type="dxa"/>
        <w:jc w:val="left"/>
        <w:tblInd w:w="0" w:type="dxa"/>
        <w:tblLayout w:type="fixed"/>
        <w:tblCellMar>
          <w:top w:w="28" w:type="dxa"/>
          <w:left w:w="28" w:type="dxa"/>
          <w:bottom w:w="28" w:type="dxa"/>
          <w:right w:w="28" w:type="dxa"/>
        </w:tblCellMar>
      </w:tblPr>
      <w:tblGrid>
        <w:gridCol w:w="767"/>
        <w:gridCol w:w="464"/>
        <w:gridCol w:w="465"/>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twelve months ending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CENTERS:</w:t>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1,521,544 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Floating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debt—Consolidated Centers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840,702 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1,521,544 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4,324,358 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UNCONSOLIDATED JOINT VENTURE CENTERS:</w:t>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(at Company's pro rata share):</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616,996 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2,853,498 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Floating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debt—Unconsolidated Joint Venture Centers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391,911 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210,083 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616,996 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428,905 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950,702 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348,306 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2,946,903 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2,730,004 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Centers' total fixed rate debt at September 30, 2023 and December 31, 2022 was $3.8 billion and $3.7 billion, respectively. The average interest rate on the fixed rate debt at September 30, 2023 and December 31, 2022 was 4.28% and 4.01%, respectively. The Consolidated Centers' total floating rate debt at September 30, 2023 and December 31, 2022 was $508.3 million and $700.7 million, respectively. The average interest rate on the floating rate debt at September 30, 2023 and December 31, 2022 was 7.43% and 6.53%,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 rata share of the unconsolidated joint venture Centers' fixed rate debt at September 30, 2023 and December 31, 2022 was $2.9 billion and $2.7 billion, respectively. The average interest rate on the fixed rate debt at September 30, 2023 and December 31, 2022 was 4.78% and 4.46%, respectively. The Company's pro rata share of the unconsolidated joint venture Centers' floating rate debt at September 30, 2023 and December 31, 2022 was $93.4 million and $90.7 million, respectively. The average interest rate on the floating rate debt at September 30, 2023 and December 31, 2022 was 6.98% and 5.81%,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2023, the Company has interest rate cap agreements in place (See Note 4—Investments in Unconsolidated Joint Ventures and Note 5—Derivative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Quarterly Report on Form 10-Q, SOFR for each of these loans exceeded the strike interest rate (the "Strike Rate") within the required interest rate cap agreement. If SOFR does exceed the Strike Rate, each of these loans would then be considered fixed rate debt. If SOFR for these respective loans thereafter no longer exceeds the Strike Rate, then these loans would once again be considered floating rate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has assessed the market risk for its floating rate debt and believes that a 1% increase in interest rates would decrease future earnings and cash flows by approximately $6.0 million per year based on $601.7 million of floating rate debt outstanding at September 30,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discontinuation of LIBOR has not affected the Company’s ability to borrow or maintain already outstanding borrowings or hedging transactions. As of September 30, 2023, each of the agreements governing the Company’s variable rate debt has been converted to a SOFR-based interest rate. The Company has not incurred significant costs in completing such conversions to SOFR, nor have the Company’s borrowing costs changed significantly from such conversions.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2023,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relating to the Company set forth under the caption "Item 1A. Risk Factors" in the Company's Annual Report on Form 10-K for the year ended December 31, 2022.</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14, 2023 and September 20, 2023, the Company, as general partner of the Operating Partnership, issued 12,000 and 6,106 shares of common stock of the Company, respectively, upon the redemption of an aggregate of 18,106 common partnership units of the Operating Partnership. These shares of common stock were issued in private placements to two limited partners of the Operating Partnership, each an accredited investor, pursuant to Section 4(a)(2) of the Securities Act of 1933, as amended.</w:t>
      </w:r>
    </w:p>
    <w:p>
      <w:pPr>
        <w:pStyle w:val="TextBody"/>
        <w:bidi w:val="0"/>
        <w:spacing w:before="0" w:after="0"/>
        <w:ind w:left="0" w:right="0" w:firstLine="495"/>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586"/>
        <w:gridCol w:w="329"/>
        <w:gridCol w:w="331"/>
        <w:gridCol w:w="109"/>
        <w:gridCol w:w="109"/>
        <w:gridCol w:w="109"/>
        <w:gridCol w:w="411"/>
        <w:gridCol w:w="411"/>
        <w:gridCol w:w="413"/>
        <w:gridCol w:w="109"/>
        <w:gridCol w:w="109"/>
        <w:gridCol w:w="109"/>
        <w:gridCol w:w="109"/>
        <w:gridCol w:w="109"/>
        <w:gridCol w:w="109"/>
        <w:gridCol w:w="291"/>
        <w:gridCol w:w="561"/>
        <w:gridCol w:w="153"/>
        <w:gridCol w:w="109"/>
        <w:gridCol w:w="109"/>
        <w:gridCol w:w="109"/>
        <w:gridCol w:w="652"/>
        <w:gridCol w:w="652"/>
        <w:gridCol w:w="654"/>
        <w:gridCol w:w="109"/>
        <w:gridCol w:w="109"/>
        <w:gridCol w:w="109"/>
        <w:gridCol w:w="109"/>
        <w:gridCol w:w="109"/>
        <w:gridCol w:w="109"/>
        <w:gridCol w:w="349"/>
        <w:gridCol w:w="1876"/>
        <w:gridCol w:w="194"/>
        <w:gridCol w:w="109"/>
        <w:gridCol w:w="109"/>
        <w:gridCol w:w="162"/>
      </w:tblGrid>
      <w:tr>
        <w:trPr/>
        <w:tc>
          <w:tcPr>
            <w:tcW w:w="5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 (1)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2023 to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2023 to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2023 to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63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(1)On February 12, 2017, the Company's Board of Directors authorized the repurchase of up to $500.0 million of the Company's outstanding common shares from time to time as market conditions warrant.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13"/>
        <w:gridCol w:w="2572"/>
        <w:gridCol w:w="368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Master Agreement, dated November 14, 2014, by and among Pacific Premier Retail LP, MACPT LLC, Macerich PPR GP LLC, Queens JV LP, Macerich Queens JV LP, Queens JV GP LLC, 1700480 Ontario Inc. and the Company (incorporated by reference as an exhibit to the Company’s Current Report on Form 8-K, event date November 14,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and Restatement of the Company (incorporated by reference as an exhibit to the Company's Registration Statement on Form S-11, as amended (No. 33-68964))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Supplementary of the Company (incorporated by reference as an exhibit to the Company's Current Report on Form 8-K, event date May 30, 1995)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Articles Supplementary of the Company (with respect to the first paragraph) (incorporated by reference as an exhibit to the Company's 1998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Articles Supplementary of the Company (Series D Preferred Stock) (incorporated by reference as an exhibit to the Company's Current Report on Form 8-K, event date July 26, 2002).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Articles Supplementary of the Company (incorporated by reference as an exhibit to the Company's Registration Statement on Form S-3, as amended (No. 333-88718)).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ans-serif" w:hAnsi="Times New Roman;sans-serif"/>
                  <w:b w:val="false"/>
                  <w:color w:val="0000FF"/>
                  <w:sz w:val="20"/>
                  <w:u w:val="single"/>
                </w:rPr>
                <w:t>3.1.5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Articles of Amendment of the Company (declassification of Board) (incorporated by reference as an exhibit to the Company's 2008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ans-serif" w:hAnsi="Times New Roman;sans-serif"/>
                  <w:b w:val="false"/>
                  <w:color w:val="0000FF"/>
                  <w:sz w:val="20"/>
                  <w:u w:val="single"/>
                </w:rPr>
                <w:t>3.1.6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Articles Supplementary of the Company (incorporated by reference as an exhibit to the Company's Current Report on Form 8-K, event date February 5,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ans-serif" w:hAnsi="Times New Roman;sans-serif"/>
                  <w:b w:val="false"/>
                  <w:color w:val="0000FF"/>
                  <w:sz w:val="20"/>
                  <w:u w:val="single"/>
                </w:rPr>
                <w:t>3.1.7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Articles of Amendment of the Company (increased authorized shares) (incorporated by reference as an exhibit to the Company's Quarterly Report on Form 10-Q for the quarter ended June 30,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ans-serif" w:hAnsi="Times New Roman;sans-serif"/>
                  <w:b w:val="false"/>
                  <w:color w:val="0000FF"/>
                  <w:sz w:val="20"/>
                  <w:u w:val="single"/>
                </w:rPr>
                <w:t>3.1.8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Articles of Amendment of the Company (to eliminate the supermajority vote requirement to amend the charter and to clarify a reference in Article NINTH) (incorporated by reference as an exhibit to the Company’s Current Report on Form 8-K, event date May 30,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ans-serif" w:hAnsi="Times New Roman;sans-serif"/>
                  <w:b w:val="false"/>
                  <w:color w:val="0000FF"/>
                  <w:sz w:val="20"/>
                  <w:u w:val="single"/>
                </w:rPr>
                <w:t>3.1.9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Articles Supplementary of the Company (election to be subject to Section 3-803 of the Maryland General Corporation Law) (incorporated by reference as an exhibit to the Company’s Current Report on Form 8-K, event date March 17,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ans-serif" w:hAnsi="Times New Roman;sans-serif"/>
                  <w:b w:val="false"/>
                  <w:color w:val="0000FF"/>
                  <w:sz w:val="20"/>
                  <w:u w:val="single"/>
                </w:rPr>
                <w:t>3.1.10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Articles Supplementary of the Company (Series E Preferred Stock) (incorporated by reference as an exhibit to the Company’s Current Report on Form 8-K, event date March 18,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ans-serif" w:hAnsi="Times New Roman;sans-serif"/>
                  <w:b w:val="false"/>
                  <w:color w:val="0000FF"/>
                  <w:sz w:val="20"/>
                  <w:u w:val="single"/>
                </w:rPr>
                <w:t>3.1.11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Articles Supplementary of the Company (reclassification of Series E Preferred Stock to Preferred Stock) (incorporated by reference as an exhibit to the Company’s Current Report on Form 8-K, event date May 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Times New Roman;sans-serif" w:hAnsi="Times New Roman;sans-serif"/>
                  <w:b w:val="false"/>
                  <w:color w:val="0000FF"/>
                  <w:sz w:val="20"/>
                  <w:u w:val="single"/>
                </w:rPr>
                <w:t>3.1.12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Articles Supplementary of the Company (repeal of election to be subject to Section 3-803 of the Maryland General Corporation Law) (incorporated by reference as an exhibit to the Company’s Current Report on Form 8-K, event date May 28,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Times New Roman;sans-serif" w:hAnsi="Times New Roman;sans-serif"/>
                  <w:b w:val="false"/>
                  <w:color w:val="0000FF"/>
                  <w:sz w:val="20"/>
                  <w:u w:val="single"/>
                </w:rPr>
                <w:t>3.1.13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Articles Supplementary of the Company (opting out of provisions of Subtitle 8 of Title 3 of the Maryland General Corporate Law (MUTA provisions)) (incorporated by reference as an exhibit to the Company’s Current Report on Form 8-K, event date April 24,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Times New Roman;sans-serif" w:hAnsi="Times New Roman;sans-serif"/>
                  <w:b w:val="false"/>
                  <w:color w:val="0000FF"/>
                  <w:sz w:val="20"/>
                  <w:u w:val="single"/>
                </w:rPr>
                <w:t>3.1.14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Articles of Amendment of the Company (increased authorized shares) (incorporated by reference as an exhibit to the Company's Current Report on Form 8-K, event date May 28,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Amended and Restated Bylaws of the Company (incorporated by reference as an exhibit to the Company's Current Report on Form 8-K, event date January 26,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Amended and Restated Credit Agreement, dated as of September 11, 2023, by and among the Company, as a guarantor, the Partnership, as borrower, certain subsidiary guarantors, Deutsche Bank AG New York Branch, as administrative agent and collateral agent, Deutsche Bank Securities Inc., JPMorgan Chase Bank, N.A., Goldman Sachs Bank USA and BMO Bank N.A., as joint lead arrangers and joint bookrunning managers, Deutsche Bank Securities Inc. and JPMorgan Chase Bank, N.A., as co-syndication agents, Goldman Sachs Bank USA and TD Securities Inc., as co-documentation agents, and various lenders party thereto (incorporated by reference as an exhibit to the Company’s Current Report on Form 8-K, event date September 11, 2023).</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5"/>
        <w:gridCol w:w="243"/>
        <w:gridCol w:w="244"/>
        <w:gridCol w:w="109"/>
        <w:gridCol w:w="109"/>
        <w:gridCol w:w="109"/>
        <w:gridCol w:w="2660"/>
        <w:gridCol w:w="2660"/>
        <w:gridCol w:w="3796"/>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Amended and Restated Unconditional Guaranty, dated as of September 11, 2023, by the Company in favor of Deutsche Bank AG New York Branch, as administrative agent (incorporated by reference as an exhibit to the Company’s Current Report on Form 8-K, event date September 11, 2023).</w:t>
              </w:r>
            </w:hyperlink>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30930x10q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30930x10qexhibit311.htm">
              <w:r>
                <w:rPr>
                  <w:rStyle w:val="InternetLink"/>
                  <w:rFonts w:ascii="Times New Roman;sans-serif" w:hAnsi="Times New Roman;sans-serif"/>
                  <w:b w:val="false"/>
                  <w:color w:val="0000FF"/>
                  <w:sz w:val="20"/>
                  <w:u w:val="single"/>
                </w:rPr>
                <w:t>Section 302 Certification of Thomas O'Hern, Chief Executive Officer</w:t>
              </w:r>
            </w:hyperlink>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30930x10q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30930x10qexhibit312.htm">
              <w:r>
                <w:rPr>
                  <w:rStyle w:val="InternetLink"/>
                  <w:rFonts w:ascii="Times New Roman;sans-serif" w:hAnsi="Times New Roman;sans-serif"/>
                  <w:b w:val="false"/>
                  <w:color w:val="0000FF"/>
                  <w:sz w:val="20"/>
                  <w:u w:val="single"/>
                </w:rPr>
                <w:t>Section 302 Certification of Scott Kingsmore, Chief Financial Officer</w:t>
              </w:r>
            </w:hyperlink>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30930x10q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30930x10qexhibit321.htm">
              <w:r>
                <w:rPr>
                  <w:rStyle w:val="InternetLink"/>
                  <w:rFonts w:ascii="Times New Roman;sans-serif" w:hAnsi="Times New Roman;sans-serif"/>
                  <w:b w:val="false"/>
                  <w:color w:val="0000FF"/>
                  <w:sz w:val="20"/>
                  <w:u w:val="single"/>
                </w:rPr>
                <w:t>Section 906 Certifications of Thomas O'Hern and Scott Kingsmore</w:t>
              </w:r>
            </w:hyperlink>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as Inline XBRL with applicable taxonomy extension information contained in Exhibits 101.*). </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ac3cf7647e24a3c8cefe6585f710fd2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403" w:type="dxa"/>
        <w:jc w:val="left"/>
        <w:tblInd w:w="0" w:type="dxa"/>
        <w:tblLayout w:type="fixed"/>
        <w:tblCellMar>
          <w:top w:w="28" w:type="dxa"/>
          <w:left w:w="28" w:type="dxa"/>
          <w:bottom w:w="28" w:type="dxa"/>
          <w:right w:w="28" w:type="dxa"/>
        </w:tblCellMar>
      </w:tblPr>
      <w:tblGrid>
        <w:gridCol w:w="200"/>
        <w:gridCol w:w="177"/>
        <w:gridCol w:w="178"/>
        <w:gridCol w:w="266"/>
        <w:gridCol w:w="266"/>
        <w:gridCol w:w="266"/>
        <w:gridCol w:w="266"/>
        <w:gridCol w:w="266"/>
        <w:gridCol w:w="273"/>
        <w:gridCol w:w="405"/>
        <w:gridCol w:w="405"/>
        <w:gridCol w:w="405"/>
        <w:gridCol w:w="1750"/>
        <w:gridCol w:w="1750"/>
        <w:gridCol w:w="25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MACERICH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W. Kingsmore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i/>
                <w:color w:val="000000"/>
                <w:sz w:val="20"/>
              </w:rPr>
              <w:t>Senior Executive Vice President, Treasurer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6, 2023</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CERTIFICATION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E. O'Hern, certify that: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for the quarter ended September 30, 2023 of The Macerich Company;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63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627"/>
        <w:gridCol w:w="627"/>
        <w:gridCol w:w="8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 O'HERN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ind w:left="0" w:right="0" w:hanging="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CERTIFICATION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Scott W. Kingsmore, certify that: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for the quarter ended September 30, 2023 of The Macerich Company;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7571"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489"/>
        <w:gridCol w:w="1489"/>
        <w:gridCol w:w="21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Executive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WRITTEN STATEMENT</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Thomas E. O'Hern and Scott W. Kingsmore, the Chief Executive Officer and Chief Financial Officer, respectively, of The Macerich Company (the "Company"), pursuant to 18 U.S.C. §1350, each hereby certifies that, to the best of his knowledge: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on Form 10-Q for the quarter ended September 30, 2023 of the Company (the "Report") fully complies with the requirements of Section 13(a) and 15(d) of the Securities Exchange Act of 1934, as amended; and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bl>
      <w:tblPr>
        <w:tblW w:w="57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7"/>
        <w:gridCol w:w="1487"/>
        <w:gridCol w:w="21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 O'HERN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Executive Vice President and Chief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12242/000110465914081468/a14-24669_1ex2d1.htm" TargetMode="External"/><Relationship Id="rId3" Type="http://schemas.openxmlformats.org/officeDocument/2006/relationships/hyperlink" Target="http://www.sec.gov/Archives/edgar/data/912242/000110465914081468/a14-24669_1ex2d1.htm" TargetMode="External"/><Relationship Id="rId4" Type="http://schemas.openxmlformats.org/officeDocument/2006/relationships/hyperlink" Target="http://www.sec.gov/Archives/edgar/data/912242/0001047469-99-012492.txt" TargetMode="External"/><Relationship Id="rId5" Type="http://schemas.openxmlformats.org/officeDocument/2006/relationships/hyperlink" Target="http://www.sec.gov/Archives/edgar/data/912242/0001047469-99-012492.txt" TargetMode="External"/><Relationship Id="rId6" Type="http://schemas.openxmlformats.org/officeDocument/2006/relationships/hyperlink" Target="http://www.sec.gov/Archives/edgar/data/912242/000091205702030706/a2086079zex-3_1.htm" TargetMode="External"/><Relationship Id="rId7" Type="http://schemas.openxmlformats.org/officeDocument/2006/relationships/hyperlink" Target="http://www.sec.gov/Archives/edgar/data/912242/000091205702030706/a2086079zex-3_1.htm" TargetMode="External"/><Relationship Id="rId8" Type="http://schemas.openxmlformats.org/officeDocument/2006/relationships/hyperlink" Target="http://www.sec.gov/Archives/edgar/data/912242/000091205702021417/a2080342zex-4_6.htm" TargetMode="External"/><Relationship Id="rId9" Type="http://schemas.openxmlformats.org/officeDocument/2006/relationships/hyperlink" Target="http://www.sec.gov/Archives/edgar/data/912242/000091205702021417/a2080342zex-4_6.htm" TargetMode="External"/><Relationship Id="rId10" Type="http://schemas.openxmlformats.org/officeDocument/2006/relationships/hyperlink" Target="http://www.sec.gov/Archives/edgar/data/912242/000104746909001981/a2189901zex-3_15.htm" TargetMode="External"/><Relationship Id="rId11" Type="http://schemas.openxmlformats.org/officeDocument/2006/relationships/hyperlink" Target="http://www.sec.gov/Archives/edgar/data/912242/000104746909001981/a2189901zex-3_15.htm" TargetMode="External"/><Relationship Id="rId12" Type="http://schemas.openxmlformats.org/officeDocument/2006/relationships/hyperlink" Target="http://www.sec.gov/Archives/edgar/data/912242/000110465909008348/a09-5253_1ex3d1.htm" TargetMode="External"/><Relationship Id="rId13" Type="http://schemas.openxmlformats.org/officeDocument/2006/relationships/hyperlink" Target="http://www.sec.gov/Archives/edgar/data/912242/000110465909008348/a09-5253_1ex3d1.htm" TargetMode="External"/><Relationship Id="rId14" Type="http://schemas.openxmlformats.org/officeDocument/2006/relationships/hyperlink" Target="http://www.sec.gov/Archives/edgar/data/912242/000104746909007391/a2193924zex-3_17.htm" TargetMode="External"/><Relationship Id="rId15" Type="http://schemas.openxmlformats.org/officeDocument/2006/relationships/hyperlink" Target="http://www.sec.gov/Archives/edgar/data/912242/000104746909007391/a2193924zex-3_17.htm" TargetMode="External"/><Relationship Id="rId16" Type="http://schemas.openxmlformats.org/officeDocument/2006/relationships/hyperlink" Target="http://www.sec.gov/Archives/edgar/data/912242/000110465914043330/a14-14485_1ex3d1.htm" TargetMode="External"/><Relationship Id="rId17" Type="http://schemas.openxmlformats.org/officeDocument/2006/relationships/hyperlink" Target="http://www.sec.gov/Archives/edgar/data/912242/000110465914043330/a14-14485_1ex3d1.htm" TargetMode="External"/><Relationship Id="rId18" Type="http://schemas.openxmlformats.org/officeDocument/2006/relationships/hyperlink" Target="http://www.sec.gov/Archives/edgar/data/912242/000110465915020412/a15-6870_1ex3d1.htm" TargetMode="External"/><Relationship Id="rId19" Type="http://schemas.openxmlformats.org/officeDocument/2006/relationships/hyperlink" Target="http://www.sec.gov/Archives/edgar/data/912242/000110465915020412/a15-6870_1ex3d1.htm" TargetMode="External"/><Relationship Id="rId20" Type="http://schemas.openxmlformats.org/officeDocument/2006/relationships/hyperlink" Target="http://www.sec.gov/Archives/edgar/data/912242/000110465915020810/a15-6873_1ex3d1.htm" TargetMode="External"/><Relationship Id="rId21" Type="http://schemas.openxmlformats.org/officeDocument/2006/relationships/hyperlink" Target="http://www.sec.gov/Archives/edgar/data/912242/000110465915020810/a15-6873_1ex3d1.htm" TargetMode="External"/><Relationship Id="rId22" Type="http://schemas.openxmlformats.org/officeDocument/2006/relationships/hyperlink" Target="http://www.sec.gov/Archives/edgar/data/912242/000110465915037228/a15-11185_1ex3d1.htm" TargetMode="External"/><Relationship Id="rId23" Type="http://schemas.openxmlformats.org/officeDocument/2006/relationships/hyperlink" Target="http://www.sec.gov/Archives/edgar/data/912242/000110465915037228/a15-11185_1ex3d1.htm" TargetMode="External"/><Relationship Id="rId24" Type="http://schemas.openxmlformats.org/officeDocument/2006/relationships/hyperlink" Target="http://www.sec.gov/Archives/edgar/data/912242/000110465915042631/a15-13305_1ex3d1.htm" TargetMode="External"/><Relationship Id="rId25" Type="http://schemas.openxmlformats.org/officeDocument/2006/relationships/hyperlink" Target="http://www.sec.gov/Archives/edgar/data/912242/000110465915042631/a15-13305_1ex3d1.htm" TargetMode="External"/><Relationship Id="rId26" Type="http://schemas.openxmlformats.org/officeDocument/2006/relationships/hyperlink" Target="http://www.sec.gov/Archives/edgar/data/912242/000119312519129272/d731295dex31.htm" TargetMode="External"/><Relationship Id="rId27" Type="http://schemas.openxmlformats.org/officeDocument/2006/relationships/hyperlink" Target="http://www.sec.gov/Archives/edgar/data/912242/000119312519129272/d731295dex31.htm" TargetMode="External"/><Relationship Id="rId28" Type="http://schemas.openxmlformats.org/officeDocument/2006/relationships/hyperlink" Target="https://www.sec.gov/Archives/edgar/data/912242/000119312521182973/d417870dex31.htm" TargetMode="External"/><Relationship Id="rId29" Type="http://schemas.openxmlformats.org/officeDocument/2006/relationships/hyperlink" Target="https://www.sec.gov/Archives/edgar/data/912242/000119312521182973/d417870dex31.htm" TargetMode="External"/><Relationship Id="rId30" Type="http://schemas.openxmlformats.org/officeDocument/2006/relationships/hyperlink" Target="http://www.sec.gov/Archives/edgar/data/912242/000119312519129272/d731295dex32.htm" TargetMode="External"/><Relationship Id="rId31" Type="http://schemas.openxmlformats.org/officeDocument/2006/relationships/hyperlink" Target="http://www.sec.gov/Archives/edgar/data/912242/000119312519129272/d731295dex32.htm" TargetMode="External"/><Relationship Id="rId32" Type="http://schemas.openxmlformats.org/officeDocument/2006/relationships/hyperlink" Target="https://www.sec.gov/Archives/edgar/data/912242/000119312523236004/d437561dex101.htm" TargetMode="External"/><Relationship Id="rId33" Type="http://schemas.openxmlformats.org/officeDocument/2006/relationships/hyperlink" Target="https://www.sec.gov/Archives/edgar/data/912242/000119312523236004/d437561dex101.htm" TargetMode="External"/><Relationship Id="rId34" Type="http://schemas.openxmlformats.org/officeDocument/2006/relationships/hyperlink" Target="https://www.sec.gov/Archives/edgar/data/912242/000119312523236004/d437561dex102.htm" TargetMode="External"/><Relationship Id="rId35" Type="http://schemas.openxmlformats.org/officeDocument/2006/relationships/hyperlink" Target="https://www.sec.gov/Archives/edgar/data/912242/000119312523236004/d437561dex102.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24765</Words>
  <Characters>137160</Characters>
  <CharactersWithSpaces>160398</CharactersWithSpaces>
  <Paragraphs>3448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