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THE MACERICH COMPANY</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484"/>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7"/>
          <w:szCs w:val="17"/>
          <w:b w:val="1"/>
          <w:bCs w:val="1"/>
          <w:color w:val="auto"/>
        </w:rPr>
        <w:t>1-12504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95-4448705</w:t>
      </w:r>
    </w:p>
    <w:p>
      <w:pPr>
        <w:spacing w:after="0" w:line="23" w:lineRule="exact"/>
        <w:rPr>
          <w:sz w:val="24"/>
          <w:szCs w:val="24"/>
          <w:color w:val="auto"/>
        </w:rPr>
      </w:pPr>
    </w:p>
    <w:p>
      <w:pPr>
        <w:sectPr>
          <w:pgSz w:w="11900" w:h="16838" w:orient="portrait"/>
          <w:cols w:equalWidth="0" w:num="3">
            <w:col w:w="4604" w:space="720"/>
            <w:col w:w="27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2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401 Wilshire Boulevard, Suite 700, Santa Monica, California 90401</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(310) 394-6000</w:t>
      </w:r>
    </w:p>
    <w:p>
      <w:pPr>
        <w:spacing w:after="0" w:line="2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of The Macerich Company, $0.01</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MAC</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par value 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tab/>
        <w:t>OTHER EVENTS.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As previously disclosed, on June 15, 2026, The Macerich Company (the “Company”) entered into an underwriting agreement (the “Underwriting Agreement”) with Goldman Sachs &amp; Co. LLC, Deutsche Bank Securities Inc. J. P. Morgan Securities LLC, Morgan Stanley &amp; Co. LLC, BMO Capital Markets Corp., TD Securities (USA) LLC, and Scotia Capital (USA) Inc., in their capacities as underwriters (together, in such capacities, the “Underwriters”), Goldman Sachs &amp; Co. LLC, Deutsche Bank Securities Inc., J.P. Morgan Securities LLC, and Morgan Stanley &amp; Co. LLC, in their capacities as forward sellers (together, in such capacities, the “Forward Sellers”), and Goldman Sachs &amp; Co. LLC, Deutsche Bank AG, London Branch, JPMorgan Chase Bank, National Association and Morgan Stanley &amp; Co. LLC, in their capacities as forward purchasers (together, in such capacities, the “Forward Purchasers”), relating to the offer and sale of an aggregate of 14,000,000 shares (the “Shares”) of the Company’s common stock, par value $0.01 per share (the “Common Stock”), of the Company by the Forward Sellers in connection with forward sale agreements (the “Forward Sales Agreements”). On June 17, 2026, the Company closed the offering of the Shares. The Company granted the Underwriters a 30-day option to purchase up to an additional 2,100,000 shares of Common Stock at a price of $23.12325 per share (the “Option”, and such shares, the “Option Shares”).</w:t>
      </w:r>
    </w:p>
    <w:p>
      <w:pPr>
        <w:spacing w:after="0" w:line="19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On June 23, 2026, the Underwriters notified the Company that they had elected to exercise the Option in full. In connection with the exercise of the Option, the Company entered into separate additional forward sale agreements dated June 23, 2026 (the “Additional Forward Sale Agreements”) with the Forward Purchasers, with respect to the Option Shares. The closing of the Option occurred on June 26, 2026. At the Company’s request, the Forward Sellers borrowed from third parties and sold to the Underwriters an aggregate of 2,100,000 shares of Common Stock in connection with the execution of the Additional Forward Sale Agreements. The Company expects to physically settle the Additional Forward Sale Agreements and receive proceeds, subject to certain adjustments, from the sale of those shares of Common Stock upon one or more such physical settlements no later than June 16, 2027. Although the Company expects to settle the Additional Forward Sale Agreements entirely by the physical delivery of shares of Common Stock for cash proceeds, the Company may also elect to cash settle or net share settle all or a portion of its obligations under the Additional Forward Sale Agreements, in which case, the Company may not receive any proceeds, and the Company may owe cash or shares of Common Stock to the Forward Purchasers.</w:t>
      </w:r>
    </w:p>
    <w:p>
      <w:pPr>
        <w:spacing w:after="0" w:line="17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will contribute the net proceeds, if any, it receives upon the settlement of the Forward Sales Agreements, including the Additional Forward Sale Agreements, to The Macerich Partnership, L.P. (the “Operating Partnership”) in exchange for securities of the Operating Partnership that have economic interests substantially similar to those of the Common Stock. The Operating Partnership intends to use the net proceeds to fund future acquisition opportunities and for general corporate purposes. Pending such use, the Operating Partnership may invest the net proceeds in short-term, interest-bearing deposit accounts.</w:t>
      </w:r>
    </w:p>
    <w:p>
      <w:pPr>
        <w:sectPr>
          <w:pgSz w:w="11900" w:h="16838" w:orient="portrait"/>
          <w:cols w:equalWidth="0" w:num="1">
            <w:col w:w="11000"/>
          </w:cols>
          <w:pgMar w:left="440" w:top="293"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Macerich Company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THE MACERICH COMPANY</w:t>
            </w:r>
          </w:p>
        </w:tc>
        <w:tc>
          <w:tcPr>
            <w:tcW w:w="0" w:type="dxa"/>
            <w:vAlign w:val="bottom"/>
          </w:tcPr>
          <w:p>
            <w:pPr>
              <w:spacing w:after="0"/>
              <w:rPr>
                <w:sz w:val="1"/>
                <w:szCs w:val="1"/>
                <w:color w:val="auto"/>
              </w:rPr>
            </w:pPr>
          </w:p>
        </w:tc>
      </w:tr>
      <w:tr>
        <w:trPr>
          <w:trHeight w:val="432"/>
        </w:trPr>
        <w:tc>
          <w:tcPr>
            <w:tcW w:w="22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By: DANIEL E. SWANSTROM II</w:t>
            </w:r>
          </w:p>
        </w:tc>
        <w:tc>
          <w:tcPr>
            <w:tcW w:w="0" w:type="dxa"/>
            <w:vAlign w:val="bottom"/>
          </w:tcPr>
          <w:p>
            <w:pPr>
              <w:spacing w:after="0"/>
              <w:rPr>
                <w:sz w:val="1"/>
                <w:szCs w:val="1"/>
                <w:color w:val="auto"/>
              </w:rPr>
            </w:pPr>
          </w:p>
        </w:tc>
      </w:tr>
      <w:tr>
        <w:trPr>
          <w:trHeight w:val="392"/>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June 29, 2026                   </w:t>
            </w:r>
          </w:p>
        </w:tc>
        <w:tc>
          <w:tcPr>
            <w:tcW w:w="2340" w:type="dxa"/>
            <w:vAlign w:val="bottom"/>
          </w:tcPr>
          <w:p>
            <w:pPr>
              <w:spacing w:after="0"/>
              <w:rPr>
                <w:sz w:val="24"/>
                <w:szCs w:val="24"/>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/s/ Daniel E. Swanstrom II</w:t>
            </w: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Date</w:t>
            </w:r>
          </w:p>
        </w:tc>
        <w:tc>
          <w:tcPr>
            <w:tcW w:w="6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4600" w:type="dxa"/>
            <w:vAlign w:val="bottom"/>
            <w:gridSpan w:val="2"/>
            <w:vMerge w:val="continue"/>
          </w:tcPr>
          <w:p>
            <w:pPr>
              <w:spacing w:after="0"/>
              <w:rPr>
                <w:sz w:val="17"/>
                <w:szCs w:val="17"/>
                <w:color w:val="auto"/>
              </w:rPr>
            </w:pPr>
          </w:p>
        </w:tc>
        <w:tc>
          <w:tcPr>
            <w:tcW w:w="64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Senior Executive Vice President,</w:t>
            </w: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2026-06-29T08:02:39Z</dcterms:created>
  <dcterms:modified xsi:type="dcterms:W3CDTF">2026-06-29T08:02:39Z</dcterms:modified>
</cp:coreProperties>
</file>