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67" w:lineRule="exact"/>
        <w:rPr>
          <w:rFonts w:ascii="MS PGothic" w:cs="MS PGothic" w:eastAsia="MS PGothic" w:hAnsi="MS PGothic"/>
          <w:sz w:val="22"/>
          <w:szCs w:val="22"/>
          <w:color w:val="auto"/>
        </w:rPr>
      </w:pPr>
    </w:p>
    <w:p>
      <w:pPr>
        <w:ind w:left="122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324" w:lineRule="exact"/>
        <w:rPr>
          <w:sz w:val="24"/>
          <w:szCs w:val="24"/>
          <w:color w:val="auto"/>
        </w:rPr>
      </w:pPr>
    </w:p>
    <w:p>
      <w:pPr>
        <w:ind w:left="1220" w:right="2460" w:hanging="1212"/>
        <w:spacing w:after="0" w:line="541" w:lineRule="auto"/>
        <w:tabs>
          <w:tab w:leader="none" w:pos="238"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For the transition period from ___________ to </w:t>
      </w:r>
      <w:r>
        <w:rPr>
          <w:rFonts w:ascii="Times New Roman" w:cs="Times New Roman" w:eastAsia="Times New Roman" w:hAnsi="Times New Roman"/>
          <w:sz w:val="18"/>
          <w:szCs w:val="18"/>
          <w:b w:val="1"/>
          <w:bCs w:val="1"/>
          <w:color w:val="auto"/>
        </w:rPr>
        <w:t>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1-12504</w:t>
      </w: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THE MACERICH COMPANY</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9" w:lineRule="exact"/>
        <w:rPr>
          <w:sz w:val="24"/>
          <w:szCs w:val="24"/>
          <w:color w:val="auto"/>
        </w:rPr>
      </w:pPr>
    </w:p>
    <w:tbl>
      <w:tblPr>
        <w:tblLayout w:type="fixed"/>
        <w:tblInd w:w="300" w:type="dxa"/>
        <w:tblCellMar>
          <w:top w:w="0" w:type="dxa"/>
          <w:left w:w="0" w:type="dxa"/>
          <w:bottom w:w="0" w:type="dxa"/>
          <w:right w:w="0" w:type="dxa"/>
        </w:tblCellMar>
      </w:tblPr>
      <w:tr>
        <w:trPr>
          <w:trHeight w:val="212"/>
        </w:trPr>
        <w:tc>
          <w:tcPr>
            <w:tcW w:w="1900" w:type="dxa"/>
            <w:vAlign w:val="bottom"/>
          </w:tcPr>
          <w:p>
            <w:pPr>
              <w:spacing w:after="0"/>
              <w:rPr>
                <w:sz w:val="18"/>
                <w:szCs w:val="18"/>
                <w:color w:val="auto"/>
              </w:rPr>
            </w:pPr>
          </w:p>
        </w:tc>
        <w:tc>
          <w:tcPr>
            <w:tcW w:w="112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6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95-4448705</w:t>
            </w:r>
          </w:p>
        </w:tc>
      </w:tr>
      <w:tr>
        <w:trPr>
          <w:trHeight w:val="262"/>
        </w:trPr>
        <w:tc>
          <w:tcPr>
            <w:tcW w:w="4440" w:type="dxa"/>
            <w:vAlign w:val="bottom"/>
            <w:gridSpan w:val="3"/>
          </w:tcPr>
          <w:p>
            <w:pPr>
              <w:jc w:val="center"/>
              <w:ind w:left="5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920" w:type="dxa"/>
            <w:vAlign w:val="bottom"/>
          </w:tcPr>
          <w:p>
            <w:pPr>
              <w:spacing w:after="0"/>
              <w:rPr>
                <w:sz w:val="22"/>
                <w:szCs w:val="22"/>
                <w:color w:val="auto"/>
              </w:rPr>
            </w:pPr>
          </w:p>
        </w:tc>
        <w:tc>
          <w:tcPr>
            <w:tcW w:w="416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210"/>
        </w:trPr>
        <w:tc>
          <w:tcPr>
            <w:tcW w:w="4440" w:type="dxa"/>
            <w:vAlign w:val="bottom"/>
            <w:gridSpan w:val="3"/>
          </w:tcPr>
          <w:p>
            <w:pPr>
              <w:jc w:val="center"/>
              <w:ind w:left="5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92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70"/>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401 Wilshire Boulevard,</w:t>
            </w:r>
          </w:p>
        </w:tc>
        <w:tc>
          <w:tcPr>
            <w:tcW w:w="11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Suite 700,</w:t>
            </w:r>
          </w:p>
        </w:tc>
        <w:tc>
          <w:tcPr>
            <w:tcW w:w="14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Santa Monica,</w:t>
            </w: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California</w:t>
            </w:r>
          </w:p>
        </w:tc>
        <w:tc>
          <w:tcPr>
            <w:tcW w:w="4160" w:type="dxa"/>
            <w:vAlign w:val="bottom"/>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90401</w:t>
            </w:r>
          </w:p>
        </w:tc>
      </w:tr>
      <w:tr>
        <w:trPr>
          <w:trHeight w:val="270"/>
        </w:trPr>
        <w:tc>
          <w:tcPr>
            <w:tcW w:w="444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auto"/>
              </w:rPr>
              <w:t>(Address of principal executive office, including zip code)</w:t>
            </w:r>
          </w:p>
        </w:tc>
        <w:tc>
          <w:tcPr>
            <w:tcW w:w="920" w:type="dxa"/>
            <w:vAlign w:val="bottom"/>
          </w:tcPr>
          <w:p>
            <w:pPr>
              <w:spacing w:after="0"/>
              <w:rPr>
                <w:sz w:val="23"/>
                <w:szCs w:val="23"/>
                <w:color w:val="auto"/>
              </w:rPr>
            </w:pPr>
          </w:p>
        </w:tc>
        <w:tc>
          <w:tcPr>
            <w:tcW w:w="416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rPr>
              <w:t>(Zip Code)</w:t>
            </w:r>
          </w:p>
        </w:tc>
      </w:tr>
      <w:tr>
        <w:trPr>
          <w:trHeight w:val="270"/>
        </w:trPr>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w:t>
            </w:r>
          </w:p>
        </w:tc>
        <w:tc>
          <w:tcPr>
            <w:tcW w:w="4160" w:type="dxa"/>
            <w:vAlign w:val="bottom"/>
          </w:tcPr>
          <w:p>
            <w:pPr>
              <w:jc w:val="right"/>
              <w:ind w:right="3419"/>
              <w:spacing w:after="0"/>
              <w:rPr>
                <w:sz w:val="20"/>
                <w:szCs w:val="20"/>
                <w:color w:val="auto"/>
              </w:rPr>
            </w:pPr>
            <w:r>
              <w:rPr>
                <w:rFonts w:ascii="Times New Roman" w:cs="Times New Roman" w:eastAsia="Times New Roman" w:hAnsi="Times New Roman"/>
                <w:sz w:val="16"/>
                <w:szCs w:val="16"/>
                <w:b w:val="1"/>
                <w:bCs w:val="1"/>
                <w:color w:val="auto"/>
              </w:rPr>
              <w:t>394-6000</w:t>
            </w:r>
          </w:p>
        </w:tc>
      </w:tr>
    </w:tbl>
    <w:p>
      <w:pPr>
        <w:spacing w:after="0" w:line="4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1"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7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ectPr>
          <w:pgSz w:w="11900" w:h="16838" w:orient="portrait"/>
          <w:cols w:equalWidth="0" w:num="1">
            <w:col w:w="11400"/>
          </w:cols>
          <w:pgMar w:left="240" w:top="345" w:right="259" w:bottom="1440" w:gutter="0" w:footer="0" w:header="0"/>
        </w:sectPr>
      </w:pPr>
    </w:p>
    <w:p>
      <w:pPr>
        <w:spacing w:after="0" w:line="16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75" w:lineRule="exact"/>
        <w:rPr>
          <w:sz w:val="24"/>
          <w:szCs w:val="24"/>
          <w:color w:val="auto"/>
        </w:rPr>
      </w:pPr>
    </w:p>
    <w:p>
      <w:pPr>
        <w:sectPr>
          <w:pgSz w:w="11900" w:h="16838" w:orient="portrait"/>
          <w:cols w:equalWidth="0" w:num="3">
            <w:col w:w="4160" w:space="720"/>
            <w:col w:w="2140" w:space="720"/>
            <w:col w:w="3660"/>
          </w:cols>
          <w:pgMar w:left="240" w:top="345" w:right="25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MAC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New York Stock Exchange</w:t>
      </w:r>
    </w:p>
    <w:p>
      <w:pPr>
        <w:spacing w:after="0" w:line="211" w:lineRule="exact"/>
        <w:rPr>
          <w:sz w:val="24"/>
          <w:szCs w:val="24"/>
          <w:color w:val="auto"/>
        </w:rPr>
      </w:pPr>
    </w:p>
    <w:p>
      <w:pPr>
        <w:sectPr>
          <w:pgSz w:w="11900" w:h="16838" w:orient="portrait"/>
          <w:cols w:equalWidth="0" w:num="3">
            <w:col w:w="4520" w:space="720"/>
            <w:col w:w="2420" w:space="720"/>
            <w:col w:w="3020"/>
          </w:cols>
          <w:pgMar w:left="240" w:top="345" w:right="259" w:bottom="1440" w:gutter="0" w:footer="0" w:header="0"/>
          <w:type w:val="continuous"/>
        </w:sectPr>
      </w:pPr>
    </w:p>
    <w:p>
      <w:pPr>
        <w:spacing w:after="0" w:line="129" w:lineRule="exact"/>
        <w:rPr>
          <w:sz w:val="24"/>
          <w:szCs w:val="24"/>
          <w:color w:val="auto"/>
        </w:rPr>
      </w:pPr>
    </w:p>
    <w:p>
      <w:pPr>
        <w:ind w:right="140" w:firstLine="432"/>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250" w:lineRule="exact"/>
        <w:rPr>
          <w:sz w:val="24"/>
          <w:szCs w:val="24"/>
          <w:color w:val="auto"/>
        </w:rPr>
      </w:pPr>
    </w:p>
    <w:p>
      <w:pPr>
        <w:ind w:right="140" w:firstLine="432"/>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twelve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251" w:lineRule="exact"/>
        <w:rPr>
          <w:sz w:val="24"/>
          <w:szCs w:val="24"/>
          <w:color w:val="auto"/>
        </w:rPr>
      </w:pPr>
    </w:p>
    <w:p>
      <w:pPr>
        <w:ind w:firstLine="432"/>
        <w:spacing w:after="0" w:line="31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3" w:lineRule="exact"/>
        <w:rPr>
          <w:sz w:val="24"/>
          <w:szCs w:val="24"/>
          <w:color w:val="auto"/>
        </w:rPr>
      </w:pPr>
    </w:p>
    <w:p>
      <w:pPr>
        <w:jc w:val="right"/>
        <w:ind w:left="420" w:right="540"/>
        <w:spacing w:after="0" w:line="276" w:lineRule="exact"/>
        <w:rPr>
          <w:sz w:val="20"/>
          <w:szCs w:val="20"/>
          <w:color w:val="auto"/>
        </w:rPr>
      </w:pPr>
      <w:r>
        <w:rPr>
          <w:rFonts w:ascii="Times New Roman" w:cs="Times New Roman" w:eastAsia="Times New Roman" w:hAnsi="Times New Roman"/>
          <w:sz w:val="18"/>
          <w:szCs w:val="18"/>
          <w:color w:val="auto"/>
        </w:rPr>
        <w:t xml:space="preserve">Large Accelerated Filer     x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78" w:lineRule="exact"/>
        <w:rPr>
          <w:sz w:val="24"/>
          <w:szCs w:val="24"/>
          <w:color w:val="auto"/>
        </w:rPr>
      </w:pPr>
    </w:p>
    <w:p>
      <w:pPr>
        <w:ind w:right="300" w:firstLine="432"/>
        <w:spacing w:after="0" w:line="226"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4" w:lineRule="exact"/>
        <w:rPr>
          <w:sz w:val="24"/>
          <w:szCs w:val="24"/>
          <w:color w:val="auto"/>
        </w:rPr>
      </w:pPr>
    </w:p>
    <w:p>
      <w:pPr>
        <w:ind w:left="440"/>
        <w:spacing w:after="0" w:line="207" w:lineRule="exact"/>
        <w:tabs>
          <w:tab w:leader="none" w:pos="85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7"/>
          <w:szCs w:val="17"/>
          <w:color w:val="auto"/>
        </w:rPr>
        <w:t>☒</w:t>
      </w:r>
    </w:p>
    <w:p>
      <w:pPr>
        <w:spacing w:after="0" w:line="31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Number of shares outstanding as of August 2, 2019 of the registrant's common stock, par value $0.01 per share: 141,265,383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gridSpan w:val="9"/>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THE MACERICH COMPANY</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20" w:type="dxa"/>
            <w:vAlign w:val="bottom"/>
            <w:gridSpan w:val="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20" w:type="dxa"/>
            <w:vAlign w:val="bottom"/>
            <w:gridSpan w:val="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860" w:type="dxa"/>
            <w:vAlign w:val="bottom"/>
            <w:gridSpan w:val="4"/>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w:t>
              </w:r>
            </w:hyperlink>
          </w:p>
        </w:tc>
        <w:tc>
          <w:tcPr>
            <w:tcW w:w="7760" w:type="dxa"/>
            <w:vAlign w:val="bottom"/>
            <w:gridSpan w:val="1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Financial Statements (Unaudited)</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Balance Sheets as of June 30, 2019 and December 31, 2018</w:t>
              </w:r>
            </w:hyperlink>
          </w:p>
        </w:tc>
        <w:tc>
          <w:tcPr>
            <w:tcW w:w="2460" w:type="dxa"/>
            <w:vAlign w:val="bottom"/>
            <w:gridSpan w:val="6"/>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for the three and six months ended June 30, 2019 and 2018</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 (Loss) for the three and six months ended June 30,</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2019 and 2018</w:t>
              </w:r>
            </w:hyperlink>
          </w:p>
        </w:tc>
        <w:tc>
          <w:tcPr>
            <w:tcW w:w="6340" w:type="dxa"/>
            <w:vAlign w:val="bottom"/>
            <w:tcBorders>
              <w:top w:val="single" w:sz="8" w:color="0000EE"/>
            </w:tcBorders>
            <w:gridSpan w:val="13"/>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Equity for the three and six months ended June 30, 2019 and 2018</w:t>
              </w:r>
            </w:hyperlink>
          </w:p>
        </w:tc>
        <w:tc>
          <w:tcPr>
            <w:tcW w:w="9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6</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Consolidated Statements of Cash Flows for the six months ended June 30, 2019 and 2018</w:t>
              </w:r>
            </w:hyperlink>
          </w:p>
        </w:tc>
        <w:tc>
          <w:tcPr>
            <w:tcW w:w="1300" w:type="dxa"/>
            <w:vAlign w:val="bottom"/>
            <w:gridSpan w:val="4"/>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9">
              <w:r>
                <w:rPr>
                  <w:rFonts w:ascii="Times New Roman" w:cs="Times New Roman" w:eastAsia="Times New Roman" w:hAnsi="Times New Roman"/>
                  <w:sz w:val="18"/>
                  <w:szCs w:val="18"/>
                  <w:color w:val="0000FF"/>
                  <w:w w:val="88"/>
                </w:rPr>
                <w:t>8</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7"/>
          </w:tcPr>
          <w:p>
            <w:pPr>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Notes to Consolidated Financial Statements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10</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Item 2.</w:t>
              </w:r>
            </w:hyperlink>
          </w:p>
        </w:tc>
        <w:tc>
          <w:tcPr>
            <w:tcW w:w="7760" w:type="dxa"/>
            <w:vAlign w:val="bottom"/>
            <w:gridSpan w:val="17"/>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Management's Discussion and Analysis of Financial Condition and Results of Operations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Item 3.</w:t>
              </w:r>
            </w:hyperlink>
          </w:p>
        </w:tc>
        <w:tc>
          <w:tcPr>
            <w:tcW w:w="7760" w:type="dxa"/>
            <w:vAlign w:val="bottom"/>
            <w:gridSpan w:val="17"/>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Quantitative and Qualitative Disclosures About Market Risk</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Item 4.</w:t>
              </w:r>
            </w:hyperlink>
          </w:p>
        </w:tc>
        <w:tc>
          <w:tcPr>
            <w:tcW w:w="7760" w:type="dxa"/>
            <w:vAlign w:val="bottom"/>
            <w:gridSpan w:val="17"/>
          </w:tcPr>
          <w:p>
            <w:pPr>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Controls and Procedures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12"/>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7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6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Item 1.</w:t>
              </w:r>
            </w:hyperlink>
          </w:p>
        </w:tc>
        <w:tc>
          <w:tcPr>
            <w:tcW w:w="220" w:type="dxa"/>
            <w:vAlign w:val="bottom"/>
            <w:gridSpan w:val="2"/>
          </w:tcPr>
          <w:p>
            <w:pPr>
              <w:spacing w:after="0"/>
              <w:rPr>
                <w:sz w:val="24"/>
                <w:szCs w:val="24"/>
                <w:color w:val="auto"/>
              </w:rPr>
            </w:pPr>
          </w:p>
        </w:tc>
        <w:tc>
          <w:tcPr>
            <w:tcW w:w="13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w:anchor="page47">
              <w:r>
                <w:rPr>
                  <w:rFonts w:ascii="Times New Roman" w:cs="Times New Roman" w:eastAsia="Times New Roman" w:hAnsi="Times New Roman"/>
                  <w:sz w:val="18"/>
                  <w:szCs w:val="18"/>
                  <w:color w:val="0000FF"/>
                  <w:w w:val="98"/>
                </w:rPr>
                <w:t>Legal Proceedings</w:t>
              </w:r>
            </w:hyperlink>
          </w:p>
        </w:tc>
        <w:tc>
          <w:tcPr>
            <w:tcW w:w="6420" w:type="dxa"/>
            <w:vAlign w:val="bottom"/>
            <w:gridSpan w:val="12"/>
          </w:tcPr>
          <w:p>
            <w:pPr>
              <w:spacing w:after="0"/>
              <w:rPr>
                <w:sz w:val="24"/>
                <w:szCs w:val="24"/>
                <w:color w:val="auto"/>
              </w:rPr>
            </w:pPr>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46</w:t>
              </w:r>
            </w:hyperlink>
          </w:p>
        </w:tc>
      </w:tr>
      <w:tr>
        <w:trPr>
          <w:trHeight w:val="372"/>
        </w:trPr>
        <w:tc>
          <w:tcPr>
            <w:tcW w:w="640" w:type="dxa"/>
            <w:vAlign w:val="bottom"/>
            <w:gridSpan w:val="2"/>
          </w:tcPr>
          <w:p>
            <w:pPr>
              <w:spacing w:after="0"/>
              <w:rPr>
                <w:rFonts w:ascii="Times New Roman" w:cs="Times New Roman" w:eastAsia="Times New Roman" w:hAnsi="Times New Roman"/>
                <w:sz w:val="18"/>
                <w:szCs w:val="18"/>
                <w:color w:val="0000FF"/>
                <w:w w:val="96"/>
              </w:rPr>
            </w:pPr>
            <w:hyperlink w:anchor="page47">
              <w:r>
                <w:rPr>
                  <w:rFonts w:ascii="Times New Roman" w:cs="Times New Roman" w:eastAsia="Times New Roman" w:hAnsi="Times New Roman"/>
                  <w:sz w:val="18"/>
                  <w:szCs w:val="18"/>
                  <w:color w:val="0000FF"/>
                  <w:w w:val="96"/>
                </w:rPr>
                <w:t>Item 1A.</w:t>
              </w:r>
            </w:hyperlink>
          </w:p>
        </w:tc>
        <w:tc>
          <w:tcPr>
            <w:tcW w:w="220" w:type="dxa"/>
            <w:vAlign w:val="bottom"/>
            <w:gridSpan w:val="2"/>
          </w:tcPr>
          <w:p>
            <w:pPr>
              <w:spacing w:after="0"/>
              <w:rPr>
                <w:sz w:val="24"/>
                <w:szCs w:val="24"/>
                <w:color w:val="auto"/>
              </w:rPr>
            </w:pPr>
          </w:p>
        </w:tc>
        <w:tc>
          <w:tcPr>
            <w:tcW w:w="7760" w:type="dxa"/>
            <w:vAlign w:val="bottom"/>
            <w:gridSpan w:val="17"/>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Risk Factors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46</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640" w:type="dxa"/>
            <w:vAlign w:val="bottom"/>
            <w:gridSpan w:val="2"/>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Item 2.</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7"/>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Unregistered Sales of Equity Securities and Use of Proceeds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46</w:t>
              </w:r>
            </w:hyperlink>
          </w:p>
        </w:tc>
      </w:tr>
      <w:tr>
        <w:trPr>
          <w:trHeight w:val="372"/>
        </w:trPr>
        <w:tc>
          <w:tcPr>
            <w:tcW w:w="74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Item 3.</w:t>
              </w:r>
            </w:hyperlink>
          </w:p>
        </w:tc>
        <w:tc>
          <w:tcPr>
            <w:tcW w:w="120" w:type="dxa"/>
            <w:vAlign w:val="bottom"/>
          </w:tcPr>
          <w:p>
            <w:pPr>
              <w:spacing w:after="0"/>
              <w:rPr>
                <w:sz w:val="24"/>
                <w:szCs w:val="24"/>
                <w:color w:val="auto"/>
              </w:rPr>
            </w:pPr>
          </w:p>
        </w:tc>
        <w:tc>
          <w:tcPr>
            <w:tcW w:w="436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Defaults Upon Senior Securities</w:t>
              </w:r>
            </w:hyperlink>
          </w:p>
        </w:tc>
        <w:tc>
          <w:tcPr>
            <w:tcW w:w="3400" w:type="dxa"/>
            <w:vAlign w:val="bottom"/>
            <w:gridSpan w:val="7"/>
          </w:tcPr>
          <w:p>
            <w:pPr>
              <w:spacing w:after="0"/>
              <w:rPr>
                <w:sz w:val="24"/>
                <w:szCs w:val="24"/>
                <w:color w:val="auto"/>
              </w:rPr>
            </w:pPr>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46</w:t>
              </w:r>
            </w:hyperlink>
          </w:p>
        </w:tc>
      </w:tr>
      <w:tr>
        <w:trPr>
          <w:trHeight w:val="372"/>
        </w:trPr>
        <w:tc>
          <w:tcPr>
            <w:tcW w:w="74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Item 4.</w:t>
              </w:r>
            </w:hyperlink>
          </w:p>
        </w:tc>
        <w:tc>
          <w:tcPr>
            <w:tcW w:w="120" w:type="dxa"/>
            <w:vAlign w:val="bottom"/>
          </w:tcPr>
          <w:p>
            <w:pPr>
              <w:spacing w:after="0"/>
              <w:rPr>
                <w:sz w:val="24"/>
                <w:szCs w:val="24"/>
                <w:color w:val="auto"/>
              </w:rPr>
            </w:pPr>
          </w:p>
        </w:tc>
        <w:tc>
          <w:tcPr>
            <w:tcW w:w="232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Mine Safety Disclosures</w:t>
              </w:r>
            </w:hyperlink>
          </w:p>
        </w:tc>
        <w:tc>
          <w:tcPr>
            <w:tcW w:w="5440" w:type="dxa"/>
            <w:vAlign w:val="bottom"/>
            <w:gridSpan w:val="10"/>
          </w:tcPr>
          <w:p>
            <w:pPr>
              <w:spacing w:after="0"/>
              <w:rPr>
                <w:sz w:val="24"/>
                <w:szCs w:val="24"/>
                <w:color w:val="auto"/>
              </w:rPr>
            </w:pPr>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Item 5.</w:t>
              </w:r>
            </w:hyperlink>
          </w:p>
        </w:tc>
        <w:tc>
          <w:tcPr>
            <w:tcW w:w="7760" w:type="dxa"/>
            <w:vAlign w:val="bottom"/>
            <w:gridSpan w:val="17"/>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Other Information</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Item 6.</w:t>
              </w:r>
            </w:hyperlink>
          </w:p>
        </w:tc>
        <w:tc>
          <w:tcPr>
            <w:tcW w:w="7760" w:type="dxa"/>
            <w:vAlign w:val="bottom"/>
            <w:gridSpan w:val="17"/>
          </w:tcPr>
          <w:p>
            <w:pPr>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Exhibits</w:t>
              </w:r>
            </w:hyperlink>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Times New Roman" w:cs="Times New Roman" w:eastAsia="Times New Roman" w:hAnsi="Times New Roman"/>
                <w:sz w:val="18"/>
                <w:szCs w:val="18"/>
                <w:b w:val="1"/>
                <w:bCs w:val="1"/>
                <w:color w:val="0000FF"/>
              </w:rPr>
            </w:pPr>
            <w:hyperlink w:anchor="page50">
              <w:r>
                <w:rPr>
                  <w:rFonts w:ascii="Times New Roman" w:cs="Times New Roman" w:eastAsia="Times New Roman" w:hAnsi="Times New Roman"/>
                  <w:sz w:val="18"/>
                  <w:szCs w:val="18"/>
                  <w:b w:val="1"/>
                  <w:bCs w:val="1"/>
                  <w:color w:val="0000FF"/>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jc w:val="right"/>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49</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10"/>
          </w:tcPr>
          <w:p>
            <w:pPr>
              <w:jc w:val="center"/>
              <w:ind w:left="297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9160"/>
          </w:cols>
          <w:pgMar w:left="1380" w:top="360" w:right="13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6,689,545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6,785,776</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102,711</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46,590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123,492</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390,403</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85,181</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1,517,771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1,492,655</w:t>
            </w:r>
          </w:p>
        </w:tc>
      </w:tr>
      <w:tr>
        <w:trPr>
          <w:trHeight w:val="297"/>
        </w:trPr>
        <w:tc>
          <w:tcPr>
            <w:tcW w:w="67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8,944,099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9,026,808</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4,305,028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4,073,916</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908,544</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59,392</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303,051</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114,988</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378,485</w:t>
            </w: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5,974,729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5,838,376</w:t>
            </w: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6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$0.01 par value, 250,000,000 shares authorized, 141,364,568 and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6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141,221,712 shares issued and outstanding at June 30, 2019 and December 31, 2018,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1"/>
        </w:trPr>
        <w:tc>
          <w:tcPr>
            <w:tcW w:w="6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1,412</w:t>
            </w:r>
          </w:p>
        </w:tc>
      </w:tr>
      <w:tr>
        <w:trPr>
          <w:trHeight w:val="243"/>
        </w:trPr>
        <w:tc>
          <w:tcPr>
            <w:tcW w:w="6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4,578,620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4,567,643</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(1,614,357)</w:t>
            </w:r>
          </w:p>
        </w:tc>
      </w:tr>
      <w:tr>
        <w:trPr>
          <w:trHeight w:val="243"/>
        </w:trPr>
        <w:tc>
          <w:tcPr>
            <w:tcW w:w="6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2,764,144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2,950,232</w:t>
            </w: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238,200</w:t>
            </w:r>
          </w:p>
        </w:tc>
      </w:tr>
      <w:tr>
        <w:trPr>
          <w:trHeight w:val="27"/>
        </w:trPr>
        <w:tc>
          <w:tcPr>
            <w:tcW w:w="6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2,969,370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3,188,432</w:t>
            </w:r>
          </w:p>
        </w:tc>
      </w:tr>
      <w:tr>
        <w:trPr>
          <w:trHeight w:val="257"/>
        </w:trPr>
        <w:tc>
          <w:tcPr>
            <w:tcW w:w="6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8,944,099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9,026,808</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320"/>
          </w:cols>
          <w:pgMar w:left="240" w:top="118" w:right="13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211,022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217,014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422,030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435,126</w:t>
            </w:r>
          </w:p>
        </w:tc>
        <w:tc>
          <w:tcPr>
            <w:tcW w:w="0" w:type="dxa"/>
            <w:vAlign w:val="bottom"/>
          </w:tcPr>
          <w:p>
            <w:pPr>
              <w:spacing w:after="0"/>
              <w:rPr>
                <w:sz w:val="1"/>
                <w:szCs w:val="1"/>
                <w:color w:val="auto"/>
              </w:rPr>
            </w:pPr>
          </w:p>
        </w:tc>
      </w:tr>
      <w:tr>
        <w:trPr>
          <w:trHeight w:val="27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15,115</w:t>
            </w:r>
          </w:p>
        </w:tc>
        <w:tc>
          <w:tcPr>
            <w:tcW w:w="0" w:type="dxa"/>
            <w:vAlign w:val="bottom"/>
          </w:tcPr>
          <w:p>
            <w:pPr>
              <w:spacing w:after="0"/>
              <w:rPr>
                <w:sz w:val="1"/>
                <w:szCs w:val="1"/>
                <w:color w:val="auto"/>
              </w:rPr>
            </w:pPr>
          </w:p>
        </w:tc>
      </w:tr>
      <w:tr>
        <w:trPr>
          <w:trHeight w:val="265"/>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9,119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10,496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19,299</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21,038</w:t>
            </w:r>
          </w:p>
        </w:tc>
        <w:tc>
          <w:tcPr>
            <w:tcW w:w="0" w:type="dxa"/>
            <w:vAlign w:val="bottom"/>
          </w:tcPr>
          <w:p>
            <w:pPr>
              <w:spacing w:after="0"/>
              <w:rPr>
                <w:sz w:val="1"/>
                <w:szCs w:val="1"/>
                <w:color w:val="auto"/>
              </w:rPr>
            </w:pPr>
          </w:p>
        </w:tc>
      </w:tr>
      <w:tr>
        <w:trPr>
          <w:trHeight w:val="255"/>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227,972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234,545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454,494</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471,279</w:t>
            </w:r>
          </w:p>
        </w:tc>
        <w:tc>
          <w:tcPr>
            <w:tcW w:w="0" w:type="dxa"/>
            <w:vAlign w:val="bottom"/>
          </w:tcPr>
          <w:p>
            <w:pPr>
              <w:spacing w:after="0"/>
              <w:rPr>
                <w:sz w:val="1"/>
                <w:szCs w:val="1"/>
                <w:color w:val="auto"/>
              </w:rPr>
            </w:pPr>
          </w:p>
        </w:tc>
      </w:tr>
      <w:tr>
        <w:trPr>
          <w:trHeight w:val="259"/>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64,092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68,072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133,696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142,582</w:t>
            </w:r>
          </w:p>
        </w:tc>
        <w:tc>
          <w:tcPr>
            <w:tcW w:w="0" w:type="dxa"/>
            <w:vAlign w:val="bottom"/>
          </w:tcPr>
          <w:p>
            <w:pPr>
              <w:spacing w:after="0"/>
              <w:rPr>
                <w:sz w:val="1"/>
                <w:szCs w:val="1"/>
                <w:color w:val="auto"/>
              </w:rPr>
            </w:pPr>
          </w:p>
        </w:tc>
      </w:tr>
      <w:tr>
        <w:trPr>
          <w:trHeight w:val="26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expenses</w:t>
            </w: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6,026</w:t>
            </w:r>
          </w:p>
        </w:tc>
        <w:tc>
          <w:tcPr>
            <w:tcW w:w="0" w:type="dxa"/>
            <w:vAlign w:val="bottom"/>
          </w:tcPr>
          <w:p>
            <w:pPr>
              <w:spacing w:after="0"/>
              <w:rPr>
                <w:sz w:val="1"/>
                <w:szCs w:val="1"/>
                <w:color w:val="auto"/>
              </w:rPr>
            </w:pPr>
          </w:p>
        </w:tc>
      </w:tr>
      <w:tr>
        <w:trPr>
          <w:trHeight w:val="27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53,263</w:t>
            </w:r>
          </w:p>
        </w:tc>
        <w:tc>
          <w:tcPr>
            <w:tcW w:w="0" w:type="dxa"/>
            <w:vAlign w:val="bottom"/>
          </w:tcPr>
          <w:p>
            <w:pPr>
              <w:spacing w:after="0"/>
              <w:rPr>
                <w:sz w:val="1"/>
                <w:szCs w:val="1"/>
                <w:color w:val="auto"/>
              </w:rPr>
            </w:pPr>
          </w:p>
        </w:tc>
      </w:tr>
      <w:tr>
        <w:trPr>
          <w:trHeight w:val="26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12,975</w:t>
            </w:r>
          </w:p>
        </w:tc>
        <w:tc>
          <w:tcPr>
            <w:tcW w:w="0" w:type="dxa"/>
            <w:vAlign w:val="bottom"/>
          </w:tcPr>
          <w:p>
            <w:pPr>
              <w:spacing w:after="0"/>
              <w:rPr>
                <w:sz w:val="1"/>
                <w:szCs w:val="1"/>
                <w:color w:val="auto"/>
              </w:rPr>
            </w:pPr>
          </w:p>
        </w:tc>
      </w:tr>
      <w:tr>
        <w:trPr>
          <w:trHeight w:val="27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 related to shareholder activism</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19,369</w:t>
            </w:r>
          </w:p>
        </w:tc>
        <w:tc>
          <w:tcPr>
            <w:tcW w:w="0" w:type="dxa"/>
            <w:vAlign w:val="bottom"/>
          </w:tcPr>
          <w:p>
            <w:pPr>
              <w:spacing w:after="0"/>
              <w:rPr>
                <w:sz w:val="1"/>
                <w:szCs w:val="1"/>
                <w:color w:val="auto"/>
              </w:rPr>
            </w:pPr>
          </w:p>
        </w:tc>
      </w:tr>
      <w:tr>
        <w:trPr>
          <w:trHeight w:val="265"/>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82,385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78,868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163,853</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158,805</w:t>
            </w:r>
          </w:p>
        </w:tc>
        <w:tc>
          <w:tcPr>
            <w:tcW w:w="0" w:type="dxa"/>
            <w:vAlign w:val="bottom"/>
          </w:tcPr>
          <w:p>
            <w:pPr>
              <w:spacing w:after="0"/>
              <w:rPr>
                <w:sz w:val="1"/>
                <w:szCs w:val="1"/>
                <w:color w:val="auto"/>
              </w:rPr>
            </w:pPr>
          </w:p>
        </w:tc>
      </w:tr>
      <w:tr>
        <w:trPr>
          <w:trHeight w:val="255"/>
        </w:trPr>
        <w:tc>
          <w:tcPr>
            <w:tcW w:w="44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174,435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192,231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358,987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393,020</w:t>
            </w:r>
          </w:p>
        </w:tc>
        <w:tc>
          <w:tcPr>
            <w:tcW w:w="0" w:type="dxa"/>
            <w:vAlign w:val="bottom"/>
          </w:tcPr>
          <w:p>
            <w:pPr>
              <w:spacing w:after="0"/>
              <w:rPr>
                <w:sz w:val="1"/>
                <w:szCs w:val="1"/>
                <w:color w:val="auto"/>
              </w:rPr>
            </w:pPr>
          </w:p>
        </w:tc>
      </w:tr>
      <w:tr>
        <w:trPr>
          <w:trHeight w:val="259"/>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 expense:</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Related parties</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7,407</w:t>
            </w:r>
          </w:p>
        </w:tc>
        <w:tc>
          <w:tcPr>
            <w:tcW w:w="0" w:type="dxa"/>
            <w:vAlign w:val="bottom"/>
          </w:tcPr>
          <w:p>
            <w:pPr>
              <w:spacing w:after="0"/>
              <w:rPr>
                <w:sz w:val="1"/>
                <w:szCs w:val="1"/>
                <w:color w:val="auto"/>
              </w:rPr>
            </w:pPr>
          </w:p>
        </w:tc>
      </w:tr>
      <w:tr>
        <w:trPr>
          <w:trHeight w:val="265"/>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50,352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41,677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99,156</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84,143</w:t>
            </w:r>
          </w:p>
        </w:tc>
        <w:tc>
          <w:tcPr>
            <w:tcW w:w="0" w:type="dxa"/>
            <w:vAlign w:val="bottom"/>
          </w:tcPr>
          <w:p>
            <w:pPr>
              <w:spacing w:after="0"/>
              <w:rPr>
                <w:sz w:val="1"/>
                <w:szCs w:val="1"/>
                <w:color w:val="auto"/>
              </w:rPr>
            </w:pPr>
          </w:p>
        </w:tc>
      </w:tr>
      <w:tr>
        <w:trPr>
          <w:trHeight w:val="255"/>
        </w:trPr>
        <w:tc>
          <w:tcPr>
            <w:tcW w:w="4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37,109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38,915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75,466</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91,550</w:t>
            </w:r>
          </w:p>
        </w:tc>
        <w:tc>
          <w:tcPr>
            <w:tcW w:w="0" w:type="dxa"/>
            <w:vAlign w:val="bottom"/>
          </w:tcPr>
          <w:p>
            <w:pPr>
              <w:spacing w:after="0"/>
              <w:rPr>
                <w:sz w:val="1"/>
                <w:szCs w:val="1"/>
                <w:color w:val="auto"/>
              </w:rPr>
            </w:pPr>
          </w:p>
        </w:tc>
      </w:tr>
      <w:tr>
        <w:trPr>
          <w:trHeight w:val="26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1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4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expenses</w:t>
            </w: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211,544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231,146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434,804</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484,570</w:t>
            </w:r>
          </w:p>
        </w:tc>
        <w:tc>
          <w:tcPr>
            <w:tcW w:w="0" w:type="dxa"/>
            <w:vAlign w:val="bottom"/>
          </w:tcPr>
          <w:p>
            <w:pPr>
              <w:spacing w:after="0"/>
              <w:rPr>
                <w:sz w:val="1"/>
                <w:szCs w:val="1"/>
                <w:color w:val="auto"/>
              </w:rPr>
            </w:pPr>
          </w:p>
        </w:tc>
      </w:tr>
      <w:tr>
        <w:trPr>
          <w:trHeight w:val="26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of unconsolidated joint ventures</w:t>
            </w:r>
          </w:p>
        </w:tc>
        <w:tc>
          <w:tcPr>
            <w:tcW w:w="1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32,541</w:t>
            </w:r>
          </w:p>
        </w:tc>
        <w:tc>
          <w:tcPr>
            <w:tcW w:w="0" w:type="dxa"/>
            <w:vAlign w:val="bottom"/>
          </w:tcPr>
          <w:p>
            <w:pPr>
              <w:spacing w:after="0"/>
              <w:rPr>
                <w:sz w:val="1"/>
                <w:szCs w:val="1"/>
                <w:color w:val="auto"/>
              </w:rPr>
            </w:pPr>
          </w:p>
        </w:tc>
      </w:tr>
      <w:tr>
        <w:trPr>
          <w:trHeight w:val="27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2,265</w:t>
            </w:r>
          </w:p>
        </w:tc>
        <w:tc>
          <w:tcPr>
            <w:tcW w:w="0" w:type="dxa"/>
            <w:vAlign w:val="bottom"/>
          </w:tcPr>
          <w:p>
            <w:pPr>
              <w:spacing w:after="0"/>
              <w:rPr>
                <w:sz w:val="1"/>
                <w:szCs w:val="1"/>
                <w:color w:val="auto"/>
              </w:rPr>
            </w:pPr>
          </w:p>
        </w:tc>
      </w:tr>
      <w:tr>
        <w:trPr>
          <w:trHeight w:val="265"/>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(15,375)</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(47,030)</w:t>
            </w:r>
          </w:p>
        </w:tc>
        <w:tc>
          <w:tcPr>
            <w:tcW w:w="0" w:type="dxa"/>
            <w:vAlign w:val="bottom"/>
          </w:tcPr>
          <w:p>
            <w:pPr>
              <w:spacing w:after="0"/>
              <w:rPr>
                <w:sz w:val="1"/>
                <w:szCs w:val="1"/>
                <w:color w:val="auto"/>
              </w:rPr>
            </w:pPr>
          </w:p>
        </w:tc>
      </w:tr>
      <w:tr>
        <w:trPr>
          <w:trHeight w:val="25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(25,515)</w:t>
            </w:r>
          </w:p>
        </w:tc>
        <w:tc>
          <w:tcPr>
            <w:tcW w:w="0" w:type="dxa"/>
            <w:vAlign w:val="bottom"/>
          </w:tcPr>
          <w:p>
            <w:pPr>
              <w:spacing w:after="0"/>
              <w:rPr>
                <w:sz w:val="1"/>
                <w:szCs w:val="1"/>
                <w:color w:val="auto"/>
              </w:rPr>
            </w:pPr>
          </w:p>
        </w:tc>
      </w:tr>
      <w:tr>
        <w:trPr>
          <w:trHeight w:val="265"/>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4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the Company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share—attributable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5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141,344,000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141,137,000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141,303,000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141,081,000</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141,344,000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141,137,000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141,303,000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141,081,000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118" w:right="1440"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r>
      <w:tr>
        <w:trPr>
          <w:trHeight w:val="195"/>
        </w:trPr>
        <w:tc>
          <w:tcPr>
            <w:tcW w:w="4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20" w:type="dxa"/>
            <w:vAlign w:val="bottom"/>
            <w:tcBorders>
              <w:bottom w:val="single" w:sz="8" w:color="auto"/>
            </w:tcBorders>
          </w:tcPr>
          <w:p>
            <w:pPr>
              <w:spacing w:after="0"/>
              <w:rPr>
                <w:sz w:val="16"/>
                <w:szCs w:val="16"/>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22,790</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(25,515)</w:t>
            </w:r>
          </w:p>
        </w:tc>
      </w:tr>
      <w:tr>
        <w:trPr>
          <w:trHeight w:val="26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cap/swap agreements</w:t>
            </w: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(25,506)</w:t>
            </w: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w:t>
            </w:r>
          </w:p>
        </w:tc>
      </w:tr>
      <w:tr>
        <w:trPr>
          <w:trHeight w:val="24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the Company</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11,453</w:t>
            </w:r>
          </w:p>
        </w:tc>
        <w:tc>
          <w:tcPr>
            <w:tcW w:w="120" w:type="dxa"/>
            <w:vAlign w:val="bottom"/>
          </w:tcPr>
          <w:p>
            <w:pPr>
              <w:spacing w:after="0"/>
              <w:rPr>
                <w:sz w:val="21"/>
                <w:szCs w:val="21"/>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7,764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17,232</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(25,748)</w:t>
            </w: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19"/>
          </w:cols>
          <w:pgMar w:left="240" w:top="118" w:right="1440"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117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79" w:lineRule="exact"/>
        <w:rPr>
          <w:sz w:val="20"/>
          <w:szCs w:val="20"/>
          <w:color w:val="auto"/>
        </w:rPr>
      </w:pPr>
    </w:p>
    <w:p>
      <w:pPr>
        <w:jc w:val="center"/>
        <w:ind w:right="-11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Three Months Ended June 30, 2019 and 2018</w:t>
      </w:r>
    </w:p>
    <w:p>
      <w:pPr>
        <w:spacing w:after="0" w:line="389" w:lineRule="exact"/>
        <w:rPr>
          <w:sz w:val="20"/>
          <w:szCs w:val="20"/>
          <w:color w:val="auto"/>
        </w:rPr>
      </w:pPr>
    </w:p>
    <w:tbl>
      <w:tblPr>
        <w:tblLayout w:type="fixed"/>
        <w:tblInd w:w="1200" w:type="dxa"/>
        <w:tblCellMar>
          <w:top w:w="0" w:type="dxa"/>
          <w:left w:w="0" w:type="dxa"/>
          <w:bottom w:w="0" w:type="dxa"/>
          <w:right w:w="0" w:type="dxa"/>
        </w:tblCellMar>
      </w:tblPr>
      <w:tr>
        <w:trPr>
          <w:trHeight w:val="176"/>
        </w:trPr>
        <w:tc>
          <w:tcPr>
            <w:tcW w:w="9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58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8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30"/>
        </w:trPr>
        <w:tc>
          <w:tcPr>
            <w:tcW w:w="980" w:type="dxa"/>
            <w:vAlign w:val="bottom"/>
            <w:tcBorders>
              <w:top w:val="single" w:sz="8" w:color="CCEEFF"/>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Balance at April</w:t>
            </w: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1, 2019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141,332,786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4,574,600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(1,714,789)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2,854,713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230,556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3,085,269</w:t>
            </w:r>
          </w:p>
        </w:tc>
        <w:tc>
          <w:tcPr>
            <w:tcW w:w="0" w:type="dxa"/>
            <w:vAlign w:val="bottom"/>
          </w:tcPr>
          <w:p>
            <w:pPr>
              <w:spacing w:after="0"/>
              <w:rPr>
                <w:sz w:val="1"/>
                <w:szCs w:val="1"/>
                <w:color w:val="auto"/>
              </w:rPr>
            </w:pPr>
          </w:p>
        </w:tc>
      </w:tr>
      <w:tr>
        <w:trPr>
          <w:trHeight w:val="26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15,734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15,734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13,947</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cap/swap</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agreements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(4,281)</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Amortization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 and unit-</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3,373</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819</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Distributions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declared ($0.75</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(106,042)</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(24,115)</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Contributions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from</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Adjustment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interests in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Partnership</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980" w:type="dxa"/>
            <w:vAlign w:val="bottom"/>
            <w:tcBorders>
              <w:top w:val="single" w:sz="8" w:color="CCEEFF"/>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Balance at June</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141,364,568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4,578,620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(1,805,097)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2,764,144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205,226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2,969,370</w:t>
            </w:r>
          </w:p>
        </w:tc>
        <w:tc>
          <w:tcPr>
            <w:tcW w:w="0" w:type="dxa"/>
            <w:vAlign w:val="bottom"/>
          </w:tcPr>
          <w:p>
            <w:pPr>
              <w:spacing w:after="0"/>
              <w:rPr>
                <w:sz w:val="1"/>
                <w:szCs w:val="1"/>
                <w:color w:val="auto"/>
              </w:rPr>
            </w:pPr>
          </w:p>
        </w:tc>
      </w:tr>
      <w:tr>
        <w:trPr>
          <w:trHeight w:val="166"/>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30, 2019</w:t>
            </w: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58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8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30"/>
        </w:trPr>
        <w:tc>
          <w:tcPr>
            <w:tcW w:w="980" w:type="dxa"/>
            <w:vAlign w:val="bottom"/>
            <w:tcBorders>
              <w:top w:val="single" w:sz="8" w:color="CCEEFF"/>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Balance at April</w:t>
            </w: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1, 2018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141,104,587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4,549,748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(1,393,418)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3,157,760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250,825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3,408,585</w:t>
            </w:r>
          </w:p>
        </w:tc>
        <w:tc>
          <w:tcPr>
            <w:tcW w:w="0" w:type="dxa"/>
            <w:vAlign w:val="bottom"/>
          </w:tcPr>
          <w:p>
            <w:pPr>
              <w:spacing w:after="0"/>
              <w:rPr>
                <w:sz w:val="1"/>
                <w:szCs w:val="1"/>
                <w:color w:val="auto"/>
              </w:rPr>
            </w:pPr>
          </w:p>
        </w:tc>
      </w:tr>
      <w:tr>
        <w:trPr>
          <w:trHeight w:val="26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8,866</w:t>
            </w:r>
          </w:p>
        </w:tc>
        <w:tc>
          <w:tcPr>
            <w:tcW w:w="0" w:type="dxa"/>
            <w:vAlign w:val="bottom"/>
          </w:tcPr>
          <w:p>
            <w:pPr>
              <w:spacing w:after="0"/>
              <w:rPr>
                <w:sz w:val="1"/>
                <w:szCs w:val="1"/>
                <w:color w:val="auto"/>
              </w:rPr>
            </w:pPr>
          </w:p>
        </w:tc>
      </w:tr>
      <w:tr>
        <w:trPr>
          <w:trHeight w:val="27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Amortization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 and unit-</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9,991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9,991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9,991</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806</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Distributions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declared ($0.74</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(104,140)</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(8,823)</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interests to</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Adjustment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interests in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Partnership</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980" w:type="dxa"/>
            <w:vAlign w:val="bottom"/>
            <w:tcBorders>
              <w:top w:val="single" w:sz="8" w:color="CCEEFF"/>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Balance at June</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141,184,335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4,558,873</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(1,489,742)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3,070,510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244,665</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3,315,175</w:t>
            </w:r>
          </w:p>
        </w:tc>
        <w:tc>
          <w:tcPr>
            <w:tcW w:w="0" w:type="dxa"/>
            <w:vAlign w:val="bottom"/>
          </w:tcPr>
          <w:p>
            <w:pPr>
              <w:spacing w:after="0"/>
              <w:rPr>
                <w:sz w:val="1"/>
                <w:szCs w:val="1"/>
                <w:color w:val="auto"/>
              </w:rPr>
            </w:pPr>
          </w:p>
        </w:tc>
      </w:tr>
      <w:tr>
        <w:trPr>
          <w:trHeight w:val="166"/>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30, 2018</w:t>
            </w: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240"/>
          </w:cols>
          <w:pgMar w:left="240" w:top="118" w:right="1419" w:bottom="36" w:gutter="0" w:footer="0" w:header="0"/>
        </w:sectPr>
      </w:pPr>
    </w:p>
    <w:p>
      <w:pPr>
        <w:spacing w:after="0" w:line="3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40"/>
          </w:cols>
          <w:pgMar w:left="240" w:top="118" w:right="1419" w:bottom="36" w:gutter="0" w:footer="0" w:header="0"/>
          <w:type w:val="continuous"/>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27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Six Months Ended June 30, 2019 and 2018</w:t>
      </w:r>
    </w:p>
    <w:p>
      <w:pPr>
        <w:spacing w:after="0" w:line="389" w:lineRule="exact"/>
        <w:rPr>
          <w:sz w:val="20"/>
          <w:szCs w:val="20"/>
          <w:color w:val="auto"/>
        </w:rPr>
      </w:pPr>
    </w:p>
    <w:tbl>
      <w:tblPr>
        <w:tblLayout w:type="fixed"/>
        <w:tblInd w:w="1200" w:type="dxa"/>
        <w:tblCellMar>
          <w:top w:w="0" w:type="dxa"/>
          <w:left w:w="0" w:type="dxa"/>
          <w:bottom w:w="0" w:type="dxa"/>
          <w:right w:w="0" w:type="dxa"/>
        </w:tblCellMar>
      </w:tblPr>
      <w:tr>
        <w:trPr>
          <w:trHeight w:val="176"/>
        </w:trPr>
        <w:tc>
          <w:tcPr>
            <w:tcW w:w="9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58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8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30"/>
        </w:trPr>
        <w:tc>
          <w:tcPr>
            <w:tcW w:w="980" w:type="dxa"/>
            <w:vAlign w:val="bottom"/>
            <w:tcBorders>
              <w:top w:val="single" w:sz="8" w:color="CCEEFF"/>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Balance at</w:t>
            </w: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141,221,712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4,567,643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(1,614,357)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2,950,232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238,200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3,188,432</w:t>
            </w:r>
          </w:p>
        </w:tc>
        <w:tc>
          <w:tcPr>
            <w:tcW w:w="0" w:type="dxa"/>
            <w:vAlign w:val="bottom"/>
          </w:tcPr>
          <w:p>
            <w:pPr>
              <w:spacing w:after="0"/>
              <w:rPr>
                <w:sz w:val="1"/>
                <w:szCs w:val="1"/>
                <w:color w:val="auto"/>
              </w:rPr>
            </w:pPr>
          </w:p>
        </w:tc>
      </w:tr>
      <w:tr>
        <w:trPr>
          <w:trHeight w:val="26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23,558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23,558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22,790</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effect</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of adoption of</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ASC 842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Interest rate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cap/swap</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agreements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(6,326)</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 and unit-</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10,038</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Employee stock</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819</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declared ($1.50</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(212,095)</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Distributions to</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(32,458)</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from</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interests to</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Adjustment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interests in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Partnership</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980" w:type="dxa"/>
            <w:vAlign w:val="bottom"/>
            <w:tcBorders>
              <w:top w:val="single" w:sz="8" w:color="CCEEFF"/>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Balance at June</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141,364,568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4,578,620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(1,805,097)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2,764,144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205,226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2,969,370</w:t>
            </w:r>
          </w:p>
        </w:tc>
        <w:tc>
          <w:tcPr>
            <w:tcW w:w="0" w:type="dxa"/>
            <w:vAlign w:val="bottom"/>
          </w:tcPr>
          <w:p>
            <w:pPr>
              <w:spacing w:after="0"/>
              <w:rPr>
                <w:sz w:val="1"/>
                <w:szCs w:val="1"/>
                <w:color w:val="auto"/>
              </w:rPr>
            </w:pPr>
          </w:p>
        </w:tc>
      </w:tr>
      <w:tr>
        <w:trPr>
          <w:trHeight w:val="166"/>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30, 2019</w:t>
            </w: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9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58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8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30"/>
        </w:trPr>
        <w:tc>
          <w:tcPr>
            <w:tcW w:w="980" w:type="dxa"/>
            <w:vAlign w:val="bottom"/>
            <w:tcBorders>
              <w:top w:val="single" w:sz="8" w:color="CCEEFF"/>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Balance at</w:t>
            </w: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2018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140,993,985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4,510,489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(830,279)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3,681,578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286,421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3,967,999</w:t>
            </w:r>
          </w:p>
        </w:tc>
        <w:tc>
          <w:tcPr>
            <w:tcW w:w="0" w:type="dxa"/>
            <w:vAlign w:val="bottom"/>
          </w:tcPr>
          <w:p>
            <w:pPr>
              <w:spacing w:after="0"/>
              <w:rPr>
                <w:sz w:val="1"/>
                <w:szCs w:val="1"/>
                <w:color w:val="auto"/>
              </w:rPr>
            </w:pPr>
          </w:p>
        </w:tc>
      </w:tr>
      <w:tr>
        <w:trPr>
          <w:trHeight w:val="26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(25,515)</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effect</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of adoption of</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ASU 2014-09</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(424,859)</w:t>
            </w:r>
          </w:p>
        </w:tc>
        <w:tc>
          <w:tcPr>
            <w:tcW w:w="0" w:type="dxa"/>
            <w:vAlign w:val="bottom"/>
          </w:tcPr>
          <w:p>
            <w:pPr>
              <w:spacing w:after="0"/>
              <w:rPr>
                <w:sz w:val="1"/>
                <w:szCs w:val="1"/>
                <w:color w:val="auto"/>
              </w:rPr>
            </w:pPr>
          </w:p>
        </w:tc>
      </w:tr>
      <w:tr>
        <w:trPr>
          <w:trHeight w:val="26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rate cap</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 and unit-</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23,602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23,603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23,603</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Employee stock</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806</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declared ($1.48</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(208,847)</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Distributions to</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(17,898)</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interests to</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9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Redemption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5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interests in</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Operating</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Partnership</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23,986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23,986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980" w:type="dxa"/>
            <w:vAlign w:val="bottom"/>
          </w:tcPr>
          <w:p>
            <w:pPr>
              <w:ind w:left="20"/>
              <w:spacing w:after="0" w:line="124" w:lineRule="exact"/>
              <w:rPr>
                <w:sz w:val="20"/>
                <w:szCs w:val="20"/>
                <w:color w:val="auto"/>
              </w:rPr>
            </w:pPr>
            <w:r>
              <w:rPr>
                <w:rFonts w:ascii="Times New Roman" w:cs="Times New Roman" w:eastAsia="Times New Roman" w:hAnsi="Times New Roman"/>
                <w:sz w:val="13"/>
                <w:szCs w:val="13"/>
                <w:color w:val="auto"/>
              </w:rPr>
              <w:t>Balance at June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141,184,335</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12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4,558,873</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(1,489,742)</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3,070,510</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244,665</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3,315,175</w:t>
            </w:r>
          </w:p>
        </w:tc>
        <w:tc>
          <w:tcPr>
            <w:tcW w:w="0" w:type="dxa"/>
            <w:vAlign w:val="bottom"/>
          </w:tcPr>
          <w:p>
            <w:pPr>
              <w:spacing w:after="0"/>
              <w:rPr>
                <w:sz w:val="1"/>
                <w:szCs w:val="1"/>
                <w:color w:val="auto"/>
              </w:rPr>
            </w:pPr>
          </w:p>
        </w:tc>
      </w:tr>
      <w:tr>
        <w:trPr>
          <w:trHeight w:val="171"/>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30, 2018</w:t>
            </w: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40"/>
          </w:cols>
          <w:pgMar w:left="240" w:top="118" w:right="1419" w:bottom="0" w:gutter="0" w:footer="0" w:header="0"/>
        </w:sectPr>
      </w:pPr>
    </w:p>
    <w:bookmarkStart w:id="7" w:name="page8"/>
    <w:bookmarkEnd w:id="7"/>
    <w:p>
      <w:pPr>
        <w:ind w:left="16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256"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19"/>
          </w:cols>
          <w:pgMar w:left="1440" w:top="256" w:right="1440"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p>
      <w:pPr>
        <w:spacing w:after="0" w:line="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13335</wp:posOffset>
            </wp:positionV>
            <wp:extent cx="1346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5" w:lineRule="exact"/>
        <w:rPr>
          <w:sz w:val="20"/>
          <w:szCs w:val="20"/>
          <w:color w:val="auto"/>
        </w:rPr>
      </w:pPr>
    </w:p>
    <w:tbl>
      <w:tblPr>
        <w:tblLayout w:type="fixed"/>
        <w:tblInd w:w="1320" w:type="dxa"/>
        <w:tblCellMar>
          <w:top w:w="0" w:type="dxa"/>
          <w:left w:w="0" w:type="dxa"/>
          <w:bottom w:w="0" w:type="dxa"/>
          <w:right w:w="0" w:type="dxa"/>
        </w:tblCellMar>
      </w:tblPr>
      <w:tr>
        <w:trPr>
          <w:trHeight w:val="195"/>
        </w:trPr>
        <w:tc>
          <w:tcPr>
            <w:tcW w:w="6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22,790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(25,515)</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47,030</w:t>
            </w:r>
          </w:p>
        </w:tc>
        <w:tc>
          <w:tcPr>
            <w:tcW w:w="0" w:type="dxa"/>
            <w:vAlign w:val="bottom"/>
          </w:tcPr>
          <w:p>
            <w:pPr>
              <w:spacing w:after="0"/>
              <w:rPr>
                <w:sz w:val="1"/>
                <w:szCs w:val="1"/>
                <w:color w:val="auto"/>
              </w:rPr>
            </w:pPr>
          </w:p>
        </w:tc>
      </w:tr>
      <w:tr>
        <w:trPr>
          <w:trHeight w:val="243"/>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167,371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162,418</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premium on mortgage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43"/>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19,090</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0" w:type="dxa"/>
            <w:vAlign w:val="bottom"/>
          </w:tcPr>
          <w:p>
            <w:pPr>
              <w:spacing w:after="0"/>
              <w:rPr>
                <w:sz w:val="1"/>
                <w:szCs w:val="1"/>
                <w:color w:val="auto"/>
              </w:rPr>
            </w:pPr>
          </w:p>
        </w:tc>
      </w:tr>
      <w:tr>
        <w:trPr>
          <w:trHeight w:val="243"/>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43"/>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income of unconsolidated joint ventures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Distributions of income from unconsolidated joint ventures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43"/>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13,876</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43"/>
        </w:trPr>
        <w:tc>
          <w:tcPr>
            <w:tcW w:w="6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Due from affiliates</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43"/>
        </w:trPr>
        <w:tc>
          <w:tcPr>
            <w:tcW w:w="6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165,078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164,850</w:t>
            </w:r>
          </w:p>
        </w:tc>
        <w:tc>
          <w:tcPr>
            <w:tcW w:w="0" w:type="dxa"/>
            <w:vAlign w:val="bottom"/>
          </w:tcPr>
          <w:p>
            <w:pPr>
              <w:spacing w:after="0"/>
              <w:rPr>
                <w:sz w:val="1"/>
                <w:szCs w:val="1"/>
                <w:color w:val="auto"/>
              </w:rPr>
            </w:pPr>
          </w:p>
        </w:tc>
      </w:tr>
      <w:tr>
        <w:trPr>
          <w:trHeight w:val="23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(98,852)</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improvements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repayment of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leasing costs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(18,323)</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448,067</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27,063</w:t>
            </w:r>
          </w:p>
        </w:tc>
        <w:tc>
          <w:tcPr>
            <w:tcW w:w="0" w:type="dxa"/>
            <w:vAlign w:val="bottom"/>
          </w:tcPr>
          <w:p>
            <w:pPr>
              <w:spacing w:after="0"/>
              <w:rPr>
                <w:sz w:val="1"/>
                <w:szCs w:val="1"/>
                <w:color w:val="auto"/>
              </w:rPr>
            </w:pPr>
          </w:p>
        </w:tc>
      </w:tr>
      <w:tr>
        <w:trPr>
          <w:trHeight w:val="237"/>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266,135</w:t>
            </w:r>
          </w:p>
        </w:tc>
        <w:tc>
          <w:tcPr>
            <w:tcW w:w="0" w:type="dxa"/>
            <w:vAlign w:val="bottom"/>
          </w:tcPr>
          <w:p>
            <w:pPr>
              <w:spacing w:after="0"/>
              <w:rPr>
                <w:sz w:val="1"/>
                <w:szCs w:val="1"/>
                <w:color w:val="auto"/>
              </w:rPr>
            </w:pPr>
          </w:p>
        </w:tc>
      </w:tr>
      <w:tr>
        <w:trPr>
          <w:trHeight w:val="27"/>
        </w:trPr>
        <w:tc>
          <w:tcPr>
            <w:tcW w:w="6680" w:type="dxa"/>
            <w:vAlign w:val="bottom"/>
            <w:vMerge w:val="restart"/>
          </w:tcPr>
          <w:p>
            <w:pPr>
              <w:ind w:left="43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6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p>
      <w:pPr>
        <w:spacing w:after="0" w:line="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11" w:lineRule="exact"/>
        <w:rPr>
          <w:sz w:val="20"/>
          <w:szCs w:val="20"/>
          <w:color w:val="auto"/>
        </w:rPr>
      </w:pPr>
    </w:p>
    <w:tbl>
      <w:tblPr>
        <w:tblLayout w:type="fixed"/>
        <w:tblInd w:w="1320" w:type="dxa"/>
        <w:tblCellMar>
          <w:top w:w="0" w:type="dxa"/>
          <w:left w:w="0" w:type="dxa"/>
          <w:bottom w:w="0" w:type="dxa"/>
          <w:right w:w="0" w:type="dxa"/>
        </w:tblCellMar>
      </w:tblPr>
      <w:tr>
        <w:trPr>
          <w:trHeight w:val="274"/>
        </w:trPr>
        <w:tc>
          <w:tcPr>
            <w:tcW w:w="66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mortgages, bank and other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976,000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195,000</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(400,338)</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on finance arrangement obligation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share and unit-based plans</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of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(226,745)</w:t>
            </w:r>
          </w:p>
        </w:tc>
        <w:tc>
          <w:tcPr>
            <w:tcW w:w="0" w:type="dxa"/>
            <w:vAlign w:val="bottom"/>
          </w:tcPr>
          <w:p>
            <w:pPr>
              <w:spacing w:after="0"/>
              <w:rPr>
                <w:sz w:val="1"/>
                <w:szCs w:val="1"/>
                <w:color w:val="auto"/>
              </w:rPr>
            </w:pPr>
          </w:p>
        </w:tc>
      </w:tr>
      <w:tr>
        <w:trPr>
          <w:trHeight w:val="237"/>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(431,578)</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149,301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143,105</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148,428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142,512</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105,346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93,032</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49,953</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36,841</w:t>
            </w:r>
          </w:p>
        </w:tc>
        <w:tc>
          <w:tcPr>
            <w:tcW w:w="0" w:type="dxa"/>
            <w:vAlign w:val="bottom"/>
          </w:tcPr>
          <w:p>
            <w:pPr>
              <w:spacing w:after="0"/>
              <w:rPr>
                <w:sz w:val="1"/>
                <w:szCs w:val="1"/>
                <w:color w:val="auto"/>
              </w:rPr>
            </w:pPr>
          </w:p>
        </w:tc>
      </w:tr>
      <w:tr>
        <w:trPr>
          <w:trHeight w:val="241"/>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of Operating Partnership Units to common stock</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19"/>
          </w:cols>
          <w:pgMar w:left="240" w:top="118" w:right="1440"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21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June 30, 2019,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23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24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8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23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200" w:lineRule="exact"/>
        <w:rPr>
          <w:sz w:val="20"/>
          <w:szCs w:val="20"/>
          <w:color w:val="auto"/>
        </w:rPr>
      </w:pPr>
    </w:p>
    <w:p>
      <w:pPr>
        <w:spacing w:after="0" w:line="22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263,511</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23,001</w:t>
            </w:r>
          </w:p>
        </w:tc>
      </w:tr>
      <w:tr>
        <w:trPr>
          <w:trHeight w:val="297"/>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273,764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286,512</w:t>
            </w:r>
          </w:p>
        </w:tc>
      </w:tr>
      <w:tr>
        <w:trPr>
          <w:trHeight w:val="237"/>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125,273</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32,503</w:t>
            </w:r>
          </w:p>
        </w:tc>
      </w:tr>
      <w:tr>
        <w:trPr>
          <w:trHeight w:val="257"/>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254,092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157,776</w:t>
            </w: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ectPr>
          <w:pgSz w:w="11900" w:h="16838" w:orient="portrait"/>
          <w:cols w:equalWidth="0" w:num="1">
            <w:col w:w="11320"/>
          </w:cols>
          <w:pgMar w:left="240" w:top="118" w:right="339" w:bottom="1440" w:gutter="0" w:footer="0" w:header="0"/>
        </w:sect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20"/>
          </w:cols>
          <w:pgMar w:left="240" w:top="118" w:right="3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Company's audited consolidated financial statements and notes thereto included in the Company's Annual Report on Form 10-K for the year ended December 31, 2018.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2018 has been derived from the audited financial statements but does not include all disclosures required by GAAP. The following table presents a reconciliation of the beginning of period and end of period cash, cash equivalents and restricted cash reported on the Company's consolidated balance sheets to the totals shown on its consolidated statements of cash flows:</w:t>
      </w:r>
    </w:p>
    <w:p>
      <w:pPr>
        <w:spacing w:after="0" w:line="264"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p>
      <w:pPr>
        <w:spacing w:after="0" w:line="6"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13335</wp:posOffset>
            </wp:positionV>
            <wp:extent cx="1294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85" w:lineRule="exact"/>
        <w:rPr>
          <w:sz w:val="20"/>
          <w:szCs w:val="20"/>
          <w:color w:val="auto"/>
        </w:rPr>
      </w:pPr>
    </w:p>
    <w:tbl>
      <w:tblPr>
        <w:tblLayout w:type="fixed"/>
        <w:tblInd w:w="1320" w:type="dxa"/>
        <w:tblCellMar>
          <w:top w:w="0" w:type="dxa"/>
          <w:left w:w="0" w:type="dxa"/>
          <w:bottom w:w="0" w:type="dxa"/>
          <w:right w:w="0" w:type="dxa"/>
        </w:tblCellMar>
      </w:tblPr>
      <w:tr>
        <w:trPr>
          <w:trHeight w:val="195"/>
        </w:trPr>
        <w:tc>
          <w:tcPr>
            <w:tcW w:w="6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91,038</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52,067</w:t>
            </w:r>
          </w:p>
        </w:tc>
      </w:tr>
      <w:tr>
        <w:trPr>
          <w:trHeight w:val="297"/>
        </w:trPr>
        <w:tc>
          <w:tcPr>
            <w:tcW w:w="6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149,301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143,105</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92,452</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50,060</w:t>
            </w:r>
          </w:p>
        </w:tc>
      </w:tr>
      <w:tr>
        <w:trPr>
          <w:trHeight w:val="257"/>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142,512</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Shareholder Activism Costs:</w:t>
      </w:r>
    </w:p>
    <w:p>
      <w:pPr>
        <w:spacing w:after="0" w:line="281"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2018, the Company incurred $19,369 in costs associated with activities related to shareholder activism. These costs were primarily for legal and advisory services.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Adoption of New Lease Standard:</w:t>
      </w:r>
    </w:p>
    <w:p>
      <w:pPr>
        <w:spacing w:after="0" w:line="281"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24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costs that were included in management companies' operating expenses to leasing expenses for the three and six months ended June 30, 2018, to conform to the presentation for the three and six months ended June 30, 2019. Upon the adoption of the new standard, the Company elected the practical expedient to not separate non-lease components, most significantly certain common area maintenance recoveries, from the associated lease components, resulting in the Company presenting all revenues associated with leases as leasing revenue on its consolidated statement of operations. For comparison purposes, the Company has reclassified minimum rents, percentage rents, tenant recoveries and other leasing income to leasing revenue for the three and six months ended</w:t>
      </w:r>
    </w:p>
    <w:p>
      <w:pPr>
        <w:sectPr>
          <w:pgSz w:w="11900" w:h="16838" w:orient="portrait"/>
          <w:cols w:equalWidth="0" w:num="1">
            <w:col w:w="11420"/>
          </w:cols>
          <w:pgMar w:left="240" w:top="252"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52" w:right="23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June 30, 2018, to conform to the presentation for the three and six months ended June 30, 2019. The new standard also requires the Company to reduce leasing revenue for credit losses associated with lease receivables. In addition, straight-line rent receivables are written off when the Company believes there is uncertainty regarding a tenant's ability to complete the term of the lease. As a result, the Company recognized a cumulative effect adjustment of $2,203 upon adoption for the write off of straight-line rent receivables of tenants that were in litigation or bankruptcy. The standard also requires that the provision for bad debts relating to leases be presented as a reduction of leasing revenue. For the three and six months ended June 30, 2018, the provision for bad debts is included in shopping center and operating expenses.</w:t>
      </w:r>
    </w:p>
    <w:p>
      <w:pPr>
        <w:spacing w:after="0" w:line="242"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standard requires lessees to classify its leases as either finance or operating leases. The lessee records a right-of-use ("ROU") asset and a lease liability for all leases with a term of greater than twelve months, regardless of their lease classification. Upon adoption, the Company recognized initial ROU assets and corresponding lease liabilities of $109,299, representing the discounted value of future lease payments required for leases classified as operating leases. In addition, the Company reclassified $59,736 from deferred charges and other assets, net, $5,978 from accounts payable and accrued expenses and $4,342 from other accrued liabilities, relating to existing intangible assets and straight-line rent liabilities. The Company's lease liabilities were increased at adoption by $15,268 for lease liabilities associated with finance leases that were previously included in other accrued liabilities. See Note 8—Leases, for further disclosure on the Company's adoption of the new standard.</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Recent Accounting Pronouncements:</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August 2017, the FASB issued ASU 2017-12, “Targeted Improvements to Accounting for Hedging Activities,” which aims to (i) improve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transparency and understandability of information conveyed to financial statement users about an entity’s risk management activities by better aligning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entity’s financial reporting for hedging relationships with those risk management activities and (ii) reduce the complexity of and simplify the application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hedge accounting by preparers. The Company's adoption of the standard on January 1, 2019 did not have an impact on its consolidated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52"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283"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and six months ended June 30, 2019 and 2018 (shares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1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76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5"/>
        </w:trPr>
        <w:tc>
          <w:tcPr>
            <w:tcW w:w="51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Numerator for basic and diluted EPS—net income attributable to</w:t>
            </w: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(26,304)</w:t>
            </w:r>
          </w:p>
        </w:tc>
        <w:tc>
          <w:tcPr>
            <w:tcW w:w="0" w:type="dxa"/>
            <w:vAlign w:val="bottom"/>
          </w:tcPr>
          <w:p>
            <w:pPr>
              <w:spacing w:after="0"/>
              <w:rPr>
                <w:sz w:val="1"/>
                <w:szCs w:val="1"/>
                <w:color w:val="auto"/>
              </w:rPr>
            </w:pPr>
          </w:p>
        </w:tc>
      </w:tr>
      <w:tr>
        <w:trPr>
          <w:trHeight w:val="281"/>
        </w:trPr>
        <w:tc>
          <w:tcPr>
            <w:tcW w:w="5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common stockholders</w:t>
            </w:r>
          </w:p>
        </w:tc>
        <w:tc>
          <w:tcPr>
            <w:tcW w:w="20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 for basic and diluted EPS—weighted average number of</w:t>
            </w:r>
          </w:p>
        </w:tc>
        <w:tc>
          <w:tcPr>
            <w:tcW w:w="20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141,344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141,303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141,081</w:t>
            </w:r>
          </w:p>
        </w:tc>
        <w:tc>
          <w:tcPr>
            <w:tcW w:w="0" w:type="dxa"/>
            <w:vAlign w:val="bottom"/>
          </w:tcPr>
          <w:p>
            <w:pPr>
              <w:spacing w:after="0"/>
              <w:rPr>
                <w:sz w:val="1"/>
                <w:szCs w:val="1"/>
                <w:color w:val="auto"/>
              </w:rPr>
            </w:pPr>
          </w:p>
        </w:tc>
      </w:tr>
      <w:tr>
        <w:trPr>
          <w:trHeight w:val="281"/>
        </w:trPr>
        <w:tc>
          <w:tcPr>
            <w:tcW w:w="5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common shares outstanding(1)</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EPS—net income (loss) attributable to common stockholders: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51"/>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420" w:hanging="412"/>
        <w:spacing w:after="0" w:line="263" w:lineRule="auto"/>
        <w:tabs>
          <w:tab w:leader="none" w:pos="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excludes 90,619 convertible preferred partnership units for the three and six months ended June 30, 2019 and 2018, as their impact was antidilutive. Diluted EPS also excludes 10,415,278 and 10,397,726 Operating Partnership units ("OP Units") for the three months ended June 30, 2019 and 2018, respectively, and 10,415,234 and 10,344,766 OP Units for the six months ended June 30, 2019 and 2018, respectively, as their impact was antidilutive.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52"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made the following recent investments and dispositions in its unconsolidated joint ventures:</w:t>
      </w:r>
    </w:p>
    <w:p>
      <w:pPr>
        <w:spacing w:after="0" w:line="27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On February 16, 2018, the Company's joint venture in Fashion District Philadelphia sold its ownership interest in an office building for $41,800, resulting in a gain on sale of assets of $5,545. The Company's pro rata share of the gain on the sale of assets of $2,773 was included in equity in income from unconsolidated joint ventures. The Company used its share of the proceeds to pay down its line of credit and for general corporate purposes.</w:t>
      </w:r>
    </w:p>
    <w:p>
      <w:pPr>
        <w:spacing w:after="0" w:line="23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March 1, 2018, the Company formed a 25/75 joint venture with Hudson Pacific Properties, whereby the Company agreed to contribute Westside Pavilion (referred to hereafter as "One Westside"), a 680,000 square foot regional shopping center in Los Angeles, California in exchange for $142,500. From March 1, 2018 to August 31, 2018, the Company accounted for its interest in the property as a collaborative arrangement (See Note 15—Collaborative Arrangement). On August 31, 2018, the Company completed the sale of the 75% ownership interest in the property to Hudson Pacific Properties, resulting in a gain on sale of assets of $46,242. The sales price was funded by a cash payment of $36,903 and the assumption of a pro rata share of the mortgage note payable on the property of $105,597. Concurrent with the sale of the ownership interest, the joint venture defeased the loan on the property by providing a $149,175 portfolio of marketable securities as replacement collateral in lieu of the property. The Company funded its $37,294 share of the purchase price of the marketable securities portfolio with the proceeds from the sale of the ownership interest in the property. Upon completion of the sale of the ownership interest in the property, the Company has accounted for its remaining ownership interest in the property under the equity method of accounting.</w:t>
      </w:r>
    </w:p>
    <w:p>
      <w:pPr>
        <w:spacing w:after="0" w:line="243"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On July 6, 2018, the Company’s joint venture in The Market at Estrella Falls, a 298,000 square foot community center in Goodyear, Arizona, sold the property for $49,100, resulting in a gain on sale of assets of $12,598. The Company's share of the gain of $2,996 was included in equity in income from unconsolidated joint ventures. The proceeds were used to pay off the $24,118 mortgage loan payable on the property, settle development obligations and for distributions to the partners. The Company used its share of the net proceeds for general corporate purposes.</w:t>
      </w:r>
    </w:p>
    <w:p>
      <w:pPr>
        <w:spacing w:after="0" w:line="234"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phase. The joint venture expects to complete the first phase of the development in fall 2021.</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52" w:right="27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3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29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0" w:type="dxa"/>
            <w:vAlign w:val="bottom"/>
          </w:tcPr>
          <w:p>
            <w:pPr>
              <w:spacing w:after="0"/>
              <w:rPr>
                <w:sz w:val="16"/>
                <w:szCs w:val="16"/>
                <w:color w:val="auto"/>
              </w:rPr>
            </w:pPr>
          </w:p>
        </w:tc>
        <w:tc>
          <w:tcPr>
            <w:tcW w:w="53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9,291,345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9,241,003</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762,972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703,861</w:t>
            </w:r>
          </w:p>
        </w:tc>
      </w:tr>
      <w:tr>
        <w:trPr>
          <w:trHeight w:val="297"/>
        </w:trPr>
        <w:tc>
          <w:tcPr>
            <w:tcW w:w="2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10,054,317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9,944,864</w:t>
            </w: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6,037,929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6,050,930</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481,598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388,509</w:t>
            </w: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Company's capital</w:t>
            </w:r>
          </w:p>
        </w:tc>
        <w:tc>
          <w:tcPr>
            <w:tcW w:w="2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1,920,631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1,913,475</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Outside partners' capital</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1,614,159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1,591,950</w:t>
            </w:r>
          </w:p>
        </w:tc>
      </w:tr>
      <w:tr>
        <w:trPr>
          <w:trHeight w:val="297"/>
        </w:trPr>
        <w:tc>
          <w:tcPr>
            <w:tcW w:w="2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10,054,317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9,944,864</w:t>
            </w: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Company's capital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1,920,631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1,913,475</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Basis adjustment(2)</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(535,808)</w:t>
            </w: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1,402,345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1,377,667</w:t>
            </w:r>
          </w:p>
        </w:tc>
      </w:tr>
      <w:tr>
        <w:trPr>
          <w:trHeight w:val="67"/>
        </w:trPr>
        <w:tc>
          <w:tcPr>
            <w:tcW w:w="20" w:type="dxa"/>
            <w:vAlign w:val="bottom"/>
          </w:tcPr>
          <w:p>
            <w:pPr>
              <w:spacing w:after="0"/>
              <w:rPr>
                <w:sz w:val="5"/>
                <w:szCs w:val="5"/>
                <w:color w:val="auto"/>
              </w:rPr>
            </w:pPr>
          </w:p>
        </w:tc>
        <w:tc>
          <w:tcPr>
            <w:tcW w:w="538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1,517,771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1,492,655</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(114,988)</w:t>
            </w: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1,402,345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1,377,667</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38" w:lineRule="exact"/>
        <w:rPr>
          <w:sz w:val="20"/>
          <w:szCs w:val="20"/>
          <w:color w:val="auto"/>
        </w:rPr>
      </w:pPr>
    </w:p>
    <w:p>
      <w:pPr>
        <w:ind w:left="420" w:right="520" w:hanging="412"/>
        <w:spacing w:after="0" w:line="266"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the assets of $2,991,383 and $3,047,851 of Pacific Premier Retail LLC (the "PPR Portfolio") as of June 30, 2019 and December 31, 2018, respectively, and liabilities of $1,841,559 and $1,859,637 of the PPR Portfolio as of June 30, 2019 and December 31, 2018, respectively.</w:t>
      </w:r>
    </w:p>
    <w:p>
      <w:pPr>
        <w:spacing w:after="0" w:line="230" w:lineRule="exact"/>
        <w:rPr>
          <w:rFonts w:ascii="Times New Roman" w:cs="Times New Roman" w:eastAsia="Times New Roman" w:hAnsi="Times New Roman"/>
          <w:sz w:val="18"/>
          <w:szCs w:val="18"/>
          <w:color w:val="auto"/>
        </w:rPr>
      </w:pPr>
    </w:p>
    <w:p>
      <w:pPr>
        <w:jc w:val="both"/>
        <w:ind w:left="420" w:hanging="412"/>
        <w:spacing w:after="0" w:line="289" w:lineRule="auto"/>
        <w:tabs>
          <w:tab w:leader="none" w:pos="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$5,271 and $3,524 for the three months ended June 30, 2019 and 2018, respectively, and $9,810 and $7,627 for the six months ended June 30, 2019 and 2018, respectively.</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20"/>
          </w:cols>
          <w:pgMar w:left="240" w:top="252" w:right="3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9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Joint</w:t>
            </w:r>
          </w:p>
        </w:tc>
        <w:tc>
          <w:tcPr>
            <w:tcW w:w="260" w:type="dxa"/>
            <w:vAlign w:val="bottom"/>
          </w:tcPr>
          <w:p>
            <w:pPr>
              <w:spacing w:after="0"/>
              <w:rPr>
                <w:sz w:val="12"/>
                <w:szCs w:val="12"/>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June 30, 2019</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45,346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172,273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217,619</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13,532</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185,370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231,151</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7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67,535</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54,725</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76,866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101,598</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225,886</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equity in net (loss) income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7,788</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7,257</w:t>
            </w:r>
          </w:p>
        </w:tc>
        <w:tc>
          <w:tcPr>
            <w:tcW w:w="0" w:type="dxa"/>
            <w:vAlign w:val="bottom"/>
          </w:tcPr>
          <w:p>
            <w:pPr>
              <w:spacing w:after="0"/>
              <w:rPr>
                <w:sz w:val="1"/>
                <w:szCs w:val="1"/>
                <w:color w:val="auto"/>
              </w:rPr>
            </w:pPr>
          </w:p>
        </w:tc>
      </w:tr>
      <w:tr>
        <w:trPr>
          <w:trHeight w:val="237"/>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June 30, 2018</w:t>
            </w: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45,362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175,608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220,970</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12,311</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187,487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233,281</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7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69,842</w:t>
            </w:r>
          </w:p>
        </w:tc>
        <w:tc>
          <w:tcPr>
            <w:tcW w:w="0" w:type="dxa"/>
            <w:vAlign w:val="bottom"/>
          </w:tcPr>
          <w:p>
            <w:pPr>
              <w:spacing w:after="0"/>
              <w:rPr>
                <w:sz w:val="1"/>
                <w:szCs w:val="1"/>
                <w:color w:val="auto"/>
              </w:rPr>
            </w:pPr>
          </w:p>
        </w:tc>
      </w:tr>
      <w:tr>
        <w:trPr>
          <w:trHeight w:val="243"/>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expense(1)</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37,356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54,126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60,973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85,044</w:t>
            </w:r>
          </w:p>
        </w:tc>
        <w:tc>
          <w:tcPr>
            <w:tcW w:w="0" w:type="dxa"/>
            <w:vAlign w:val="bottom"/>
          </w:tcPr>
          <w:p>
            <w:pPr>
              <w:spacing w:after="0"/>
              <w:rPr>
                <w:sz w:val="1"/>
                <w:szCs w:val="1"/>
                <w:color w:val="auto"/>
              </w:rPr>
            </w:pPr>
          </w:p>
        </w:tc>
      </w:tr>
      <w:tr>
        <w:trPr>
          <w:trHeight w:val="237"/>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50,358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158,654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209,012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9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7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29,392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24,828</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 income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15,669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52" w:right="1440"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39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Joint</w:t>
            </w:r>
          </w:p>
        </w:tc>
        <w:tc>
          <w:tcPr>
            <w:tcW w:w="260" w:type="dxa"/>
            <w:vAlign w:val="bottom"/>
          </w:tcPr>
          <w:p>
            <w:pPr>
              <w:spacing w:after="0"/>
              <w:rPr>
                <w:sz w:val="12"/>
                <w:szCs w:val="12"/>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2019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437,163</w:t>
            </w: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25,778</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91,983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370,958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462,941</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136,857</w:t>
            </w: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4,202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108,587</w:t>
            </w: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50,246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141,333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191,579</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338,003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441,225</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21,031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Company's equity in net (loss)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21,230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2018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90,782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356,051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446,833</w:t>
            </w: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20,750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91,382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376,201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467,583</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140,844</w:t>
            </w: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expense(1)</w:t>
            </w: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70,388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103,884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48,555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123,385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171,940</w:t>
            </w:r>
          </w:p>
        </w:tc>
        <w:tc>
          <w:tcPr>
            <w:tcW w:w="0" w:type="dxa"/>
            <w:vAlign w:val="bottom"/>
          </w:tcPr>
          <w:p>
            <w:pPr>
              <w:spacing w:after="0"/>
              <w:rPr>
                <w:sz w:val="1"/>
                <w:szCs w:val="1"/>
                <w:color w:val="auto"/>
              </w:rPr>
            </w:pPr>
          </w:p>
        </w:tc>
      </w:tr>
      <w:tr>
        <w:trPr>
          <w:trHeight w:val="237"/>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101,249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315,419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416,668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9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62,311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52,444</w:t>
            </w: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33,414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32,541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20" w:hanging="412"/>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includes $7,158 and $12,116 for the three and six months ended June 30, 2018, respectively, related to mortgage notes payable to an affiliate of Northwestern Mutual Life ("NML") (See Note 18—Related Party Transactions).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pacing w:after="0" w:line="3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240" w:top="252" w:right="51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283"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uses interest rate cap and interest rate swap agreements to manage the interest rate risk of its floating rate debt. The Company recorded other comprehensive (loss) income related to the marking-to-market of derivative instruments of $(4,281) and $(52) for the three months ended June 30, 2019 and 2018, respectively, and $(6,326) and $9 for the six months ended June 30, 2019 and 2018, respectively.</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derivatives were outstanding at June 30, 2019:</w:t>
      </w:r>
    </w:p>
    <w:p>
      <w:pPr>
        <w:spacing w:after="0" w:line="200" w:lineRule="exact"/>
        <w:rPr>
          <w:sz w:val="20"/>
          <w:szCs w:val="20"/>
          <w:color w:val="auto"/>
        </w:rPr>
      </w:pPr>
    </w:p>
    <w:p>
      <w:pPr>
        <w:spacing w:after="0" w:line="302" w:lineRule="exact"/>
        <w:rPr>
          <w:sz w:val="20"/>
          <w:szCs w:val="20"/>
          <w:color w:val="auto"/>
        </w:rPr>
      </w:pPr>
    </w:p>
    <w:tbl>
      <w:tblPr>
        <w:tblLayout w:type="fixed"/>
        <w:tblInd w:w="90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00" w:type="dxa"/>
            <w:vAlign w:val="bottom"/>
            <w:vMerge w:val="restart"/>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0" w:type="dxa"/>
            <w:vAlign w:val="bottom"/>
            <w:vMerge w:val="restart"/>
          </w:tcPr>
          <w:p>
            <w:pPr>
              <w:spacing w:after="0"/>
              <w:rPr>
                <w:sz w:val="12"/>
                <w:szCs w:val="12"/>
                <w:color w:val="auto"/>
              </w:rPr>
            </w:pP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vMerge w:val="restart"/>
          </w:tcPr>
          <w:p>
            <w:pPr>
              <w:spacing w:after="0"/>
              <w:rPr>
                <w:sz w:val="12"/>
                <w:szCs w:val="12"/>
                <w:color w:val="auto"/>
              </w:rPr>
            </w:pPr>
          </w:p>
        </w:tc>
        <w:tc>
          <w:tcPr>
            <w:tcW w:w="10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LIBOR Rate</w:t>
            </w:r>
          </w:p>
        </w:tc>
        <w:tc>
          <w:tcPr>
            <w:tcW w:w="100" w:type="dxa"/>
            <w:vAlign w:val="bottom"/>
            <w:vMerge w:val="restart"/>
          </w:tcPr>
          <w:p>
            <w:pPr>
              <w:spacing w:after="0"/>
              <w:rPr>
                <w:sz w:val="12"/>
                <w:szCs w:val="12"/>
                <w:color w:val="auto"/>
              </w:rPr>
            </w:pPr>
          </w:p>
        </w:tc>
        <w:tc>
          <w:tcPr>
            <w:tcW w:w="96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020" w:type="dxa"/>
            <w:vAlign w:val="bottom"/>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Monica Place</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Macerich Partnership, L.P.</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Swaps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9/30/2021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(10,792)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right="80" w:firstLine="432"/>
        <w:spacing w:after="0" w:line="277" w:lineRule="auto"/>
        <w:rPr>
          <w:sz w:val="20"/>
          <w:szCs w:val="20"/>
          <w:color w:val="auto"/>
        </w:rPr>
      </w:pPr>
      <w:r>
        <w:rPr>
          <w:rFonts w:ascii="Times New Roman" w:cs="Times New Roman" w:eastAsia="Times New Roman" w:hAnsi="Times New Roman"/>
          <w:sz w:val="17"/>
          <w:szCs w:val="17"/>
          <w:color w:val="auto"/>
        </w:rPr>
        <w:t>The above derivative instruments were designated as hedging instruments with an aggregate fair value (Level 2 measurement) and were included in deferred charges and other assets, net and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222"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28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1,508,585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1,506,678</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6,304,541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6,288,308</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693,655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678,110</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213,724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206,398</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189,264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199,326</w:t>
            </w:r>
          </w:p>
        </w:tc>
      </w:tr>
      <w:tr>
        <w:trPr>
          <w:trHeight w:val="237"/>
        </w:trPr>
        <w:tc>
          <w:tcPr>
            <w:tcW w:w="5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8,909,769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8,878,820</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(2,093,044)</w:t>
            </w:r>
          </w:p>
        </w:tc>
      </w:tr>
      <w:tr>
        <w:trPr>
          <w:trHeight w:val="237"/>
        </w:trPr>
        <w:tc>
          <w:tcPr>
            <w:tcW w:w="54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6,689,545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6,785,776</w:t>
            </w:r>
          </w:p>
        </w:tc>
      </w:tr>
      <w:tr>
        <w:trPr>
          <w:trHeight w:val="27"/>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1140" w:right="240" w:hanging="484"/>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furnishings and accumulated depreciation include the cost and accumulated amortization of ROU assets in connection with finance leases at June 30, 2019 (See Note 8—Leases).</w:t>
      </w:r>
    </w:p>
    <w:p>
      <w:pPr>
        <w:spacing w:after="0" w:line="216"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was $71,453 and $66,850 for the three months ended June 30, 2019 and 2018, respectively, and $142,170 and $134,794 for the six months ended June 30, 2019 and 2018, respectively.</w:t>
      </w:r>
    </w:p>
    <w:p>
      <w:pPr>
        <w:sectPr>
          <w:pgSz w:w="11900" w:h="16838" w:orient="portrait"/>
          <w:cols w:equalWidth="0" w:num="1">
            <w:col w:w="11380"/>
          </w:cols>
          <w:pgMar w:left="240" w:top="252" w:right="279" w:bottom="1440" w:gutter="0" w:footer="0" w:header="0"/>
        </w:sect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52" w:right="27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loss on sale or write down of assets, net was $9,059 and $9,518 for the three months ended June 30, 2019 and 2018, respectively, and $15,375 and $47,030 for the six months ended June 30, 2019 and 2018, respectively.</w:t>
      </w:r>
    </w:p>
    <w:p>
      <w:pPr>
        <w:spacing w:after="0" w:line="216"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The loss on sale or write down of assets, net includes the write down of development costs of $9,059 and $666 for the three months ended June 30, 2019 and 2018, respectively, and $15,909 and $2,257 for the six months ended June 30, 2019 and 2018, respectively.</w:t>
      </w:r>
    </w:p>
    <w:p>
      <w:pPr>
        <w:spacing w:after="0" w:line="21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loss on sale or write down of assets, net for the three and six months ended June 30, 2018 includes the impairment losses of $7,494 on two freestanding stores and $1,660 on Southridge Center. In addition, the loss on sale or write down of assets, net for the six months ended June 30, 2018 includes the impairment losses of $36,338 on SouthPark Mall and $1,043 on Promenade at Casa Grande. The impairment losses were due to the reduction of the estimated holding periods of the properties. The loss on sale or write down of assets, net for the three and six months ended June 30, 2018 also includes a loss of $311 on the sale of Promenade at Casa Grande (See Note 16—Dispositions).</w:t>
      </w:r>
    </w:p>
    <w:p>
      <w:pPr>
        <w:spacing w:after="0" w:line="1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three and six months ended June 30, 2018, as described above:</w:t>
      </w:r>
    </w:p>
    <w:p>
      <w:pPr>
        <w:spacing w:after="0" w:line="23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30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Total Fair Value</w:t>
            </w:r>
          </w:p>
        </w:tc>
        <w:tc>
          <w:tcPr>
            <w:tcW w:w="140" w:type="dxa"/>
            <w:vAlign w:val="bottom"/>
          </w:tcPr>
          <w:p>
            <w:pPr>
              <w:spacing w:after="0"/>
              <w:rPr>
                <w:sz w:val="23"/>
                <w:szCs w:val="23"/>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r>
      <w:tr>
        <w:trPr>
          <w:trHeight w:val="238"/>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30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relating to the impairments were based on sales contracts.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28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$3,557 and $2,919 at June 30, 2019 and December 31, 2018, respectively. Also included in tenant and other receivables, net are accrued percentage rents of $1,008 and $8,949 at June 30, 2019 and December 31, 2018, respectively, and a deferred rent receivable due to straight-line rent adjustments of $75,552 and $72,456 at June 30, 2019 and December 31, 2018,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28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ectPr>
          <w:pgSz w:w="11900" w:h="16838" w:orient="portrait"/>
          <w:cols w:equalWidth="0" w:num="1">
            <w:col w:w="11400"/>
          </w:cols>
          <w:pgMar w:left="240" w:top="252" w:right="2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52" w:right="25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three and six months ended June 30, 2019 and 2018:</w:t>
      </w:r>
    </w:p>
    <w:p>
      <w:pPr>
        <w:spacing w:after="0" w:line="200" w:lineRule="exact"/>
        <w:rPr>
          <w:sz w:val="20"/>
          <w:szCs w:val="20"/>
          <w:color w:val="auto"/>
        </w:rPr>
      </w:pPr>
    </w:p>
    <w:p>
      <w:pPr>
        <w:spacing w:after="0" w:line="22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Leasing revenue - fixed payments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329,745</w:t>
            </w:r>
          </w:p>
        </w:tc>
        <w:tc>
          <w:tcPr>
            <w:tcW w:w="0" w:type="dxa"/>
            <w:vAlign w:val="bottom"/>
          </w:tcPr>
          <w:p>
            <w:pPr>
              <w:spacing w:after="0"/>
              <w:rPr>
                <w:sz w:val="1"/>
                <w:szCs w:val="1"/>
                <w:color w:val="auto"/>
              </w:rPr>
            </w:pPr>
          </w:p>
        </w:tc>
      </w:tr>
      <w:tr>
        <w:trPr>
          <w:trHeight w:val="243"/>
        </w:trPr>
        <w:tc>
          <w:tcPr>
            <w:tcW w:w="4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Leasing revenue - variable payments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435,126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future minimum rental payments to the Company:</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13"/>
        </w:trPr>
        <w:tc>
          <w:tcPr>
            <w:tcW w:w="860" w:type="dxa"/>
            <w:vAlign w:val="bottom"/>
          </w:tcPr>
          <w:p>
            <w:pPr>
              <w:spacing w:after="0"/>
              <w:rPr>
                <w:sz w:val="24"/>
                <w:szCs w:val="24"/>
                <w:color w:val="auto"/>
              </w:rPr>
            </w:pPr>
          </w:p>
        </w:tc>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Twelve months ending June 30,</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78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4"/>
        </w:trPr>
        <w:tc>
          <w:tcPr>
            <w:tcW w:w="860" w:type="dxa"/>
            <w:vAlign w:val="bottom"/>
          </w:tcPr>
          <w:p>
            <w:pPr>
              <w:spacing w:after="0"/>
              <w:rPr>
                <w:sz w:val="21"/>
                <w:szCs w:val="21"/>
                <w:color w:val="auto"/>
              </w:rPr>
            </w:pPr>
          </w:p>
        </w:tc>
        <w:tc>
          <w:tcPr>
            <w:tcW w:w="6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494,207</w:t>
            </w:r>
          </w:p>
        </w:tc>
      </w:tr>
      <w:tr>
        <w:trPr>
          <w:trHeight w:val="243"/>
        </w:trPr>
        <w:tc>
          <w:tcPr>
            <w:tcW w:w="7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418,924</w:t>
            </w:r>
          </w:p>
        </w:tc>
      </w:tr>
      <w:tr>
        <w:trPr>
          <w:trHeight w:val="27"/>
        </w:trPr>
        <w:tc>
          <w:tcPr>
            <w:tcW w:w="78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365,214</w:t>
            </w:r>
          </w:p>
        </w:tc>
      </w:tr>
      <w:tr>
        <w:trPr>
          <w:trHeight w:val="243"/>
        </w:trPr>
        <w:tc>
          <w:tcPr>
            <w:tcW w:w="7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314,702</w:t>
            </w:r>
          </w:p>
        </w:tc>
      </w:tr>
      <w:tr>
        <w:trPr>
          <w:trHeight w:val="27"/>
        </w:trPr>
        <w:tc>
          <w:tcPr>
            <w:tcW w:w="78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263,689</w:t>
            </w:r>
          </w:p>
        </w:tc>
      </w:tr>
      <w:tr>
        <w:trPr>
          <w:trHeight w:val="243"/>
        </w:trPr>
        <w:tc>
          <w:tcPr>
            <w:tcW w:w="86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779,246</w:t>
            </w:r>
          </w:p>
        </w:tc>
      </w:tr>
      <w:tr>
        <w:trPr>
          <w:trHeight w:val="27"/>
        </w:trPr>
        <w:tc>
          <w:tcPr>
            <w:tcW w:w="86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60" w:type="dxa"/>
            <w:vAlign w:val="bottom"/>
          </w:tcPr>
          <w:p>
            <w:pPr>
              <w:spacing w:after="0"/>
              <w:rPr>
                <w:sz w:val="22"/>
                <w:szCs w:val="22"/>
                <w:color w:val="auto"/>
              </w:rPr>
            </w:pPr>
          </w:p>
        </w:tc>
        <w:tc>
          <w:tcPr>
            <w:tcW w:w="6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2,635,982</w:t>
            </w:r>
          </w:p>
        </w:tc>
      </w:tr>
      <w:tr>
        <w:trPr>
          <w:trHeight w:val="20"/>
        </w:trPr>
        <w:tc>
          <w:tcPr>
            <w:tcW w:w="86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28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three finance leases that expire at various times through 2022.</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and six months ended June 30, 2019:</w:t>
      </w:r>
    </w:p>
    <w:p>
      <w:pPr>
        <w:spacing w:after="0" w:line="200" w:lineRule="exact"/>
        <w:rPr>
          <w:sz w:val="20"/>
          <w:szCs w:val="20"/>
          <w:color w:val="auto"/>
        </w:rPr>
      </w:pPr>
    </w:p>
    <w:p>
      <w:pPr>
        <w:spacing w:after="0" w:line="22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5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Operating lease costs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0" w:type="dxa"/>
            <w:vAlign w:val="bottom"/>
          </w:tcPr>
          <w:p>
            <w:pPr>
              <w:spacing w:after="0"/>
              <w:rPr>
                <w:sz w:val="1"/>
                <w:szCs w:val="1"/>
                <w:color w:val="auto"/>
              </w:rPr>
            </w:pPr>
          </w:p>
        </w:tc>
      </w:tr>
      <w:tr>
        <w:trPr>
          <w:trHeight w:val="243"/>
        </w:trPr>
        <w:tc>
          <w:tcPr>
            <w:tcW w:w="5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Finance lease costs:</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43"/>
        </w:trPr>
        <w:tc>
          <w:tcPr>
            <w:tcW w:w="5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240" w:top="252" w:right="539" w:bottom="10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240" w:top="252" w:right="539" w:bottom="1022"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future minimum rental payments required under the leases:</w:t>
      </w:r>
    </w:p>
    <w:p>
      <w:pPr>
        <w:spacing w:after="0" w:line="367"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Operating Leases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42"/>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8,357</w:t>
            </w:r>
          </w:p>
        </w:tc>
        <w:tc>
          <w:tcPr>
            <w:tcW w:w="100" w:type="dxa"/>
            <w:vAlign w:val="bottom"/>
          </w:tcPr>
          <w:p>
            <w:pPr>
              <w:spacing w:after="0"/>
              <w:rPr>
                <w:sz w:val="21"/>
                <w:szCs w:val="21"/>
                <w:color w:val="auto"/>
              </w:rPr>
            </w:pPr>
          </w:p>
        </w:tc>
        <w:tc>
          <w:tcPr>
            <w:tcW w:w="5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16,627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2,106</w:t>
            </w: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2,106</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10,440</w:t>
            </w: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2,418</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140,698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140,562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14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211,066</w:t>
            </w:r>
          </w:p>
        </w:tc>
        <w:tc>
          <w:tcPr>
            <w:tcW w:w="100" w:type="dxa"/>
            <w:vAlign w:val="bottom"/>
            <w:tcBorders>
              <w:top w:val="single" w:sz="8" w:color="auto"/>
              <w:bottom w:val="single" w:sz="8" w:color="CCEEFF"/>
            </w:tcBorders>
          </w:tcPr>
          <w:p>
            <w:pPr>
              <w:spacing w:after="0"/>
              <w:rPr>
                <w:sz w:val="24"/>
                <w:szCs w:val="24"/>
                <w:color w:val="auto"/>
              </w:rPr>
            </w:pPr>
          </w:p>
        </w:tc>
        <w:tc>
          <w:tcPr>
            <w:tcW w:w="52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16,663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220,336</w:t>
            </w: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17,070</w:t>
            </w:r>
          </w:p>
        </w:tc>
      </w:tr>
      <w:tr>
        <w:trPr>
          <w:trHeight w:val="257"/>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5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104,795</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Company's weighted average remaining lease term of its operating and finance leases at June 30, 2019 was 30.8 years and 2.4 years,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weighted average incremental borrowing rate of its operating and finance leases at June 30, 2019 was 7.7% and 4.2%, respectively.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p>
      <w:pPr>
        <w:spacing w:after="0" w:line="287"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20" w:type="dxa"/>
            <w:vAlign w:val="bottom"/>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226,885</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In-place lease values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94,966</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23,508</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Above-market leases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140,889</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32,197</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45,857</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62,838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75,497</w:t>
            </w:r>
          </w:p>
        </w:tc>
      </w:tr>
      <w:tr>
        <w:trPr>
          <w:trHeight w:val="27"/>
        </w:trPr>
        <w:tc>
          <w:tcPr>
            <w:tcW w:w="32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520,026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639,799</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(249,396)</w:t>
            </w:r>
          </w:p>
        </w:tc>
      </w:tr>
      <w:tr>
        <w:trPr>
          <w:trHeight w:val="27"/>
        </w:trPr>
        <w:tc>
          <w:tcPr>
            <w:tcW w:w="32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3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390,403</w:t>
            </w:r>
          </w:p>
        </w:tc>
      </w:tr>
      <w:tr>
        <w:trPr>
          <w:trHeight w:val="20"/>
        </w:trPr>
        <w:tc>
          <w:tcPr>
            <w:tcW w:w="3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20" w:type="dxa"/>
            <w:vAlign w:val="bottom"/>
            <w:tcBorders>
              <w:bottom w:val="single" w:sz="8" w:color="auto"/>
            </w:tcBorders>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62" w:lineRule="exact"/>
        <w:rPr>
          <w:sz w:val="20"/>
          <w:szCs w:val="20"/>
          <w:color w:val="auto"/>
        </w:rPr>
      </w:pPr>
    </w:p>
    <w:p>
      <w:pPr>
        <w:ind w:left="980" w:right="280" w:hanging="324"/>
        <w:spacing w:after="0" w:line="263" w:lineRule="auto"/>
        <w:tabs>
          <w:tab w:leader="none" w:pos="9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Accumulated amortization includes $66,985 and $72,286 relating to in-place lease values, leasing commissions and legal costs at June 30, 2019 and December 31, 2018, respectively. Amortization expense of in-place lease values, leasing commissions and legal costs was $3,320 and $3,552 for the three months ended June 30, 2019 and 2018, respectively, and $6,525 and $7,390 for the six months ended June 30, 2019 and 2018, respectively.</w:t>
      </w:r>
    </w:p>
    <w:p>
      <w:pPr>
        <w:sectPr>
          <w:pgSz w:w="11900" w:h="16838" w:orient="portrait"/>
          <w:cols w:equalWidth="0" w:num="1">
            <w:col w:w="11240"/>
          </w:cols>
          <w:pgMar w:left="240" w:top="252" w:right="41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240" w:top="252" w:right="419" w:bottom="1440" w:gutter="0" w:footer="0" w:header="0"/>
          <w:type w:val="continuous"/>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287"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20" w:type="dxa"/>
            <w:vAlign w:val="bottom"/>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64,814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140,889</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(49,847)</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28,141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91,042</w:t>
            </w:r>
          </w:p>
        </w:tc>
      </w:tr>
      <w:tr>
        <w:trPr>
          <w:trHeight w:val="67"/>
        </w:trPr>
        <w:tc>
          <w:tcPr>
            <w:tcW w:w="320" w:type="dxa"/>
            <w:vAlign w:val="bottom"/>
          </w:tcPr>
          <w:p>
            <w:pPr>
              <w:spacing w:after="0"/>
              <w:rPr>
                <w:sz w:val="5"/>
                <w:szCs w:val="5"/>
                <w:color w:val="auto"/>
              </w:rPr>
            </w:pPr>
          </w:p>
        </w:tc>
        <w:tc>
          <w:tcPr>
            <w:tcW w:w="508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320" w:type="dxa"/>
            <w:vAlign w:val="bottom"/>
          </w:tcPr>
          <w:p>
            <w:pPr>
              <w:spacing w:after="0"/>
              <w:rPr>
                <w:sz w:val="20"/>
                <w:szCs w:val="20"/>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95,352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108,330</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(56,345)</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41,602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51,985</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6"/>
        </w:trPr>
        <w:tc>
          <w:tcPr>
            <w:tcW w:w="32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43"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6"/>
          <w:szCs w:val="16"/>
          <w:color w:val="auto"/>
        </w:rPr>
        <w:t>(1)</w:t>
        <w:tab/>
        <w:t>Below-market leases are included in other accrued liabilities.</w:t>
      </w:r>
    </w:p>
    <w:p>
      <w:pPr>
        <w:spacing w:after="0" w:line="3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219"/>
          </w:cols>
          <w:pgMar w:left="240" w:top="252" w:right="1440"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Mortgage notes payable at June 30, 2019 and December 31, 2018 consist of the following:</w:t>
      </w:r>
    </w:p>
    <w:p>
      <w:pPr>
        <w:spacing w:after="0" w:line="30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Carrying Amount of Mortgage</w:t>
      </w:r>
    </w:p>
    <w:p>
      <w:pPr>
        <w:spacing w:after="0" w:line="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Notes(1)</w:t>
      </w:r>
    </w:p>
    <w:p>
      <w:pPr>
        <w:spacing w:after="0" w:line="11" w:lineRule="exact"/>
        <w:rPr>
          <w:sz w:val="20"/>
          <w:szCs w:val="20"/>
          <w:color w:val="auto"/>
        </w:rPr>
      </w:pPr>
    </w:p>
    <w:tbl>
      <w:tblPr>
        <w:tblLayout w:type="fixed"/>
        <w:tblInd w:w="1660" w:type="dxa"/>
        <w:tblCellMar>
          <w:top w:w="0" w:type="dxa"/>
          <w:left w:w="0" w:type="dxa"/>
          <w:bottom w:w="0" w:type="dxa"/>
          <w:right w:w="0" w:type="dxa"/>
        </w:tblCellMar>
      </w:tblPr>
      <w:tr>
        <w:trPr>
          <w:trHeight w:val="141"/>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Monthly</w:t>
            </w: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0" w:type="dxa"/>
            <w:vAlign w:val="bottom"/>
            <w:vMerge w:val="restart"/>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Rate(2)</w:t>
            </w:r>
          </w:p>
        </w:tc>
        <w:tc>
          <w:tcPr>
            <w:tcW w:w="12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42"/>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Chandler Fashion Center(5)(6)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255,037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Danbury Fair Mall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Outlets of Chicago(7)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Freehold Raceway Mall(5)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323,460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 Acres Commons(9)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Mall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284,686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Oaks, The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 Center</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Monica Place(10)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Center(11)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Towne Mall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Tucson La Encantada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 Valley, Mall of</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258,207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5040" w:hanging="177"/>
        <w:spacing w:after="0"/>
        <w:tabs>
          <w:tab w:leader="none" w:pos="5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4,305,028  $  4,073,916</w:t>
      </w:r>
    </w:p>
    <w:p>
      <w:pPr>
        <w:spacing w:after="0" w:line="288" w:lineRule="exact"/>
        <w:rPr>
          <w:rFonts w:ascii="Times New Roman" w:cs="Times New Roman" w:eastAsia="Times New Roman" w:hAnsi="Times New Roman"/>
          <w:sz w:val="18"/>
          <w:szCs w:val="18"/>
          <w:color w:val="auto"/>
        </w:rPr>
      </w:pPr>
    </w:p>
    <w:p>
      <w:pPr>
        <w:ind w:left="820" w:right="360" w:hanging="407"/>
        <w:spacing w:after="0" w:line="282" w:lineRule="auto"/>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$13,356 and $13,053 at June 30, 2019 and December 31, 2018, respectively.</w:t>
      </w:r>
    </w:p>
    <w:p>
      <w:pPr>
        <w:spacing w:after="0" w:line="80"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premium and deferred finance costs.</w:t>
      </w:r>
    </w:p>
    <w:p>
      <w:pPr>
        <w:spacing w:after="0" w:line="271"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271" w:lineRule="exact"/>
        <w:rPr>
          <w:rFonts w:ascii="Times New Roman" w:cs="Times New Roman" w:eastAsia="Times New Roman" w:hAnsi="Times New Roman"/>
          <w:sz w:val="14"/>
          <w:szCs w:val="14"/>
          <w:color w:val="auto"/>
        </w:rPr>
      </w:pPr>
    </w:p>
    <w:p>
      <w:pPr>
        <w:ind w:left="820" w:hanging="407"/>
        <w:spacing w:after="0" w:line="282" w:lineRule="auto"/>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215"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the Company's joint venture in Chandler Freehold (See Note 12—Financing Arrangement).</w:t>
      </w:r>
    </w:p>
    <w:p>
      <w:pPr>
        <w:spacing w:after="0" w:line="271"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27, 2019, the Company replaced the existing loan on the property with a new $256,000 loan that bears interest at an effective rate of 4.18% and matures on July 5, 2024.</w:t>
      </w:r>
    </w:p>
    <w:p>
      <w:pPr>
        <w:spacing w:after="0" w:line="271" w:lineRule="exact"/>
        <w:rPr>
          <w:rFonts w:ascii="Times New Roman" w:cs="Times New Roman" w:eastAsia="Times New Roman" w:hAnsi="Times New Roman"/>
          <w:sz w:val="14"/>
          <w:szCs w:val="14"/>
          <w:color w:val="auto"/>
        </w:rPr>
      </w:pPr>
    </w:p>
    <w:p>
      <w:pPr>
        <w:ind w:left="820" w:right="200" w:hanging="407"/>
        <w:spacing w:after="0" w:line="282" w:lineRule="auto"/>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10, 2019, the Company replaced the existing loan on the property with a new $300,000 loan that bears interest at an effective rate of 4.61% and matures on February 1, 2031.</w:t>
      </w:r>
    </w:p>
    <w:p>
      <w:pPr>
        <w:spacing w:after="0" w:line="215" w:lineRule="exact"/>
        <w:rPr>
          <w:rFonts w:ascii="Times New Roman" w:cs="Times New Roman" w:eastAsia="Times New Roman" w:hAnsi="Times New Roman"/>
          <w:sz w:val="14"/>
          <w:szCs w:val="14"/>
          <w:color w:val="auto"/>
        </w:rPr>
      </w:pPr>
    </w:p>
    <w:p>
      <w:pPr>
        <w:ind w:left="820" w:hanging="407"/>
        <w:spacing w:after="0" w:line="261" w:lineRule="auto"/>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includes unamortized debt premium of $1,236 and $1,701 at June 30, 2019 and December 31, 2018, respectively. The debt premium represents the excess of the fair value of debt over the principal value of debt assumed at acquisition and is amortized into interest expense over the remaining term of the loan in a manner that approximates the effective interest method.</w:t>
      </w:r>
    </w:p>
    <w:p>
      <w:pPr>
        <w:spacing w:after="0" w:line="231"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2.15%. At June 30, 2019 and December 31, 2018, the total interest rate was 5.15% and 5.06%,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-2874010</wp:posOffset>
            </wp:positionV>
            <wp:extent cx="13722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26035"/>
                    </a:xfrm>
                    <a:prstGeom prst="rect">
                      <a:avLst/>
                    </a:prstGeom>
                    <a:noFill/>
                  </pic:spPr>
                </pic:pic>
              </a:graphicData>
            </a:graphic>
          </wp:anchor>
        </w:drawing>
      </w:r>
    </w:p>
    <w:p>
      <w:pPr>
        <w:sectPr>
          <w:pgSz w:w="11900" w:h="16838" w:orient="portrait"/>
          <w:cols w:equalWidth="0" w:num="1">
            <w:col w:w="11340"/>
          </w:cols>
          <w:pgMar w:left="240" w:top="252" w:right="319"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40"/>
          </w:cols>
          <w:pgMar w:left="240" w:top="252" w:right="31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321" w:lineRule="exact"/>
        <w:rPr>
          <w:rFonts w:ascii="Times New Roman" w:cs="Times New Roman" w:eastAsia="Times New Roman" w:hAnsi="Times New Roman"/>
          <w:sz w:val="18"/>
          <w:szCs w:val="18"/>
          <w:b w:val="1"/>
          <w:bCs w:val="1"/>
          <w:color w:val="auto"/>
        </w:rPr>
      </w:pPr>
    </w:p>
    <w:p>
      <w:pPr>
        <w:ind w:left="820" w:right="100" w:hanging="407"/>
        <w:spacing w:after="0" w:line="282" w:lineRule="auto"/>
        <w:tabs>
          <w:tab w:leader="none" w:pos="8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1.35%. The loan is covered by an interest rate cap agreement that effectively prevents LIBOR from exceeding 4.0% during the period ending December 9, 2019 (See Note 5—Derivative Instruments and Hedging Activities). At June 30, 2019 and December 31, 2018, the total interest rate was 3.99% and 4.01%, respectively.</w:t>
      </w:r>
    </w:p>
    <w:p>
      <w:pPr>
        <w:spacing w:after="0" w:line="215" w:lineRule="exact"/>
        <w:rPr>
          <w:rFonts w:ascii="Times New Roman" w:cs="Times New Roman" w:eastAsia="Times New Roman" w:hAnsi="Times New Roman"/>
          <w:sz w:val="14"/>
          <w:szCs w:val="14"/>
          <w:color w:val="auto"/>
        </w:rPr>
      </w:pPr>
    </w:p>
    <w:p>
      <w:pPr>
        <w:ind w:left="820" w:right="40" w:hanging="407"/>
        <w:spacing w:after="0" w:line="282" w:lineRule="auto"/>
        <w:tabs>
          <w:tab w:leader="none" w:pos="8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3, 2019, the Company’s joint venture in SanTan Village Regional Center replaced the existing loan on the property with a new $220,000 loan that bears interest at an effective rate of 4.34% and matures on July 1, 2029.</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27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with the exception of $65,000 of the loan on Green Acres Commons, are non-recourse to the Company.</w:t>
      </w:r>
    </w:p>
    <w:p>
      <w:pPr>
        <w:spacing w:after="0" w:line="216"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line of credit or with cash on hand.</w:t>
      </w:r>
    </w:p>
    <w:p>
      <w:pPr>
        <w:spacing w:after="0" w:line="216"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Total interest expense capitalized was $2,143 and $4,670 for the three months ended June 30, 2019 and 2018, respectively, and $4,853 and $9,001 for the six months ended June 30, 2019 and 2018, respectively.</w:t>
      </w:r>
    </w:p>
    <w:p>
      <w:pPr>
        <w:spacing w:after="0" w:line="216"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June 30, 2019 and December 31, 2018 was $4,372,627 and $4,082,448,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8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Company has a $1,500,000 revolving line of credit that bears interest at LIBOR plus a spread of 1.30% to 1.90%, depending on the Company's overall leverage level, and matures on July 6, 2020 with a one-year extension option. The line of credit can be expanded, depending on certain conditions, up to a total facility of $2,000,000.</w:t>
      </w:r>
    </w:p>
    <w:p>
      <w:pPr>
        <w:spacing w:after="0" w:line="23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Based on the Company's leverage level as of June 30, 2019, the borrowing rate on the facility was LIBOR plus 1.45%. The Company has four interest rate swap agreements that effectively convert a total of $400,000 of the outstanding balance from floating rate debt of LIBOR plus 1.45% to fixed rate debt of 4.30% until September 30, 2021 (See Note 5—Derivative Instruments and Hedging Activities). As of June 30, 2019 and December 31, 2018, borrowings under the line of credit were $810,000 and $910,000, respectively, less unamortized deferred finance costs of $3,894 and $5,145, respectively, at a total interest rate of 4.18% and 4.20%, respectively. As of June 30, 2019 and December 31, 2018, the Company's availability under the line of credit for additional borrowings was $689,719 and $589,719, respectively, The estimated fair value (Level 2 measurement) of the line of credit at June 30, 2019 and December 31, 2018 was $823,165 and $912,163, respectively, based on a present value model using a credit interest rate spread offered to the Company for comparable debt.</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Prasada Note:</w:t>
      </w:r>
    </w:p>
    <w:p>
      <w:pPr>
        <w:spacing w:after="0" w:line="281"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On March 29, 2013, the Company issued a $13,330 note payable that bears interest at 5.25% and matures on May 30, 2021. The note payable is collateralized by a portion of a development reimbursement agreement with the City of Surprise, Arizona. At June 30, 2019 and December 31, 2018, the note had a balance of $3,250 and $3,689, respectively. The estimated fair value (Level 2 measurement) of the note at June 30, 2019 and December 31, 2018 was $3,286 and $3,690, respectively, based on current interest rates for comparable notes. Fair value was determined using a present value model and an interest rate that included a credit value adjustment based on the estimated value of the collateral for the underlying debt.</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2019 and December 31, 2018, the Company was in compliance with all applicable financial loan covenants.</w:t>
      </w:r>
    </w:p>
    <w:p>
      <w:pPr>
        <w:sectPr>
          <w:pgSz w:w="11900" w:h="16838" w:orient="portrait"/>
          <w:cols w:equalWidth="0" w:num="1">
            <w:col w:w="11400"/>
          </w:cols>
          <w:pgMar w:left="240" w:top="252"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52" w:right="25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283"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1,318,000 square foot regional shopping center in Chandler, Arizona, and Freehold Raceway Mall, a 1,673,000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June 30, 2019 and December 31, 2018 was based upon a terminal capitalization rate of 4.8%, a discount rate of 5.8% and market rents per square foot of $35 to $115.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240"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2019 and 2018, the Company incurred interest (income) expense in connection with the financing arrangement as follows:</w:t>
      </w:r>
    </w:p>
    <w:p>
      <w:pPr>
        <w:spacing w:after="0" w:line="35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5"/>
        </w:trPr>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9"/>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Distributions of the partner's share of 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4,466</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2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3,049</w:t>
            </w:r>
          </w:p>
        </w:tc>
      </w:tr>
      <w:tr>
        <w:trPr>
          <w:trHeight w:val="27"/>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37"/>
        </w:trPr>
        <w:tc>
          <w:tcPr>
            <w:tcW w:w="49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3,129</w:t>
            </w:r>
          </w:p>
        </w:tc>
      </w:tr>
      <w:tr>
        <w:trPr>
          <w:trHeight w:val="27"/>
        </w:trPr>
        <w:tc>
          <w:tcPr>
            <w:tcW w:w="4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On June 27, 2019, the Company replaced the existing mortgage note payable on Chandler Fashion Center with a new $256,000 loan (See Note 10— Mortgage Notes Payable). In connection with the refinancing transaction, the Company distributed $27,944 of the excess loan proceeds to its joint venture partner.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283"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93% ownership interest in the Operating Partnership as of June 30, 2019 and December 31, 2018. The remaining 7% limited partnership interest as of June 30, 2019 and December 31, 2018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June 30, 2019 and December 31, 2018, the aggregate redemption value of the then-outstanding OP Units not owned by the Company was $351,940 and $448,116, respectively.</w:t>
      </w:r>
    </w:p>
    <w:p>
      <w:pPr>
        <w:spacing w:after="0" w:line="240"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ectPr>
          <w:pgSz w:w="11900" w:h="16838" w:orient="portrait"/>
          <w:cols w:equalWidth="0" w:num="1">
            <w:col w:w="11380"/>
          </w:cols>
          <w:pgMar w:left="240" w:top="252" w:right="279" w:bottom="1440" w:gutter="0" w:footer="0" w:header="0"/>
        </w:sect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252" w:right="27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 (Continued)</w:t>
      </w:r>
    </w:p>
    <w:p>
      <w:pPr>
        <w:spacing w:after="0" w:line="200" w:lineRule="exact"/>
        <w:rPr>
          <w:sz w:val="20"/>
          <w:szCs w:val="20"/>
          <w:color w:val="auto"/>
        </w:rPr>
      </w:pPr>
    </w:p>
    <w:p>
      <w:pPr>
        <w:spacing w:after="0" w:line="326"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83"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"2017 Stock Buyback Program".</w:t>
      </w:r>
    </w:p>
    <w:p>
      <w:pPr>
        <w:spacing w:after="0" w:line="234"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There were no repurchases under the 2017 Stock Buyback Program during the six months ended June 30, 2019 or 2018. At June 30, 2019, there was $278,707 available under the 2017 Stock Buyback Program.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Collaborative Arrangement:</w:t>
      </w:r>
    </w:p>
    <w:p>
      <w:pPr>
        <w:spacing w:after="0" w:line="283" w:lineRule="exact"/>
        <w:rPr>
          <w:sz w:val="20"/>
          <w:szCs w:val="20"/>
          <w:color w:val="auto"/>
        </w:rPr>
      </w:pPr>
    </w:p>
    <w:p>
      <w:pPr>
        <w:ind w:right="140" w:firstLine="432"/>
        <w:spacing w:after="0" w:line="313" w:lineRule="auto"/>
        <w:rPr>
          <w:sz w:val="20"/>
          <w:szCs w:val="20"/>
          <w:color w:val="auto"/>
        </w:rPr>
      </w:pPr>
      <w:r>
        <w:rPr>
          <w:rFonts w:ascii="Times New Roman" w:cs="Times New Roman" w:eastAsia="Times New Roman" w:hAnsi="Times New Roman"/>
          <w:sz w:val="17"/>
          <w:szCs w:val="17"/>
          <w:color w:val="auto"/>
        </w:rPr>
        <w:t>On March 1, 2018, the Company formed a 25/75 joint venture with a third party, whereby the Company agreed to contribute One Westside, a 680,000 square foot regional shopping center in Los Angeles, California, in exchange for $142,500. The Company completed the transfer on August 31, 2018.</w:t>
      </w:r>
    </w:p>
    <w:p>
      <w:pPr>
        <w:spacing w:after="0" w:line="19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During the period from March 1, 2018 to August 31, 2018, the Company accounted for the operations of One Westside as a collaborative arrangement. Both partners shared operating control of the property and the Company was reimbursed by the outside partner for 75% of the carrying cost of the property, which were defined in the agreement as operating expenses in excess of revenues, debt service and capital expenditures. Accordingly, the Company reduced leasing revenue, other revenue, shopping center and operating expenses and interest expense by its partner's 75% share and recorded a receivable due from its partner, which was settled upon completion of the transfer of the property. In addition, the Company was reimbursed by its partner for its 75% share of mortgage loan principal payments and capital expenditures during the period. Since completion of the transfer, the Company has accounted for its investment in One Westside under the equity method of accounting (See Note 4—Investments in Unconsolidated Joint Ventures).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w:t>
      </w:r>
    </w:p>
    <w:p>
      <w:pPr>
        <w:spacing w:after="0" w:line="283" w:lineRule="exact"/>
        <w:rPr>
          <w:sz w:val="20"/>
          <w:szCs w:val="20"/>
          <w:color w:val="auto"/>
        </w:rPr>
      </w:pPr>
    </w:p>
    <w:p>
      <w:pPr>
        <w:jc w:val="both"/>
        <w:ind w:right="480" w:firstLine="432"/>
        <w:spacing w:after="0" w:line="266" w:lineRule="auto"/>
        <w:rPr>
          <w:sz w:val="20"/>
          <w:szCs w:val="20"/>
          <w:color w:val="auto"/>
        </w:rPr>
      </w:pPr>
      <w:r>
        <w:rPr>
          <w:rFonts w:ascii="Times New Roman" w:cs="Times New Roman" w:eastAsia="Times New Roman" w:hAnsi="Times New Roman"/>
          <w:sz w:val="18"/>
          <w:szCs w:val="18"/>
          <w:color w:val="auto"/>
        </w:rPr>
        <w:t>On May 17, 2018, the Company sold Promenade at Casa Grande, a 761,000 square foot community center in Casa Grande, Arizona, for $26,000, resulting in a loss on sale of assets of $311. The Company used the proceeds from the sale to pay down its line of credit and for other general corporate purposes.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83"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As of June 30, 2019, the Company was contingently liable for $65,814 in letters of credit guaranteeing performance by the Company of certain obligations relating to the Centers. The Company does not believe that these letters of credit will result in a liability to the Company.</w:t>
      </w:r>
    </w:p>
    <w:p>
      <w:pPr>
        <w:spacing w:after="0" w:line="21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June 30, 2019, the Company had $21,246 in outstanding obligations, which it believes will be settled in the next twelve months.</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52" w:right="27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83"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287"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5"/>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r>
      <w:tr>
        <w:trPr>
          <w:trHeight w:val="264"/>
        </w:trPr>
        <w:tc>
          <w:tcPr>
            <w:tcW w:w="3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w:t>
            </w: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r>
      <w:tr>
        <w:trPr>
          <w:trHeight w:val="27"/>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16,320</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Certain mortgage notes on the properties are held by NML. NML was considered a related party due to its ownership interest in Broadway Plaza until it sold its ownership interest in the property to a third party on October 12, 2018. Interest expense in connection with these notes, during the period NML that was a related party, was $2,131 and $4,278 for the three and six months ended June 30, 2018, respectively.</w:t>
      </w:r>
    </w:p>
    <w:p>
      <w:pPr>
        <w:spacing w:after="0" w:line="230"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Interest (income) expense from related party transactions also includes $(13,243) and $(4,893) for the three months ended June 30, 2019 and 2018, respectively, and $(23,690) and $3,129 for the six months ended June 30, 2019 and 2018, respectively, in connection with the Financing Arrangement (See Note 12—Financing Arrangement).</w:t>
      </w:r>
    </w:p>
    <w:p>
      <w:pPr>
        <w:spacing w:after="0" w:line="230"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Due from affiliates includes unreimbursed costs and fees from unconsolidated joint ventures due to the Management Companies. As of June 30, 2019 and December 31, 2018, the amounts due from the unconsolidated joint ventures was $7,755 and $6,385, respectively.</w:t>
      </w:r>
    </w:p>
    <w:p>
      <w:pPr>
        <w:spacing w:after="0" w:line="21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addition, due from affiliates at June 30, 2019 and December 31, 2018 included a note receivable from RED/303 LLC ("RED") that bears interest at 5.25% and matures on May 30, 2021. Interest income earned on this note was $46 and $57 for the three months ended June 30, 2019 and 2018, respectively, and $94 and $117 for the six months ended June 30, 2019 and 2018, respectively. The balance on this note was $3,250 and $3,689 at June 30, 2019 and December 31, 2018, respectively. RED is considered a related party because it is a partner in a joint venture development project. The note is collateralized by RED's membership interest in the development project.</w:t>
      </w:r>
    </w:p>
    <w:p>
      <w:pPr>
        <w:spacing w:after="0" w:line="238"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Also included in due from affiliates at December 31, 2018 was a note receivable from Lennar Corporation that bore interest at LIBOR plus 2% and was to mature upon the completion of certain milestones in connection with the development of Fashion Outlets of San Francisco. As a result of those milestones not being completed, the Company elected to terminate the development agreement and the note was paid off on February 13, 2019. Interest income earned on this note was $773 for the three months ended June 30, 2018, and $1,112 and $1,522 for the six months ended June 30, 2019 and 2018, respectively. The balance on this note, including interest, was $75,107 at December 31, 2018. Lennar Corporation was considered a related party because it was a joint venture partner in the project.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52" w:right="25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w:t>
      </w:r>
    </w:p>
    <w:p>
      <w:pPr>
        <w:spacing w:after="0" w:line="283"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23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market-indexed LTIP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six months ended June 30, 2019, the Company granted the following LTIP Units:</w:t>
      </w:r>
    </w:p>
    <w:p>
      <w:pPr>
        <w:spacing w:after="0" w:line="200" w:lineRule="exact"/>
        <w:rPr>
          <w:sz w:val="20"/>
          <w:szCs w:val="20"/>
          <w:color w:val="auto"/>
        </w:rPr>
      </w:pPr>
    </w:p>
    <w:p>
      <w:pPr>
        <w:spacing w:after="0" w:line="244" w:lineRule="exact"/>
        <w:rPr>
          <w:sz w:val="20"/>
          <w:szCs w:val="20"/>
          <w:color w:val="auto"/>
        </w:rPr>
      </w:pPr>
    </w:p>
    <w:tbl>
      <w:tblPr>
        <w:tblLayout w:type="fixed"/>
        <w:tblInd w:w="262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per</w:t>
            </w:r>
          </w:p>
        </w:tc>
        <w:tc>
          <w:tcPr>
            <w:tcW w:w="1060" w:type="dxa"/>
            <w:vAlign w:val="bottom"/>
          </w:tcPr>
          <w:p>
            <w:pPr>
              <w:spacing w:after="0"/>
              <w:rPr>
                <w:sz w:val="17"/>
                <w:szCs w:val="17"/>
                <w:color w:val="auto"/>
              </w:rPr>
            </w:pPr>
          </w:p>
        </w:tc>
      </w:tr>
      <w:tr>
        <w:trPr>
          <w:trHeight w:val="212"/>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Pr>
          <w:p>
            <w:pPr>
              <w:spacing w:after="0"/>
              <w:rPr>
                <w:sz w:val="18"/>
                <w:szCs w:val="18"/>
                <w:color w:val="auto"/>
              </w:rPr>
            </w:pPr>
          </w:p>
        </w:tc>
        <w:tc>
          <w:tcPr>
            <w:tcW w:w="168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LTIP Unit</w:t>
            </w:r>
          </w:p>
        </w:tc>
        <w:tc>
          <w:tcPr>
            <w:tcW w:w="10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Vest Date</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12/31/2021</w:t>
            </w:r>
          </w:p>
        </w:tc>
      </w:tr>
      <w:tr>
        <w:trPr>
          <w:trHeight w:val="243"/>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250,852</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Market-indexed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21"/>
                <w:szCs w:val="21"/>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12/31/2021</w:t>
            </w:r>
          </w:p>
        </w:tc>
      </w:tr>
      <w:tr>
        <w:trPr>
          <w:trHeight w:val="27"/>
        </w:trPr>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69"/>
        </w:trPr>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332,584</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74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the market-indexed LTIP Units (Level 3) granted on January 1, 2019 was estimated on the date of grant using a Monte Carlo Simulation model that assumed a risk free interest rate of 2.46% and an expected volatility of 23.52%.</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LTIP Units, phantom stock units and stock units:</w:t>
      </w:r>
    </w:p>
    <w:p>
      <w:pPr>
        <w:spacing w:after="0" w:line="200" w:lineRule="exact"/>
        <w:rPr>
          <w:sz w:val="20"/>
          <w:szCs w:val="20"/>
          <w:color w:val="auto"/>
        </w:rPr>
      </w:pPr>
    </w:p>
    <w:p>
      <w:pPr>
        <w:spacing w:after="0" w:line="302" w:lineRule="exact"/>
        <w:rPr>
          <w:sz w:val="20"/>
          <w:szCs w:val="20"/>
          <w:color w:val="auto"/>
        </w:rPr>
      </w:pPr>
    </w:p>
    <w:tbl>
      <w:tblPr>
        <w:tblLayout w:type="fixed"/>
        <w:tblInd w:w="202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LTIP Units</w:t>
            </w:r>
          </w:p>
        </w:tc>
        <w:tc>
          <w:tcPr>
            <w:tcW w:w="1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Phantom Stock Units</w:t>
            </w:r>
          </w:p>
        </w:tc>
        <w:tc>
          <w:tcPr>
            <w:tcW w:w="12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Stock Units</w:t>
            </w:r>
          </w:p>
        </w:tc>
      </w:tr>
      <w:tr>
        <w:trPr>
          <w:trHeight w:val="264"/>
        </w:trPr>
        <w:tc>
          <w:tcPr>
            <w:tcW w:w="20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Value(1)</w:t>
            </w:r>
          </w:p>
        </w:tc>
      </w:tr>
      <w:tr>
        <w:trPr>
          <w:trHeight w:val="25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2019</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661,578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129,457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w:t>
            </w:r>
          </w:p>
        </w:tc>
      </w:tr>
      <w:tr>
        <w:trPr>
          <w:trHeight w:val="265"/>
        </w:trPr>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Granted</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332,584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1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90,266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w:t>
            </w:r>
          </w:p>
        </w:tc>
      </w:tr>
      <w:tr>
        <w:trPr>
          <w:trHeight w:val="275"/>
        </w:trPr>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Vested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64.27</w:t>
            </w:r>
          </w:p>
        </w:tc>
      </w:tr>
      <w:tr>
        <w:trPr>
          <w:trHeight w:val="265"/>
        </w:trPr>
        <w:tc>
          <w:tcPr>
            <w:tcW w:w="2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Forfeited</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50.62</w:t>
            </w:r>
          </w:p>
        </w:tc>
      </w:tr>
      <w:tr>
        <w:trPr>
          <w:trHeight w:val="24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2019</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971,873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11,618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135,407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w:t>
            </w:r>
          </w:p>
        </w:tc>
      </w:tr>
      <w:tr>
        <w:trPr>
          <w:trHeight w:val="20"/>
        </w:trPr>
        <w:tc>
          <w:tcPr>
            <w:tcW w:w="2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20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7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(1) Value represents the weighted average grant date fair value.</w:t>
      </w:r>
    </w:p>
    <w:p>
      <w:pPr>
        <w:spacing w:after="0" w:line="200" w:lineRule="exact"/>
        <w:rPr>
          <w:sz w:val="20"/>
          <w:szCs w:val="20"/>
          <w:color w:val="auto"/>
        </w:rPr>
      </w:pPr>
    </w:p>
    <w:p>
      <w:pPr>
        <w:spacing w:after="0" w:line="24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following table summarizes the activity of the stock options outstanding:</w:t>
      </w:r>
    </w:p>
    <w:p>
      <w:pPr>
        <w:spacing w:after="0" w:line="200" w:lineRule="exact"/>
        <w:rPr>
          <w:sz w:val="20"/>
          <w:szCs w:val="20"/>
          <w:color w:val="auto"/>
        </w:rPr>
      </w:pPr>
    </w:p>
    <w:p>
      <w:pPr>
        <w:spacing w:after="0" w:line="302" w:lineRule="exact"/>
        <w:rPr>
          <w:sz w:val="20"/>
          <w:szCs w:val="20"/>
          <w:color w:val="auto"/>
        </w:rPr>
      </w:pPr>
    </w:p>
    <w:tbl>
      <w:tblPr>
        <w:tblLayout w:type="fixed"/>
        <w:tblInd w:w="3740" w:type="dxa"/>
        <w:tblCellMar>
          <w:top w:w="0" w:type="dxa"/>
          <w:left w:w="0" w:type="dxa"/>
          <w:bottom w:w="0" w:type="dxa"/>
          <w:right w:w="0" w:type="dxa"/>
        </w:tblCellMar>
      </w:tblPr>
      <w:tr>
        <w:trPr>
          <w:trHeight w:val="19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64"/>
        </w:trPr>
        <w:tc>
          <w:tcPr>
            <w:tcW w:w="2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Value(1)</w:t>
            </w:r>
          </w:p>
        </w:tc>
      </w:tr>
      <w:tr>
        <w:trPr>
          <w:trHeight w:val="255"/>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35,565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57.32</w:t>
            </w:r>
          </w:p>
        </w:tc>
      </w:tr>
      <w:tr>
        <w:trPr>
          <w:trHeight w:val="265"/>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Exercised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June 30, 2019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57.32</w:t>
            </w: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5"/>
        </w:trPr>
        <w:tc>
          <w:tcPr>
            <w:tcW w:w="2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7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(1) Value represents the weighted average exercise price.</w:t>
      </w:r>
    </w:p>
    <w:p>
      <w:pPr>
        <w:sectPr>
          <w:pgSz w:w="11900" w:h="16838" w:orient="portrait"/>
          <w:cols w:equalWidth="0" w:num="1">
            <w:col w:w="11400"/>
          </w:cols>
          <w:pgMar w:left="240" w:top="252"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52" w:right="259" w:bottom="0" w:gutter="0" w:footer="0" w:header="0"/>
          <w:type w:val="continuous"/>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287"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5"/>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4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18,383</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7"/>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7"/>
        </w:trPr>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23,603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$1,459 and $1,904 for the three months ended June 30, 2019 and 2018, respectively, and $2,605 and $4,513 for the six months ended June 30, 2019 and 2018, respectively. Unrecognized compensation costs of share and unit-based plans at June 30, 2019 consisted of $6,407 from LTIP Units, $3,555 from stock units and $482 from phantom stock units.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283"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provision of the TRSs are as follows:</w:t>
      </w:r>
    </w:p>
    <w:p>
      <w:pPr>
        <w:spacing w:after="0" w:line="2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r>
      <w:tr>
        <w:trPr>
          <w:trHeight w:val="195"/>
        </w:trPr>
        <w:tc>
          <w:tcPr>
            <w:tcW w:w="3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720" w:type="dxa"/>
            <w:vAlign w:val="bottom"/>
            <w:tcBorders>
              <w:bottom w:val="single" w:sz="8" w:color="auto"/>
            </w:tcBorders>
          </w:tcPr>
          <w:p>
            <w:pPr>
              <w:spacing w:after="0"/>
              <w:rPr>
                <w:sz w:val="16"/>
                <w:szCs w:val="16"/>
                <w:color w:val="auto"/>
              </w:rPr>
            </w:pPr>
          </w:p>
        </w:tc>
      </w:tr>
      <w:tr>
        <w:trPr>
          <w:trHeight w:val="264"/>
        </w:trPr>
        <w:tc>
          <w:tcPr>
            <w:tcW w:w="34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7"/>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net operating loss ("NOL") carryforwards generated through the 2017 tax year are scheduled to expire through 2037, beginning in 2025. Pursuant to the Tax Cuts and Jobs Act of 2017, NOLs generated in 2018 and subsequent tax years carryforward indefinitely subject to the 80% of taxable income limitation. Net deferred tax assets of $30,999 and $32,197 were included in deferred charges and other assets, net at June 30, 2019 and December 31, 2018, respectively.</w:t>
      </w:r>
    </w:p>
    <w:p>
      <w:pPr>
        <w:spacing w:after="0" w:line="234"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tax years 2015 through 2018 remain open to examination by the taxing jurisdictions to which the Company is subject. The Company does not expect that the total amount of unrecognized tax benefit will materially change within the next twelve months.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83"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On July 25, 2019, the Company announced a dividend/distribution of $0.75 per share for common stockholders and OP Unit holders of record on August 19, 2019. All dividends/distributions will be paid 100% in cash on September 6, 2019.</w:t>
      </w:r>
    </w:p>
    <w:p>
      <w:pPr>
        <w:spacing w:after="0" w:line="216"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On July 25, 2019, the Company's joint venture in Fashion District Philadelphia amended the existing loan on the joint venture to allow for additional borrowings up to $100,000 at LIBOR plus 2.00%. Concurrent with the amendment, the joint ventured borrowed an additional $26,000.</w:t>
      </w:r>
    </w:p>
    <w:p>
      <w:pPr>
        <w:sectPr>
          <w:pgSz w:w="11900" w:h="16838" w:orient="portrait"/>
          <w:cols w:equalWidth="0" w:num="1">
            <w:col w:w="11400"/>
          </w:cols>
          <w:pgMar w:left="240" w:top="252" w:right="25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52" w:right="25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RELATED TO FORWARD-LOOKING STATEMENTS</w:t>
      </w:r>
    </w:p>
    <w:p>
      <w:pPr>
        <w:spacing w:after="0" w:line="283"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61"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63" w:lineRule="exact"/>
        <w:rPr>
          <w:rFonts w:ascii="Times New Roman" w:cs="Times New Roman" w:eastAsia="Times New Roman" w:hAnsi="Times New Roman"/>
          <w:sz w:val="18"/>
          <w:szCs w:val="18"/>
          <w:color w:val="auto"/>
        </w:rPr>
      </w:pPr>
    </w:p>
    <w:p>
      <w:pPr>
        <w:ind w:left="1300" w:right="20" w:hanging="644"/>
        <w:spacing w:after="0" w:line="28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of its retailers;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63"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8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under "Item 1A. Risk Factors" in our Annual Report on Form 10-K for the year ended December 31, 2018,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283"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June 30, 2019, the Operating Partnership owned or had an ownership interest in 47 regional shopping centers and five community/power shopping centers aggregating approximately 51 million square feet of gross leasable area. These 52 regional and community/power shopping centers are referred to hereinafter as the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and six months ended June 30, 2019 and 2018. It compares the results of operations for the three months ended June 30, 2019 to the results of operations for the three months ended June 30, 2018. It also compares the results of operations and cash flows for the six months ended June 30, 2019 to the results of operations and cash flows for the six months ended June 30, 2018.</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statements reflect the following acquisitions, dispositions and changes in ownership subsequent to the occurrence of each transaction.</w:t>
      </w:r>
    </w:p>
    <w:p>
      <w:pPr>
        <w:spacing w:after="0" w:line="279"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On February 16, 2018, the Company's joint venture in Fashion District Philadelphia sold its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23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March 1, 2018, the Company formed a 25/75 joint venture with Hudson Pacific Properties, whereby the Company agreed to contribute Westside Pavilion (referred to hereafter as "One Westside"), a 680,000 square foot regional shopping center in Los Angeles, California, in exchange for $142.5 million. The Company completed the sale of the 75% ownership interest in the property to Hudson Pacific Properties on August 31, 2018, resulting in a gain on sale of assets of $46.2 million. The sales price was funded by a cash payment of $36.9 million and the assumption of a pro rata share of the mortgage note payable on the property of $105.6 million. The Company used the proceeds to fund its share of the cost to defease the mortgage note payable on the property (See "Financing Activities"). From March 1, 2018 to the completion of the sale, the Company accounted for its interest in the property as a collaborative arrangement (See Note 15—Collaborative Arrangement of the Company's consolidated financial statements). Upon completion of the sale, the Company has accounted for its ownership interest in the property under the equity method of accounting.</w:t>
      </w:r>
    </w:p>
    <w:p>
      <w:pPr>
        <w:spacing w:after="0" w:line="23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On May 17, 2018, the Company sold Promenade at Casa Grande, a 761,000 square foot community center in Casa Grande, Arizona, for $26.0 million, resulting in a loss on sale of assets of $0.3 million. The Company used the proceeds from the sale to pay down its line of credit and for other general corporate purposes.</w:t>
      </w:r>
    </w:p>
    <w:p>
      <w:pPr>
        <w:spacing w:after="0" w:line="23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July 6, 2018, the Company’s joint venture in The Market at Estrella Falls, a 298,000 square foot community center in Goodyear, Arizona, sold the property for $49.1 million, resulting in a gain on sale of assets of $12.6 million. The Company's share of the gain of $3.0 million was included in equity in income from unconsolidated joint ventures. The proceeds were used to pay off the $24.1 million mortgage loan payable on the property, settle development obligations and for distributions to the partners. The Company used its share of the net proceeds for general corporate purposes.</w:t>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81"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230"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21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On August 31, 2018, concurrent with the sale of the ownership interest in One Westside (See "Acquisitions and Dispositions"), the joint venture defeased the $140.8 million mortgage note payable on the property by providing a $149.2 million portfolio of marketable securities as replacement collateral in lieu of the property. The Company funded its $37.3 million share of the purchase price of the marketable securities portfolio with the proceeds from the sale of the ownership interest in the property.</w:t>
      </w:r>
    </w:p>
    <w:p>
      <w:pPr>
        <w:spacing w:after="0" w:line="234" w:lineRule="exact"/>
        <w:rPr>
          <w:sz w:val="20"/>
          <w:szCs w:val="20"/>
          <w:color w:val="auto"/>
        </w:rPr>
      </w:pPr>
    </w:p>
    <w:p>
      <w:pPr>
        <w:ind w:right="500" w:firstLine="432"/>
        <w:spacing w:after="0" w:line="313" w:lineRule="auto"/>
        <w:rPr>
          <w:sz w:val="20"/>
          <w:szCs w:val="20"/>
          <w:color w:val="auto"/>
        </w:rPr>
      </w:pPr>
      <w:r>
        <w:rPr>
          <w:rFonts w:ascii="Times New Roman" w:cs="Times New Roman" w:eastAsia="Times New Roman" w:hAnsi="Times New Roman"/>
          <w:sz w:val="17"/>
          <w:szCs w:val="17"/>
          <w:color w:val="auto"/>
        </w:rPr>
        <w:t>On September 14, 2018, the Company entered into four interest rate swap agreements that effectively convert a total of $400.0 million of the outstanding balance of the Company’s line of credit from floating rate debt of LIBOR plus 1.45% to fixed rate debt of 4.30% until September 30, 2021.</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November 7, 2018, the Company's joint venture in Boulevard Shops replaced the existing loan on the property with a new $18.8 million loan that bears interest at LIBOR plus 1.85% and matures on December 5, 2023. The loan can be expanded, depending on certain conditions, up to $23.0 million. The Company used its share of the proceeds to pay down its line of credit and for general corporate purposes.</w:t>
      </w:r>
    </w:p>
    <w:p>
      <w:pPr>
        <w:spacing w:after="0" w:line="230"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23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234"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On June 3, 2019, the Company’s joint venture in SanTan Village Regional Center replaced the existing loan on the property with a new $220.0 million loan that bears interest at an effective rate of 4.34% and matures on July 1, 2029. The Company used its share of the additional proceeds to pay down its line of credit and for general corporate purposes.</w:t>
      </w:r>
    </w:p>
    <w:p>
      <w:pPr>
        <w:spacing w:after="0" w:line="23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On June 27, 2019, the Company replaced the existing loan on Chandler Fashion Center with a new $256.0 million loan that bears interest at an effective rate of 4.18% and matures on July 5, 2024. The Company used its share of the additional proceeds to pay down its line of credit and for general corporate purposes.</w:t>
      </w:r>
    </w:p>
    <w:p>
      <w:pPr>
        <w:spacing w:after="0" w:line="230"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On July 25, 2019, the Company's joint venture in Fashion District Philadelphia amended the existing loan on the joint venture to allow for additional borrowings up to $100.0 million at LIBOR plus 2.00%. Concurrent with the amendment, the joint ventured borrowed an additional $26.0 million.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281"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Company's joint venture is proceeding with the redevelopment of Fashion District Philadelphia, an 850,000 square foot shopping center in Philadelphia, Pennsylvania. The project is expected to be completed in September 2019. The total cost of the project is estimated to be between $400.0 million and $420.0 million, with $200.0 million to $210.0 million estimated to be the Company's pro rata share. The Company has funded $163.4 million of the total $326.9 million incurred by the joint venture as of June 30, 2019.</w:t>
      </w:r>
    </w:p>
    <w:p>
      <w:pPr>
        <w:spacing w:after="0" w:line="234"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Company's joint venture in Scottsdale Fashion Square is redeveloping a former Barney's store and an 80,000 square foot exterior expansion. The project is expected to be completed in 2019. The total cost of the project is estimated to be between $140.0 million and $160.0 million, with $70.0 million to $80.0 million estimated to be the Company's pro rata share. The Company has funded $30.9 million of the total $61.9 million incurred by the joint venture as of June 30, 2019.</w:t>
      </w:r>
    </w:p>
    <w:p>
      <w:pPr>
        <w:spacing w:after="0" w:line="23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$44.9 million of the total $179.8 million incurred by the joint venture as of June 30, 2019.</w:t>
      </w:r>
    </w:p>
    <w:p>
      <w:pPr>
        <w:spacing w:after="0" w:line="234"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phase. The first phase of the project is expected to be completed in fall 2021. The Company has funded $21.0 million of the total $42.0 million incurred by the joint venture as of June 30, 2019.</w:t>
      </w:r>
    </w:p>
    <w:p>
      <w:pPr>
        <w:spacing w:after="0" w:line="234" w:lineRule="exact"/>
        <w:rPr>
          <w:sz w:val="20"/>
          <w:szCs w:val="20"/>
          <w:color w:val="auto"/>
        </w:rPr>
      </w:pPr>
    </w:p>
    <w:p>
      <w:pPr>
        <w:ind w:right="4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closures and lease rejections of several Sears stores owned or partially owned by the Company, the Company anticipates spending between $250.0 million to $300.0 million at the Company’s pro rata share to redevelop the Sears stores. The anticipated openings of such redevelopments are expected to occur over several years. The estimated range of redevelopment costs could increase if the Company or its joint venture decide to expand the scope of the redevelopments.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281"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On February 1 and 2, 2018, the Company reduced its workforce by approximately 10 percent. The Company incurred a one-time charge of $12.7 million in connection with the workforce reduction during the three months ended March 31, 2018.</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June 30, 2018, the Company incurred $19.4 million in costs associated with activities related to shareholder activism.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were primarily for legal and advisory services.</w:t>
      </w:r>
    </w:p>
    <w:p>
      <w:pPr>
        <w:spacing w:after="0" w:line="261"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243"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new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costs that were included in management companies' operating expenses to leasing expenses for the three and six months ended June 30, 2018, to conform to the presentation for the three and six months ended June 30, 2019. Upon adoption of the new standard, the Company has presented all revenues associated with leases as leasing revenue on its consolidated statement of operations. For comparison purposes, the Company has reclassified minimum rents, percentage rents, tenant recoveries and other leasing income to leasing revenue for the three and six months ended June 30, 2018, to conform to the presentation for the three and six months ended June 30, 2019. The new standard also requires the Company to reduce leasing revenue for credit losses associated with lease receivables. In addition, straight-line rent receivables are written off when the Company believes there is uncertainty regarding a tenant's ability to complete the term of the lease. As a result, the Company recognized a cumulative effect adjustment of $2.2 million upon adoption for the write off of straight-line rent receivables of tenants that were in litigation or bankruptcy. The standard also requires that the provision for bad debts relating to leases be presented as a reduction of leasing revenue. For the three and six months ended June 30, 2018, the provision for bad debts is included in shopping center and operating expenses.</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8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81"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83"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81"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245" w:lineRule="exact"/>
        <w:rPr>
          <w:sz w:val="20"/>
          <w:szCs w:val="20"/>
          <w:color w:val="auto"/>
        </w:rPr>
      </w:pPr>
    </w:p>
    <w:p>
      <w:pPr>
        <w:ind w:right="920" w:firstLine="432"/>
        <w:spacing w:after="0" w:line="282" w:lineRule="auto"/>
        <w:rPr>
          <w:sz w:val="20"/>
          <w:szCs w:val="20"/>
          <w:color w:val="auto"/>
        </w:rPr>
      </w:pPr>
      <w:r>
        <w:rPr>
          <w:rFonts w:ascii="Times New Roman" w:cs="Times New Roman" w:eastAsia="Times New Roman" w:hAnsi="Times New Roman"/>
          <w:sz w:val="18"/>
          <w:szCs w:val="18"/>
          <w:color w:val="auto"/>
        </w:rPr>
        <w:t>The Company immediately expenses costs associated with business combinations as period costs and capitalizes costs associated with asset acquisitions.</w:t>
      </w:r>
    </w:p>
    <w:p>
      <w:pPr>
        <w:spacing w:after="0" w:line="216"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281"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24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8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ind w:right="20" w:firstLine="432"/>
        <w:spacing w:after="0" w:line="272" w:lineRule="auto"/>
        <w:rPr>
          <w:sz w:val="20"/>
          <w:szCs w:val="20"/>
          <w:color w:val="auto"/>
        </w:rPr>
      </w:pPr>
      <w:r>
        <w:rPr>
          <w:rFonts w:ascii="Times New Roman" w:cs="Times New Roman" w:eastAsia="Times New Roman" w:hAnsi="Times New Roman"/>
          <w:sz w:val="17"/>
          <w:szCs w:val="17"/>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2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2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records its Financing Arrangement (See Note 12—Financing Arrangement of the Company's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multiple of net operating income, discount rate, and market rents. The fair value of the Financing Arrangement obligation is sensitive to these significant unobservable inputs and a change in these inputs may result in a significantly higher or lower fair value measurement.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in Management's Overview and Summary above, including the Redevelopment Properties and the JV Transition Center and the Disposition Property (as defined below).</w:t>
      </w:r>
    </w:p>
    <w:p>
      <w:pPr>
        <w:spacing w:after="0" w:line="230" w:lineRule="exact"/>
        <w:rPr>
          <w:sz w:val="20"/>
          <w:szCs w:val="20"/>
          <w:color w:val="auto"/>
        </w:rPr>
      </w:pPr>
    </w:p>
    <w:p>
      <w:pPr>
        <w:ind w:right="220" w:firstLine="432"/>
        <w:spacing w:after="0" w:line="255"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 and properties that have been disposed of ("Disposition Property").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 and the Disposition Property, for the periods of comparison.</w:t>
      </w:r>
    </w:p>
    <w:p>
      <w:pPr>
        <w:spacing w:after="0" w:line="24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For the comparison of the three and six months ended June 30, 2019 to the three and six months ended June 30, 2018, the Redevelopment Properties are Paradise Valley Mall and certain ground up developments. For the comparison of the three and six months ended June 30, 2019 to the three and six months ended June 30, 2018, the JV Transition Center is One Westside. For the comparison of the three and six months ended June 30, 2019 to the three and six months ended June 30, 2018, the Disposition Property is Promenade at Casa Grande.</w:t>
      </w:r>
    </w:p>
    <w:p>
      <w:pPr>
        <w:spacing w:after="0" w:line="234"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21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23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Tenant sales per square foot increased from $692 for the twelve months ended June 30, 2018 to $776 for the twelve months ended June 30, 2019. Occupancy rate decreased from 94.3% at June 30, 2018 to 94.1% at June 30, 2019. Releasing spreads remained positive as the Company was able to lease available space at higher average rents than the expiring rental rates, resulting in a releasing spread of $5.13 per square foot ($59.60 on new and renewal leases executed compared to $54.47 on leases expiring), representing a 9.4% increase for the trailing twelve months ended June 30, 2019. The Company expects that releasing spreads will continue to be positive for the remainder of 2019 as it renews or relets leases that are scheduled to expire. These leases that are scheduled to expire in the next twelve months represent 0.9 million square feet of the Centers,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accounting for 12.5% of the gross leasable area ("GLA") of mall stores and freestanding stores, for spaces 10,000 square feet and under, as of June 30, 2019. These calculations exclude Centers under development or redevelopment and property dispositions (See "Acquisitions and Dispositions" and "Redevelopment and Development Activities" in Management's Overview and Summary).</w:t>
      </w:r>
    </w:p>
    <w:p>
      <w:pPr>
        <w:spacing w:after="0" w:line="230" w:lineRule="exact"/>
        <w:rPr>
          <w:sz w:val="20"/>
          <w:szCs w:val="20"/>
          <w:color w:val="auto"/>
        </w:rPr>
      </w:pPr>
    </w:p>
    <w:p>
      <w:pPr>
        <w:jc w:val="both"/>
        <w:ind w:right="360" w:firstLine="432"/>
        <w:spacing w:after="0" w:line="266" w:lineRule="auto"/>
        <w:rPr>
          <w:sz w:val="20"/>
          <w:szCs w:val="20"/>
          <w:color w:val="auto"/>
        </w:rPr>
      </w:pPr>
      <w:r>
        <w:rPr>
          <w:rFonts w:ascii="Times New Roman" w:cs="Times New Roman" w:eastAsia="Times New Roman" w:hAnsi="Times New Roman"/>
          <w:sz w:val="18"/>
          <w:szCs w:val="18"/>
          <w:color w:val="auto"/>
        </w:rPr>
        <w:t>During the trailing twelve months ended June 30, 2019, the Company signed 266 new leases and 408 renewal leases comprising approximately 1.0 million square feet of GLA, of which 0.8 million square feet related to the consolidated Centers. The annual initial average base rent for new and renewal leases was $59.60 per square foot for the trailing twelve months ended June 30, 2019 with an average tenant allowance of $36.63 per square foot.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83" w:lineRule="exact"/>
        <w:rPr>
          <w:sz w:val="20"/>
          <w:szCs w:val="20"/>
          <w:color w:val="auto"/>
        </w:rPr>
      </w:pPr>
    </w:p>
    <w:p>
      <w:pPr>
        <w:ind w:right="440" w:firstLine="432"/>
        <w:spacing w:after="0" w:line="261" w:lineRule="auto"/>
        <w:rPr>
          <w:sz w:val="20"/>
          <w:szCs w:val="20"/>
          <w:color w:val="auto"/>
        </w:rPr>
      </w:pPr>
      <w:r>
        <w:rPr>
          <w:rFonts w:ascii="Times New Roman" w:cs="Times New Roman" w:eastAsia="Times New Roman" w:hAnsi="Times New Roman"/>
          <w:sz w:val="18"/>
          <w:szCs w:val="18"/>
          <w:color w:val="auto"/>
        </w:rPr>
        <w:t>The Company has a long-term four-pronged business strategy that focuses on the acquisition, leasing and management, redevelopment and development of Regional Shopping Centers. Although the Company believes that overall regional shopping centers fundamentals in its markets appear reasonably strong, the Company expects that its results for 2019 will be negatively impacted by rising interest rates and anticipated Anchor closures and tenant bankruptcies, among other factors.</w:t>
      </w:r>
    </w:p>
    <w:p>
      <w:pPr>
        <w:spacing w:after="0" w:line="23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Rising interest rates increase the cost of the Company’s borrowings due to its outstanding floating-rate debt and lead to higher interest rates on new fixed-rate debt.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in an increasing interest rate environment the fixed rates the Company can obtain with such replacement fixed-rate cap and swap agreements or the fixed-rate on new debt will also continue to increase.</w:t>
      </w:r>
    </w:p>
    <w:p>
      <w:pPr>
        <w:spacing w:after="0" w:line="238"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recent years, a number of companies in the retail industry, including some of the Company’s Anchors, have declared bankruptcy, have gone out of business or have significantly reduced the number of their retail stores. Store closures by an Anchor may impact the Company’s Centers more holistically by causing other Anchors and/or certain other tenants to terminate their leases, receive reduced rent and/or cease operating their stores at the Center.</w:t>
      </w:r>
    </w:p>
    <w:p>
      <w:pPr>
        <w:spacing w:after="0" w:line="230"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On October 15, 2018, Sears filed for bankruptcy and announced additional store closings. At the time of the bankruptcy filing, the Company had twenty-one Sears stores in its portfolio totaling approximately 3.1 million square feet and accounted for less than 1% of the Company’s total leasing revenue. The twenty-one stores included seven owned by the Company, nine owned by the Company’s joint venture with Seritage Growth Properties (“Seritage”), one store that was owned by Sears and four stores that were owned by Seritage. Although, in the short-term, the bankruptcy of an Anchor such as Sears may lead to lost base rent and the triggering of co-tenancy clauses, there is also the potential to create additional future value through the recapturing of space and releasing that space to new tenants at higher rent per square foot, which the Company has demonstrated through its joint venture with Seritage and the completed redevelopment of a former Sears store at Kings Plaza Shopping Center in July 2018.</w:t>
      </w:r>
    </w:p>
    <w:p>
      <w:pPr>
        <w:spacing w:after="0" w:line="243"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As of June 30, 2019, the Company recaptured ten Sears locations, including seven through its joint venture with Seritage, through formal lease rejections and lease terminations. The Company currently anticipates aggregate redevelopment investments at these locations of $250 million to $300 million (at the Company's pro rata share) over the next several years. New tenants are expected to open at several projects in late 2020.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June 30, 2019 and 2018</w:t>
      </w:r>
    </w:p>
    <w:p>
      <w:pPr>
        <w:spacing w:after="0" w:line="2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8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Leasing revenue decreased by $6.0 million, or 2.8%, from 2018 to 2019. The decrease in leasing revenue is attributed to decreases of $4.3 million from the Same Centers, $0.7 million from the Disposition Property, $0.6 million from the JV Transition Center and $0.4 million from the Redevelopment Properties. Leasing revenue includes the amortization of above and below-market leases, the amortization of straight-line rents and lease termination income. The amortization of above and below-market leases increased from $1.9 million in 2018 to $4.1 million in 2019. The amortization of straight-line rents decreased from $2.7 million in 2018 to $1.5 million in 2019. Lease termination income increased from $1.7 million in 2018 to $2.6 million in 2019. Leasing revenue also includes a provision for bad debts of $2.0 million in 2019 (See "Other Transactions and Events" in Management's Overview and Summary). The decrease in leasing revenue at the Same Centers is primarily due to the inclusion of the provision for bad debts in 2019 and a decrease in property tax recoveries.</w:t>
      </w:r>
    </w:p>
    <w:p>
      <w:pPr>
        <w:spacing w:after="0" w:line="239"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Management Companies' revenue decreased from $10.5 million in 2018 to $9.1 million in 2019. The decrease in Management Companies' revenue is primarily due to a decrease in development fees from unconsolidated joint ventures.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28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Shopping center and operating expenses decreased $4.0 million, or 5.8%, from 2018 to 2019. The decrease in shopping center and operating expenses is attributed to decreases of $3.2 million from the Same Centers, $0.4 million from the Redevelopment Properties and $0.4 million from the Disposition Property. The decrease in shopping center and operating expenses at the Same Centers is primarily due to the exclusion of bad debt expense in 2019 (See "Other Transactions and Events" in Management's Overview and Summary) and a decrease in property taxes.</w:t>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281"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Leasing expenses increased from $2.7 million in 2018 to $7.7 million in 2019. The increase in leasing expenses is due to the Company's adoption of ASC 842 in 2019 (See "Other Transactions and Events" in Management's Overview and Summary).</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281"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Management Companies' operating expenses decreased $2.6 million from 2018 to 2019 primarily due to a decrease in payroll and share and unit-based compensation expense.</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REIT general and administrative expenses decreased $0.4 million from 2018 to 2019.</w:t>
      </w: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Costs Related to Shareholder Activism:</w:t>
      </w:r>
    </w:p>
    <w:p>
      <w:pPr>
        <w:spacing w:after="0" w:line="281"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Company incurred $19.4 million in costs related to shareholder activism in 2018 (See "Other Transactions and Events" in Management's Overview and Summary).</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increased $3.5 million from 2018 to 2019. The increase in depreciation and amortization is attributed to an increase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million from the Same Centers offset in part by decreases of $0.3 million from the Disposition Property, $0.1 million from the Redevelopment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$0.1 million from the JV Transition Center.</w:t>
      </w:r>
    </w:p>
    <w:p>
      <w:pPr>
        <w:spacing w:after="0" w:line="2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81"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Interest expense decreased $1.8 million from 2018 to 2019. The decrease in interest expense is attributed to a decrease of $8.4 million from the Financing Arrangement (See "Other Transactions and Events" in Management's Overview and Summary) offset in part by increases of $3.9 million from the Same Centers and $2.7 million from the borrowings under the Company's line of credit. The decrease in interest expense from the Financing Arrangement is primarily due to the change in fair value of the underlying properties and the mortgage notes payable on the underlying properties. The increase in interest expense at the Same Centers is primarily due to the decrease in capitalized interest, which decreased from $4.7 million in 2018 to $2.1 million in 2019. The decrease in capitalized interest is primarily due to the completion of the redevelopment of the former Sears store at Kings Plaza Shopping Center in 2018.</w:t>
      </w:r>
    </w:p>
    <w:p>
      <w:pPr>
        <w:spacing w:after="0" w:line="2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Equity in Income of Unconsolidated Joint Ventures:</w:t>
      </w:r>
    </w:p>
    <w:p>
      <w:pPr>
        <w:spacing w:after="0" w:line="281" w:lineRule="exact"/>
        <w:rPr>
          <w:sz w:val="20"/>
          <w:szCs w:val="20"/>
          <w:color w:val="auto"/>
        </w:rPr>
      </w:pPr>
    </w:p>
    <w:p>
      <w:pPr>
        <w:jc w:val="both"/>
        <w:ind w:right="300" w:firstLine="432"/>
        <w:spacing w:after="0" w:line="282" w:lineRule="auto"/>
        <w:rPr>
          <w:sz w:val="20"/>
          <w:szCs w:val="20"/>
          <w:color w:val="auto"/>
        </w:rPr>
      </w:pPr>
      <w:r>
        <w:rPr>
          <w:rFonts w:ascii="Times New Roman" w:cs="Times New Roman" w:eastAsia="Times New Roman" w:hAnsi="Times New Roman"/>
          <w:sz w:val="18"/>
          <w:szCs w:val="18"/>
          <w:color w:val="auto"/>
        </w:rPr>
        <w:t>Equity in income of unconsolidated joint ventures decreased $8.4 million from 2018 to 2019. The decrease in equity in income from unconsolidated joint ventures is primarily due to the write-down of intangible assets as a result of lease terminations at the Company's joint venture with Seritage in 2019.</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Loss on Sale or Write Down of Assets, net:</w:t>
      </w:r>
    </w:p>
    <w:p>
      <w:pPr>
        <w:spacing w:after="0" w:line="281"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loss on sale or write down of assets, net decreased $0.5 million from 2018 to 2019. The decrease in loss on sale or write down of assets, net is primarily due to $9.2 million of impairment losses on two freestanding stores and Southridge Center in 2018 offset in part by an increase of $8.4 million on the write-down of development costs in 2019. The impairment losses were due to the reduction in the estimated holding periods of the properties.</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81"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Net income increased $5.1 million from 2018 to 2019. The increase in net income is primarily due to the $19.4 million in costs related to shareholder activism in 2018 offset in part by the decrease of $8.4 million in equity in income from unconsolidated joint ventures, as discussed above.</w:t>
      </w:r>
    </w:p>
    <w:p>
      <w:pPr>
        <w:sectPr>
          <w:pgSz w:w="11900" w:h="16838" w:orient="portrait"/>
          <w:cols w:equalWidth="0" w:num="1">
            <w:col w:w="11420"/>
          </w:cols>
          <w:pgMar w:left="240" w:top="118"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281"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increased 6.3% from $125.7 million in 2018 to $133.6 million in 2019. For a reconciliation of net income attributable to the Company, the most directly comparable GAAP financial measure, to FFO attributable to common stockholders and unit holders and FFO attributable to common stockholders and unit holders—diluted, see "Funds From Operations ("FFO")"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2019 and 2018</w:t>
      </w:r>
    </w:p>
    <w:p>
      <w:pPr>
        <w:spacing w:after="0" w:line="2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81" w:lineRule="exact"/>
        <w:rPr>
          <w:sz w:val="20"/>
          <w:szCs w:val="20"/>
          <w:color w:val="auto"/>
        </w:rPr>
      </w:pPr>
    </w:p>
    <w:p>
      <w:pPr>
        <w:ind w:right="260" w:firstLine="432"/>
        <w:spacing w:after="0" w:line="255" w:lineRule="auto"/>
        <w:rPr>
          <w:sz w:val="20"/>
          <w:szCs w:val="20"/>
          <w:color w:val="auto"/>
        </w:rPr>
      </w:pPr>
      <w:r>
        <w:rPr>
          <w:rFonts w:ascii="Times New Roman" w:cs="Times New Roman" w:eastAsia="Times New Roman" w:hAnsi="Times New Roman"/>
          <w:sz w:val="18"/>
          <w:szCs w:val="18"/>
          <w:color w:val="auto"/>
        </w:rPr>
        <w:t>Leasing revenue decreased by $13.1 million, or 3.0%, from 2018 to 2019. The decrease in leasing revenue is attributed to decreases of $7.1 million from the Same Centers, $3.0 million from the JV Transition Center, $2.2 million from the Disposition Property and $0.8 million from the Redevelopment Properties. The amortization of above and below-market leases increased from $1.8 million in 2018 to $4.6 million in 2019. Straight-line rents decreased from $5.4 million in 2018 to $3.9 million in 2019. Lease termination income decreased from $3.4 million in 2018 to $3.2 million in 2019. Leasing revenue also includes a provision for bad debts of $3.8 million in 2019 (See "Other Transactions and Events" in Management's Overview and Summary). The decrease in leasing revenue at the Same Centers is primarily due to the inclusion of the provision for bad debts in 2019 and a decrease in property tax recoveries.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Companies' revenue decreased from $21.0 million in 2018 to $19.3 million in 2019.</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28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Shopping center and operating expenses decreased $8.9 million, or 6.2%, from 2018 to 2019. The decrease in shopping center and operating expenses is attributed to decreases of $5.7 million from the Same Centers, $1.5 million from the JV Transition Center, $1.2 million from the Disposition Property and $0.5 million from the Redevelopment Properties. The decrease in shopping center and operating expenses at the Same Centers is primarily due to the exclusion of bad debt expense in 2019 (See "Other Transactions and Events" in Management's Overview and Summary) and a decrease in property taxes.</w:t>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281"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Leasing expenses increased from $6.0 million in 2018 to $15.2 million in 2019. The increase in leasing expenses is due to the Company's adoption of ASC 842 in 2019 (See "Other Transactions and Events" in Management's Overview and Summary).</w:t>
      </w: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28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Management Companies' operating expenses decreased $18.6 million from 2018 to 2019. The decrease is attributed to a one-time charge of $12.7 million in connection with the Company's reduction in work force in 2018 (See "Other Transactions and Events" in Management's Overview and Summary) and the subsequent reduction in payroll and share and unit-based compensation costs.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REIT general and administrative expenses decreased $1.4 million from 2018 to 2019 due to a reduction in compensation costs.</w:t>
      </w: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Costs Related to Shareholder Activism:</w:t>
      </w:r>
    </w:p>
    <w:p>
      <w:pPr>
        <w:spacing w:after="0" w:line="281"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Company incurred $19.4 million in costs related to shareholder activism in 2018 (See "Other Transactions and Events" in Management's Overview and Summary).</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81"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$5.0 million from 2018 to 2019. The increase in depreciation and amortization is attributed to an increase of $7.2 million from the Same Centers offset in part by decreases of $1.2 million from the JV Transition Center, $0.7 million from the Disposition Property and $0.3 million from the Redevelopment Properties.</w:t>
      </w:r>
    </w:p>
    <w:p>
      <w:pPr>
        <w:sectPr>
          <w:pgSz w:w="11900" w:h="16838" w:orient="portrait"/>
          <w:cols w:equalWidth="0" w:num="1">
            <w:col w:w="11420"/>
          </w:cols>
          <w:pgMar w:left="240" w:top="118"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81"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Interest expense decreased $16.1 million from 2018 to 2019. The decrease in interest expense was attributed to decreases of $26.8 million from the Financing Arrangement (See "Other Transactions and Events" in Management's Overview and Summary) and $0.9 million from the JV Transition Center offset in part by increases of $6.6 million from the Same Centers, $0.9 million from the Redevelopment Properties and $4.1 million from borrowings under the Company's line of credit. The decrease in interest expense from the Financing Arrangement is primarily due to the change in fair value of the underlying properties and the mortgage notes payable on the underlying properties. The increase in interest expense at the Same Centers is primarily due to the new loan on Fashion Outlets of Chicago (See "Financing Activities" in Management's Overview and Summary) and the decrease in capitalized interest, which decreased from $9.0 million in 2018 to $4.9 million in 2019. The decrease in capitalized interest is primarily due to the completion of the redevelopment of the former Sears store at Kings Plaza Shopping Center in 2018.</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Equity in Income of Unconsolidated Joint Ventures:</w:t>
      </w:r>
    </w:p>
    <w:p>
      <w:pPr>
        <w:spacing w:after="0" w:line="281"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Equity in income of unconsolidated joint ventures decreased $13.0 million from 2018 to 2019. The decrease in equity in income from unconsolidated joint ventures is primarily due to the write-down of intangible assets as a result of lease terminations at the Company's joint venture with Seritage in 2019, the gain of $2.8 million on the sale of an ownership interest in a building at Fashion District Philadelphia in 2018 (See "Acquisitions and Dispositions" in Management's Overview and Summary) and interest expense from the loan placed on Broadway Plaza in 2018 (See "Financing Activities" in Management's Overview and Summary).</w:t>
      </w:r>
    </w:p>
    <w:p>
      <w:pPr>
        <w:spacing w:after="0" w:line="2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Loss on Sale or Write Down of Assets, net:</w:t>
      </w:r>
    </w:p>
    <w:p>
      <w:pPr>
        <w:spacing w:after="0" w:line="281"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Loss on sale or write down of assets, net decreased $31.7 million from 2018 to 2019. The decrease in loss on sale or write down of assets, net is primarily due to the $46.5 million in impairment losses on SouthPark Mall, Promenade at Casa Grande, Southridge Center and two freestanding stores in 2018 offset in part by a $13.7 million increase in the write down of development costs. The impairment losses were due to the reduction in the estimated holding periods of the properties.</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8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change in net income (loss) was $48.3 million from 2018 to 2019, resulting from net loss of $25.5 million in 2018 and net income of $22.8 million in 2019. The change in net income (loss) is primarily due to the $31.7 million decrease in loss on sale or write down of assets and the $19.4 million in costs related to shareholder activism in 2018, as discussed above.</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28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increased 2.6% from $249.2 million in 2018 to $255.6 million in 2019. For a reconciliation of net income (loss) attributable to the Company, the most directly comparable GAAP financial measure, to FFO attributable to common stockholders and unit holders and FFO attributable to common stockholders and unit holders—diluted, see "Funds From Operations ("FFO")" below.</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81"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increased $0.2 million from 2018 to 2019. The increase is primarily due to the changes in assets and liabilities and the results as discussed above.</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8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Cash provided by investing activities decreased $289.0 million from 2018 to 2019. The decrease in cash provided by investing activities is primarily attributed to a decrease in distributions from unconsolidated joint ventures of $356.7 million offset in part by an increase in proceeds from notes receivable of $65.0 million. The decrease in distributions from unconsolidated joint ventures is primarily due to the distribution of the Company's share of proceeds from the loans placed on Broadway Plaza and Fashion District Philadelphia (See "Financing Activities" in Management's Overview and Summary) and the sale of an ownership interest in an office building at Fashion District Philadelphia (See "Acquisitions and Dispositions" in Management's Overview and Summary) in 2018. The increase in proceeds from notes receivable is due to the repayment of the note receivable from the Lennar Corporation in 2019 (See Note 18— Related Party Transactions in the Company's Notes to Consolidated Financial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8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decreased $288.5 million from 2018 to 2019. The decrease in cash used in financing activities is primarily due to an increase in proceeds from mortgages, bank and other notes payable of $781.0 million offset in part by an increase in payments on mortgages, bank and other notes payable of $444.2 million.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through cash generated from operations, distributions from unconsolidated joint ventures, working capital reserves and/or borrowings under its unsecured line of credit. The following tables summarize capital expenditures incurred at the Centers (at the Company's pro rata share):</w:t>
      </w:r>
    </w:p>
    <w:p>
      <w:pPr>
        <w:spacing w:after="0" w:line="238"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5"/>
        </w:trPr>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17,539</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82,281</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allowances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leasing charges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r>
      <w:tr>
        <w:trPr>
          <w:trHeight w:val="237"/>
        </w:trPr>
        <w:tc>
          <w:tcPr>
            <w:tcW w:w="5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115,726</w:t>
            </w:r>
          </w:p>
        </w:tc>
      </w:tr>
      <w:tr>
        <w:trPr>
          <w:trHeight w:val="67"/>
        </w:trPr>
        <w:tc>
          <w:tcPr>
            <w:tcW w:w="5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Joint Venture Centers: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59,655</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allowances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leasing charges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37"/>
        </w:trPr>
        <w:tc>
          <w:tcPr>
            <w:tcW w:w="5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73,138</w:t>
            </w: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comparable or less than 2018 and that capital for those expenditures will be available from working capital, cash flow from operations, borrowings on property specific debt or unsecured corporate borrowings. Although the amounts incurred for deferred leasing charges during the next twelve months are expected to be comparable or less than 2018, the Company began expensing a significant portion of its leasing costs in 2019 in accordance with its adoption of ASC 842 (See "Other Transactions and Events" in Management's Overview and Summary). The Company expects to incur between $250 million and $350 million during the next twelve months for development, redevelopment, expansion and renovations. Capital for these major expenditures, developments and/or redevelopments has been, and is expected to continue to be, obtained from a combination of debt or equity financings, which are expected to include borrowings under the Company's line of credit and construction loans.</w:t>
      </w:r>
    </w:p>
    <w:p>
      <w:pPr>
        <w:spacing w:after="0" w:line="239"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For example, the Company's sales of ownership interests in One Westside and an office building at Fashion District Philadelphia (See "Acquisitions and Dispositions" in Management's Overview and Summary), the sales of The Market at Estrella Falls and Promenade at Casa Grande, and the financing of Fashion Outlets of Chicago, Fashion District Philadelphia, Broadway Plaza, SanTan Village Regional Center and Chandler Fashion Center (See "Financing Activities" in Management's Overview and Summary). The Company used the proceeds from these transactions to pay down its line of credit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 The Company expects any additional repurchases of the Company's common stock under the 2017 Stock Buyback Program to be funded by future sales of non-core assets, borrowings under its line of credit and/or refinancing transactions.</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As demonstrated by the Company's recent activity as discussed below,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 the event that the Company has significant tenant defaults as a result of the overall economy and general market conditions, the Company could have a decrease in cash flow from operations, which could result in increased borrowings under its line of credit. These events could result in an increase in the Company's proportion of floating rate debt, which would cause it to be subject to interest rate fluctuations in the future.</w:t>
      </w:r>
    </w:p>
    <w:p>
      <w:pPr>
        <w:spacing w:after="0" w:line="243"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June 30, 2019 was $7.9 billion (consisting of $5.1 billion of consolidated debt, less $360.6 million of noncontrolling interests, plus $3.2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23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243" w:lineRule="exact"/>
        <w:rPr>
          <w:sz w:val="20"/>
          <w:szCs w:val="20"/>
          <w:color w:val="auto"/>
        </w:rPr>
      </w:pPr>
    </w:p>
    <w:p>
      <w:pPr>
        <w:ind w:right="280" w:firstLine="432"/>
        <w:spacing w:after="0" w:line="254" w:lineRule="auto"/>
        <w:rPr>
          <w:sz w:val="20"/>
          <w:szCs w:val="20"/>
          <w:color w:val="auto"/>
        </w:rPr>
      </w:pPr>
      <w:r>
        <w:rPr>
          <w:rFonts w:ascii="Times New Roman" w:cs="Times New Roman" w:eastAsia="Times New Roman" w:hAnsi="Times New Roman"/>
          <w:sz w:val="18"/>
          <w:szCs w:val="18"/>
          <w:color w:val="auto"/>
        </w:rPr>
        <w:t>The Company has a $1.5 billion revolving line of credit facility that bears interest at LIBOR plus a spread of 1.30% to 1.90%, depending on the Company's overall leverage level, and matures on July 6, 2020 with a one-year extension option. The line of credit can be expanded, depending on certain conditions, up to a total facility of $2.0 billion. All obligations under the facility are unconditionally guaranteed only by the Company. Based on the Company's leverage level as of June 30, 2019, the borrowing rate on the facility was LIBOR plus 1.45%. The Company has four interest rate swap agreements that effectively convert a total of $400.0 million of the outstanding balance from floating rate debt of LIBOR plus 1.45% to fixed rate debt of</w:t>
      </w:r>
    </w:p>
    <w:p>
      <w:pPr>
        <w:spacing w:after="0" w:line="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4.30% until September 30, 2021. At June 30, 2019, total borrowings under the line of credit were $810.0 million less unamortized deferred finance costs of $3.9 million with a total interest rate of 4.18%. The Company's availability under the line of credit was $689.7 million at June 30, 2019.</w:t>
      </w:r>
    </w:p>
    <w:p>
      <w:pPr>
        <w:spacing w:after="0" w:line="23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Cash dividends and distributions for the six months ended June 30, 2019 were $244.6 million. A total of $165.1 million was funded by operations. The remaining $79.5 million was funded from distributions from unconsolidated joint ventures, which were included in the cash flows from investing activities section of the Company's Consolidated Statement of Cash Flows.</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June 30, 2019, the Company was in compliance with all applicable loan covenants under its agreements.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June 30, 2019, the Company had cash and cash equivalents of $104.9 million.</w:t>
      </w: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216"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As of June 30, 2019, one of the Company's joint ventures has $125.0 million of debt that could become recourse to the Company, should the joint venture be unable to discharge the obligation of the related debt.</w:t>
      </w:r>
    </w:p>
    <w:p>
      <w:pPr>
        <w:spacing w:after="0" w:line="21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Additionally, as of June 30, 2019, the Company was contingently liable for $65.8 million in letters of credit guaranteeing performance by the Company of certain obligations relating to the Centers. The Company does not believe that these letters of credit will result in a liability to the Company.</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18" w:right="27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8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schedule of contractual obligations as of June 30, 2019 for the consolidated Centers over the periods in which they are expected to be paid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2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2"/>
                <w:szCs w:val="12"/>
                <w:color w:val="auto"/>
              </w:rPr>
            </w:pPr>
          </w:p>
        </w:tc>
        <w:tc>
          <w:tcPr>
            <w:tcW w:w="8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3 - 5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2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6"/>
                <w:szCs w:val="16"/>
                <w:color w:val="auto"/>
              </w:rPr>
            </w:pPr>
          </w:p>
        </w:tc>
        <w:tc>
          <w:tcPr>
            <w:tcW w:w="9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 (includes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interest payments)(1)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6,060,394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2,182,172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2,719,916</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liabilities(2)</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obligations(3)</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6,563,090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2,893,898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June 30, 2019.</w:t>
      </w:r>
    </w:p>
    <w:p>
      <w:pPr>
        <w:spacing w:after="0" w:line="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w:t>
      </w:r>
      <w:r>
        <w:rPr>
          <w:rFonts w:ascii="Times New Roman" w:cs="Times New Roman" w:eastAsia="Times New Roman" w:hAnsi="Times New Roman"/>
          <w:sz w:val="18"/>
          <w:szCs w:val="18"/>
          <w:color w:val="auto"/>
        </w:rPr>
        <w:t>Leases</w:t>
      </w:r>
      <w:r>
        <w:rPr>
          <w:rFonts w:ascii="Times New Roman" w:cs="Times New Roman" w:eastAsia="Times New Roman" w:hAnsi="Times New Roman"/>
          <w:sz w:val="16"/>
          <w:szCs w:val="16"/>
          <w:color w:val="auto"/>
        </w:rPr>
        <w:t xml:space="preserve"> in the Company's Notes to Consolidated Financial Statements.</w:t>
      </w:r>
    </w:p>
    <w:p>
      <w:pPr>
        <w:spacing w:after="0" w:line="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17—Commitments and Contingencies in the Company's Notes to Consolidated Financial Statements.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283"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 related to the changes in fair value and for the payments to the joint venture partner less than or in excess of their pro rata share of net income. Although the Nareit definition of FFO predates this guidance for accounting for financing arrangements, the Company believes that excluding the noted expense resulting from the Financing Arrangement is consistent with the key objective of FFO as a performance measure and it allows the Company’s current FFO to be comparable with the Company’s FFO from prior quarters. Adjustments for unconsolidated joint ventures are calculated to reflect FFO on the same basis. The Company also presents FFO excluding extinguishment of debt, net and costs related to shareholder activism.</w:t>
      </w:r>
    </w:p>
    <w:p>
      <w:pPr>
        <w:spacing w:after="0" w:line="24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non-routine costs associated with extinguishment of debt provides useful supplemental information regarding the Company’s performance as it shows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243"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230"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 income and considered in addition to cash flows in accordance with GAAP, as presented in the Company's consolidated financial statements.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 (Continued)</w:t>
      </w:r>
    </w:p>
    <w:p>
      <w:pPr>
        <w:spacing w:after="0" w:line="283"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following reconciles net income (loss) attributable to the Company to FFO and FFO-diluted attributable to common stockholders and unit holders-basic and diluted, excluding loss on early extinguishment of debt, for the three and six months ended June 30, 2019 and 2018 (dollars and shares in thousands):</w:t>
      </w:r>
    </w:p>
    <w:p>
      <w:pPr>
        <w:spacing w:after="0" w:line="238"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180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the Company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23,558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attributable to the Company to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sale or write down of assets, net—consolidated assets</w:t>
            </w: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15,375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 noncontrolling interests share of (loss) gain on sale or write down of</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assets—consolidated assets</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(gain) on sale or write down of assets—unconsolidated joint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ventures, net(1)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 gain (loss) on sale of undepreciated assets—unconsolidated joint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ventures(1)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163,853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consolidated assets</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133,641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255,575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249,201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extinguishment of debt, net—consolidated assets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 excluding loss</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 extinguishment of debt—basic and diluted</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133,641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255,926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249,201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Costs related to shareholder activism</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 excluding loss</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 extinguishment of debt and costs related to shareholder activism—basic</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133,641</w:t>
            </w:r>
          </w:p>
        </w:tc>
        <w:tc>
          <w:tcPr>
            <w:tcW w:w="120" w:type="dxa"/>
            <w:vAlign w:val="bottom"/>
          </w:tcPr>
          <w:p>
            <w:pPr>
              <w:spacing w:after="0"/>
              <w:rPr>
                <w:sz w:val="17"/>
                <w:szCs w:val="17"/>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145,057</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255,926</w:t>
            </w:r>
          </w:p>
        </w:tc>
        <w:tc>
          <w:tcPr>
            <w:tcW w:w="100" w:type="dxa"/>
            <w:vAlign w:val="bottom"/>
          </w:tcPr>
          <w:p>
            <w:pPr>
              <w:spacing w:after="0"/>
              <w:rPr>
                <w:sz w:val="17"/>
                <w:szCs w:val="17"/>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268,570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and diluted</w:t>
            </w:r>
          </w:p>
        </w:tc>
        <w:tc>
          <w:tcPr>
            <w:tcW w:w="12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gridSpan w:val="2"/>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151,760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151,718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151,426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and unit based compensation plans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holders—diluted(3)</w:t>
            </w: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5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275" w:lineRule="exact"/>
        <w:rPr>
          <w:rFonts w:ascii="Times New Roman" w:cs="Times New Roman" w:eastAsia="Times New Roman" w:hAnsi="Times New Roman"/>
          <w:sz w:val="16"/>
          <w:szCs w:val="16"/>
          <w:color w:val="auto"/>
        </w:rPr>
      </w:pPr>
    </w:p>
    <w:p>
      <w:pPr>
        <w:ind w:left="420" w:right="240" w:hanging="412"/>
        <w:spacing w:after="0" w:line="281" w:lineRule="auto"/>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Includes 10.4 million OP Units for the three months ended June 30, 2019 and 2018, and 10.4 million and 10.3 million OP Units for the six months ended June 30, 2019 and 2018, respectively.</w:t>
      </w:r>
    </w:p>
    <w:p>
      <w:pPr>
        <w:spacing w:after="0" w:line="217" w:lineRule="exact"/>
        <w:rPr>
          <w:rFonts w:ascii="Times New Roman" w:cs="Times New Roman" w:eastAsia="Times New Roman" w:hAnsi="Times New Roman"/>
          <w:sz w:val="16"/>
          <w:szCs w:val="16"/>
          <w:color w:val="auto"/>
        </w:rPr>
      </w:pPr>
    </w:p>
    <w:p>
      <w:pPr>
        <w:ind w:left="420" w:hanging="412"/>
        <w:spacing w:after="0" w:line="281" w:lineRule="auto"/>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18" w:right="27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7" w:lineRule="exact"/>
        <w:rPr>
          <w:sz w:val="20"/>
          <w:szCs w:val="20"/>
          <w:color w:val="auto"/>
        </w:rPr>
      </w:pPr>
    </w:p>
    <w:p>
      <w:pPr>
        <w:ind w:right="120" w:firstLine="8"/>
        <w:spacing w:after="0" w:line="254"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240"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June 30, 2019 concerning the Company's long-term debt obligations, including principal cash flows by scheduled maturity, weighted average interest rates and estimated fair value (dollars in thousands):</w:t>
      </w:r>
    </w:p>
    <w:p>
      <w:pPr>
        <w:spacing w:after="0" w:line="304"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1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twelve months ended June 30,</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40" w:type="dxa"/>
            <w:vAlign w:val="bottom"/>
          </w:tcPr>
          <w:p>
            <w:pPr>
              <w:spacing w:after="0"/>
              <w:rPr>
                <w:sz w:val="22"/>
                <w:szCs w:val="22"/>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37"/>
        </w:trPr>
        <w:tc>
          <w:tcPr>
            <w:tcW w:w="14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Fixed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467,564</w:t>
            </w:r>
          </w:p>
        </w:tc>
        <w:tc>
          <w:tcPr>
            <w:tcW w:w="1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589,431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360,831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25,845</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6,995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2,439,732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3,890,398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3,942,814</w:t>
            </w:r>
          </w:p>
        </w:tc>
        <w:tc>
          <w:tcPr>
            <w:tcW w:w="0" w:type="dxa"/>
            <w:vAlign w:val="bottom"/>
          </w:tcPr>
          <w:p>
            <w:pPr>
              <w:spacing w:after="0"/>
              <w:rPr>
                <w:sz w:val="1"/>
                <w:szCs w:val="1"/>
                <w:color w:val="auto"/>
              </w:rPr>
            </w:pPr>
          </w:p>
        </w:tc>
      </w:tr>
      <w:tr>
        <w:trPr>
          <w:trHeight w:val="275"/>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Average interest rate</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Floating rate</w:t>
            </w:r>
          </w:p>
        </w:tc>
        <w:tc>
          <w:tcPr>
            <w:tcW w:w="160" w:type="dxa"/>
            <w:vAlign w:val="bottom"/>
          </w:tcPr>
          <w:p>
            <w:pPr>
              <w:spacing w:after="0"/>
              <w:rPr>
                <w:sz w:val="23"/>
                <w:szCs w:val="2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810,000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1,240,000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1,256,264</w:t>
            </w:r>
          </w:p>
        </w:tc>
        <w:tc>
          <w:tcPr>
            <w:tcW w:w="0" w:type="dxa"/>
            <w:vAlign w:val="bottom"/>
          </w:tcPr>
          <w:p>
            <w:pPr>
              <w:spacing w:after="0"/>
              <w:rPr>
                <w:sz w:val="1"/>
                <w:szCs w:val="1"/>
                <w:color w:val="auto"/>
              </w:rPr>
            </w:pPr>
          </w:p>
        </w:tc>
      </w:tr>
      <w:tr>
        <w:trPr>
          <w:trHeight w:val="275"/>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Average interest rate</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4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debt—</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467,564</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719,431</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1,170,831</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325,845</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6,995</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2,439,732</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5,130,398</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5,199,078</w:t>
            </w:r>
          </w:p>
        </w:tc>
        <w:tc>
          <w:tcPr>
            <w:tcW w:w="0" w:type="dxa"/>
            <w:vAlign w:val="bottom"/>
          </w:tcPr>
          <w:p>
            <w:pPr>
              <w:spacing w:after="0"/>
              <w:rPr>
                <w:sz w:val="1"/>
                <w:szCs w:val="1"/>
                <w:color w:val="auto"/>
              </w:rPr>
            </w:pPr>
          </w:p>
        </w:tc>
      </w:tr>
      <w:tr>
        <w:trPr>
          <w:trHeight w:val="225"/>
        </w:trPr>
        <w:tc>
          <w:tcPr>
            <w:tcW w:w="1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Consolidated Centers</w:t>
            </w:r>
          </w:p>
        </w:tc>
        <w:tc>
          <w:tcPr>
            <w:tcW w:w="1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42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UNCONSOLIDATED</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Long-term debt (at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Company's pro rata</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Fixed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36,601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149,828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47,609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646,509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403,124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1,678,496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2,962,167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2,987,930</w:t>
            </w:r>
          </w:p>
        </w:tc>
        <w:tc>
          <w:tcPr>
            <w:tcW w:w="0" w:type="dxa"/>
            <w:vAlign w:val="bottom"/>
          </w:tcPr>
          <w:p>
            <w:pPr>
              <w:spacing w:after="0"/>
              <w:rPr>
                <w:sz w:val="1"/>
                <w:szCs w:val="1"/>
                <w:color w:val="auto"/>
              </w:rPr>
            </w:pPr>
          </w:p>
        </w:tc>
      </w:tr>
      <w:tr>
        <w:trPr>
          <w:trHeight w:val="265"/>
        </w:trPr>
        <w:tc>
          <w:tcPr>
            <w:tcW w:w="1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Average interest rate</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Floating rate</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11,250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51,183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158,750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230,583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234,433</w:t>
            </w:r>
          </w:p>
        </w:tc>
        <w:tc>
          <w:tcPr>
            <w:tcW w:w="0" w:type="dxa"/>
            <w:vAlign w:val="bottom"/>
          </w:tcPr>
          <w:p>
            <w:pPr>
              <w:spacing w:after="0"/>
              <w:rPr>
                <w:sz w:val="1"/>
                <w:szCs w:val="1"/>
                <w:color w:val="auto"/>
              </w:rPr>
            </w:pPr>
          </w:p>
        </w:tc>
      </w:tr>
      <w:tr>
        <w:trPr>
          <w:trHeight w:val="265"/>
        </w:trPr>
        <w:tc>
          <w:tcPr>
            <w:tcW w:w="1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Average interest rate</w:t>
            </w:r>
          </w:p>
        </w:tc>
        <w:tc>
          <w:tcPr>
            <w:tcW w:w="160" w:type="dxa"/>
            <w:vAlign w:val="bottom"/>
          </w:tcPr>
          <w:p>
            <w:pPr>
              <w:spacing w:after="0"/>
              <w:rPr>
                <w:sz w:val="23"/>
                <w:szCs w:val="23"/>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142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Total debt—</w:t>
            </w: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Unconsolidated Joint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36,601</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161,078</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98,792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805,259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412,524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1,678,496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3,192,750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3,222,363</w:t>
            </w:r>
          </w:p>
        </w:tc>
        <w:tc>
          <w:tcPr>
            <w:tcW w:w="0" w:type="dxa"/>
            <w:vAlign w:val="bottom"/>
          </w:tcPr>
          <w:p>
            <w:pPr>
              <w:spacing w:after="0"/>
              <w:rPr>
                <w:sz w:val="1"/>
                <w:szCs w:val="1"/>
                <w:color w:val="auto"/>
              </w:rPr>
            </w:pPr>
          </w:p>
        </w:tc>
      </w:tr>
      <w:tr>
        <w:trPr>
          <w:trHeight w:val="185"/>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Venture Centers</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consolidated Centers' total fixed rate debt at June 30, 2019 and December 31, 2018 was $3.9 billion and $3.5 billion, respectively. The average interest rate on such fixed rate debt at June 30, 2019 and December 31, 2018 was 3.95% and 3.82%, respectively. The consolidated Centers' total floating rate debt at June 30, 2019 and December 31, 2018 was $1.2 billion and $1.5 billion, respectively. The average interest rate on such floating rate debt at June 30, 2019 and December 31, 2018 was 4.03% and 4.00%, respectively.</w:t>
      </w:r>
    </w:p>
    <w:p>
      <w:pPr>
        <w:spacing w:after="0" w:line="23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June 30, 2019 and December 31, 2018 was $3.0 billion. The average interest rate on such fixed rate debt at June 30, 2019 and December 31, 2018 was 3.83%. The Company's pro rata share of the unconsolidated joint venture Centers' floating rate debt at June 30, 2019 and December 31, 2018 was $230.6 million and $221.4 million, respectively. The average interest rate on such floating rate debt at June 30, 2019 and December 31, 2018 was 4.23% and 4.13%, respectively.</w:t>
      </w:r>
    </w:p>
    <w:p>
      <w:pPr>
        <w:spacing w:after="0" w:line="23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June 30, 2019, the Company has one interest rate cap agreement and four interest rate swap agreements in place (See Note 5—Derivative Instruments and Hedging Activities in the Company's Notes to the Consolidated Financial Statements).</w:t>
      </w:r>
    </w:p>
    <w:p>
      <w:pPr>
        <w:spacing w:after="0" w:line="238"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$14.7 million per year based on $1.5 billion of floating rate debt outstanding at June 30, 2019.</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23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the event that LIBOR is discontinued, the interest rate for the variable rate debt of the Company and its joint ventures and the swap rate for the Company’s interest rate swaps following such event will be based on an alternative variable rate as specified in the applicable documentation governing such debt or swaps or as otherwise agreed upon. Such an event would not affect the Company’s ability to borrow or maintain already outstanding borrowings or swaps, but the alternative variable rate could be higher and more volatile than LIBOR prior to its discontinuance. The Company understands that LIBOR is expected to remain available through the end of 2021, but may be discontinued or otherwise become unavailable thereafter.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8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June 30, 2019,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239" w:lineRule="exact"/>
        <w:rPr>
          <w:sz w:val="20"/>
          <w:szCs w:val="20"/>
          <w:color w:val="auto"/>
        </w:rPr>
      </w:pPr>
    </w:p>
    <w:p>
      <w:pPr>
        <w:ind w:right="460" w:firstLine="432"/>
        <w:spacing w:after="0" w:line="26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60"/>
          </w:cols>
          <w:pgMar w:left="240" w:top="118" w:right="29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relating to the Company set forth under the caption "Item 1A. Risk Factors" in the Company's Annual Report on Form 10-K for the year ended December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Dollar Value of</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Shares That May</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Yet Be Purchased</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Paid per</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12"/>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Programs (1)</w:t>
            </w:r>
          </w:p>
        </w:tc>
      </w:tr>
      <w:tr>
        <w:trPr>
          <w:trHeight w:val="3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April 1, 2019 to April 30, 2019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278,707,048</w:t>
            </w:r>
          </w:p>
        </w:tc>
      </w:tr>
      <w:tr>
        <w:trPr>
          <w:trHeight w:val="243"/>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May 1, 2019 to May 31, 2019</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278,707,048</w:t>
            </w: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1, 2019 to June 30, 2019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278,707,048</w:t>
            </w:r>
          </w:p>
        </w:tc>
      </w:tr>
      <w:tr>
        <w:trPr>
          <w:trHeight w:val="244"/>
        </w:trPr>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37" w:lineRule="exact"/>
        <w:rPr>
          <w:sz w:val="20"/>
          <w:szCs w:val="20"/>
          <w:color w:val="auto"/>
        </w:rPr>
      </w:pPr>
    </w:p>
    <w:p>
      <w:pPr>
        <w:ind w:left="1220" w:right="60" w:hanging="564"/>
        <w:spacing w:after="0" w:line="281" w:lineRule="auto"/>
        <w:tabs>
          <w:tab w:leader="none" w:pos="1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80"/>
          </w:cols>
          <w:pgMar w:left="240" w:top="118" w:right="37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960" w:type="dxa"/>
            <w:vAlign w:val="bottom"/>
            <w:gridSpan w:val="2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6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96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20" w:type="dxa"/>
            <w:vAlign w:val="bottom"/>
            <w:tcBorders>
              <w:top w:val="single" w:sz="8" w:color="auto"/>
            </w:tcBorders>
            <w:gridSpan w:val="7"/>
          </w:tcPr>
          <w:p>
            <w:pPr>
              <w:jc w:val="right"/>
              <w:spacing w:after="0" w:line="201"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40" w:type="dxa"/>
            <w:vAlign w:val="bottom"/>
            <w:tcBorders>
              <w:top w:val="single" w:sz="8" w:color="auto"/>
            </w:tcBorders>
            <w:gridSpan w:val="32"/>
          </w:tcPr>
          <w:p>
            <w:pPr>
              <w:spacing w:after="0" w:line="201"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Master Agreement, dated November 14, 2014, by and among Pacific Premier Retail LP, MACPT LLC, Macerich PPR GP LLC, Queens JV</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LP, Macerich Queens JV LP, Queens JV GP LLC, 1700480 Ontario Inc. and the Company (incorporated by reference as an exhibit to the</w:t>
              </w:r>
            </w:hyperlink>
          </w:p>
        </w:tc>
        <w:tc>
          <w:tcPr>
            <w:tcW w:w="180" w:type="dxa"/>
            <w:vAlign w:val="bottom"/>
            <w:tcBorders>
              <w:top w:val="single" w:sz="8" w:color="0000FF"/>
            </w:tcBorders>
            <w:gridSpan w:val="5"/>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2"/>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Company’s Current Report on Form 8-K, event date November 14, 2014).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Articles of Amendment and Restatement of the Company (incorporated by reference as an exhibit to the Company's Registration Statement</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252"/>
        </w:trPr>
        <w:tc>
          <w:tcPr>
            <w:tcW w:w="10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Articles Supplementary of the Company (incorporated by reference as an exhibit to the Company's Current Report on Form 8-K, event date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May 30, 1995) (Filed in paper - hyperlink is not required pursuant to Rule 105 of Regulation S-T).</w:t>
            </w:r>
          </w:p>
        </w:tc>
        <w:tc>
          <w:tcPr>
            <w:tcW w:w="0" w:type="dxa"/>
            <w:vAlign w:val="bottom"/>
          </w:tcPr>
          <w:p>
            <w:pPr>
              <w:spacing w:after="0"/>
              <w:rPr>
                <w:sz w:val="1"/>
                <w:szCs w:val="1"/>
                <w:color w:val="auto"/>
              </w:rPr>
            </w:pPr>
          </w:p>
        </w:tc>
      </w:tr>
      <w:tr>
        <w:trPr>
          <w:trHeight w:val="230"/>
        </w:trPr>
        <w:tc>
          <w:tcPr>
            <w:tcW w:w="660" w:type="dxa"/>
            <w:vAlign w:val="bottom"/>
            <w:gridSpan w:val="4"/>
          </w:tcPr>
          <w:p>
            <w:pPr>
              <w:spacing w:after="0"/>
              <w:rPr>
                <w:sz w:val="19"/>
                <w:szCs w:val="19"/>
                <w:color w:val="auto"/>
              </w:rPr>
            </w:pPr>
          </w:p>
        </w:tc>
        <w:tc>
          <w:tcPr>
            <w:tcW w:w="36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r:id="rId14">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1.2</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Articles Supplementary of the Company (with respect to the first paragraph) (incorporated by reference as an exhibit to the Company's 1998</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4">
              <w:r>
                <w:rPr>
                  <w:rFonts w:ascii="Times New Roman" w:cs="Times New Roman" w:eastAsia="Times New Roman" w:hAnsi="Times New Roman"/>
                  <w:sz w:val="18"/>
                  <w:szCs w:val="18"/>
                  <w:color w:val="0000FF"/>
                  <w:w w:val="98"/>
                </w:rPr>
                <w:t>Form 10-K).</w:t>
              </w:r>
            </w:hyperlink>
          </w:p>
        </w:tc>
        <w:tc>
          <w:tcPr>
            <w:tcW w:w="93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r:id="rId15">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1.3</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Articles Supplementary of the Company (Series D Preferred Stock) (incorporated by reference as an exhibit to the Company's Current Report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on Form 8-K, event date July 26, 2002).</w:t>
              </w:r>
            </w:hyperlink>
          </w:p>
        </w:tc>
        <w:tc>
          <w:tcPr>
            <w:tcW w:w="73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r:id="rId16">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1.4</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Articles Supplementary of the Company (incorporated by reference as an exhibit to the Company's Registration Statement on Form S-3, as</w:t>
              </w:r>
            </w:hyperlink>
          </w:p>
        </w:tc>
        <w:tc>
          <w:tcPr>
            <w:tcW w:w="2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amended (No. 333-88718)).</w:t>
              </w:r>
            </w:hyperlink>
          </w:p>
        </w:tc>
        <w:tc>
          <w:tcPr>
            <w:tcW w:w="82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r:id="rId17">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1.5</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Articles of Amendment of the Company (declassification of Board) (incorporated by reference as an exhibit to the Company's 2008 Form 10-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7">
              <w:r>
                <w:rPr>
                  <w:rFonts w:ascii="Times New Roman" w:cs="Times New Roman" w:eastAsia="Times New Roman" w:hAnsi="Times New Roman"/>
                  <w:sz w:val="18"/>
                  <w:szCs w:val="18"/>
                  <w:color w:val="0000FF"/>
                  <w:w w:val="93"/>
                </w:rPr>
                <w:t>K).</w:t>
              </w:r>
            </w:hyperlink>
          </w:p>
        </w:tc>
        <w:tc>
          <w:tcPr>
            <w:tcW w:w="100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r:id="rId18">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1.6</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Articles Supplementary of the Company (incorporated by reference as an exhibit to the Company's Current Report on Form 8-K, event date</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2"/>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February 5, 2009).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r:id="rId19">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1.7</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Articles of Amendment of the Company (increased authorized shares) (incorporated by reference as an exhibit to the Company's Quarterly</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Report on Form 10-Q for the quarter ended June 30, 2009).</w:t>
              </w:r>
            </w:hyperlink>
          </w:p>
        </w:tc>
        <w:tc>
          <w:tcPr>
            <w:tcW w:w="59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r:id="rId20">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1.8</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Articles of Amendment of the Company (to eliminate the supermajority vote requirement to amend the charter and to clarify a reference in</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2"/>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Article NINTH) (incorporated by reference as an exhibit to the Company’s Current Report on Form 8-K, event date May 30, 2014).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4"/>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r:id="rId21">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1.9</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Articles Supplementary of the Company (election to be subject to Section 3-803 of the Maryland General Corporation Law) (incorporated by</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reference as an exhibit to the Company’s Current Report on Form 8-K, event date March 17, 2015).</w:t>
              </w:r>
            </w:hyperlink>
          </w:p>
        </w:tc>
        <w:tc>
          <w:tcPr>
            <w:tcW w:w="30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gridSpan w:val="7"/>
          </w:tcPr>
          <w:p>
            <w:pPr>
              <w:jc w:val="right"/>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1.10</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Articles Supplementary of the Company (Series E Preferred Stock) (incorporated by reference as an exhibit to the Company’s Current Report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on Form 8-K, event date March 18, 2015).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7"/>
          </w:tcPr>
          <w:p>
            <w:pPr>
              <w:jc w:val="right"/>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Articles Supplementary of the Company (reclassification of Series E Preferred Stock to Preferred Stock) (incorporated by reference as an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exhibit to the Company’s Current Report on Form 8-K, event date May 7, 2015).</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7"/>
          </w:tcPr>
          <w:p>
            <w:pPr>
              <w:jc w:val="right"/>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Articles Supplementary of the Company (repeal of election to be subject to Section 3-803 of the Maryland General Corporation Law)</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8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(incorporated by reference as an exhibit to the Company’s Current Report on Form 8-K, event date May 28, 2015).</w:t>
              </w:r>
            </w:hyperlink>
          </w:p>
        </w:tc>
        <w:tc>
          <w:tcPr>
            <w:tcW w:w="1340" w:type="dxa"/>
            <w:vAlign w:val="bottom"/>
            <w:tcBorders>
              <w:top w:val="single" w:sz="8" w:color="0000FF"/>
            </w:tcBorders>
            <w:gridSpan w:val="3"/>
          </w:tcPr>
          <w:p>
            <w:pPr>
              <w:spacing w:after="0"/>
              <w:rPr>
                <w:sz w:val="17"/>
                <w:szCs w:val="17"/>
                <w:color w:val="auto"/>
              </w:rPr>
            </w:pPr>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gridSpan w:val="7"/>
          </w:tcPr>
          <w:p>
            <w:pPr>
              <w:jc w:val="right"/>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1.13</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Articles Supplementary of the Company (opting out of provisions of Subtitle 8 of Title 3 of the Maryland General Corporate Law (MUTA</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provisions)) (incorporated by reference as an exhibit to the Company’s Current Report on Form 8-K, event date April 24, 2019).</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7"/>
          </w:tcPr>
          <w:p>
            <w:pPr>
              <w:jc w:val="right"/>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event date April 24, 2019).</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5"/>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95"/>
              </w:rPr>
            </w:pPr>
            <w:hyperlink w:anchor="page5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color w:val="0000FF"/>
                  <w:w w:val="99"/>
                </w:rPr>
                <w:t>Deferred Compensation Plan Amended &amp; Restated Trust Agreement between the Company and Wells Fargo Bank, National Association,</w:t>
              </w:r>
            </w:hyperlink>
          </w:p>
        </w:tc>
        <w:tc>
          <w:tcPr>
            <w:tcW w:w="34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2"/>
          </w:tcPr>
          <w:p>
            <w:pPr>
              <w:spacing w:after="0" w:line="196"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effective June 17, 2019.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9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7"/>
          </w:tcPr>
          <w:p>
            <w:pPr>
              <w:jc w:val="right"/>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Second Amendment to Amended &amp; Restated Employee Stock Purchase Plan, effective July 25, 2019.</w:t>
              </w:r>
            </w:hyperlink>
          </w:p>
        </w:tc>
        <w:tc>
          <w:tcPr>
            <w:tcW w:w="0" w:type="dxa"/>
            <w:vAlign w:val="bottom"/>
          </w:tcPr>
          <w:p>
            <w:pPr>
              <w:spacing w:after="0"/>
              <w:rPr>
                <w:sz w:val="1"/>
                <w:szCs w:val="1"/>
                <w:color w:val="auto"/>
              </w:rPr>
            </w:pPr>
          </w:p>
        </w:tc>
      </w:tr>
      <w:tr>
        <w:trPr>
          <w:trHeight w:val="250"/>
        </w:trPr>
        <w:tc>
          <w:tcPr>
            <w:tcW w:w="620" w:type="dxa"/>
            <w:vAlign w:val="bottom"/>
            <w:gridSpan w:val="3"/>
          </w:tcPr>
          <w:p>
            <w:pPr>
              <w:spacing w:after="0"/>
              <w:rPr>
                <w:sz w:val="21"/>
                <w:szCs w:val="21"/>
                <w:color w:val="auto"/>
              </w:rPr>
            </w:pPr>
          </w:p>
        </w:tc>
        <w:tc>
          <w:tcPr>
            <w:tcW w:w="80" w:type="dxa"/>
            <w:vAlign w:val="bottom"/>
            <w:tcBorders>
              <w:top w:val="single" w:sz="8" w:color="0000FF"/>
            </w:tcBorders>
            <w:gridSpan w:val="2"/>
          </w:tcPr>
          <w:p>
            <w:pPr>
              <w:spacing w:after="0"/>
              <w:rPr>
                <w:sz w:val="21"/>
                <w:szCs w:val="21"/>
                <w:color w:val="auto"/>
              </w:rPr>
            </w:pPr>
          </w:p>
        </w:tc>
        <w:tc>
          <w:tcPr>
            <w:tcW w:w="320" w:type="dxa"/>
            <w:vAlign w:val="bottom"/>
            <w:tcBorders>
              <w:top w:val="single" w:sz="8" w:color="0000FF"/>
              <w:bottom w:val="single" w:sz="8" w:color="0000FF"/>
            </w:tcBorders>
            <w:gridSpan w:val="2"/>
          </w:tcPr>
          <w:p>
            <w:pPr>
              <w:jc w:val="right"/>
              <w:spacing w:after="0"/>
              <w:rPr>
                <w:rFonts w:ascii="Times New Roman" w:cs="Times New Roman" w:eastAsia="Times New Roman" w:hAnsi="Times New Roman"/>
                <w:sz w:val="18"/>
                <w:szCs w:val="18"/>
                <w:color w:val="0000FF"/>
                <w:w w:val="95"/>
              </w:rPr>
            </w:pPr>
            <w:hyperlink w:anchor="page72">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hyperlink>
          </w:p>
        </w:tc>
        <w:tc>
          <w:tcPr>
            <w:tcW w:w="20" w:type="dxa"/>
            <w:vAlign w:val="bottom"/>
            <w:tcBorders>
              <w:bottom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2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72">
              <w:r>
                <w:rPr>
                  <w:rFonts w:ascii="Times New Roman" w:cs="Times New Roman" w:eastAsia="Times New Roman" w:hAnsi="Times New Roman"/>
                  <w:sz w:val="18"/>
                  <w:szCs w:val="18"/>
                  <w:color w:val="0000FF"/>
                  <w:w w:val="99"/>
                </w:rPr>
                <w:t>Section 302 Certification of Thomas O'Hern, Chief Executive Officer</w:t>
              </w:r>
            </w:hyperlink>
          </w:p>
        </w:tc>
        <w:tc>
          <w:tcPr>
            <w:tcW w:w="2300" w:type="dxa"/>
            <w:vAlign w:val="bottom"/>
            <w:tcBorders>
              <w:top w:val="single" w:sz="8" w:color="0000FF"/>
            </w:tcBorders>
            <w:gridSpan w:val="5"/>
          </w:tcPr>
          <w:p>
            <w:pPr>
              <w:spacing w:after="0"/>
              <w:rPr>
                <w:sz w:val="21"/>
                <w:szCs w:val="21"/>
                <w:color w:val="auto"/>
              </w:rPr>
            </w:pPr>
          </w:p>
        </w:tc>
        <w:tc>
          <w:tcPr>
            <w:tcW w:w="292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gridSpan w:val="5"/>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95"/>
              </w:rPr>
            </w:pPr>
            <w:hyperlink w:anchor="page73">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hyperlink>
          </w:p>
        </w:tc>
        <w:tc>
          <w:tcPr>
            <w:tcW w:w="20" w:type="dxa"/>
            <w:vAlign w:val="bottom"/>
            <w:tcBorders>
              <w:bottom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73">
              <w:r>
                <w:rPr>
                  <w:rFonts w:ascii="Times New Roman" w:cs="Times New Roman" w:eastAsia="Times New Roman" w:hAnsi="Times New Roman"/>
                  <w:sz w:val="18"/>
                  <w:szCs w:val="18"/>
                  <w:color w:val="0000FF"/>
                  <w:w w:val="99"/>
                </w:rPr>
                <w:t>Section 302 Certification of Scott Kingsmore, Chief Financial Officer</w:t>
              </w:r>
            </w:hyperlink>
          </w:p>
        </w:tc>
        <w:tc>
          <w:tcPr>
            <w:tcW w:w="520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500" w:type="dxa"/>
            <w:vAlign w:val="bottom"/>
            <w:tcBorders>
              <w:bottom w:val="single" w:sz="8" w:color="0000FF"/>
            </w:tcBorders>
            <w:gridSpan w:val="6"/>
          </w:tcPr>
          <w:p>
            <w:pPr>
              <w:jc w:val="right"/>
              <w:spacing w:after="0"/>
              <w:rPr>
                <w:rFonts w:ascii="Times New Roman" w:cs="Times New Roman" w:eastAsia="Times New Roman" w:hAnsi="Times New Roman"/>
                <w:sz w:val="18"/>
                <w:szCs w:val="18"/>
                <w:color w:val="0000FF"/>
                <w:w w:val="96"/>
              </w:rPr>
            </w:pPr>
            <w:hyperlink w:anchor="page74">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74">
              <w:r>
                <w:rPr>
                  <w:rFonts w:ascii="Times New Roman" w:cs="Times New Roman" w:eastAsia="Times New Roman" w:hAnsi="Times New Roman"/>
                  <w:sz w:val="18"/>
                  <w:szCs w:val="18"/>
                  <w:color w:val="0000FF"/>
                  <w:w w:val="99"/>
                </w:rPr>
                <w:t>Section 906 Certifications of Thomas O'Hern and Scott Kingsmore</w:t>
              </w:r>
            </w:hyperlink>
          </w:p>
        </w:tc>
        <w:tc>
          <w:tcPr>
            <w:tcW w:w="540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16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16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16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16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16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gridSpan w:val="11"/>
          </w:tcPr>
          <w:p>
            <w:pPr>
              <w:jc w:val="right"/>
              <w:ind w:right="148"/>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751"/>
        <w:spacing w:after="0" w:line="313" w:lineRule="auto"/>
        <w:tabs>
          <w:tab w:leader="none" w:pos="117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 Page Interactive Data File (formatted as Inline XBRL with applicable taxonomy extension information contained in Exhibits 101.*). </w:t>
      </w:r>
      <w:r>
        <w:rPr>
          <w:rFonts w:ascii="Times New Roman" w:cs="Times New Roman" w:eastAsia="Times New Roman" w:hAnsi="Times New Roman"/>
          <w:sz w:val="18"/>
          <w:szCs w:val="18"/>
          <w:color w:val="FF0000"/>
        </w:rPr>
        <w:t>*Represents a management contract, or compensatory plan, contract or arrangement required to be filed pursuant to Regulation S-K</w:t>
      </w:r>
    </w:p>
    <w:p>
      <w:pPr>
        <w:spacing w:after="0" w:line="5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240" w:top="118" w:right="45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63" w:lineRule="exact"/>
        <w:rPr>
          <w:sz w:val="20"/>
          <w:szCs w:val="20"/>
          <w:color w:val="auto"/>
        </w:rPr>
      </w:pPr>
    </w:p>
    <w:p>
      <w:pPr>
        <w:ind w:left="4940"/>
        <w:spacing w:after="0"/>
        <w:tabs>
          <w:tab w:leader="none" w:pos="7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34290</wp:posOffset>
            </wp:positionV>
            <wp:extent cx="365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color w:val="auto"/>
        </w:rPr>
        <w:t>Scott W. Kingsmore</w:t>
      </w:r>
    </w:p>
    <w:p>
      <w:pPr>
        <w:spacing w:after="0" w:line="61"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8"/>
          <w:szCs w:val="18"/>
          <w:i w:val="1"/>
          <w:iCs w:val="1"/>
          <w:color w:val="auto"/>
        </w:rPr>
        <w:t>Executive Vice President, Treasurer and Chief Financial Officer</w:t>
      </w:r>
    </w:p>
    <w:p>
      <w:pPr>
        <w:spacing w:after="0" w:line="63" w:lineRule="exact"/>
        <w:rPr>
          <w:sz w:val="20"/>
          <w:szCs w:val="20"/>
          <w:color w:val="auto"/>
        </w:rPr>
      </w:pPr>
    </w:p>
    <w:p>
      <w:pPr>
        <w:ind w:left="40"/>
        <w:spacing w:after="0"/>
        <w:tabs>
          <w:tab w:leader="none" w:pos="800" w:val="left"/>
          <w:tab w:leader="none" w:pos="7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2019</w:t>
      </w:r>
      <w:r>
        <w:rPr>
          <w:sz w:val="20"/>
          <w:szCs w:val="20"/>
          <w:color w:val="auto"/>
        </w:rPr>
        <w:tab/>
      </w:r>
      <w:r>
        <w:rPr>
          <w:rFonts w:ascii="Times New Roman" w:cs="Times New Roman" w:eastAsia="Times New Roman" w:hAnsi="Times New Roman"/>
          <w:sz w:val="17"/>
          <w:szCs w:val="17"/>
          <w:i w:val="1"/>
          <w:iCs w:val="1"/>
          <w:color w:val="auto"/>
        </w:rPr>
        <w:t>(Principal Financial Officer)</w:t>
      </w:r>
    </w:p>
    <w:p>
      <w:pPr>
        <w:spacing w:after="0" w:line="2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240" w:top="118" w:right="939" w:bottom="1440" w:gutter="0" w:footer="0" w:header="0"/>
        </w:sectPr>
      </w:pPr>
    </w:p>
    <w:bookmarkStart w:id="50" w:name="page51"/>
    <w:bookmarkEnd w:id="50"/>
    <w:p>
      <w:pPr>
        <w:ind w:left="862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MACERICH COMPANY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DEFERRED COMPENSATION PLAN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TRUST AGREEMENT</w:t>
      </w:r>
    </w:p>
    <w:p>
      <w:pPr>
        <w:spacing w:after="0" w:line="200" w:lineRule="exact"/>
        <w:rPr>
          <w:sz w:val="20"/>
          <w:szCs w:val="20"/>
          <w:color w:val="auto"/>
        </w:rPr>
      </w:pPr>
    </w:p>
    <w:p>
      <w:pPr>
        <w:spacing w:after="0" w:line="252"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22"/>
          <w:szCs w:val="22"/>
          <w:color w:val="auto"/>
        </w:rPr>
        <w:t>This Amended and Restated Trust Agreement (“Trust Agreement”) is made effective June 17, 2019 (the "Effective Date") by and between THE MACERICH COMPANY, a company incorporated under the laws of Maryland ("Company") and WELLS FARGO BANK, NATIONAL ASSOCIATION ("Trustee"):</w:t>
      </w:r>
    </w:p>
    <w:p>
      <w:pPr>
        <w:spacing w:after="0" w:line="21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WHEREAS, the Company established this trust (the “Trust”) under the prior Trust Agreement made effective October 1, 2012, by and between the Company and Wilmington Trust, National Association (the “Prior Trustee”) and wishes to appoint Wells Fargo Bank, National Association, as successor Trustee to replace the Prior Trustee, and Trustee is willing to accept appointment as successor Trustee of the Trust under the terms of the Trust Agreement as amended herein;</w:t>
      </w:r>
    </w:p>
    <w:p>
      <w:pPr>
        <w:spacing w:after="0" w:line="220"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WHEREAS, Company has adopted the nonqualified deferred compensation plans (hereinafter referred to as the “Plans”) as listed in Appendix A;</w:t>
      </w:r>
    </w:p>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Company has incurred or expects to incur liability under the terms of such Plans with respect to the individuals participating in such Plans;</w:t>
      </w:r>
    </w:p>
    <w:p>
      <w:pPr>
        <w:spacing w:after="0" w:line="198"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WHEREAS, Company has established this Trust to contribute to the Trust assets that are held herein, subject to the claims of Company’s creditors in the event of Company’s Insolvency, as herein defined, for the purposes of paying benefits to Plan participants and their beneficiaries in such manner and at such times as specified in the Plans;</w:t>
      </w:r>
    </w:p>
    <w:p>
      <w:pPr>
        <w:spacing w:after="0" w:line="21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WHEREAS, it is the intention of the parties that this Trust shall constitute an unfunded arrangement and shall not affect the status of the Plans as an unfunded plan maintained for the purpose of providing deferred compensation for a select group of management or highly compensated employees for purposes of Title I of the Employee Retirement Income Security Act of 1974, as amended;</w:t>
      </w:r>
    </w:p>
    <w:p>
      <w:pPr>
        <w:spacing w:after="0" w:line="220"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WHEREAS, it is the intention of Company to make contributions to the Trust to provide itself with a source of funds to assist it in the meeting of its liabilities under the Plans;</w:t>
      </w:r>
    </w:p>
    <w:p>
      <w:pPr>
        <w:spacing w:after="0" w:line="198" w:lineRule="exact"/>
        <w:rPr>
          <w:sz w:val="20"/>
          <w:szCs w:val="20"/>
          <w:color w:val="auto"/>
        </w:rPr>
      </w:pPr>
    </w:p>
    <w:p>
      <w:pPr>
        <w:ind w:right="760" w:firstLine="648"/>
        <w:spacing w:after="0" w:line="271" w:lineRule="auto"/>
        <w:rPr>
          <w:sz w:val="20"/>
          <w:szCs w:val="20"/>
          <w:color w:val="auto"/>
        </w:rPr>
      </w:pPr>
      <w:r>
        <w:rPr>
          <w:rFonts w:ascii="Times New Roman" w:cs="Times New Roman" w:eastAsia="Times New Roman" w:hAnsi="Times New Roman"/>
          <w:sz w:val="22"/>
          <w:szCs w:val="22"/>
          <w:color w:val="auto"/>
        </w:rPr>
        <w:t>NOW, THEREFORE, the parties do hereby establish the Trust and agree that the Trust shall be comprised, held and disposed of as follows: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Establishment of Trust</w:t>
      </w:r>
    </w:p>
    <w:p>
      <w:pPr>
        <w:sectPr>
          <w:pgSz w:w="11900" w:h="16838" w:orient="portrait"/>
          <w:cols w:equalWidth="0" w:num="1">
            <w:col w:w="11420"/>
          </w:cols>
          <w:pgMar w:left="240" w:top="837"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right="780" w:firstLine="656"/>
        <w:spacing w:after="0" w:line="271" w:lineRule="auto"/>
        <w:tabs>
          <w:tab w:leader="none" w:pos="94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hereby transfers to and deposits with Trustee in trust the existing Trust assets, which shall become the principal of the Trust to be held, administered and disposed of by Trustee as provided in this Trust Agreement.</w:t>
      </w:r>
    </w:p>
    <w:p>
      <w:pPr>
        <w:spacing w:after="0" w:line="19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hereby established shall be irrevocable.</w:t>
      </w:r>
    </w:p>
    <w:p>
      <w:pPr>
        <w:spacing w:after="0" w:line="260" w:lineRule="exact"/>
        <w:rPr>
          <w:rFonts w:ascii="Times New Roman" w:cs="Times New Roman" w:eastAsia="Times New Roman" w:hAnsi="Times New Roman"/>
          <w:sz w:val="22"/>
          <w:szCs w:val="22"/>
          <w:color w:val="auto"/>
        </w:rPr>
      </w:pPr>
    </w:p>
    <w:p>
      <w:pPr>
        <w:ind w:right="480" w:firstLine="656"/>
        <w:spacing w:after="0" w:line="295" w:lineRule="auto"/>
        <w:tabs>
          <w:tab w:leader="none" w:pos="942"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 is intended to be a grantor trust, of which Company is the grantor, within the meaning of subpart E, part I subchapter J, chapter 1, subtitle A of the Internal Revenue Code of 1986, as amended, and shall be construed accordingly.</w:t>
      </w:r>
    </w:p>
    <w:p>
      <w:pPr>
        <w:spacing w:after="0" w:line="176" w:lineRule="exact"/>
        <w:rPr>
          <w:rFonts w:ascii="Times New Roman" w:cs="Times New Roman" w:eastAsia="Times New Roman" w:hAnsi="Times New Roman"/>
          <w:sz w:val="21"/>
          <w:szCs w:val="21"/>
          <w:color w:val="auto"/>
        </w:rPr>
      </w:pPr>
    </w:p>
    <w:p>
      <w:pPr>
        <w:ind w:right="160" w:firstLine="656"/>
        <w:spacing w:after="0" w:line="249" w:lineRule="auto"/>
        <w:tabs>
          <w:tab w:leader="none" w:pos="95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the Trust, and any earnings thereon, shall be held separate and apart from other funds of Company and shall be used exclusively for the uses and purposes of Plan participants and general creditors as herein set forth. Plan participants and their beneficiaries shall have no preferred claim on, or any beneficial ownership interest in, any assets of the Trust. Any rights created under the Plans and this Trust Agreement shall be mere unsecured contractual rights of Plan participants and their beneficiaries against Company. Any assets held by the Trust will be subject to the claims of Company’s general creditors under federal and state law in the event of Insolvency, as defined in Section 3(a) herein.</w:t>
      </w:r>
    </w:p>
    <w:p>
      <w:pPr>
        <w:spacing w:after="0" w:line="221" w:lineRule="exact"/>
        <w:rPr>
          <w:rFonts w:ascii="Times New Roman" w:cs="Times New Roman" w:eastAsia="Times New Roman" w:hAnsi="Times New Roman"/>
          <w:sz w:val="22"/>
          <w:szCs w:val="22"/>
          <w:color w:val="auto"/>
        </w:rPr>
      </w:pPr>
    </w:p>
    <w:p>
      <w:pPr>
        <w:ind w:firstLine="656"/>
        <w:spacing w:after="0" w:line="257" w:lineRule="auto"/>
        <w:tabs>
          <w:tab w:leader="none" w:pos="94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 its sole discretion, may at any time, or from time to time, make additional deposits of cash or other property in trust with Trustee to augment the principal to be held, administered and disposed of by Trustee as provided in this Trust Agreement. Neither Trustee nor any Plan participant or beneficiary shall have any right to compel such additional deposits.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Payments to Plan Participants and Their Beneficiaries</w:t>
      </w:r>
    </w:p>
    <w:p>
      <w:pPr>
        <w:spacing w:after="0" w:line="264" w:lineRule="exact"/>
        <w:rPr>
          <w:sz w:val="20"/>
          <w:szCs w:val="20"/>
          <w:color w:val="auto"/>
        </w:rPr>
      </w:pPr>
    </w:p>
    <w:p>
      <w:pPr>
        <w:ind w:firstLine="656"/>
        <w:spacing w:after="0" w:line="247" w:lineRule="auto"/>
        <w:tabs>
          <w:tab w:leader="none" w:pos="94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deliver to Trustee a schedule (the “Payment Schedule”) that indicates the amounts payable in respect of each Plan participant (and his or her beneficiaries), that provides a formula or other instructions acceptable to Trustee for determining the amounts so payable, the form in which such amount is to be paid (as provided for or available under the Plans), and the time of commencement for payment of such amounts. Except as otherwise provided herein, Trustee shall make payments to the Plan participants and their beneficiaries in accordance with the Payment Schedule. In accordance with the terms of its fee schedule, Trustee shall make provision for the reporting and withholding of any federal or state taxes that may be required to be withheld with respect to the payment of benefits pursuant to the terms of the Plans and shall pay amounts withheld to the appropriate taxing authorities or determine that such amounts have been reported, withheld and paid by Company.</w:t>
      </w:r>
    </w:p>
    <w:p>
      <w:pPr>
        <w:spacing w:after="0" w:line="226" w:lineRule="exact"/>
        <w:rPr>
          <w:rFonts w:ascii="Times New Roman" w:cs="Times New Roman" w:eastAsia="Times New Roman" w:hAnsi="Times New Roman"/>
          <w:sz w:val="22"/>
          <w:szCs w:val="22"/>
          <w:color w:val="auto"/>
        </w:rPr>
      </w:pPr>
    </w:p>
    <w:p>
      <w:pPr>
        <w:ind w:right="520" w:firstLine="656"/>
        <w:spacing w:after="0" w:line="257" w:lineRule="auto"/>
        <w:tabs>
          <w:tab w:leader="none" w:pos="95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entitlement of a Plan participant or his or her beneficiaries to benefits under the Plans shall be determined by Company or such party as it shall designate under the Plans, and any claim for such benefits shall be considered and reviewed under the procedures set out in the Plans.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firstLine="656"/>
        <w:spacing w:after="0" w:line="246" w:lineRule="auto"/>
        <w:tabs>
          <w:tab w:leader="none" w:pos="94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may make payment of benefits directly to Plan participants or their beneficiaries as they become due under the terms of the Plan. Either directly or through the Recordkeeper (as defined in Section 7), Company shall notify Trustee of its decision to make payment of benefits directly prior to the time amounts are payable to Plan participants or their beneficiaries. If Company makes payments according to this subsection, Company shall make provision for the reporting and withholding of any federal, state or local taxes that may be required to be withheld with respect to the payment of benefits pursuant to the terms of the Plan and shall pay amounts withheld to the appropriate taxing authorities. If the principal of the Trust, and any earnings thereon, are not sufficient to make payments of benefits in accordance with the terms of the Plan as reflected on the Payment Schedule or as otherwise directed by Company or its designee, Company shall make the balance of each such payment as it falls due. Trustee shall notify Company where principal and earnings are not sufficient to make payments as directed.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Trustee Responsibility Regarding Payments to Trust Beneficiary When Company is Insolvent.</w:t>
      </w:r>
    </w:p>
    <w:p>
      <w:pPr>
        <w:spacing w:after="0" w:line="264" w:lineRule="exact"/>
        <w:rPr>
          <w:sz w:val="20"/>
          <w:szCs w:val="20"/>
          <w:color w:val="auto"/>
        </w:rPr>
      </w:pPr>
    </w:p>
    <w:p>
      <w:pPr>
        <w:ind w:right="140" w:firstLine="656"/>
        <w:spacing w:after="0" w:line="257" w:lineRule="auto"/>
        <w:tabs>
          <w:tab w:leader="none" w:pos="94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shall cease payment of benefits to Plan participants and their beneficiaries if Company is Insolvent. Company shall be considered “Insolvent” for purposes of this Trust Agreement if (i) Company is unable to pay its debts as they become due, or (ii) Company is subject to a pending proceeding as a debtor under the United States Bankruptcy Code.</w:t>
      </w:r>
    </w:p>
    <w:p>
      <w:pPr>
        <w:spacing w:after="0" w:line="213" w:lineRule="exact"/>
        <w:rPr>
          <w:rFonts w:ascii="Times New Roman" w:cs="Times New Roman" w:eastAsia="Times New Roman" w:hAnsi="Times New Roman"/>
          <w:sz w:val="22"/>
          <w:szCs w:val="22"/>
          <w:color w:val="auto"/>
        </w:rPr>
      </w:pPr>
    </w:p>
    <w:p>
      <w:pPr>
        <w:ind w:right="460" w:firstLine="656"/>
        <w:spacing w:after="0" w:line="271" w:lineRule="auto"/>
        <w:tabs>
          <w:tab w:leader="none" w:pos="95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the continuance of this Trust, as provided in Section 1(d) hereof, the principal and income of the Trust shall be subject to claims of general creditors of Company under federal and state law as set forth below.</w:t>
      </w:r>
    </w:p>
    <w:p>
      <w:pPr>
        <w:spacing w:after="0" w:line="198" w:lineRule="exact"/>
        <w:rPr>
          <w:rFonts w:ascii="Times New Roman" w:cs="Times New Roman" w:eastAsia="Times New Roman" w:hAnsi="Times New Roman"/>
          <w:sz w:val="22"/>
          <w:szCs w:val="22"/>
          <w:color w:val="auto"/>
        </w:rPr>
      </w:pPr>
    </w:p>
    <w:p>
      <w:pPr>
        <w:ind w:left="660" w:right="20" w:firstLine="645"/>
        <w:spacing w:after="0" w:line="252" w:lineRule="auto"/>
        <w:tabs>
          <w:tab w:leader="none" w:pos="161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Company (the “Board”) and the Chief Executive Officer of Company shall have the duty to inform Trustee in writing of Company’s Insolvency. If a person claiming to be a creditor of Company alleges in writing to Trustee that Company has become Insolvent, Trustee shall determine whether Company is Insolvent and, pending such determination, Trustee shall discontinue payment of benefits to Plan participants or their beneficiaries.</w:t>
      </w:r>
    </w:p>
    <w:p>
      <w:pPr>
        <w:spacing w:after="0" w:line="220" w:lineRule="exact"/>
        <w:rPr>
          <w:rFonts w:ascii="Times New Roman" w:cs="Times New Roman" w:eastAsia="Times New Roman" w:hAnsi="Times New Roman"/>
          <w:sz w:val="22"/>
          <w:szCs w:val="22"/>
          <w:color w:val="auto"/>
        </w:rPr>
      </w:pPr>
    </w:p>
    <w:p>
      <w:pPr>
        <w:ind w:left="660" w:right="20" w:firstLine="645"/>
        <w:spacing w:after="0" w:line="268" w:lineRule="auto"/>
        <w:tabs>
          <w:tab w:leader="none" w:pos="161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Trustee has actual knowledge of Company’s Insolvency, or has received notice from Company or a person claiming to be a creditor alleging that Company is Insolvent, Trustee shall have no duty to inquire whether Company is Insolvent. Trustee may in all events rely on such evidence concerning Company’s solvency as may be furnished to Trustee and that provides Trustee with a reasonable basis for making a determination concerning Company’s solvency.</w:t>
      </w:r>
    </w:p>
    <w:p>
      <w:pPr>
        <w:spacing w:after="0" w:line="204" w:lineRule="exact"/>
        <w:rPr>
          <w:rFonts w:ascii="Times New Roman" w:cs="Times New Roman" w:eastAsia="Times New Roman" w:hAnsi="Times New Roman"/>
          <w:sz w:val="21"/>
          <w:szCs w:val="21"/>
          <w:color w:val="auto"/>
        </w:rPr>
      </w:pPr>
    </w:p>
    <w:p>
      <w:pPr>
        <w:ind w:left="660" w:right="60" w:firstLine="645"/>
        <w:spacing w:after="0" w:line="252" w:lineRule="auto"/>
        <w:tabs>
          <w:tab w:leader="none" w:pos="161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Trustee has determined that Company is Insolvent, Trustee shall discontinue payments to Plan participants or their beneficiaries and shall hold the assets of the Trust for the benefit of Company’s general creditors, making only such distributions as may be directed by a court administering a preceding under the United States Bankruptcy Code. Accordingly, the Company shall not create a security interest in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left="660" w:right="200"/>
        <w:spacing w:after="0" w:line="257" w:lineRule="auto"/>
        <w:rPr>
          <w:sz w:val="20"/>
          <w:szCs w:val="20"/>
          <w:color w:val="auto"/>
        </w:rPr>
      </w:pPr>
      <w:r>
        <w:rPr>
          <w:rFonts w:ascii="Times New Roman" w:cs="Times New Roman" w:eastAsia="Times New Roman" w:hAnsi="Times New Roman"/>
          <w:sz w:val="22"/>
          <w:szCs w:val="22"/>
          <w:color w:val="auto"/>
        </w:rPr>
        <w:t>the Trust assets in favor of the Participants or any creditor. Nothing in this Trust Agreement shall in any way diminish any rights of Plan participants or their beneficiaries to pursue their rights as general creditors of Company with respect to benefits due under the Plans or otherwise.</w:t>
      </w:r>
    </w:p>
    <w:p>
      <w:pPr>
        <w:spacing w:after="0" w:line="214" w:lineRule="exact"/>
        <w:rPr>
          <w:sz w:val="20"/>
          <w:szCs w:val="20"/>
          <w:color w:val="auto"/>
        </w:rPr>
      </w:pPr>
    </w:p>
    <w:p>
      <w:pPr>
        <w:ind w:left="660" w:right="680" w:firstLine="645"/>
        <w:spacing w:after="0" w:line="257" w:lineRule="auto"/>
        <w:tabs>
          <w:tab w:leader="none" w:pos="161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shall resume the payment of benefits to Plan participants or their beneficiaries in accordance with Section 2 of this Trust Agreement only after Trustee has determined that Company is not Insolvent (or is no longer Insolvent).</w:t>
      </w:r>
    </w:p>
    <w:p>
      <w:pPr>
        <w:spacing w:after="0" w:line="213" w:lineRule="exact"/>
        <w:rPr>
          <w:rFonts w:ascii="Times New Roman" w:cs="Times New Roman" w:eastAsia="Times New Roman" w:hAnsi="Times New Roman"/>
          <w:sz w:val="22"/>
          <w:szCs w:val="22"/>
          <w:color w:val="auto"/>
        </w:rPr>
      </w:pPr>
    </w:p>
    <w:p>
      <w:pPr>
        <w:ind w:right="160" w:firstLine="656"/>
        <w:spacing w:after="0" w:line="250" w:lineRule="auto"/>
        <w:tabs>
          <w:tab w:leader="none" w:pos="94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there are sufficient assets, if Trustee discontinues the payment of benefits from the Trust pursuant to Section 3(b) hereof and subsequently resumes such payments, the first payment following such discontinuance shall include the aggregate amount of all payments due to Plan participants or their beneficiaries under the terms of the Plans for the period of such discontinuance, less the aggregate amount of any payments made to Plan participants or their beneficiaries by Company in lieu of the payments provided for hereunder during any such period of discontinuance.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Payments to Company.</w:t>
      </w:r>
    </w:p>
    <w:p>
      <w:pPr>
        <w:spacing w:after="0" w:line="26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1"/>
          <w:szCs w:val="21"/>
          <w:color w:val="auto"/>
        </w:rPr>
        <w:t>Except as provided in Section 3 hereof, Company shall have no right or power to direct Trustee to return to Company or to divert to others any of the Trust assets before all payments of benefits have been made to Plan participants and their beneficiaries pursuant to the terms of the Plans; provided, however, that in the event the Trust holds Excess Assets, Company, at its option, may direct Trustee in writing to return to Company, or to divert to others, any of the Excess Assets of the Trust, and upon such direction Trustee shall return or divert such Excess Assets as directed. Any such direction shall include a certification by Company of the amount of Excess Assets then held in the Trust. Trustee may rely on such certification and shall have no obligation for otherwise verifying the amount of any Excess Assets. For this purpose, “Excess Assets” means the assets of the Trust that exceed one hundred twenty-five percent (125%) of the sum of the aggregate liabilities to Plan participants and their beneficiaries pursuant to the terms of the Plans. Additionally, Company may request reimbursement from the Trust for any amounts paid directly by Company to Plan participants pursuant to Section 2(c) hereof by providing a certification of the amounts paid and satisfactory evidence of such payments to Trustee, and upon such request Trustee shall pay such amounts to Company from the Trust. Trustee may rely on such certification and evidence and shall have no obligation for otherwise verifying payment to the Plan participants.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Investment Authority.</w:t>
      </w:r>
    </w:p>
    <w:p>
      <w:pPr>
        <w:spacing w:after="0" w:line="264" w:lineRule="exact"/>
        <w:rPr>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subject to this Section, direct the Trustee with respect to investments.</w:t>
      </w:r>
    </w:p>
    <w:p>
      <w:pPr>
        <w:spacing w:after="0" w:line="260" w:lineRule="exact"/>
        <w:rPr>
          <w:rFonts w:ascii="Times New Roman" w:cs="Times New Roman" w:eastAsia="Times New Roman" w:hAnsi="Times New Roman"/>
          <w:sz w:val="22"/>
          <w:szCs w:val="22"/>
          <w:color w:val="auto"/>
        </w:rPr>
      </w:pPr>
    </w:p>
    <w:p>
      <w:pPr>
        <w:ind w:left="660" w:right="100" w:firstLine="645"/>
        <w:spacing w:after="0" w:line="271" w:lineRule="auto"/>
        <w:tabs>
          <w:tab w:leader="none" w:pos="177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direct the Trustee to segregate all or a portion of the Trust in a separate investment account or accounts and may appoint one or more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left="660" w:right="1140"/>
        <w:spacing w:after="0" w:line="271" w:lineRule="auto"/>
        <w:rPr>
          <w:sz w:val="20"/>
          <w:szCs w:val="20"/>
          <w:color w:val="auto"/>
        </w:rPr>
      </w:pPr>
      <w:r>
        <w:rPr>
          <w:rFonts w:ascii="Times New Roman" w:cs="Times New Roman" w:eastAsia="Times New Roman" w:hAnsi="Times New Roman"/>
          <w:sz w:val="22"/>
          <w:szCs w:val="22"/>
          <w:color w:val="auto"/>
        </w:rPr>
        <w:t>investment managers and/or an investment committee established by the Company to direct the investment and reinvestment of each such investment account or accounts.</w:t>
      </w:r>
    </w:p>
    <w:p>
      <w:pPr>
        <w:spacing w:after="0" w:line="198" w:lineRule="exact"/>
        <w:rPr>
          <w:sz w:val="20"/>
          <w:szCs w:val="20"/>
          <w:color w:val="auto"/>
        </w:rPr>
      </w:pPr>
    </w:p>
    <w:p>
      <w:pPr>
        <w:ind w:left="660" w:right="100" w:firstLine="645"/>
        <w:spacing w:after="0" w:line="249" w:lineRule="auto"/>
        <w:tabs>
          <w:tab w:leader="none" w:pos="177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the Trustee shall make every sale or investment with respect to such investment account as directed in writing by the investment manager or investment committee. It shall be the duty of the Trustee to act strictly in accordance with each direction. The Trustee shall be under no duty to question any such direction of the investment manager or investment committee, to review any securities or other property held in such investment account or accounts acquired by it pursuant to such directions or to make any recommendations to the investment managers or investment committee with respect to such securities or other property.</w:t>
      </w:r>
    </w:p>
    <w:p>
      <w:pPr>
        <w:spacing w:after="0" w:line="221" w:lineRule="exact"/>
        <w:rPr>
          <w:rFonts w:ascii="Times New Roman" w:cs="Times New Roman" w:eastAsia="Times New Roman" w:hAnsi="Times New Roman"/>
          <w:sz w:val="22"/>
          <w:szCs w:val="22"/>
          <w:color w:val="auto"/>
        </w:rPr>
      </w:pPr>
    </w:p>
    <w:p>
      <w:pPr>
        <w:ind w:left="660" w:right="80" w:firstLine="645"/>
        <w:spacing w:after="0" w:line="260" w:lineRule="auto"/>
        <w:tabs>
          <w:tab w:leader="none" w:pos="1776"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Trustee, without obtaining prior approval or direction from an investment manager or investment committee, shall invest cash balances held by it from time to time in short term cash equivalents including, but not limited to, through the medium of any short term fund established and maintained by the Trustee subject to the instrument establishing such trust fund, U.S. Treasury Bills, commercial paper (including such forms of commercial paper as may be available through the Trustee’s Trust Department), certificates of deposit (including certificates issued by the Trustee in its separate corporate capacity), and similar type securities, with a maturity not to exceed one year; and, furthermore, sell such short term investments as may be necessary to carry out the instructions of an investment manager or investment committee regarding more permanent type investment and directed distributions.</w:t>
      </w:r>
    </w:p>
    <w:p>
      <w:pPr>
        <w:spacing w:after="0" w:line="216" w:lineRule="exact"/>
        <w:rPr>
          <w:rFonts w:ascii="Times New Roman" w:cs="Times New Roman" w:eastAsia="Times New Roman" w:hAnsi="Times New Roman"/>
          <w:sz w:val="21"/>
          <w:szCs w:val="21"/>
          <w:color w:val="auto"/>
        </w:rPr>
      </w:pPr>
    </w:p>
    <w:p>
      <w:pPr>
        <w:ind w:right="600" w:firstLine="656"/>
        <w:spacing w:after="0" w:line="271" w:lineRule="auto"/>
        <w:tabs>
          <w:tab w:leader="none" w:pos="111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in its sole discretion, the authority and the power to direct the Trustee in investing and reinvesting the Trust:</w:t>
      </w:r>
    </w:p>
    <w:p>
      <w:pPr>
        <w:spacing w:after="0" w:line="198" w:lineRule="exact"/>
        <w:rPr>
          <w:rFonts w:ascii="Times New Roman" w:cs="Times New Roman" w:eastAsia="Times New Roman" w:hAnsi="Times New Roman"/>
          <w:sz w:val="22"/>
          <w:szCs w:val="22"/>
          <w:color w:val="auto"/>
        </w:rPr>
      </w:pPr>
    </w:p>
    <w:p>
      <w:pPr>
        <w:ind w:left="660" w:firstLine="645"/>
        <w:spacing w:after="0" w:line="245" w:lineRule="auto"/>
        <w:tabs>
          <w:tab w:leader="none" w:pos="177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invest and reinvest in any readily marketable common and preferred stocks (including any stock or security of the Company), bonds, notes, debentures (including convertible stocks and securities but not including any stock or security of the Trustee other than a de minimus amount held in a mutual fund), certificates of deposit or demand or time deposits (including any such deposits with the Trustee), limited partnerships or limited liability companies, private placements and shares of investment companies, and mutual funds, without being limited to the classes or property in which the Trustee is authorized to invest by any law or any rule of court of any state and without regard to the proportion any such property may bear to the entire amount of the Trust. Without limitation, the Trustee may invest the Trust in any investment company (including any investment company or companies for which Wells Fargo Bank, National Association or an affiliated company acts as the investment advisor) or, any insurance contract or contracts issued by an insurance company or companies in each case as the Trustee may determine provided that the Trustee may in its sole discretion keep such portion of the Trust in cash or cash balances for such reasonable periods as may from time to time be deemed advisable pending investment or in order to meet contemplated payments of benefits;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left="660" w:right="20" w:firstLine="645"/>
        <w:spacing w:after="0" w:line="271" w:lineRule="auto"/>
        <w:tabs>
          <w:tab w:leader="none" w:pos="177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invest and reinvest all or any portion of the Trust collectively through the medium of any proprietary mutual fund that may be established and maintained by the Trustee;</w:t>
      </w:r>
    </w:p>
    <w:p>
      <w:pPr>
        <w:spacing w:after="0" w:line="198" w:lineRule="exact"/>
        <w:rPr>
          <w:rFonts w:ascii="Times New Roman" w:cs="Times New Roman" w:eastAsia="Times New Roman" w:hAnsi="Times New Roman"/>
          <w:sz w:val="22"/>
          <w:szCs w:val="22"/>
          <w:color w:val="auto"/>
        </w:rPr>
      </w:pPr>
    </w:p>
    <w:p>
      <w:pPr>
        <w:ind w:left="660" w:right="240" w:firstLine="645"/>
        <w:spacing w:after="0" w:line="257" w:lineRule="auto"/>
        <w:tabs>
          <w:tab w:leader="none" w:pos="177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commingle for investment purposes all or any portion of the Trust with assets of any other similar trust or trusts established by the Company with the Trustee for the purpose of safeguarding deferred compensation or retirement income benefits of its employees and/or directors;</w:t>
      </w:r>
    </w:p>
    <w:p>
      <w:pPr>
        <w:spacing w:after="0" w:line="213"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retain any property at any time received by the Trustee;</w:t>
      </w:r>
    </w:p>
    <w:p>
      <w:pPr>
        <w:spacing w:after="0" w:line="260" w:lineRule="exact"/>
        <w:rPr>
          <w:rFonts w:ascii="Times New Roman" w:cs="Times New Roman" w:eastAsia="Times New Roman" w:hAnsi="Times New Roman"/>
          <w:sz w:val="22"/>
          <w:szCs w:val="22"/>
          <w:color w:val="auto"/>
        </w:rPr>
      </w:pPr>
    </w:p>
    <w:p>
      <w:pPr>
        <w:ind w:left="660" w:right="120" w:firstLine="645"/>
        <w:spacing w:after="0" w:line="257" w:lineRule="auto"/>
        <w:tabs>
          <w:tab w:leader="none" w:pos="177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 or exchange any property held by it at public or private sale, for cash or on credit, to grant and exercise options for the purchase or exchange thereof, to exercise all conversion or subscription rights pertaining to any such property and to enter into any covenant or agreement to purchase any property in the future;</w:t>
      </w:r>
    </w:p>
    <w:p>
      <w:pPr>
        <w:spacing w:after="0" w:line="213" w:lineRule="exact"/>
        <w:rPr>
          <w:rFonts w:ascii="Times New Roman" w:cs="Times New Roman" w:eastAsia="Times New Roman" w:hAnsi="Times New Roman"/>
          <w:sz w:val="22"/>
          <w:szCs w:val="22"/>
          <w:color w:val="auto"/>
        </w:rPr>
      </w:pPr>
    </w:p>
    <w:p>
      <w:pPr>
        <w:ind w:left="660" w:right="20" w:firstLine="645"/>
        <w:spacing w:after="0" w:line="257" w:lineRule="auto"/>
        <w:tabs>
          <w:tab w:leader="none" w:pos="177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participate in any plan of reorganization, consolidation, merger, combination, liquidation or other similar plan relating to property held by it and to consent to or oppose any such plan or any action thereunder or any contract, lease, mortgage, purchase, sale or other action by any person;</w:t>
      </w:r>
    </w:p>
    <w:p>
      <w:pPr>
        <w:spacing w:after="0" w:line="213" w:lineRule="exact"/>
        <w:rPr>
          <w:rFonts w:ascii="Times New Roman" w:cs="Times New Roman" w:eastAsia="Times New Roman" w:hAnsi="Times New Roman"/>
          <w:sz w:val="22"/>
          <w:szCs w:val="22"/>
          <w:color w:val="auto"/>
        </w:rPr>
      </w:pPr>
    </w:p>
    <w:p>
      <w:pPr>
        <w:ind w:left="660" w:right="520" w:firstLine="645"/>
        <w:spacing w:after="0" w:line="257" w:lineRule="auto"/>
        <w:tabs>
          <w:tab w:leader="none" w:pos="177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deposit any property held by it with any protective, reorganization or similar committee, to delegate discretionary power thereto, and to pay part of the expenses and compensation thereof for any assessments levied with respect to any such property to be deposited;</w:t>
      </w:r>
    </w:p>
    <w:p>
      <w:pPr>
        <w:spacing w:after="0" w:line="213"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extend the time of payment of any obligation held by it;</w:t>
      </w:r>
    </w:p>
    <w:p>
      <w:pPr>
        <w:spacing w:after="0" w:line="260" w:lineRule="exact"/>
        <w:rPr>
          <w:rFonts w:ascii="Times New Roman" w:cs="Times New Roman" w:eastAsia="Times New Roman" w:hAnsi="Times New Roman"/>
          <w:sz w:val="22"/>
          <w:szCs w:val="22"/>
          <w:color w:val="auto"/>
        </w:rPr>
      </w:pPr>
    </w:p>
    <w:p>
      <w:pPr>
        <w:ind w:left="660" w:right="120" w:firstLine="645"/>
        <w:spacing w:after="0" w:line="271" w:lineRule="auto"/>
        <w:tabs>
          <w:tab w:leader="none" w:pos="177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hold uninvested any moneys received by it, without liability for interest thereon, but only in anticipation of payments due for investments, reinvestments, expenses or disbursements;</w:t>
      </w:r>
    </w:p>
    <w:p>
      <w:pPr>
        <w:spacing w:after="0" w:line="198" w:lineRule="exact"/>
        <w:rPr>
          <w:rFonts w:ascii="Times New Roman" w:cs="Times New Roman" w:eastAsia="Times New Roman" w:hAnsi="Times New Roman"/>
          <w:sz w:val="22"/>
          <w:szCs w:val="22"/>
          <w:color w:val="auto"/>
        </w:rPr>
      </w:pPr>
    </w:p>
    <w:p>
      <w:pPr>
        <w:ind w:left="660" w:firstLine="645"/>
        <w:spacing w:after="0" w:line="271" w:lineRule="auto"/>
        <w:tabs>
          <w:tab w:leader="none" w:pos="18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any and all voting rights associated with Trust assets, give proxies, participate in any voting trusts, mergers, consolidations or liquidations, tender shares and exercise stock subscription or conversion rights;</w:t>
      </w:r>
    </w:p>
    <w:p>
      <w:pPr>
        <w:spacing w:after="0" w:line="198" w:lineRule="exact"/>
        <w:rPr>
          <w:rFonts w:ascii="Times New Roman" w:cs="Times New Roman" w:eastAsia="Times New Roman" w:hAnsi="Times New Roman"/>
          <w:sz w:val="22"/>
          <w:szCs w:val="22"/>
          <w:color w:val="auto"/>
        </w:rPr>
      </w:pPr>
    </w:p>
    <w:p>
      <w:pPr>
        <w:ind w:left="660" w:right="40" w:firstLine="645"/>
        <w:spacing w:after="0" w:line="271" w:lineRule="auto"/>
        <w:tabs>
          <w:tab w:leader="none" w:pos="187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the Trust, to borrow money from others, to issue its promissory note or notes therefor, and to secure the repayment thereof by pledging any property held by it;</w:t>
      </w:r>
    </w:p>
    <w:p>
      <w:pPr>
        <w:spacing w:after="0" w:line="198" w:lineRule="exact"/>
        <w:rPr>
          <w:rFonts w:ascii="Times New Roman" w:cs="Times New Roman" w:eastAsia="Times New Roman" w:hAnsi="Times New Roman"/>
          <w:sz w:val="22"/>
          <w:szCs w:val="22"/>
          <w:color w:val="auto"/>
        </w:rPr>
      </w:pPr>
    </w:p>
    <w:p>
      <w:pPr>
        <w:ind w:left="660" w:firstLine="645"/>
        <w:spacing w:after="0" w:line="271" w:lineRule="auto"/>
        <w:tabs>
          <w:tab w:leader="none" w:pos="18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employ suitable contractors and counsel, who may be counsel to the Company or to the Trustee, and to pay their reasonable expenses and compensation from the Trust to the extent not paid by the Company;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left="660" w:firstLine="645"/>
        <w:spacing w:after="0" w:line="246" w:lineRule="auto"/>
        <w:tabs>
          <w:tab w:leader="none" w:pos="18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register investments in its own name or in the name of a nominee; and to combine certificates representing securities with certificates of the same issue held by it in other fiduciary capacities or to deposit or to arrange for the deposit of such securities with any depository, even though, when so deposited, such securities may be held in the name of the nominee of such depository with other securities deposited therewith by other persons, or to deposit or to arrange for the deposit of any securities issued or guaranteed by the United States government, or any agency or instrumentality thereof, including securities evidenced by book entries rather than by certificates, with the United States Department of the Treasury or a Federal Reserve Bank, even though, when so deposited, such securities may not be held separate from securities deposited therein by other persons; provided, however, that no securities held in the Trust shall be deposited with the United States Department of the Treasury or a Federal Reserve Bank or other depository in the same account as any individual property of the Trustee, and provided, further, that the books and records of the Trustee shall at all times show that all such securities are part of the Trust;</w:t>
      </w:r>
    </w:p>
    <w:p>
      <w:pPr>
        <w:spacing w:after="0" w:line="226" w:lineRule="exact"/>
        <w:rPr>
          <w:rFonts w:ascii="Times New Roman" w:cs="Times New Roman" w:eastAsia="Times New Roman" w:hAnsi="Times New Roman"/>
          <w:sz w:val="22"/>
          <w:szCs w:val="22"/>
          <w:color w:val="auto"/>
        </w:rPr>
      </w:pPr>
    </w:p>
    <w:p>
      <w:pPr>
        <w:ind w:left="660" w:right="40" w:firstLine="645"/>
        <w:spacing w:after="0" w:line="250" w:lineRule="auto"/>
        <w:tabs>
          <w:tab w:leader="none" w:pos="18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settle, compromise or submit to arbitration any claims, debts or damages due or owing to or from the Trust, respectively, to commence or defend suits or legal proceedings to protect any interest of the Trust, and to represent the Trust in all suits or legal proceedings in any court or before any other body or tribunal; provided, however, that the Trustee shall not be required to take any such action unless it shall have been indemnified by the Company to its reasonable satisfaction against liability or expenses it might incur therefrom;</w:t>
      </w:r>
    </w:p>
    <w:p>
      <w:pPr>
        <w:spacing w:after="0" w:line="222" w:lineRule="exact"/>
        <w:rPr>
          <w:sz w:val="20"/>
          <w:szCs w:val="20"/>
          <w:color w:val="auto"/>
        </w:rPr>
      </w:pPr>
    </w:p>
    <w:p>
      <w:pPr>
        <w:ind w:left="660" w:right="60" w:firstLine="648"/>
        <w:spacing w:after="0" w:line="271" w:lineRule="auto"/>
        <w:rPr>
          <w:sz w:val="20"/>
          <w:szCs w:val="20"/>
          <w:color w:val="auto"/>
        </w:rPr>
      </w:pPr>
      <w:r>
        <w:rPr>
          <w:rFonts w:ascii="Times New Roman" w:cs="Times New Roman" w:eastAsia="Times New Roman" w:hAnsi="Times New Roman"/>
          <w:sz w:val="22"/>
          <w:szCs w:val="22"/>
          <w:color w:val="auto"/>
        </w:rPr>
        <w:t>(15) To hold any other class of assets which may be contributed by the Company and that is deemed reasonable by the Trustee, unless expressly prohibited herein;</w:t>
      </w:r>
    </w:p>
    <w:p>
      <w:pPr>
        <w:spacing w:after="0" w:line="198" w:lineRule="exact"/>
        <w:rPr>
          <w:sz w:val="20"/>
          <w:szCs w:val="20"/>
          <w:color w:val="auto"/>
        </w:rPr>
      </w:pPr>
    </w:p>
    <w:p>
      <w:pPr>
        <w:ind w:left="660" w:right="40" w:firstLine="645"/>
        <w:spacing w:after="0" w:line="257" w:lineRule="auto"/>
        <w:tabs>
          <w:tab w:leader="none" w:pos="188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loan any securities at any time held by it to brokers or dealers upon such security as may be deemed advisable, and during the terms of any such loan to permit the loaned securities to be transferred into the name of and voted by the borrower or others; and</w:t>
      </w:r>
    </w:p>
    <w:p>
      <w:pPr>
        <w:spacing w:after="0" w:line="213" w:lineRule="exact"/>
        <w:rPr>
          <w:rFonts w:ascii="Times New Roman" w:cs="Times New Roman" w:eastAsia="Times New Roman" w:hAnsi="Times New Roman"/>
          <w:sz w:val="22"/>
          <w:szCs w:val="22"/>
          <w:color w:val="auto"/>
        </w:rPr>
      </w:pPr>
    </w:p>
    <w:p>
      <w:pPr>
        <w:ind w:left="660" w:right="740" w:firstLine="645"/>
        <w:spacing w:after="0" w:line="271" w:lineRule="auto"/>
        <w:tabs>
          <w:tab w:leader="none" w:pos="188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to do all acts, whether or not expressly authorized, that the Trustee may deem necessary or desirable for the protection of the Trust.</w:t>
      </w:r>
    </w:p>
    <w:p>
      <w:pPr>
        <w:spacing w:after="0" w:line="198" w:lineRule="exact"/>
        <w:rPr>
          <w:rFonts w:ascii="Times New Roman" w:cs="Times New Roman" w:eastAsia="Times New Roman" w:hAnsi="Times New Roman"/>
          <w:sz w:val="22"/>
          <w:szCs w:val="22"/>
          <w:color w:val="auto"/>
        </w:rPr>
      </w:pPr>
    </w:p>
    <w:p>
      <w:pPr>
        <w:ind w:right="260" w:firstLine="656"/>
        <w:spacing w:after="0" w:line="275" w:lineRule="auto"/>
        <w:tabs>
          <w:tab w:leader="none" w:pos="11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the right at any time, and from time to time in its sole discretion, to substitute assets (other than securities issued by the Trustee or the Company) of equal fair market value for any asset held by the Trust. This right is exercisable by the Company in a nonfiduciary capacity without the approval or consent of any person in a fiduciary capacity.</w:t>
      </w:r>
    </w:p>
    <w:p>
      <w:pPr>
        <w:spacing w:after="0" w:line="196" w:lineRule="exact"/>
        <w:rPr>
          <w:rFonts w:ascii="Times New Roman" w:cs="Times New Roman" w:eastAsia="Times New Roman" w:hAnsi="Times New Roman"/>
          <w:sz w:val="21"/>
          <w:szCs w:val="21"/>
          <w:color w:val="auto"/>
        </w:rPr>
      </w:pPr>
    </w:p>
    <w:p>
      <w:pPr>
        <w:ind w:firstLine="656"/>
        <w:spacing w:after="0" w:line="257" w:lineRule="auto"/>
        <w:tabs>
          <w:tab w:leader="none" w:pos="11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neither be liable nor responsible for any loss resulting to the Trust by reason of any sale or purchase of an investment directed by the Company, an investment manager or investment committee nor by reason of the failure to take any action with respect to</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2" w:right="2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2"/>
          <w:szCs w:val="22"/>
          <w:color w:val="auto"/>
        </w:rPr>
        <w:t>any investment which was acquired pursuant to any such direction in the absence of further directions of the Company, such investment manager or investment committee.</w:t>
      </w:r>
    </w:p>
    <w:p>
      <w:pPr>
        <w:spacing w:after="0" w:line="198" w:lineRule="exact"/>
        <w:rPr>
          <w:sz w:val="20"/>
          <w:szCs w:val="20"/>
          <w:color w:val="auto"/>
        </w:rPr>
      </w:pPr>
    </w:p>
    <w:p>
      <w:pPr>
        <w:ind w:left="660" w:right="60" w:firstLine="645"/>
        <w:spacing w:after="0" w:line="257" w:lineRule="auto"/>
        <w:tabs>
          <w:tab w:leader="none" w:pos="177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Trust Agreement to the contrary, the Trustee shall be indemnified and saved harmless by the Company from and against any and all personal liability to which the Trustee may be subjected by carrying out any directions of the Company, an investment manager or investment committee issued pursuant hereto or for failure to act in the absence of directions of the Company, investment manager or investment committee including all expenses reasonably incurred in its defense in the event the Company fails to provide such defense; provided, however, the Trustee shall not be so indemnified if it participates knowingly in, or knowingly undertakes to conceal, an act or omission of the Company, an investment manager or investment committee, having actual knowledge that such act or omission is a breach of a fiduciary duty; provided further, however, that the Trustee shall not be deemed to have knowingly participated in or knowingly undertaken to conceal an act or omission of the Company, an investment manager or investment committee with knowledge that such act or omission was a breach of fiduciary duty by merely complying with directions of the Company, an investment manager or investment committee or for failure to act in the absence of directions of the Company, an investment manager or investment committee. The Trustee may rely upon any order, certificate, notice, direction or other documentary confirmation purporting to have been issued by the Company, investment manager or investment committee which the Trustee reasonably believes to be genuine and to have been issued by the Company, investment manager or investment committee. The Trustee shall not be charged with knowledge of the termination of the appointment of any investment manager or investment committee until it receives written notice thereof from the Company.</w:t>
      </w:r>
    </w:p>
    <w:p>
      <w:pPr>
        <w:spacing w:after="0" w:line="224" w:lineRule="exact"/>
        <w:rPr>
          <w:rFonts w:ascii="Times New Roman" w:cs="Times New Roman" w:eastAsia="Times New Roman" w:hAnsi="Times New Roman"/>
          <w:sz w:val="21"/>
          <w:szCs w:val="21"/>
          <w:color w:val="auto"/>
        </w:rPr>
      </w:pPr>
    </w:p>
    <w:p>
      <w:pPr>
        <w:ind w:left="660" w:right="100" w:firstLine="645"/>
        <w:spacing w:after="0" w:line="271" w:lineRule="auto"/>
        <w:tabs>
          <w:tab w:leader="none" w:pos="177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invest in securities (including stock or rights to acquire stock) or obligation issued by Company, other than a de minimis amount held in common investment vehicles in which the Trustee invests.</w:t>
      </w:r>
    </w:p>
    <w:p>
      <w:pPr>
        <w:spacing w:after="0" w:line="198" w:lineRule="exact"/>
        <w:rPr>
          <w:rFonts w:ascii="Times New Roman" w:cs="Times New Roman" w:eastAsia="Times New Roman" w:hAnsi="Times New Roman"/>
          <w:sz w:val="22"/>
          <w:szCs w:val="22"/>
          <w:color w:val="auto"/>
        </w:rPr>
      </w:pPr>
    </w:p>
    <w:p>
      <w:pPr>
        <w:ind w:left="660" w:firstLine="645"/>
        <w:spacing w:after="0" w:line="257" w:lineRule="auto"/>
        <w:tabs>
          <w:tab w:leader="none" w:pos="176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associated with any investment held by the Trust, including but not limited to, exercising or voting of proxies, in person or by general or limited proxy, shall be in accordance with and as directed in writing by the Company or its authorized representative.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Disposition of Income</w:t>
      </w:r>
    </w:p>
    <w:p>
      <w:pPr>
        <w:spacing w:after="0" w:line="264" w:lineRule="exact"/>
        <w:rPr>
          <w:sz w:val="20"/>
          <w:szCs w:val="20"/>
          <w:color w:val="auto"/>
        </w:rPr>
      </w:pPr>
    </w:p>
    <w:p>
      <w:pPr>
        <w:ind w:right="780" w:firstLine="648"/>
        <w:spacing w:after="0" w:line="271" w:lineRule="auto"/>
        <w:rPr>
          <w:sz w:val="20"/>
          <w:szCs w:val="20"/>
          <w:color w:val="auto"/>
        </w:rPr>
      </w:pPr>
      <w:r>
        <w:rPr>
          <w:rFonts w:ascii="Times New Roman" w:cs="Times New Roman" w:eastAsia="Times New Roman" w:hAnsi="Times New Roman"/>
          <w:sz w:val="22"/>
          <w:szCs w:val="22"/>
          <w:color w:val="auto"/>
        </w:rPr>
        <w:t>During the term of this Trust, all income received by the Trust, net of expenses and taxes, shall be accumulated and reinvested.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Accounting by Trustee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2" w:right="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firstLine="656"/>
        <w:spacing w:after="0" w:line="258" w:lineRule="auto"/>
        <w:tabs>
          <w:tab w:leader="none" w:pos="110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keep accurate records and accounts of all investments, receipts, and disbursements, and other transactions hereunder. As soon as reasonably practicable following the close of each annual accounting period of the Trust, and as soon as reasonably practicable after the resignation or removal of a Trustee has become effective, the Trustee shall file with the Company a written or electronic account setting forth all investments, receipts, disbursements, and other transactions effected by it during such year, or during the part of the year to the date the resignation or removal is effective, as the case may be, and containing a description of all securities purchased and sold, the cost or net proceeds of sale, the securities and investments held at the end of such period, and the cost of each item thereof as carried on the books of the Trustee. If the fair market value of an asset in the Fund is not available when necessary for accounting or reporting purposes, the fair value of the asset shall be determined in good faith by the Company, assuming an orderly liquidation at the time of such determination. If there is a disagreement between the Trustee and anyone as to any act or transaction reported in an accounting, the Trustee shall have the right to have its account settled by a court of competent jurisdiction. At the direction of the Company, the Trustee shall be entitled to hold and to commingle the assets of the Trust in one Fund for investment purposes and may create one or more sub-accounts.</w:t>
      </w:r>
    </w:p>
    <w:p>
      <w:pPr>
        <w:spacing w:after="0" w:line="220" w:lineRule="exact"/>
        <w:rPr>
          <w:rFonts w:ascii="Times New Roman" w:cs="Times New Roman" w:eastAsia="Times New Roman" w:hAnsi="Times New Roman"/>
          <w:sz w:val="21"/>
          <w:szCs w:val="21"/>
          <w:color w:val="auto"/>
        </w:rPr>
      </w:pPr>
    </w:p>
    <w:p>
      <w:pPr>
        <w:ind w:right="20" w:firstLine="656"/>
        <w:spacing w:after="0" w:line="246" w:lineRule="auto"/>
        <w:tabs>
          <w:tab w:leader="none" w:pos="11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one hundred twenty (120) days from the date of filing such annual or other account, the Trustee shall be forever released and discharged from any liability or accountability to anyone with respect to the propriety of its acts or transactions shown in such account except with respect to any acts or transactions as to which the Company shall within such 120-day period file with the Trustee a written statement claiming negligence, willful misconduct or lack of good faith on the part of the Trustee. Neither Company, any participant nor any other person shall be entitled to any additional or different accounting by Trustee and Trustee shall not be compelled to file in any court any additional or different accounting. For purposes of regulations promulgated by the FDIC, Trustee’s account statements shall be sufficient information concerning securities transactions effected for the Trust, provided that Company, upon written request, shall have the right to receive at no additional cost written confirmations of such securities transactions, which shall be mailed or otherwise furnished by Trustee within the timeframe required by applicable regulations.</w:t>
      </w:r>
    </w:p>
    <w:p>
      <w:pPr>
        <w:spacing w:after="0" w:line="229" w:lineRule="exact"/>
        <w:rPr>
          <w:rFonts w:ascii="Times New Roman" w:cs="Times New Roman" w:eastAsia="Times New Roman" w:hAnsi="Times New Roman"/>
          <w:sz w:val="22"/>
          <w:szCs w:val="22"/>
          <w:color w:val="auto"/>
        </w:rPr>
      </w:pPr>
    </w:p>
    <w:p>
      <w:pPr>
        <w:ind w:right="140" w:firstLine="656"/>
        <w:spacing w:after="0" w:line="271" w:lineRule="auto"/>
        <w:tabs>
          <w:tab w:leader="none" w:pos="115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retain its records relating to the Trust as long as necessary for the proper administration thereof and at least for any period required by applicable law.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Responsibility of Trustee.</w:t>
      </w:r>
    </w:p>
    <w:p>
      <w:pPr>
        <w:spacing w:after="0" w:line="264" w:lineRule="exact"/>
        <w:rPr>
          <w:sz w:val="20"/>
          <w:szCs w:val="20"/>
          <w:color w:val="auto"/>
        </w:rPr>
      </w:pPr>
    </w:p>
    <w:p>
      <w:pPr>
        <w:ind w:right="20" w:firstLine="656"/>
        <w:spacing w:after="0" w:line="250" w:lineRule="auto"/>
        <w:tabs>
          <w:tab w:leader="none" w:pos="94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shall act with the care, skill, prudence and diligence under the circumstances then prevailing that a prudent person acting in like capacity and familiar with such matters would use in the conduct of an enterprise of a like character and with like aims; provided, however, that Trustee shall incur no liability to any person for any action taken pursuant to a direction, request or approval given by Company or an investment manager duly appointed by Company which is contemplated by, and in conformity with, the terms of the Plans or this Trust and is given in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writing by Company or such investment manager. In the event of a dispute between Company and a third party, Trustee may apply to a court of competent jurisdiction to resolve the dispute.</w:t>
      </w:r>
    </w:p>
    <w:p>
      <w:pPr>
        <w:spacing w:after="0" w:line="198" w:lineRule="exact"/>
        <w:rPr>
          <w:sz w:val="20"/>
          <w:szCs w:val="20"/>
          <w:color w:val="auto"/>
        </w:rPr>
      </w:pPr>
    </w:p>
    <w:p>
      <w:pPr>
        <w:ind w:right="100" w:firstLine="656"/>
        <w:spacing w:after="0" w:line="248" w:lineRule="auto"/>
        <w:tabs>
          <w:tab w:leader="none" w:pos="9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Trustee undertakes or defends any litigation arising in connection with this Trust in the name of or on behalf of the Trust, Company agrees to indemnify Trustee against Trustee’s costs, expenses and liabilities (including, without limitation, reasonable attorneys’ fees and expenses) relating thereto and to be primarily liable for such payments, except to the extent the litigation is the result of Trustee’s action or inaction for which it is not entitled to indemnification pursuant to Section 9. If Company does not pay such costs, expenses and liabilities in a reasonably timely manner, Trustee may obtain payment from the Trust. In no event shall Trustee have any liability or responsibility to undertake, defend or continue any litigation in the name of or on behalf of the Trust unless payment of related fees and expenses is ensured to the reasonable satisfaction of Trustee.</w:t>
      </w:r>
    </w:p>
    <w:p>
      <w:pPr>
        <w:spacing w:after="0" w:line="222" w:lineRule="exact"/>
        <w:rPr>
          <w:rFonts w:ascii="Times New Roman" w:cs="Times New Roman" w:eastAsia="Times New Roman" w:hAnsi="Times New Roman"/>
          <w:sz w:val="22"/>
          <w:szCs w:val="22"/>
          <w:color w:val="auto"/>
        </w:rPr>
      </w:pPr>
    </w:p>
    <w:p>
      <w:pPr>
        <w:ind w:right="20" w:firstLine="656"/>
        <w:spacing w:after="0" w:line="271" w:lineRule="auto"/>
        <w:tabs>
          <w:tab w:leader="none" w:pos="94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at the expense of the Trust or Company, may consult with legal counsel (who may also be counsel for Company generally) with respect to any of its duties or obligations hereunder.</w:t>
      </w:r>
    </w:p>
    <w:p>
      <w:pPr>
        <w:spacing w:after="0" w:line="198" w:lineRule="exact"/>
        <w:rPr>
          <w:rFonts w:ascii="Times New Roman" w:cs="Times New Roman" w:eastAsia="Times New Roman" w:hAnsi="Times New Roman"/>
          <w:sz w:val="22"/>
          <w:szCs w:val="22"/>
          <w:color w:val="auto"/>
        </w:rPr>
      </w:pPr>
    </w:p>
    <w:p>
      <w:pPr>
        <w:ind w:right="120" w:firstLine="656"/>
        <w:spacing w:after="0" w:line="271" w:lineRule="auto"/>
        <w:tabs>
          <w:tab w:leader="none" w:pos="9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at the expense of the Trust or Company, may hire agents, accountants, actuaries, investment advisors, financial consultants or other professionals to assist it in performing any of its duties or obligations hereunder.</w:t>
      </w:r>
    </w:p>
    <w:p>
      <w:pPr>
        <w:spacing w:after="0" w:line="198" w:lineRule="exact"/>
        <w:rPr>
          <w:rFonts w:ascii="Times New Roman" w:cs="Times New Roman" w:eastAsia="Times New Roman" w:hAnsi="Times New Roman"/>
          <w:sz w:val="22"/>
          <w:szCs w:val="22"/>
          <w:color w:val="auto"/>
        </w:rPr>
      </w:pPr>
    </w:p>
    <w:p>
      <w:pPr>
        <w:jc w:val="both"/>
        <w:ind w:right="300" w:firstLine="656"/>
        <w:spacing w:after="0" w:line="268" w:lineRule="auto"/>
        <w:tabs>
          <w:tab w:leader="none" w:pos="94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Trustee shall have, without exclusion, all powers conferred on trustees by applicable law, unless expressly provided otherwise herein, provided, however, that if an insurance policy is held as an asset of the Trust, Trustee shall have no power to name a beneficiary of the policy other than the Trust, to assign the policy (as distinct from conversion of the policy to a different form) other than to a successor Trustee, or to loan to any person the proceeds of any borrowing against such policy.</w:t>
      </w:r>
    </w:p>
    <w:p>
      <w:pPr>
        <w:spacing w:after="0" w:line="204" w:lineRule="exact"/>
        <w:rPr>
          <w:rFonts w:ascii="Times New Roman" w:cs="Times New Roman" w:eastAsia="Times New Roman" w:hAnsi="Times New Roman"/>
          <w:sz w:val="21"/>
          <w:szCs w:val="21"/>
          <w:color w:val="auto"/>
        </w:rPr>
      </w:pPr>
    </w:p>
    <w:p>
      <w:pPr>
        <w:ind w:right="560" w:firstLine="656"/>
        <w:spacing w:after="0" w:line="271" w:lineRule="auto"/>
        <w:tabs>
          <w:tab w:leader="none" w:pos="9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However, notwithstanding the provisions of Section 8(e) above, Trustee may loan to Company the proceeds of any borrowing against an insurance policy held as an asset of the Trust.</w:t>
      </w:r>
    </w:p>
    <w:p>
      <w:pPr>
        <w:spacing w:after="0" w:line="198" w:lineRule="exact"/>
        <w:rPr>
          <w:rFonts w:ascii="Times New Roman" w:cs="Times New Roman" w:eastAsia="Times New Roman" w:hAnsi="Times New Roman"/>
          <w:sz w:val="22"/>
          <w:szCs w:val="22"/>
          <w:color w:val="auto"/>
        </w:rPr>
      </w:pPr>
    </w:p>
    <w:p>
      <w:pPr>
        <w:ind w:right="140" w:firstLine="656"/>
        <w:spacing w:after="0" w:line="252" w:lineRule="auto"/>
        <w:tabs>
          <w:tab w:leader="none" w:pos="9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powers granted to Trustee pursuant to this Trust Agreement or to applicable law, Trustee shall not have any power that could give this Trust the objective of carrying on a business and dividing the gains therefrom, within the meaning of section 301.7701-2 of the Procedure and Administrative Regulations promulgated pursuant to the Internal Revenue Code.</w:t>
      </w:r>
    </w:p>
    <w:p>
      <w:pPr>
        <w:spacing w:after="0" w:line="220" w:lineRule="exact"/>
        <w:rPr>
          <w:rFonts w:ascii="Times New Roman" w:cs="Times New Roman" w:eastAsia="Times New Roman" w:hAnsi="Times New Roman"/>
          <w:sz w:val="22"/>
          <w:szCs w:val="22"/>
          <w:color w:val="auto"/>
        </w:rPr>
      </w:pPr>
    </w:p>
    <w:p>
      <w:pPr>
        <w:ind w:firstLine="656"/>
        <w:spacing w:after="0" w:line="250" w:lineRule="auto"/>
        <w:tabs>
          <w:tab w:leader="none" w:pos="9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shall have no responsibility or liability respect to: (i) the truth or accuracy of any representation or warranty made in any application or related document provided to the insurer in connection with the issuance or renewal of any insurance policies or insurance contracts, including any representation that the person on whose life an application is being made is eligible to have a contract issued on his or her life; (ii) the selection or monitoring (ongoing or periodic) of any insurance policies or insurance contracts held in the Trust or the insurers issuing</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2" w:right="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such policies or contracts; (iii) the payment of premiums with respect to such policies or contracts; or (iv) the exercise of any rights relating to any such policies or contracts except as directed in writing by Company.</w:t>
      </w:r>
    </w:p>
    <w:p>
      <w:pPr>
        <w:spacing w:after="0" w:line="198" w:lineRule="exact"/>
        <w:rPr>
          <w:sz w:val="20"/>
          <w:szCs w:val="20"/>
          <w:color w:val="auto"/>
        </w:rPr>
      </w:pPr>
    </w:p>
    <w:p>
      <w:pPr>
        <w:ind w:right="20" w:firstLine="656"/>
        <w:spacing w:after="0" w:line="265" w:lineRule="auto"/>
        <w:tabs>
          <w:tab w:leader="none" w:pos="90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Trustee shall have no duty or responsibility not expressly set forth in this Trust Agreement. By way of example, but without limiting the matters subject to the foregoing sentence, Trustee shall have no responsibility with respect to the administration or interpretation of the Plan, payment of Plan benefits other than from the assets of the Trust, (if agreed to pursuant to the fee schedule) the withholding, remitting, or reporting to taxing authorities of taxes other than from payments made with Trust assets to Plan participants and other than as directed by Company, or maintaining participant records with respect to the Plan.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 Compensation and Expenses of Trustee.</w:t>
      </w:r>
    </w:p>
    <w:p>
      <w:pPr>
        <w:spacing w:after="0" w:line="264" w:lineRule="exact"/>
        <w:rPr>
          <w:sz w:val="20"/>
          <w:szCs w:val="20"/>
          <w:color w:val="auto"/>
        </w:rPr>
      </w:pPr>
    </w:p>
    <w:p>
      <w:pPr>
        <w:ind w:right="40" w:firstLine="656"/>
        <w:spacing w:after="0" w:line="271" w:lineRule="auto"/>
        <w:tabs>
          <w:tab w:leader="none" w:pos="94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pay all administrative and Trustee’s fees and expenses. If not so paid in a timely manner, Trustee shall be entitled to deduct such fees and expenses from the Trust.</w:t>
      </w:r>
    </w:p>
    <w:p>
      <w:pPr>
        <w:spacing w:after="0" w:line="198" w:lineRule="exact"/>
        <w:rPr>
          <w:rFonts w:ascii="Times New Roman" w:cs="Times New Roman" w:eastAsia="Times New Roman" w:hAnsi="Times New Roman"/>
          <w:sz w:val="22"/>
          <w:szCs w:val="22"/>
          <w:color w:val="auto"/>
        </w:rPr>
      </w:pPr>
    </w:p>
    <w:p>
      <w:pPr>
        <w:ind w:firstLine="656"/>
        <w:spacing w:after="0" w:line="249" w:lineRule="auto"/>
        <w:tabs>
          <w:tab w:leader="none" w:pos="95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Company shall indemnify and hold Trustee harmless from and against any and all losses, costs, damages and expenses (including attorney’s fees and disbursements) of any kind or nature (collectively, “Losses”) imposed on or incurred by Trustee by reason of its service pursuant to this Trust Agreement, including any Losses arising out of any threatened, pending or completed claim, action, suit or proceeding, except to the extent such Losses are caused by the gross negligence, willful misconduct, or bad faith of Trustee. To the extent not paid by Company, Trustee shall be entitled to deduct such amounts from the Trust.</w:t>
      </w:r>
    </w:p>
    <w:p>
      <w:pPr>
        <w:spacing w:after="0" w:line="221"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9(b) shall survive termination of this Trust Agreement.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 Resignation and Removal of Trustee.</w:t>
      </w:r>
    </w:p>
    <w:p>
      <w:pPr>
        <w:spacing w:after="0" w:line="264" w:lineRule="exact"/>
        <w:rPr>
          <w:sz w:val="20"/>
          <w:szCs w:val="20"/>
          <w:color w:val="auto"/>
        </w:rPr>
      </w:pPr>
    </w:p>
    <w:p>
      <w:pPr>
        <w:ind w:right="320" w:firstLine="656"/>
        <w:spacing w:after="0" w:line="271" w:lineRule="auto"/>
        <w:tabs>
          <w:tab w:leader="none" w:pos="94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may resign at any time by written notice to Company, which shall be effective thirty (30) days after receipt of such notice unless Company and Trustee agree otherwise.</w:t>
      </w:r>
    </w:p>
    <w:p>
      <w:pPr>
        <w:spacing w:after="0" w:line="19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may be removed by Company on thirty (30) days notice or upon shorter notice accepted by Trustee.</w:t>
      </w:r>
    </w:p>
    <w:p>
      <w:pPr>
        <w:spacing w:after="0" w:line="260" w:lineRule="exact"/>
        <w:rPr>
          <w:rFonts w:ascii="Times New Roman" w:cs="Times New Roman" w:eastAsia="Times New Roman" w:hAnsi="Times New Roman"/>
          <w:sz w:val="22"/>
          <w:szCs w:val="22"/>
          <w:color w:val="auto"/>
        </w:rPr>
      </w:pPr>
    </w:p>
    <w:p>
      <w:pPr>
        <w:ind w:right="280" w:firstLine="656"/>
        <w:spacing w:after="0" w:line="257" w:lineRule="auto"/>
        <w:tabs>
          <w:tab w:leader="none" w:pos="94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resignation or removal of Trustee and appointment of a successor Trustee, all assets shall subsequently be transferred to the successor Trustee. To the extent possible, the transfer shall be completed within thirty (30) days after receipt of notice of resignation, removal or transfer, unless Company extends the time limit.</w:t>
      </w:r>
    </w:p>
    <w:p>
      <w:pPr>
        <w:spacing w:after="0" w:line="213" w:lineRule="exact"/>
        <w:rPr>
          <w:rFonts w:ascii="Times New Roman" w:cs="Times New Roman" w:eastAsia="Times New Roman" w:hAnsi="Times New Roman"/>
          <w:sz w:val="22"/>
          <w:szCs w:val="22"/>
          <w:color w:val="auto"/>
        </w:rPr>
      </w:pPr>
    </w:p>
    <w:p>
      <w:pPr>
        <w:ind w:right="360" w:firstLine="656"/>
        <w:spacing w:after="0" w:line="271" w:lineRule="auto"/>
        <w:tabs>
          <w:tab w:leader="none" w:pos="9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Trustee resigns or is removed, a successor Trustee shall be appointed, in accordance with Section 11 hereof, by the effective date of resignation or removal under this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section. If no such appointment has been made, Trustee may apply to a court of competent jurisdiction for appointment of a successor or for instructions. All expenses of Trustee in connection with the proceeding shall be allowed as administrative expenses of the Trust.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 Appointment of Successor.</w:t>
      </w:r>
    </w:p>
    <w:p>
      <w:pPr>
        <w:spacing w:after="0" w:line="264" w:lineRule="exact"/>
        <w:rPr>
          <w:sz w:val="20"/>
          <w:szCs w:val="20"/>
          <w:color w:val="auto"/>
        </w:rPr>
      </w:pPr>
    </w:p>
    <w:p>
      <w:pPr>
        <w:jc w:val="both"/>
        <w:ind w:right="240" w:firstLine="656"/>
        <w:spacing w:after="0" w:line="275" w:lineRule="auto"/>
        <w:tabs>
          <w:tab w:leader="none" w:pos="94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Trustee resigns or is removed in accordance with Section 10, other than within two (2) years following a Change in Control (as defined below), Company may appoint any third party, including any individual, bank trust department or other party that may be granted corporate trustee powers under state law, as a successor to replace Trustee upon resignation or removal.</w:t>
      </w:r>
    </w:p>
    <w:p>
      <w:pPr>
        <w:spacing w:after="0" w:line="196" w:lineRule="exact"/>
        <w:rPr>
          <w:rFonts w:ascii="Times New Roman" w:cs="Times New Roman" w:eastAsia="Times New Roman" w:hAnsi="Times New Roman"/>
          <w:sz w:val="21"/>
          <w:szCs w:val="21"/>
          <w:color w:val="auto"/>
        </w:rPr>
      </w:pPr>
    </w:p>
    <w:p>
      <w:pPr>
        <w:ind w:right="40" w:firstLine="656"/>
        <w:spacing w:after="0" w:line="250" w:lineRule="auto"/>
        <w:tabs>
          <w:tab w:leader="none" w:pos="95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Trustee resigns or is removed in accordance with Section 10 within two (2) years following a Change in Control (as defined below), the three (3) Plan participants with the largest Plan accounts (aggregated among all of the Plans) shall select a successor Trustee by majority vote, which successor Trustee shall be a bank trust department or other corporate entity that has been granted corporate trustee powers under applicable state law. Company shall be responsible for communicating with and securing such vote from such participants and shall provide satisfactory evidence of the same to Trustee.</w:t>
      </w:r>
    </w:p>
    <w:p>
      <w:pPr>
        <w:spacing w:after="0" w:line="222" w:lineRule="exact"/>
        <w:rPr>
          <w:rFonts w:ascii="Times New Roman" w:cs="Times New Roman" w:eastAsia="Times New Roman" w:hAnsi="Times New Roman"/>
          <w:sz w:val="22"/>
          <w:szCs w:val="22"/>
          <w:color w:val="auto"/>
        </w:rPr>
      </w:pPr>
    </w:p>
    <w:p>
      <w:pPr>
        <w:ind w:right="20" w:firstLine="656"/>
        <w:spacing w:after="0" w:line="275" w:lineRule="auto"/>
        <w:tabs>
          <w:tab w:leader="none" w:pos="94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appointment of a successor Trustee shall be effective when accepted in writing by the new Trustee. The new Trustee shall have all of the rights and powers of the former Trustee, including ownership rights in the Trust assets. The former Trustee shall execute any instrument(s) necessary or reasonably requested by Company or the successor Trustee to evidence the transfer.</w:t>
      </w:r>
    </w:p>
    <w:p>
      <w:pPr>
        <w:spacing w:after="0" w:line="196" w:lineRule="exact"/>
        <w:rPr>
          <w:rFonts w:ascii="Times New Roman" w:cs="Times New Roman" w:eastAsia="Times New Roman" w:hAnsi="Times New Roman"/>
          <w:sz w:val="21"/>
          <w:szCs w:val="21"/>
          <w:color w:val="auto"/>
        </w:rPr>
      </w:pPr>
    </w:p>
    <w:p>
      <w:pPr>
        <w:ind w:right="20" w:firstLine="656"/>
        <w:spacing w:after="0" w:line="252" w:lineRule="auto"/>
        <w:tabs>
          <w:tab w:leader="none" w:pos="95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successor Trustee need not examine the records and acts of any prior Trustee and may retain or dispose of existing Trust assets, subject to Sections 5, 7 and 8 hereof. The successor Trustee shall not be responsible for, and Company shall indemnify and defend the successor Trustee from, any claim or liability resulting from any action or inaction of any prior Trustee or from any other past event, or any condition existing at the time it becomes successor Trustee.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12. Amendment or Termination.</w:t>
      </w:r>
    </w:p>
    <w:p>
      <w:pPr>
        <w:spacing w:after="0" w:line="260" w:lineRule="exact"/>
        <w:rPr>
          <w:sz w:val="20"/>
          <w:szCs w:val="20"/>
          <w:color w:val="auto"/>
        </w:rPr>
      </w:pPr>
    </w:p>
    <w:p>
      <w:pPr>
        <w:ind w:right="60" w:firstLine="656"/>
        <w:spacing w:after="0" w:line="275" w:lineRule="auto"/>
        <w:tabs>
          <w:tab w:leader="none" w:pos="94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Trust Agreement may be amended by a written instrument executed by Trustee and Company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Notwithstanding the foregoing, no such amendment shall conflict with the terms of the Plans or shall make the Trust revocable.</w:t>
      </w:r>
    </w:p>
    <w:p>
      <w:pPr>
        <w:spacing w:after="0" w:line="194" w:lineRule="exact"/>
        <w:rPr>
          <w:rFonts w:ascii="Times New Roman" w:cs="Times New Roman" w:eastAsia="Times New Roman" w:hAnsi="Times New Roman"/>
          <w:sz w:val="22"/>
          <w:szCs w:val="22"/>
          <w:color w:val="auto"/>
        </w:rPr>
      </w:pPr>
    </w:p>
    <w:p>
      <w:pPr>
        <w:ind w:right="260" w:firstLine="656"/>
        <w:spacing w:after="0" w:line="252" w:lineRule="auto"/>
        <w:tabs>
          <w:tab w:leader="none" w:pos="95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shall not terminate until the date on which Plan participants and their beneficiaries are no longer entitled to benefits pursuant to the terms of the Plans; provided that Company may terminate this Trust prior to such date upon written approval of all participants and beneficiaries with Plan accounts. Upon termination of the Trust any assets remaining in the Trust shall be returned to Company.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2"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13. Miscellaneous.</w:t>
      </w:r>
    </w:p>
    <w:p>
      <w:pPr>
        <w:spacing w:after="0" w:line="264" w:lineRule="exact"/>
        <w:rPr>
          <w:sz w:val="20"/>
          <w:szCs w:val="20"/>
          <w:color w:val="auto"/>
        </w:rPr>
      </w:pPr>
    </w:p>
    <w:p>
      <w:pPr>
        <w:ind w:right="580" w:firstLine="656"/>
        <w:spacing w:after="0" w:line="271" w:lineRule="auto"/>
        <w:tabs>
          <w:tab w:leader="none" w:pos="94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Trust Agreement prohibited by law shall be ineffective to the extent of any such prohibition, without invalidating the remaining provisions hereof.</w:t>
      </w:r>
    </w:p>
    <w:p>
      <w:pPr>
        <w:spacing w:after="0" w:line="198" w:lineRule="exact"/>
        <w:rPr>
          <w:rFonts w:ascii="Times New Roman" w:cs="Times New Roman" w:eastAsia="Times New Roman" w:hAnsi="Times New Roman"/>
          <w:sz w:val="22"/>
          <w:szCs w:val="22"/>
          <w:color w:val="auto"/>
        </w:rPr>
      </w:pPr>
    </w:p>
    <w:p>
      <w:pPr>
        <w:ind w:firstLine="656"/>
        <w:spacing w:after="0" w:line="257" w:lineRule="auto"/>
        <w:tabs>
          <w:tab w:leader="none" w:pos="95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payable to Plan participants and their beneficiaries under this Trust Agreement may not be anticipated, assigned (either at law or in equity), alienated, pledged, encumbered or subjected to attachment, garnishment, levy, execution or other legal or equitable process.</w:t>
      </w:r>
    </w:p>
    <w:p>
      <w:pPr>
        <w:spacing w:after="0" w:line="21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Trust Agreement shall be governed by and construed in accordance with the laws of the State of Delaware.</w:t>
      </w:r>
    </w:p>
    <w:p>
      <w:pPr>
        <w:spacing w:after="0" w:line="260" w:lineRule="exact"/>
        <w:rPr>
          <w:rFonts w:ascii="Times New Roman" w:cs="Times New Roman" w:eastAsia="Times New Roman" w:hAnsi="Times New Roman"/>
          <w:sz w:val="22"/>
          <w:szCs w:val="22"/>
          <w:color w:val="auto"/>
        </w:rPr>
      </w:pPr>
    </w:p>
    <w:p>
      <w:pPr>
        <w:ind w:right="180" w:firstLine="656"/>
        <w:spacing w:after="0" w:line="252" w:lineRule="auto"/>
        <w:tabs>
          <w:tab w:leader="none" w:pos="95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represents that it qualifies for FDIC prorata worth pass-through insurance coverage in accordance with the standards set forth in applicable federal law and FDIC insurance regulations. If Trustee fails at any time in the future to so qualify for prorata worth pass-through insurance coverage, it will promptly notify Company in the event that such disqualification would affect the Trust account.</w:t>
      </w:r>
    </w:p>
    <w:p>
      <w:pPr>
        <w:spacing w:after="0" w:line="220" w:lineRule="exact"/>
        <w:rPr>
          <w:rFonts w:ascii="Times New Roman" w:cs="Times New Roman" w:eastAsia="Times New Roman" w:hAnsi="Times New Roman"/>
          <w:sz w:val="22"/>
          <w:szCs w:val="22"/>
          <w:color w:val="auto"/>
        </w:rPr>
      </w:pPr>
    </w:p>
    <w:p>
      <w:pPr>
        <w:ind w:right="40" w:firstLine="656"/>
        <w:spacing w:after="0" w:line="249" w:lineRule="auto"/>
        <w:tabs>
          <w:tab w:leader="none" w:pos="94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will Trustee have any obligation to provide, and in no event will Trustee provide, any legal, tax, accounting, audit or other advice to Company with respect to the Plans or this Trust. Company acknowledges that it will rely exclusively on the advice of its accountants and/or attorneys with respect to all legal, tax, accounting, audit and other advice required or desired by Company with respect to the Plans and this Trust. Company acknowledges that Trustee has not made any representations of any kind, and will not make any representations of any kind, concerning the legal, tax, accounting, audit or other treatment of the Plans or this Trust.</w:t>
      </w:r>
    </w:p>
    <w:p>
      <w:pPr>
        <w:spacing w:after="0" w:line="221" w:lineRule="exact"/>
        <w:rPr>
          <w:rFonts w:ascii="Times New Roman" w:cs="Times New Roman" w:eastAsia="Times New Roman" w:hAnsi="Times New Roman"/>
          <w:sz w:val="22"/>
          <w:szCs w:val="22"/>
          <w:color w:val="auto"/>
        </w:rPr>
      </w:pPr>
    </w:p>
    <w:p>
      <w:pPr>
        <w:ind w:right="40" w:firstLine="656"/>
        <w:spacing w:after="0" w:line="250" w:lineRule="auto"/>
        <w:tabs>
          <w:tab w:leader="none" w:pos="9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acknowledges that Trustee is not an advisor concerning or a promoter with respect to the Plan or the Trust, but merely is a service provider offering the Trust services expressly set forth in this Trust Agreement. In particular, Company acknowledges that Trustee is not a joint venture or partner with Company’s accountants, auditors, consultants or with any other party, with respect to the Plan or this Trust, and that Trustee and Company’s accountants, auditors and consultants at all times remain independent parties dealing at arm’s length, and independently, with each other and with Company.</w:t>
      </w:r>
    </w:p>
    <w:p>
      <w:pPr>
        <w:spacing w:after="0" w:line="222" w:lineRule="exact"/>
        <w:rPr>
          <w:rFonts w:ascii="Times New Roman" w:cs="Times New Roman" w:eastAsia="Times New Roman" w:hAnsi="Times New Roman"/>
          <w:sz w:val="22"/>
          <w:szCs w:val="22"/>
          <w:color w:val="auto"/>
        </w:rPr>
      </w:pPr>
    </w:p>
    <w:p>
      <w:pPr>
        <w:jc w:val="both"/>
        <w:ind w:right="120" w:firstLine="656"/>
        <w:spacing w:after="0" w:line="250" w:lineRule="auto"/>
        <w:tabs>
          <w:tab w:leader="none" w:pos="95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shall have no liability for any losses arising out of delays in performing the services which it renders under this Trust Agreement which result from events beyond its control, including without limitation, interruption of the business of Trustee due to acts of God, acts of governmental authority, acts of war, riots, civil commotions, insurrections, labor difficulties (including, but not limited to, strikes and other work slippages due to slow-downs), or any action of any courier or utility, mechanical or other malfunction, or electronic interruption.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2" w:right="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right="160" w:firstLine="656"/>
        <w:spacing w:after="0" w:line="271" w:lineRule="auto"/>
        <w:tabs>
          <w:tab w:leader="none" w:pos="95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Trust Agreement, Change in Control shall mean the first occurrence of any of the following events on or after January 1, 2013:</w:t>
      </w:r>
    </w:p>
    <w:p>
      <w:pPr>
        <w:spacing w:after="0" w:line="157" w:lineRule="exact"/>
        <w:rPr>
          <w:rFonts w:ascii="Times New Roman" w:cs="Times New Roman" w:eastAsia="Times New Roman" w:hAnsi="Times New Roman"/>
          <w:sz w:val="22"/>
          <w:szCs w:val="22"/>
          <w:color w:val="auto"/>
        </w:rPr>
      </w:pPr>
    </w:p>
    <w:p>
      <w:pPr>
        <w:ind w:left="2600" w:hanging="1714"/>
        <w:spacing w:after="0" w:line="245" w:lineRule="auto"/>
        <w:tabs>
          <w:tab w:leader="none" w:pos="130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individual, entity or group (within the meaning of Section 13(d)(3) or 14(d)(2) of the Securities Exchange Act of 1934, as amended (the “Exchange Act”)) (such individual, entity, or group, a “Person”) of beneficial ownership (within the meaning of Rule 13d-3 promulgated under the Exchange Act) of stock possessing 33% or more of the combined voting power of the then-outstanding voting securities of Company entitled to vote generally in the election of directors (the “Outstanding Company Voting Securities”); provided, however, that, for purposes of this definition, the following acquisitions shall not constitute a Change in Control; (A) any acquisition directly from Company or any affiliate or successor of Company, (B) any acquisition by Company or any affiliate or successor of Company, (C) any acquisition by any employee benefit plan (or related trust) sponsored or maintained by Company or any affiliate or successor of Company, or (D) any acquisition by a Person having beneficial ownership of more than 50% of the Outstanding Company Voting Securities prior to the acquisition;</w:t>
      </w:r>
    </w:p>
    <w:p>
      <w:pPr>
        <w:spacing w:after="0" w:line="88" w:lineRule="exact"/>
        <w:rPr>
          <w:rFonts w:ascii="Times New Roman" w:cs="Times New Roman" w:eastAsia="Times New Roman" w:hAnsi="Times New Roman"/>
          <w:sz w:val="22"/>
          <w:szCs w:val="22"/>
          <w:color w:val="auto"/>
        </w:rPr>
      </w:pPr>
    </w:p>
    <w:p>
      <w:pPr>
        <w:ind w:left="2600" w:hanging="1714"/>
        <w:spacing w:after="0" w:line="247" w:lineRule="auto"/>
        <w:tabs>
          <w:tab w:leader="none" w:pos="130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any date (the “Initial Date”) on or after the January 1, 2013, constitute the Board (the “Incumbent Board”) cease for any reason, at any time within 12 months following the Initial Date, to constitute at least a majority of the Board; provided, however, that any individual becoming a director subsequent to the Initial Date whose election, or nomination for election by the stockholders of Company, was approved by a vote of at least a majority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w:t>
      </w:r>
    </w:p>
    <w:p>
      <w:pPr>
        <w:spacing w:after="0" w:line="77" w:lineRule="exact"/>
        <w:rPr>
          <w:rFonts w:ascii="Times New Roman" w:cs="Times New Roman" w:eastAsia="Times New Roman" w:hAnsi="Times New Roman"/>
          <w:sz w:val="22"/>
          <w:szCs w:val="22"/>
          <w:color w:val="auto"/>
        </w:rPr>
      </w:pPr>
    </w:p>
    <w:p>
      <w:pPr>
        <w:ind w:left="2600" w:hanging="1714"/>
        <w:spacing w:after="0" w:line="246" w:lineRule="auto"/>
        <w:tabs>
          <w:tab w:leader="none" w:pos="130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statutory share exchange or consolidation or similar corporate transaction involving Company or any of its subsidiaries, or the acquisition of assets or stock of another entity by Company or any of its subsidiaries (each, a “Business Combination”), in each case if, following such Business Combination, any Person (excluding any entity resulting from such Business Combination or a parent of any such entity or any employee benefit plan (or related trust) of Company or such entity resulting from such Business Combination or parent of any such entity) beneficially owns, directly or indirectly, more than 50% of, respectively, the then-outstanding shares of stock of the entity resulting from such Business Combination or the combined voting power of the then-outstanding voting securities of such entity, except to the extent that the ownership in excess of 50% existed prior to the Business Combination; or</w:t>
      </w:r>
    </w:p>
    <w:p>
      <w:pPr>
        <w:spacing w:after="0" w:line="81" w:lineRule="exact"/>
        <w:rPr>
          <w:rFonts w:ascii="Times New Roman" w:cs="Times New Roman" w:eastAsia="Times New Roman" w:hAnsi="Times New Roman"/>
          <w:sz w:val="22"/>
          <w:szCs w:val="22"/>
          <w:color w:val="auto"/>
        </w:rPr>
      </w:pPr>
    </w:p>
    <w:p>
      <w:pPr>
        <w:jc w:val="right"/>
        <w:ind w:left="2600" w:hanging="1714"/>
        <w:spacing w:after="0" w:line="260" w:lineRule="auto"/>
        <w:tabs>
          <w:tab w:leader="none" w:pos="1304"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sale or other disposition of all or substantially all of the assets of Company (an “Asset Transfer”), other than a transfer to (A) one or more of the beneficial owners (immediately before the Asset Transfer) of the then-outstanding shares of stock of Company (“Outstanding Company Stock”) in exchange for or with respect to such Outstanding Company Stock of such beneficial owners, or</w:t>
      </w:r>
    </w:p>
    <w:p>
      <w:pPr>
        <w:spacing w:after="0" w:line="3" w:lineRule="exact"/>
        <w:rPr>
          <w:rFonts w:ascii="Times New Roman" w:cs="Times New Roman" w:eastAsia="Times New Roman" w:hAnsi="Times New Roman"/>
          <w:sz w:val="21"/>
          <w:szCs w:val="21"/>
          <w:color w:val="auto"/>
        </w:rPr>
      </w:pPr>
    </w:p>
    <w:p>
      <w:pPr>
        <w:ind w:left="26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entity, 50% or more of the total value or voting power of which is owned, directly or indirectly, by Company, or</w:t>
      </w:r>
    </w:p>
    <w:p>
      <w:pPr>
        <w:spacing w:after="0" w:line="28" w:lineRule="exact"/>
        <w:rPr>
          <w:sz w:val="20"/>
          <w:szCs w:val="20"/>
          <w:color w:val="auto"/>
        </w:rPr>
      </w:pPr>
    </w:p>
    <w:p>
      <w:pPr>
        <w:jc w:val="both"/>
        <w:ind w:left="1300" w:firstLine="5"/>
        <w:spacing w:after="0" w:line="246" w:lineRule="auto"/>
        <w:tabs>
          <w:tab w:leader="none" w:pos="166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owns, directly or indirectly, 50% or more of the total value or voting power of the Outstanding Company Stock, or (D) an entity, 50% or more of the total value or voting power of which is owned, directly or indirectly, by a Person described in the preceding clause (C).</w:t>
      </w:r>
    </w:p>
    <w:p>
      <w:pPr>
        <w:spacing w:after="0" w:line="76" w:lineRule="exact"/>
        <w:rPr>
          <w:sz w:val="20"/>
          <w:szCs w:val="20"/>
          <w:color w:val="auto"/>
        </w:rPr>
      </w:pPr>
    </w:p>
    <w:p>
      <w:pPr>
        <w:ind w:right="80" w:firstLine="891"/>
        <w:spacing w:after="0" w:line="275" w:lineRule="auto"/>
        <w:rPr>
          <w:sz w:val="20"/>
          <w:szCs w:val="20"/>
          <w:color w:val="auto"/>
        </w:rPr>
      </w:pPr>
      <w:r>
        <w:rPr>
          <w:rFonts w:ascii="Times New Roman" w:cs="Times New Roman" w:eastAsia="Times New Roman" w:hAnsi="Times New Roman"/>
          <w:sz w:val="21"/>
          <w:szCs w:val="21"/>
          <w:color w:val="auto"/>
        </w:rPr>
        <w:t>Each event comprising a Change in Control is intended to constitute a “change in ownership,” a “change in effective control” or a “change in the ownership of a substantial portion of the assets” of Company as such terms are defined for purposes of Section 409A of the Code and such definition of “Change in Control” as used herein shall be interpreted consistently therewith.</w:t>
      </w:r>
    </w:p>
    <w:p>
      <w:pPr>
        <w:spacing w:after="0" w:line="196" w:lineRule="exact"/>
        <w:rPr>
          <w:sz w:val="20"/>
          <w:szCs w:val="20"/>
          <w:color w:val="auto"/>
        </w:rPr>
      </w:pPr>
    </w:p>
    <w:p>
      <w:pPr>
        <w:jc w:val="both"/>
        <w:ind w:firstLine="656"/>
        <w:spacing w:after="0" w:line="252" w:lineRule="auto"/>
        <w:tabs>
          <w:tab w:leader="none" w:pos="9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as constituted immediately prior to the consummation of a Change in Control and the Chief Executive Officer of Company shall have the duty to inform Trustee in writing of the occurrence of a Change in Control. Trustee may rely exclusively on this writing and shall have no duty to inquire whether a Change in Control has taken place or to make any determination as to whether a Change in Control has occurred.</w:t>
      </w:r>
    </w:p>
    <w:p>
      <w:pPr>
        <w:spacing w:after="0" w:line="220" w:lineRule="exact"/>
        <w:rPr>
          <w:rFonts w:ascii="Times New Roman" w:cs="Times New Roman" w:eastAsia="Times New Roman" w:hAnsi="Times New Roman"/>
          <w:sz w:val="22"/>
          <w:szCs w:val="22"/>
          <w:color w:val="auto"/>
        </w:rPr>
      </w:pPr>
    </w:p>
    <w:p>
      <w:pPr>
        <w:ind w:firstLine="656"/>
        <w:spacing w:after="0" w:line="252" w:lineRule="auto"/>
        <w:tabs>
          <w:tab w:leader="none" w:pos="9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business entity into which Trustee may be merged or converted or with which it may be consolidated, or any entity resulting from any merger, conversion or consolidation to which Trustee shall be a party, or any entity succeeding to or receiving by assignment all or substantially all of the corporate trust business of Trustee, shall be the successor of Trustee hereunder, without the execution or filing of any paper or any further act on the part of any of the parties hereto.</w:t>
      </w:r>
    </w:p>
    <w:p>
      <w:pPr>
        <w:spacing w:after="0" w:line="220" w:lineRule="exact"/>
        <w:rPr>
          <w:rFonts w:ascii="Times New Roman" w:cs="Times New Roman" w:eastAsia="Times New Roman" w:hAnsi="Times New Roman"/>
          <w:sz w:val="22"/>
          <w:szCs w:val="22"/>
          <w:color w:val="auto"/>
        </w:rPr>
      </w:pPr>
    </w:p>
    <w:p>
      <w:pPr>
        <w:ind w:right="460" w:firstLine="656"/>
        <w:spacing w:after="0" w:line="271" w:lineRule="auto"/>
        <w:tabs>
          <w:tab w:leader="none" w:pos="95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represents and warrants that the Plan and the administration thereof comply with applicable law and shall continue to be in compliance therewith.</w:t>
      </w:r>
    </w:p>
    <w:p>
      <w:pPr>
        <w:spacing w:after="0" w:line="198" w:lineRule="exact"/>
        <w:rPr>
          <w:rFonts w:ascii="Times New Roman" w:cs="Times New Roman" w:eastAsia="Times New Roman" w:hAnsi="Times New Roman"/>
          <w:sz w:val="22"/>
          <w:szCs w:val="22"/>
          <w:color w:val="auto"/>
        </w:rPr>
      </w:pPr>
    </w:p>
    <w:p>
      <w:pPr>
        <w:ind w:firstLine="656"/>
        <w:spacing w:after="0" w:line="246" w:lineRule="auto"/>
        <w:tabs>
          <w:tab w:leader="none" w:pos="9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provision of this Trust Agreement requires that a communication or document be provided to the Trustee in writing or written form, that requirement may also be satisfied by a facsimile transmission, electronic mail or other electronic transmission of text (including electronic records attached thereto), if the Trustee reasonably believes such communication or document has been signed, sent or presented (as applicable) by any person or entity authorized to act on behalf of the Company. Any electronic mail or other electronic transmission of text will be deemed signed by the sender if the sender’s name or electronic address appears as part of, or is transmitted with, the electronic record. The Trustee will not incur any liability to anyone resulting from actions taken in good faith reliance on such communication or document. Nor shall the Trustee incur any liability in executing instructions from any person or entity authorized to act on behalf of the Company prior to receipt by it of notice of the revocation of the written authority of such person or entity.</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14. Confidentiality.</w:t>
      </w:r>
    </w:p>
    <w:p>
      <w:pPr>
        <w:spacing w:after="0" w:line="264"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This Trust Agreement and certain information relating to the Trust is "Confidential Information" pursuant to applicable federal and state law, and as such it shall be maintained in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2"/>
          <w:szCs w:val="22"/>
          <w:color w:val="auto"/>
        </w:rPr>
        <w:t>confidence and not disclosed, used or duplicated, except as described in this Section. If it is necessary for the Trustee to disclose Confidential Information to a third party in order to perform the Trustee's duties hereunder and the Company has authorized the Trustee to do so, the Trustee shall disclose only such Confidential Information as is necessary for such third party to perform its obligations to the Trustee and shall, before such disclosure is made, ensure that said third party understands and agrees to the confidentiality obligations set forth herein. The Trustee and the Company shall maintain appropriate information security programs and adequate administrative and physical safeguards to prevent the unauthorized disclosure, misuse, alteration or destruction of Confidential Information, and shall inform the other party as soon as possible of any security breach or other incident involving possible unauthorized disclosure of or access to Confidential Information. Confidential Information shall be returned to the disclosing party upon request. Confidential Information does not include information that is generally known or available to the public or that is not treated as confidential by the disclosing party, provided, however, that this exception shall not apply to any publicly available information to the extent that the disclosure or sharing of the information by one or both parties is subject to any limitation, restriction, consent, or notification requirement under any applicable federal or state information privacy law or regulation. If the receiving party is required by law, according to the advice of competent counsel, to disclose Confidential Information, the receiving party may do so without breaching this Section, but shall first, if feasible and legally permissible, provide the disclosing party with prompt notice of such pending disclosure so that the disclosing party may seek a protective order or other appropriate remedy or waive compliance with the provisions of this Section.</w:t>
      </w:r>
    </w:p>
    <w:p>
      <w:pPr>
        <w:spacing w:after="0" w:line="226"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Regarding Successor Trustee</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ind w:right="40" w:firstLine="656"/>
        <w:spacing w:after="0" w:line="257" w:lineRule="auto"/>
        <w:tabs>
          <w:tab w:leader="none" w:pos="94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agreement herein of successor Trustee to become Trustee of the Trust, Company understands and agrees the successor Trustee shall have no obligation, duty or liability with respect to any period of time prior to its becoming successor Trustee;</w:t>
      </w:r>
    </w:p>
    <w:p>
      <w:pPr>
        <w:spacing w:after="0" w:line="213"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any claims, losses or damages exist with respect to the Trust, or</w:t>
      </w:r>
    </w:p>
    <w:p>
      <w:pPr>
        <w:spacing w:after="0" w:line="260"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pursue or take any action with respect to any claims, losses or damages which exist with respect to the Trust,</w:t>
      </w:r>
    </w:p>
    <w:p>
      <w:pPr>
        <w:spacing w:after="0" w:line="39"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36" w:lineRule="exact"/>
        <w:rPr>
          <w:rFonts w:ascii="Times New Roman" w:cs="Times New Roman" w:eastAsia="Times New Roman" w:hAnsi="Times New Roman"/>
          <w:sz w:val="21"/>
          <w:szCs w:val="21"/>
          <w:color w:val="auto"/>
        </w:rPr>
      </w:pPr>
    </w:p>
    <w:p>
      <w:pPr>
        <w:ind w:left="1300" w:right="40" w:firstLine="5"/>
        <w:spacing w:after="0" w:line="271" w:lineRule="auto"/>
        <w:tabs>
          <w:tab w:leader="none" w:pos="184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review the performance by or acts of the Prior Trustee or to determine whether a breach of Trust exists with respect to the Trust or has been committed by the Prior Trustee, or</w:t>
      </w:r>
    </w:p>
    <w:p>
      <w:pPr>
        <w:spacing w:after="0" w:line="198"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remedy any breach of Trust which exists with respect to the Trust as of the Effective Date, or</w:t>
      </w:r>
    </w:p>
    <w:p>
      <w:pPr>
        <w:spacing w:after="0" w:line="260"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compel the Prior Trustee to deliver the Trust corpus to it.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2" w:right="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i w:val="1"/>
          <w:iCs w:val="1"/>
          <w:color w:val="auto"/>
        </w:rPr>
        <w:t>The Macerich Company -Deferred Compensation Plan - Amended And Restated Trust Agreement</w:t>
      </w:r>
    </w:p>
    <w:p>
      <w:pPr>
        <w:spacing w:after="0" w:line="251" w:lineRule="exact"/>
        <w:rPr>
          <w:sz w:val="20"/>
          <w:szCs w:val="20"/>
          <w:color w:val="auto"/>
        </w:rPr>
      </w:pPr>
    </w:p>
    <w:p>
      <w:pPr>
        <w:ind w:right="140" w:firstLine="656"/>
        <w:spacing w:after="0" w:line="271" w:lineRule="auto"/>
        <w:tabs>
          <w:tab w:leader="none" w:pos="95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further agrees to indemnify and hold harmless the successor Trustee from any claims, losses or damages (including, but not limited to, costs, expenses and legal fees):</w:t>
      </w:r>
    </w:p>
    <w:p>
      <w:pPr>
        <w:spacing w:after="0" w:line="198"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exists as of the Effective Date with respect to the Trust;</w:t>
      </w:r>
    </w:p>
    <w:p>
      <w:pPr>
        <w:spacing w:after="0" w:line="260"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 out of or in connection with:</w:t>
      </w:r>
    </w:p>
    <w:p>
      <w:pPr>
        <w:spacing w:after="0" w:line="260" w:lineRule="exact"/>
        <w:rPr>
          <w:rFonts w:ascii="Times New Roman" w:cs="Times New Roman" w:eastAsia="Times New Roman" w:hAnsi="Times New Roman"/>
          <w:sz w:val="22"/>
          <w:szCs w:val="22"/>
          <w:color w:val="auto"/>
        </w:rPr>
      </w:pPr>
    </w:p>
    <w:p>
      <w:pPr>
        <w:ind w:left="1960" w:right="280" w:hanging="7"/>
        <w:spacing w:after="0" w:line="271" w:lineRule="auto"/>
        <w:tabs>
          <w:tab w:leader="none" w:pos="2428"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acts or omissions of the Prior Trustee, or any actions taken prior to the Effective Date with respect to the Trust;</w:t>
      </w:r>
    </w:p>
    <w:p>
      <w:pPr>
        <w:spacing w:after="0" w:line="198" w:lineRule="exact"/>
        <w:rPr>
          <w:rFonts w:ascii="Times New Roman" w:cs="Times New Roman" w:eastAsia="Times New Roman" w:hAnsi="Times New Roman"/>
          <w:sz w:val="22"/>
          <w:szCs w:val="22"/>
          <w:color w:val="auto"/>
        </w:rPr>
      </w:pPr>
    </w:p>
    <w:p>
      <w:pPr>
        <w:ind w:left="1960" w:right="180" w:hanging="7"/>
        <w:spacing w:after="0" w:line="257" w:lineRule="auto"/>
        <w:tabs>
          <w:tab w:leader="none" w:pos="2428"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successor Trustee to determine whether any claims, losses or damages exist with respect to the Trust or arise out of or in connection with any acts or omissions which occurred prior to the date hereof with respect to the Trust;</w:t>
      </w:r>
    </w:p>
    <w:p>
      <w:pPr>
        <w:spacing w:after="0" w:line="213" w:lineRule="exact"/>
        <w:rPr>
          <w:rFonts w:ascii="Times New Roman" w:cs="Times New Roman" w:eastAsia="Times New Roman" w:hAnsi="Times New Roman"/>
          <w:sz w:val="22"/>
          <w:szCs w:val="22"/>
          <w:color w:val="auto"/>
        </w:rPr>
      </w:pPr>
    </w:p>
    <w:p>
      <w:pPr>
        <w:ind w:left="1960" w:hanging="7"/>
        <w:spacing w:after="0" w:line="271" w:lineRule="auto"/>
        <w:tabs>
          <w:tab w:leader="none" w:pos="2428"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successor Trustee to determine whether a breach of trust exists with respect to the Trust or has been committed by the Prior Trustee; and</w:t>
      </w:r>
    </w:p>
    <w:p>
      <w:pPr>
        <w:spacing w:after="0" w:line="198"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the successor Trustee to compel the Prior Trustee to deliver Trust property to it.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2" w:right="259" w:bottom="1440" w:gutter="0" w:footer="0" w:header="0"/>
        </w:sectPr>
      </w:pPr>
    </w:p>
    <w:bookmarkStart w:id="67" w:name="page68"/>
    <w:bookmarkEnd w:id="6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Company and Trustee have caused this Trust Agreement to be executed by their respective duly authorized officers, as of the day and year first above written.</w:t>
      </w:r>
    </w:p>
    <w:p>
      <w:pPr>
        <w:spacing w:after="0" w:line="200" w:lineRule="exact"/>
        <w:rPr>
          <w:sz w:val="20"/>
          <w:szCs w:val="20"/>
          <w:color w:val="auto"/>
        </w:rPr>
      </w:pPr>
    </w:p>
    <w:p>
      <w:pPr>
        <w:spacing w:after="0" w:line="2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MACERICH COMPANY</w:t>
      </w:r>
    </w:p>
    <w:p>
      <w:pPr>
        <w:spacing w:after="0" w:line="200" w:lineRule="exact"/>
        <w:rPr>
          <w:sz w:val="20"/>
          <w:szCs w:val="20"/>
          <w:color w:val="auto"/>
        </w:rPr>
      </w:pPr>
    </w:p>
    <w:p>
      <w:pPr>
        <w:spacing w:after="0" w:line="3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By: /s/ Ann C.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-13970</wp:posOffset>
            </wp:positionV>
            <wp:extent cx="1296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extLst>
                    </a:blip>
                    <a:srcRect/>
                    <a:stretch>
                      <a:fillRect/>
                    </a:stretch>
                  </pic:blipFill>
                  <pic:spPr bwMode="auto">
                    <a:xfrm>
                      <a:off x="0" y="0"/>
                      <a:ext cx="1296035" cy="8890"/>
                    </a:xfrm>
                    <a:prstGeom prst="rect">
                      <a:avLst/>
                    </a:prstGeom>
                    <a:noFill/>
                  </pic:spPr>
                </pic:pic>
              </a:graphicData>
            </a:graphic>
          </wp:anchor>
        </w:drawing>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Name: Ann C. Menard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 Executive Vice President, Chief Legal Officer</w:t>
      </w:r>
    </w:p>
    <w:p>
      <w:pPr>
        <w:sectPr>
          <w:pgSz w:w="11900" w:h="16838" w:orient="portrait"/>
          <w:cols w:equalWidth="0" w:num="1">
            <w:col w:w="11340"/>
          </w:cols>
          <w:pgMar w:left="240" w:top="1355" w:right="319" w:bottom="1440" w:gutter="0" w:footer="0" w:header="0"/>
        </w:sectPr>
      </w:pP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Address:</w:t>
      </w:r>
    </w:p>
    <w:p>
      <w:pPr>
        <w:spacing w:after="0" w:line="2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401 Wilshire Blvd., Suite 7000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Santa Monica, CA 90401</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Chief Legal Officer</w:t>
      </w:r>
    </w:p>
    <w:p>
      <w:pPr>
        <w:spacing w:after="0" w:line="200" w:lineRule="exact"/>
        <w:rPr>
          <w:sz w:val="20"/>
          <w:szCs w:val="20"/>
          <w:color w:val="auto"/>
        </w:rPr>
      </w:pPr>
    </w:p>
    <w:p>
      <w:pPr>
        <w:sectPr>
          <w:pgSz w:w="11900" w:h="16838" w:orient="portrait"/>
          <w:cols w:equalWidth="0" w:num="2">
            <w:col w:w="2080" w:space="80"/>
            <w:col w:w="9180"/>
          </w:cols>
          <w:pgMar w:left="240" w:top="1355" w:right="319" w:bottom="1440" w:gutter="0" w:footer="0" w:header="0"/>
          <w:type w:val="continuous"/>
        </w:sectPr>
      </w:pPr>
    </w:p>
    <w:p>
      <w:pPr>
        <w:spacing w:after="0" w:line="36"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310-394-6000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200" w:lineRule="exact"/>
        <w:rPr>
          <w:sz w:val="20"/>
          <w:szCs w:val="20"/>
          <w:color w:val="auto"/>
        </w:rPr>
      </w:pPr>
    </w:p>
    <w:p>
      <w:pPr>
        <w:spacing w:after="0" w:line="3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By: /s/ Andrew J. Franck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-13970</wp:posOffset>
            </wp:positionV>
            <wp:extent cx="141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1417955" cy="8890"/>
                    </a:xfrm>
                    <a:prstGeom prst="rect">
                      <a:avLst/>
                    </a:prstGeom>
                    <a:noFill/>
                  </pic:spPr>
                </pic:pic>
              </a:graphicData>
            </a:graphic>
          </wp:anchor>
        </w:drawing>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Name: Andrew J. Franck</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Vice President</w:t>
      </w:r>
    </w:p>
    <w:p>
      <w:pPr>
        <w:spacing w:after="0" w:line="236"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22"/>
          <w:szCs w:val="22"/>
          <w:color w:val="auto"/>
        </w:rPr>
        <w:t>Address:</w:t>
        <w:tab/>
        <w:t>401 S. Tryon Street</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MAC D1050-140</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Charlotte, NC 28202</w:t>
      </w:r>
    </w:p>
    <w:p>
      <w:pPr>
        <w:spacing w:after="0" w:line="236"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704-715-4675</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[Signature page to Amended and Restated Trust Agreement]</w:t>
      </w:r>
    </w:p>
    <w:p>
      <w:pPr>
        <w:sectPr>
          <w:pgSz w:w="11900" w:h="16838" w:orient="portrait"/>
          <w:cols w:equalWidth="0" w:num="1">
            <w:col w:w="11340"/>
          </w:cols>
          <w:pgMar w:left="240" w:top="1355" w:right="319" w:bottom="1440" w:gutter="0" w:footer="0" w:header="0"/>
          <w:type w:val="continuous"/>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 AMENDED AND RESTATED TRUST AGREEMENT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Deferred Compensation Plans: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Macerich Company 2013 Deferred Compensation Plan for Executives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Macerich Company 2005 Deferred Compensation Plan for Executives,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Macerich Company 2005 Deferred Compensation Plan for Senior Executives, as amended</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Macerich Company Deferred Compensation Plan for Executives (As Amended and Restated Effective as of January 1, 2003), as amended</w:t>
      </w:r>
    </w:p>
    <w:p>
      <w:pPr>
        <w:spacing w:after="0" w:line="158"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The Macerich Company Deferred Compensation Plan for Senior Executives (As Amended and Restated Effective as of January 1, 2003), as amended</w:t>
      </w:r>
    </w:p>
    <w:p>
      <w:pPr>
        <w:sectPr>
          <w:pgSz w:w="11900" w:h="16838" w:orient="portrait"/>
          <w:cols w:equalWidth="0" w:num="1">
            <w:col w:w="11300"/>
          </w:cols>
          <w:pgMar w:left="240" w:top="1202" w:right="359" w:bottom="1440" w:gutter="0" w:footer="0" w:header="0"/>
        </w:sectPr>
      </w:pPr>
    </w:p>
    <w:bookmarkStart w:id="69" w:name="page70"/>
    <w:bookmarkEnd w:id="69"/>
    <w:p>
      <w:pPr>
        <w:ind w:left="8620"/>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MACERICH COMPANY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EMPLOYEE STOCK PURCHASE PLAN</w:t>
      </w:r>
    </w:p>
    <w:p>
      <w:pPr>
        <w:spacing w:after="0" w:line="23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Macerich Company (the “Company”) has established and maintains The Macerich Company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Purchase Plan originally, originally effective April 1, 2003, amended and restated effective June 1, 2013, and again amended effective October 23, 2014 (the “Plan”);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Section 19(d) of the Plan provides for the amendment of the Plan by the Board of Directors (the “Board”);</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Plan is hereby amended effective July 25, 2019 as follows: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 is hereby amended to replace the definition of “Eligible Employee” in its entirety with the following:</w:t>
      </w:r>
    </w:p>
    <w:p>
      <w:pPr>
        <w:spacing w:after="0" w:line="216" w:lineRule="exact"/>
        <w:rPr>
          <w:sz w:val="20"/>
          <w:szCs w:val="20"/>
          <w:color w:val="auto"/>
        </w:rPr>
      </w:pPr>
    </w:p>
    <w:p>
      <w:pPr>
        <w:ind w:left="13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“Eligible Employee” </w:t>
      </w:r>
      <w:r>
        <w:rPr>
          <w:rFonts w:ascii="Times New Roman" w:cs="Times New Roman" w:eastAsia="Times New Roman" w:hAnsi="Times New Roman"/>
          <w:sz w:val="22"/>
          <w:szCs w:val="22"/>
          <w:color w:val="auto"/>
        </w:rPr>
        <w:t>means, any employee of the Corporation or of any Participating Subsidiary. 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foregoing, “Eligible Employee” shall not include any employee:</w:t>
      </w:r>
    </w:p>
    <w:p>
      <w:pPr>
        <w:spacing w:after="0" w:line="154" w:lineRule="exact"/>
        <w:rPr>
          <w:sz w:val="20"/>
          <w:szCs w:val="20"/>
          <w:color w:val="auto"/>
        </w:rPr>
      </w:pPr>
    </w:p>
    <w:p>
      <w:pPr>
        <w:ind w:left="1760" w:hanging="455"/>
        <w:spacing w:after="0"/>
        <w:tabs>
          <w:tab w:leader="none" w:pos="17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has been employed by the Corporation or a Subsidiary for less than forty-five (45) days;</w:t>
      </w:r>
    </w:p>
    <w:p>
      <w:pPr>
        <w:spacing w:after="0" w:line="219" w:lineRule="exact"/>
        <w:rPr>
          <w:rFonts w:ascii="Times New Roman" w:cs="Times New Roman" w:eastAsia="Times New Roman" w:hAnsi="Times New Roman"/>
          <w:sz w:val="22"/>
          <w:szCs w:val="22"/>
          <w:color w:val="auto"/>
        </w:rPr>
      </w:pPr>
    </w:p>
    <w:p>
      <w:pPr>
        <w:ind w:left="1300" w:firstLine="5"/>
        <w:spacing w:after="0" w:line="271" w:lineRule="auto"/>
        <w:tabs>
          <w:tab w:leader="none" w:pos="190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providing part-time services and has been employed by the Corporation or a Subsidiary for less than one year; or</w:t>
      </w:r>
    </w:p>
    <w:p>
      <w:pPr>
        <w:spacing w:after="0" w:line="157" w:lineRule="exact"/>
        <w:rPr>
          <w:rFonts w:ascii="Times New Roman" w:cs="Times New Roman" w:eastAsia="Times New Roman" w:hAnsi="Times New Roman"/>
          <w:sz w:val="22"/>
          <w:szCs w:val="22"/>
          <w:color w:val="auto"/>
        </w:rPr>
      </w:pPr>
    </w:p>
    <w:p>
      <w:pPr>
        <w:ind w:left="1300" w:firstLine="5"/>
        <w:spacing w:after="0" w:line="271" w:lineRule="auto"/>
        <w:tabs>
          <w:tab w:leader="none" w:pos="177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providing part-time services and whose customary employment is for 19.23 hours or less per week (which is the equivalent of 1,000 hours or less on an annualized basis).</w:t>
      </w:r>
    </w:p>
    <w:p>
      <w:pPr>
        <w:spacing w:after="0" w:line="158" w:lineRule="exact"/>
        <w:rPr>
          <w:sz w:val="20"/>
          <w:szCs w:val="20"/>
          <w:color w:val="auto"/>
        </w:rPr>
      </w:pPr>
    </w:p>
    <w:p>
      <w:pPr>
        <w:jc w:val="both"/>
        <w:ind w:left="1300"/>
        <w:spacing w:after="0" w:line="247" w:lineRule="auto"/>
        <w:rPr>
          <w:sz w:val="20"/>
          <w:szCs w:val="20"/>
          <w:color w:val="auto"/>
        </w:rPr>
      </w:pPr>
      <w:r>
        <w:rPr>
          <w:rFonts w:ascii="Times New Roman" w:cs="Times New Roman" w:eastAsia="Times New Roman" w:hAnsi="Times New Roman"/>
          <w:sz w:val="22"/>
          <w:szCs w:val="22"/>
          <w:color w:val="auto"/>
        </w:rPr>
        <w:t>For purposes of the forty-five day employment requirement in (a), employment by a corporation, partnership, limited liability company or other entity prior to the acquisition of such entity by the Corporation or a Subsidiary shall be considered as employment with the Corporation or Subsidiary, as the case may be, and employment in the management of any shopping mall or other property immediately prior to the Corporation’s or a Subsidiary’s acquisition of a direct or indirect interest in, or becoming the manager of, such property of any individual who becomes an employee of the Corporation or Subsidiary in connection with such event shall be counted as employment with the Corporation or Subsidiary, as the case may be, each as determined in the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376853.1</w:t>
      </w:r>
    </w:p>
    <w:p>
      <w:pPr>
        <w:sectPr>
          <w:pgSz w:w="11900" w:h="16838" w:orient="portrait"/>
          <w:cols w:equalWidth="0" w:num="1">
            <w:col w:w="11420"/>
          </w:cols>
          <w:pgMar w:left="240" w:top="365" w:right="2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22"/>
          <w:szCs w:val="22"/>
          <w:color w:val="auto"/>
        </w:rPr>
        <w:t>Except as amended herein, all other provisions of the Plan shall continue in full force and effect.</w:t>
      </w:r>
    </w:p>
    <w:p>
      <w:pPr>
        <w:spacing w:after="0" w:line="25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Amendment to be executed by its duly authorized officers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July 25, 2019.</w:t>
      </w:r>
    </w:p>
    <w:p>
      <w:pPr>
        <w:spacing w:after="0" w:line="1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THE MACERICH COMPANY:</w:t>
      </w:r>
    </w:p>
    <w:p>
      <w:pPr>
        <w:spacing w:after="0" w:line="2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Ann C.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-13970</wp:posOffset>
            </wp:positionV>
            <wp:extent cx="14331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1433195"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Ann C. Menard</w:t>
      </w:r>
    </w:p>
    <w:p>
      <w:pPr>
        <w:spacing w:after="0" w:line="4" w:lineRule="exact"/>
        <w:rPr>
          <w:sz w:val="20"/>
          <w:szCs w:val="20"/>
          <w:color w:val="auto"/>
        </w:rPr>
      </w:pPr>
    </w:p>
    <w:p>
      <w:pPr>
        <w:ind w:left="5200"/>
        <w:spacing w:after="0"/>
        <w:tabs>
          <w:tab w:leader="none" w:pos="8740" w:val="left"/>
        </w:tabs>
        <w:rPr>
          <w:sz w:val="20"/>
          <w:szCs w:val="20"/>
          <w:color w:val="auto"/>
        </w:rPr>
      </w:pPr>
      <w:r>
        <w:rPr>
          <w:rFonts w:ascii="Times New Roman" w:cs="Times New Roman" w:eastAsia="Times New Roman" w:hAnsi="Times New Roman"/>
          <w:sz w:val="22"/>
          <w:szCs w:val="22"/>
          <w:color w:val="auto"/>
        </w:rPr>
        <w:t>Executive Vice President, Chief Legal</w:t>
      </w:r>
      <w:r>
        <w:rPr>
          <w:sz w:val="20"/>
          <w:szCs w:val="20"/>
          <w:color w:val="auto"/>
        </w:rPr>
        <w:tab/>
      </w:r>
      <w:r>
        <w:rPr>
          <w:rFonts w:ascii="Times New Roman" w:cs="Times New Roman" w:eastAsia="Times New Roman" w:hAnsi="Times New Roman"/>
          <w:sz w:val="21"/>
          <w:szCs w:val="21"/>
          <w:color w:val="auto"/>
        </w:rPr>
        <w:t>Officer and Secretary</w:t>
      </w:r>
    </w:p>
    <w:p>
      <w:pPr>
        <w:spacing w:after="0" w:line="2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376853.1</w:t>
      </w:r>
    </w:p>
    <w:p>
      <w:pPr>
        <w:sectPr>
          <w:pgSz w:w="11900" w:h="16838" w:orient="portrait"/>
          <w:cols w:equalWidth="0" w:num="1">
            <w:col w:w="11420"/>
          </w:cols>
          <w:pgMar w:left="240" w:top="369"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O'Hern, certify that:</w:t>
      </w:r>
    </w:p>
    <w:p>
      <w:pPr>
        <w:spacing w:after="0" w:line="27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June 30, 2019 of The Macerich Company;</w:t>
      </w:r>
    </w:p>
    <w:p>
      <w:pPr>
        <w:spacing w:after="0" w:line="279"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0"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E. O'HERN</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9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August 5, 2019</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0" w:type="dxa"/>
            <w:vAlign w:val="bottom"/>
          </w:tcPr>
          <w:p>
            <w:pPr>
              <w:spacing w:after="0"/>
              <w:rPr>
                <w:sz w:val="1"/>
                <w:szCs w:val="1"/>
                <w:color w:val="auto"/>
              </w:rPr>
            </w:pPr>
          </w:p>
        </w:tc>
      </w:tr>
      <w:tr>
        <w:trPr>
          <w:trHeight w:val="81"/>
        </w:trPr>
        <w:tc>
          <w:tcPr>
            <w:tcW w:w="620" w:type="dxa"/>
            <w:vAlign w:val="bottom"/>
            <w:vMerge w:val="continue"/>
          </w:tcPr>
          <w:p>
            <w:pPr>
              <w:spacing w:after="0"/>
              <w:rPr>
                <w:sz w:val="7"/>
                <w:szCs w:val="7"/>
                <w:color w:val="auto"/>
              </w:rPr>
            </w:pPr>
          </w:p>
        </w:tc>
        <w:tc>
          <w:tcPr>
            <w:tcW w:w="4960" w:type="dxa"/>
            <w:vAlign w:val="bottom"/>
            <w:vMerge w:val="continue"/>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98"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Kingsmore, certify that:</w:t>
      </w:r>
    </w:p>
    <w:p>
      <w:pPr>
        <w:spacing w:after="0" w:line="27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June 30, 2019 of The Macerich Company;</w:t>
      </w:r>
    </w:p>
    <w:p>
      <w:pPr>
        <w:spacing w:after="0" w:line="279"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0"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SCOTT W. KINGSMORE</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August 5, 2019</w:t>
            </w:r>
          </w:p>
        </w:tc>
        <w:tc>
          <w:tcPr>
            <w:tcW w:w="55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81"/>
        </w:trPr>
        <w:tc>
          <w:tcPr>
            <w:tcW w:w="640" w:type="dxa"/>
            <w:vAlign w:val="bottom"/>
            <w:vMerge w:val="continue"/>
          </w:tcPr>
          <w:p>
            <w:pPr>
              <w:spacing w:after="0"/>
              <w:rPr>
                <w:sz w:val="7"/>
                <w:szCs w:val="7"/>
                <w:color w:val="auto"/>
              </w:rPr>
            </w:pPr>
          </w:p>
        </w:tc>
        <w:tc>
          <w:tcPr>
            <w:tcW w:w="4480" w:type="dxa"/>
            <w:vAlign w:val="bottom"/>
            <w:vMerge w:val="continue"/>
          </w:tcPr>
          <w:p>
            <w:pPr>
              <w:spacing w:after="0"/>
              <w:rPr>
                <w:sz w:val="7"/>
                <w:szCs w:val="7"/>
                <w:color w:val="auto"/>
              </w:rPr>
            </w:pPr>
          </w:p>
        </w:tc>
        <w:tc>
          <w:tcPr>
            <w:tcW w:w="5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98"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108" w:lineRule="exact"/>
        <w:rPr>
          <w:sz w:val="20"/>
          <w:szCs w:val="20"/>
          <w:color w:val="auto"/>
        </w:rPr>
      </w:pPr>
    </w:p>
    <w:p>
      <w:pPr>
        <w:ind w:left="980" w:right="12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2019 of the Company (the "Report") fully complies with the requirements of Section 13(a) and 15(d)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2019</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85725</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35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85725</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sectPr>
      <w:pgSz w:w="11900" w:h="16838" w:orient="portrait"/>
      <w:cols w:equalWidth="0" w:num="1">
        <w:col w:w="11420"/>
      </w:cols>
      <w:pgMar w:left="240" w:top="1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lvl>
    <w:lvl w:ilvl="1">
      <w:lvlJc w:val="left"/>
      <w:lvlText w:val="$"/>
      <w:numFmt w:val="bullet"/>
      <w:start w:val="1"/>
    </w:lvl>
  </w:abstractNum>
  <w:abstractNum w:abstractNumId="8">
    <w:nsid w:val="2CA88611"/>
    <w:multiLevelType w:val="hybridMultilevel"/>
    <w:lvl w:ilvl="0">
      <w:lvlJc w:val="left"/>
      <w:lvlText w:val="%1."/>
      <w:numFmt w:val="decimal"/>
      <w:start w:val="10"/>
    </w:lvl>
    <w:lvl w:ilvl="1">
      <w:lvlJc w:val="left"/>
      <w:lvlText w:val="(%2)"/>
      <w:numFmt w:val="decimal"/>
      <w:start w:val="10"/>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lvl w:ilvl="1">
      <w:lvlJc w:val="left"/>
      <w:lvlText w:val="%2"/>
      <w:numFmt w:val="decimal"/>
      <w:start w:val="104"/>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3"/>
    </w:lvl>
  </w:abstractNum>
  <w:abstractNum w:abstractNumId="18">
    <w:nsid w:val="4516DDE9"/>
    <w:multiLevelType w:val="hybridMultilevel"/>
    <w:lvl w:ilvl="0">
      <w:lvlJc w:val="left"/>
      <w:lvlText w:val="(%1)"/>
      <w:numFmt w:val="lowerLetter"/>
      <w:start w:val="1"/>
    </w:lvl>
    <w:lvl w:ilvl="1">
      <w:lvlJc w:val="left"/>
      <w:lvlText w:val="(%2)"/>
      <w:numFmt w:val="decimal"/>
      <w:start w:val="1"/>
    </w:lvl>
  </w:abstractNum>
  <w:abstractNum w:abstractNumId="19">
    <w:nsid w:val="3006C83E"/>
    <w:multiLevelType w:val="hybridMultilevel"/>
    <w:lvl w:ilvl="0">
      <w:lvlJc w:val="left"/>
      <w:lvlText w:val="%1"/>
      <w:numFmt w:val="lowerLetter"/>
      <w:start w:val="1"/>
    </w:lvl>
    <w:lvl w:ilvl="1">
      <w:lvlJc w:val="left"/>
      <w:lvlText w:val="(%2)"/>
      <w:numFmt w:val="decimal"/>
      <w:start w:val="4"/>
    </w:lvl>
  </w:abstractNum>
  <w:abstractNum w:abstractNumId="20">
    <w:nsid w:val="614FD4A1"/>
    <w:multiLevelType w:val="hybridMultilevel"/>
    <w:lvl w:ilvl="0">
      <w:lvlJc w:val="left"/>
      <w:lvlText w:val="(%1)"/>
      <w:numFmt w:val="lowerLetter"/>
      <w:start w:val="3"/>
    </w:lvl>
    <w:lvl w:ilvl="1">
      <w:lvlJc w:val="left"/>
      <w:lvlText w:val="%2"/>
      <w:numFmt w:val="decimal"/>
      <w:start w:val="1"/>
    </w:lvl>
  </w:abstractNum>
  <w:abstractNum w:abstractNumId="21">
    <w:nsid w:val="419AC241"/>
    <w:multiLevelType w:val="hybridMultilevel"/>
    <w:lvl w:ilvl="0">
      <w:lvlJc w:val="left"/>
      <w:lvlText w:val="(%1)"/>
      <w:numFmt w:val="lowerLetter"/>
      <w:start w:val="1"/>
    </w:lvl>
    <w:lvl w:ilvl="1">
      <w:lvlJc w:val="left"/>
      <w:lvlText w:val="(%2)"/>
      <w:numFmt w:val="decimal"/>
      <w:start w:val="1"/>
    </w:lvl>
  </w:abstractNum>
  <w:abstractNum w:abstractNumId="22">
    <w:nsid w:val="5577F8E1"/>
    <w:multiLevelType w:val="hybridMultilevel"/>
    <w:lvl w:ilvl="0">
      <w:lvlJc w:val="left"/>
      <w:lvlText w:val="%1"/>
      <w:numFmt w:val="lowerLetter"/>
      <w:start w:val="1"/>
    </w:lvl>
    <w:lvl w:ilvl="1">
      <w:lvlJc w:val="left"/>
      <w:lvlText w:val="(%2)"/>
      <w:numFmt w:val="decimal"/>
      <w:start w:val="2"/>
    </w:lvl>
  </w:abstractNum>
  <w:abstractNum w:abstractNumId="23">
    <w:nsid w:val="440BADFC"/>
    <w:multiLevelType w:val="hybridMultilevel"/>
    <w:lvl w:ilvl="0">
      <w:lvlJc w:val="left"/>
      <w:lvlText w:val="(%1)"/>
      <w:numFmt w:val="lowerLetter"/>
      <w:start w:val="2"/>
    </w:lvl>
    <w:lvl w:ilvl="1">
      <w:lvlJc w:val="left"/>
      <w:lvlText w:val="(%2)"/>
      <w:numFmt w:val="decimal"/>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decimal"/>
      <w:start w:val="13"/>
    </w:lvl>
  </w:abstractNum>
  <w:abstractNum w:abstractNumId="26">
    <w:nsid w:val="77465F01"/>
    <w:multiLevelType w:val="hybridMultilevel"/>
    <w:lvl w:ilvl="0">
      <w:lvlJc w:val="left"/>
      <w:lvlText w:val="%1"/>
      <w:numFmt w:val="lowerLetter"/>
      <w:start w:val="1"/>
    </w:lvl>
    <w:lvl w:ilvl="1">
      <w:lvlJc w:val="left"/>
      <w:lvlText w:val="(%2)"/>
      <w:numFmt w:val="decimal"/>
      <w:start w:val="16"/>
    </w:lvl>
  </w:abstractNum>
  <w:abstractNum w:abstractNumId="27">
    <w:nsid w:val="7724C67E"/>
    <w:multiLevelType w:val="hybridMultilevel"/>
    <w:lvl w:ilvl="0">
      <w:lvlJc w:val="left"/>
      <w:lvlText w:val="(%1)"/>
      <w:numFmt w:val="lowerLetter"/>
      <w:start w:val="3"/>
    </w:lvl>
    <w:lvl w:ilvl="1">
      <w:lvlJc w:val="left"/>
      <w:lvlText w:val="%2"/>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2"/>
    </w:lvl>
  </w:abstractNum>
  <w:abstractNum w:abstractNumId="32">
    <w:nsid w:val="2D517796"/>
    <w:multiLevelType w:val="hybridMultilevel"/>
    <w:lvl w:ilvl="0">
      <w:lvlJc w:val="left"/>
      <w:lvlText w:val="(%1)"/>
      <w:numFmt w:val="lowerRoman"/>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8"/>
    </w:lvl>
    <w:lvl w:ilvl="1">
      <w:lvlJc w:val="left"/>
      <w:lvlText w:val="(%2)"/>
      <w:numFmt w:val="lowerRoman"/>
      <w:start w:val="1"/>
    </w:lvl>
  </w:abstractNum>
  <w:abstractNum w:abstractNumId="39">
    <w:nsid w:val="1D4ED43B"/>
    <w:multiLevelType w:val="hybridMultilevel"/>
    <w:lvl w:ilvl="0">
      <w:lvlJc w:val="left"/>
      <w:lvlText w:val="(%1)"/>
      <w:numFmt w:val="upperLetter"/>
      <w:start w:val="3"/>
    </w:lvl>
  </w:abstractNum>
  <w:abstractNum w:abstractNumId="40">
    <w:nsid w:val="725A06FB"/>
    <w:multiLevelType w:val="hybridMultilevel"/>
    <w:lvl w:ilvl="0">
      <w:lvlJc w:val="left"/>
      <w:lvlText w:val="(%1)"/>
      <w:numFmt w:val="lowerLetter"/>
      <w:start w:val="9"/>
    </w:lvl>
  </w:abstractNum>
  <w:abstractNum w:abstractNumId="41">
    <w:nsid w:val="2CD89A32"/>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2">
    <w:nsid w:val="57E4CCA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13" Type="http://schemas.openxmlformats.org/officeDocument/2006/relationships/hyperlink" Target="http://www.sec.gov/Archives/edgar/data/912242/000110465914081468/a14-24669_1ex2d1.htm" TargetMode="External"/><Relationship Id="rId14" Type="http://schemas.openxmlformats.org/officeDocument/2006/relationships/hyperlink" Target="http://www.sec.gov/Archives/edgar/data/912242/0001047469-99-012492.txt" TargetMode="External"/><Relationship Id="rId15" Type="http://schemas.openxmlformats.org/officeDocument/2006/relationships/hyperlink" Target="http://www.sec.gov/Archives/edgar/data/912242/000091205702030706/a2086079zex-3_1.htm" TargetMode="External"/><Relationship Id="rId16" Type="http://schemas.openxmlformats.org/officeDocument/2006/relationships/hyperlink" Target="http://www.sec.gov/Archives/edgar/data/912242/000091205702021417/a2080342zex-4_6.htm" TargetMode="External"/><Relationship Id="rId17" Type="http://schemas.openxmlformats.org/officeDocument/2006/relationships/hyperlink" Target="http://www.sec.gov/Archives/edgar/data/912242/000104746909001981/a2189901zex-3_15.htm" TargetMode="External"/><Relationship Id="rId18" Type="http://schemas.openxmlformats.org/officeDocument/2006/relationships/hyperlink" Target="http://www.sec.gov/Archives/edgar/data/912242/000110465909008348/a09-5253_1ex3d1.htm" TargetMode="External"/><Relationship Id="rId19" Type="http://schemas.openxmlformats.org/officeDocument/2006/relationships/hyperlink" Target="http://www.sec.gov/Archives/edgar/data/912242/000104746909007391/a2193924zex-3_17.htm" TargetMode="External"/><Relationship Id="rId20" Type="http://schemas.openxmlformats.org/officeDocument/2006/relationships/hyperlink" Target="http://www.sec.gov/Archives/edgar/data/912242/000110465914043330/a14-14485_1ex3d1.htm" TargetMode="External"/><Relationship Id="rId21" Type="http://schemas.openxmlformats.org/officeDocument/2006/relationships/hyperlink" Target="http://www.sec.gov/Archives/edgar/data/912242/000110465915020412/a15-6870_1ex3d1.htm" TargetMode="External"/><Relationship Id="rId22" Type="http://schemas.openxmlformats.org/officeDocument/2006/relationships/hyperlink" Target="http://www.sec.gov/Archives/edgar/data/912242/000110465915020810/a15-6873_1ex3d1.htm" TargetMode="External"/><Relationship Id="rId23" Type="http://schemas.openxmlformats.org/officeDocument/2006/relationships/hyperlink" Target="http://www.sec.gov/Archives/edgar/data/912242/000110465915037228/a15-11185_1ex3d1.htm" TargetMode="External"/><Relationship Id="rId24" Type="http://schemas.openxmlformats.org/officeDocument/2006/relationships/hyperlink" Target="http://www.sec.gov/Archives/edgar/data/912242/000110465915042631/a15-13305_1ex3d1.htm" TargetMode="External"/><Relationship Id="rId25" Type="http://schemas.openxmlformats.org/officeDocument/2006/relationships/hyperlink" Target="http://www.sec.gov/Archives/edgar/data/912242/000119312519129272/d731295dex31.htm" TargetMode="External"/><Relationship Id="rId26"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2019-12-28T08:29:44Z</dcterms:created>
  <dcterms:modified xsi:type="dcterms:W3CDTF">2019-12-28T08:29:44Z</dcterms:modified>
</cp:coreProperties>
</file>